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6F" w:rsidRPr="00087127" w:rsidRDefault="00CF39C2" w:rsidP="00AC219B">
      <w:pPr>
        <w:spacing w:after="120" w:line="240" w:lineRule="auto"/>
        <w:jc w:val="center"/>
        <w:rPr>
          <w:rStyle w:val="A2"/>
          <w:rFonts w:ascii="Gotham Book" w:hAnsi="Gotham Book" w:cs="Gotham Book"/>
          <w:b w:val="0"/>
          <w:bCs w:val="0"/>
          <w:sz w:val="22"/>
          <w:szCs w:val="28"/>
        </w:rPr>
      </w:pPr>
      <w:r w:rsidRPr="00CF39C2">
        <w:rPr>
          <w:rFonts w:ascii="Gotham Bold" w:hAnsi="Gotham Bold" w:cs="Gotham Bold"/>
          <w:b/>
          <w:bCs/>
          <w:color w:val="000000"/>
          <w:sz w:val="44"/>
          <w:szCs w:val="52"/>
        </w:rPr>
        <w:t>MEDICAL MENTORS</w:t>
      </w:r>
    </w:p>
    <w:p w:rsidR="00961127" w:rsidRPr="00AC219B" w:rsidRDefault="00961127" w:rsidP="00AC219B">
      <w:pPr>
        <w:autoSpaceDE w:val="0"/>
        <w:autoSpaceDN w:val="0"/>
        <w:adjustRightInd w:val="0"/>
        <w:spacing w:after="120" w:line="240" w:lineRule="auto"/>
        <w:rPr>
          <w:rFonts w:ascii="Gotham Book" w:hAnsi="Gotham Book" w:cs="Gotham Book"/>
          <w:color w:val="000000"/>
          <w:sz w:val="24"/>
          <w:szCs w:val="24"/>
          <w:u w:val="single"/>
        </w:rPr>
      </w:pPr>
      <w:bookmarkStart w:id="0" w:name="_GoBack"/>
      <w:bookmarkEnd w:id="0"/>
    </w:p>
    <w:p w:rsidR="0049436F" w:rsidRPr="002F011D" w:rsidRDefault="00CF39C2" w:rsidP="00AC219B">
      <w:pPr>
        <w:spacing w:after="120" w:line="240" w:lineRule="auto"/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</w:pP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Opportunit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ies to gain commercial insights </w:t>
      </w: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and form rela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tionships with industry leaders </w:t>
      </w: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are limited f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or most PhD students. With help </w:t>
      </w: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from the Indu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stry Growth Centres Initiative, </w:t>
      </w: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the a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ward-winning Industry Mentoring </w:t>
      </w: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Network in ST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EM (IMNIS) is providing student </w:t>
      </w:r>
      <w:r w:rsidRPr="00CF39C2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mentees the unique opportunity to excel.</w:t>
      </w:r>
    </w:p>
    <w:p w:rsidR="0049436F" w:rsidRPr="0049436F" w:rsidRDefault="0049436F" w:rsidP="00AC219B">
      <w:pPr>
        <w:autoSpaceDE w:val="0"/>
        <w:autoSpaceDN w:val="0"/>
        <w:adjustRightInd w:val="0"/>
        <w:spacing w:after="120" w:line="240" w:lineRule="auto"/>
        <w:rPr>
          <w:rFonts w:ascii="Gotham Light" w:hAnsi="Gotham Light" w:cs="Gotham Light"/>
          <w:iCs/>
          <w:color w:val="000000"/>
          <w:sz w:val="24"/>
          <w:szCs w:val="24"/>
        </w:rPr>
      </w:pPr>
      <w:r w:rsidRPr="0049436F">
        <w:rPr>
          <w:rFonts w:ascii="Gotham Light" w:hAnsi="Gotham Light" w:cs="Gotham Light"/>
          <w:b/>
          <w:iCs/>
          <w:color w:val="000000"/>
          <w:sz w:val="24"/>
          <w:szCs w:val="24"/>
        </w:rPr>
        <w:t>Growth Centre Sector:</w:t>
      </w:r>
      <w:r w:rsidRPr="0049436F">
        <w:rPr>
          <w:rFonts w:ascii="Gotham Light" w:hAnsi="Gotham Light" w:cs="Gotham Light"/>
          <w:iCs/>
          <w:color w:val="000000"/>
          <w:sz w:val="24"/>
          <w:szCs w:val="24"/>
        </w:rPr>
        <w:t xml:space="preserve"> </w:t>
      </w:r>
      <w:r w:rsidR="002F011D">
        <w:rPr>
          <w:rFonts w:ascii="Gotham Light" w:hAnsi="Gotham Light" w:cs="Gotham Light"/>
          <w:iCs/>
          <w:color w:val="000000"/>
          <w:sz w:val="24"/>
          <w:szCs w:val="24"/>
        </w:rPr>
        <w:t>Medical Technologies and Pharmaceuticals</w:t>
      </w:r>
      <w:r w:rsidR="00CF39C2">
        <w:rPr>
          <w:rFonts w:ascii="Gotham Light" w:hAnsi="Gotham Light" w:cs="Gotham Light"/>
          <w:iCs/>
          <w:color w:val="000000"/>
          <w:sz w:val="24"/>
          <w:szCs w:val="24"/>
        </w:rPr>
        <w:t>, Mining Equipment, Technology and Services (METS), Oil, Gas and Energy Resources</w:t>
      </w:r>
    </w:p>
    <w:p w:rsidR="0049436F" w:rsidRDefault="0049436F" w:rsidP="00AC219B">
      <w:pPr>
        <w:autoSpaceDE w:val="0"/>
        <w:autoSpaceDN w:val="0"/>
        <w:adjustRightInd w:val="0"/>
        <w:spacing w:after="120" w:line="240" w:lineRule="auto"/>
        <w:rPr>
          <w:rFonts w:ascii="Gotham Light" w:hAnsi="Gotham Light" w:cs="Gotham Light"/>
          <w:iCs/>
          <w:color w:val="000000"/>
          <w:sz w:val="24"/>
          <w:szCs w:val="24"/>
        </w:rPr>
      </w:pPr>
      <w:r w:rsidRPr="0049436F">
        <w:rPr>
          <w:rFonts w:ascii="Gotham Light" w:hAnsi="Gotham Light" w:cs="Gotham Light"/>
          <w:b/>
          <w:iCs/>
          <w:color w:val="000000"/>
          <w:sz w:val="24"/>
          <w:szCs w:val="24"/>
        </w:rPr>
        <w:t>Growth Centre Involved:</w:t>
      </w:r>
      <w:r w:rsidRPr="0049436F">
        <w:rPr>
          <w:rFonts w:ascii="Gotham Light" w:hAnsi="Gotham Light" w:cs="Gotham Light"/>
          <w:iCs/>
          <w:color w:val="000000"/>
          <w:sz w:val="24"/>
          <w:szCs w:val="24"/>
        </w:rPr>
        <w:t xml:space="preserve"> </w:t>
      </w:r>
      <w:proofErr w:type="spellStart"/>
      <w:r w:rsidR="002F011D">
        <w:rPr>
          <w:rFonts w:ascii="Gotham Light" w:hAnsi="Gotham Light" w:cs="Gotham Light"/>
          <w:iCs/>
          <w:color w:val="000000"/>
          <w:sz w:val="24"/>
          <w:szCs w:val="24"/>
        </w:rPr>
        <w:t>MTPConnect</w:t>
      </w:r>
      <w:proofErr w:type="spellEnd"/>
      <w:r w:rsidR="00CF39C2">
        <w:rPr>
          <w:rFonts w:ascii="Gotham Light" w:hAnsi="Gotham Light" w:cs="Gotham Light"/>
          <w:iCs/>
          <w:color w:val="000000"/>
          <w:sz w:val="24"/>
          <w:szCs w:val="24"/>
        </w:rPr>
        <w:t>, METS Ignited, NERA</w:t>
      </w:r>
    </w:p>
    <w:p w:rsidR="00087127" w:rsidRPr="0049436F" w:rsidRDefault="00087127" w:rsidP="00AC219B">
      <w:pPr>
        <w:autoSpaceDE w:val="0"/>
        <w:autoSpaceDN w:val="0"/>
        <w:adjustRightInd w:val="0"/>
        <w:spacing w:after="120" w:line="240" w:lineRule="auto"/>
        <w:rPr>
          <w:rFonts w:ascii="Gotham Light" w:hAnsi="Gotham Light" w:cs="Gotham Light"/>
          <w:iCs/>
          <w:color w:val="000000"/>
          <w:sz w:val="24"/>
          <w:szCs w:val="24"/>
        </w:rPr>
      </w:pPr>
      <w:r w:rsidRPr="00087127">
        <w:rPr>
          <w:rFonts w:ascii="Gotham Light" w:hAnsi="Gotham Light" w:cs="Gotham Light"/>
          <w:b/>
          <w:iCs/>
          <w:color w:val="000000"/>
          <w:sz w:val="24"/>
          <w:szCs w:val="24"/>
        </w:rPr>
        <w:t>Partner Organisation:</w:t>
      </w:r>
      <w:r>
        <w:rPr>
          <w:rFonts w:ascii="Gotham Light" w:hAnsi="Gotham Light" w:cs="Gotham Light"/>
          <w:iCs/>
          <w:color w:val="000000"/>
          <w:sz w:val="24"/>
          <w:szCs w:val="24"/>
        </w:rPr>
        <w:t xml:space="preserve"> </w:t>
      </w:r>
      <w:r w:rsidR="00CF39C2">
        <w:rPr>
          <w:rFonts w:ascii="Gotham Light" w:hAnsi="Gotham Light" w:cs="Gotham Light"/>
          <w:iCs/>
          <w:color w:val="000000"/>
          <w:sz w:val="24"/>
          <w:szCs w:val="24"/>
        </w:rPr>
        <w:t>IMNIS</w:t>
      </w:r>
    </w:p>
    <w:p w:rsidR="0049436F" w:rsidRPr="0049436F" w:rsidRDefault="0049436F" w:rsidP="00AC219B">
      <w:pPr>
        <w:autoSpaceDE w:val="0"/>
        <w:autoSpaceDN w:val="0"/>
        <w:adjustRightInd w:val="0"/>
        <w:spacing w:after="120" w:line="240" w:lineRule="auto"/>
        <w:rPr>
          <w:rFonts w:ascii="Gotham Book" w:hAnsi="Gotham Book" w:cs="Gotham Book"/>
          <w:color w:val="000000"/>
          <w:sz w:val="24"/>
          <w:szCs w:val="24"/>
          <w:u w:val="single"/>
        </w:rPr>
      </w:pPr>
    </w:p>
    <w:p w:rsidR="0049436F" w:rsidRPr="0049436F" w:rsidRDefault="0049436F" w:rsidP="00AC219B">
      <w:pPr>
        <w:spacing w:after="120" w:line="240" w:lineRule="auto"/>
        <w:rPr>
          <w:rStyle w:val="A2"/>
          <w:rFonts w:ascii="Gotham Book" w:hAnsi="Gotham Book" w:cs="Gotham Book"/>
          <w:b w:val="0"/>
          <w:bCs w:val="0"/>
          <w:sz w:val="24"/>
          <w:szCs w:val="24"/>
          <w:u w:val="single"/>
        </w:rPr>
      </w:pPr>
      <w:r w:rsidRPr="0049436F">
        <w:rPr>
          <w:rStyle w:val="A2"/>
          <w:rFonts w:ascii="Gotham Book" w:hAnsi="Gotham Book" w:cs="Gotham Book"/>
          <w:b w:val="0"/>
          <w:bCs w:val="0"/>
          <w:sz w:val="24"/>
          <w:szCs w:val="24"/>
          <w:u w:val="single"/>
        </w:rPr>
        <w:t>The Story So Far</w:t>
      </w:r>
    </w:p>
    <w:p w:rsidR="00CF39C2" w:rsidRPr="00CF39C2" w:rsidRDefault="00CF39C2" w:rsidP="00AC219B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r w:rsidRPr="00CF39C2">
        <w:rPr>
          <w:rFonts w:ascii="Gotham Book" w:hAnsi="Gotham Book" w:cs="Gotham Book"/>
          <w:color w:val="000000"/>
          <w:sz w:val="24"/>
          <w:szCs w:val="24"/>
        </w:rPr>
        <w:t>Key objectives of the Industry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Growth Centres include working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to improve workforce skills, coll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aboration and commercialisation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 xml:space="preserve">outcomes between research and 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industry, and this includes the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next generation of the Australia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n workforce. Growth Centres for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medical technology and pharm</w:t>
      </w:r>
      <w:r>
        <w:rPr>
          <w:rFonts w:ascii="Gotham Book" w:hAnsi="Gotham Book" w:cs="Gotham Book"/>
          <w:color w:val="000000"/>
          <w:sz w:val="24"/>
          <w:szCs w:val="24"/>
        </w:rPr>
        <w:t>aceuticals (</w:t>
      </w:r>
      <w:proofErr w:type="spellStart"/>
      <w:r>
        <w:rPr>
          <w:rFonts w:ascii="Gotham Book" w:hAnsi="Gotham Book" w:cs="Gotham Book"/>
          <w:color w:val="000000"/>
          <w:sz w:val="24"/>
          <w:szCs w:val="24"/>
        </w:rPr>
        <w:t>MTPConnect</w:t>
      </w:r>
      <w:proofErr w:type="spellEnd"/>
      <w:r>
        <w:rPr>
          <w:rFonts w:ascii="Gotham Book" w:hAnsi="Gotham Book" w:cs="Gotham Book"/>
          <w:color w:val="000000"/>
          <w:sz w:val="24"/>
          <w:szCs w:val="24"/>
        </w:rPr>
        <w:t xml:space="preserve">), mining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 xml:space="preserve">technology (METS Ignited), and 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energy resources (NERA) are all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supporting PhD student mentees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to up-skill, network and break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down barriers to foster a diverse ecosystem.</w:t>
      </w:r>
    </w:p>
    <w:p w:rsidR="00CF39C2" w:rsidRDefault="00CF39C2" w:rsidP="00AC219B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r w:rsidRPr="00CF39C2">
        <w:rPr>
          <w:rFonts w:ascii="Gotham Book" w:hAnsi="Gotham Book" w:cs="Gotham Book"/>
          <w:color w:val="000000"/>
          <w:sz w:val="24"/>
          <w:szCs w:val="24"/>
        </w:rPr>
        <w:t>The IMNIS program encourages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collaboration between industry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and research sectors by providi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ng mentees with core skills and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business advice and access to in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dustry experience, and networks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during a one year mentoring program. Mentees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establish strong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ties between industry and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academia while expanding their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professional networ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ks and improving employability. </w:t>
      </w:r>
    </w:p>
    <w:p w:rsidR="00CF39C2" w:rsidRDefault="00CF39C2" w:rsidP="00AC219B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proofErr w:type="spellStart"/>
      <w:r w:rsidRPr="00CF39C2">
        <w:rPr>
          <w:rFonts w:ascii="Gotham Book" w:hAnsi="Gotham Book" w:cs="Gotham Book"/>
          <w:color w:val="000000"/>
          <w:sz w:val="24"/>
          <w:szCs w:val="24"/>
        </w:rPr>
        <w:t>MTPConnect</w:t>
      </w:r>
      <w:proofErr w:type="spellEnd"/>
      <w:r w:rsidRPr="00CF39C2">
        <w:rPr>
          <w:rFonts w:ascii="Gotham Book" w:hAnsi="Gotham Book" w:cs="Gotham Book"/>
          <w:color w:val="000000"/>
          <w:sz w:val="24"/>
          <w:szCs w:val="24"/>
        </w:rPr>
        <w:t xml:space="preserve"> has helped expa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nd the IMNIS </w:t>
      </w:r>
      <w:proofErr w:type="spellStart"/>
      <w:r>
        <w:rPr>
          <w:rFonts w:ascii="Gotham Book" w:hAnsi="Gotham Book" w:cs="Gotham Book"/>
          <w:color w:val="000000"/>
          <w:sz w:val="24"/>
          <w:szCs w:val="24"/>
        </w:rPr>
        <w:t>MedTech</w:t>
      </w:r>
      <w:proofErr w:type="spellEnd"/>
      <w:r>
        <w:rPr>
          <w:rFonts w:ascii="Gotham Book" w:hAnsi="Gotham Book" w:cs="Gotham Book"/>
          <w:color w:val="000000"/>
          <w:sz w:val="24"/>
          <w:szCs w:val="24"/>
        </w:rPr>
        <w:t xml:space="preserve"> and Pharma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program to 141 students at 11 uni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versities. It has also provided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$200,000 of project funding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and provides ongoing mentoring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 xml:space="preserve">support with Sue </w:t>
      </w:r>
      <w:proofErr w:type="spellStart"/>
      <w:r w:rsidRPr="00CF39C2">
        <w:rPr>
          <w:rFonts w:ascii="Gotham Book" w:hAnsi="Gotham Book" w:cs="Gotham Book"/>
          <w:color w:val="000000"/>
          <w:sz w:val="24"/>
          <w:szCs w:val="24"/>
        </w:rPr>
        <w:t>MacLeman</w:t>
      </w:r>
      <w:proofErr w:type="spellEnd"/>
      <w:r>
        <w:rPr>
          <w:rFonts w:ascii="Gotham Book" w:hAnsi="Gotham Book" w:cs="Gotham Book"/>
          <w:color w:val="000000"/>
          <w:sz w:val="24"/>
          <w:szCs w:val="24"/>
        </w:rPr>
        <w:t xml:space="preserve">, Chair Elect and </w:t>
      </w:r>
      <w:proofErr w:type="spellStart"/>
      <w:r>
        <w:rPr>
          <w:rFonts w:ascii="Gotham Book" w:hAnsi="Gotham Book" w:cs="Gotham Book"/>
          <w:color w:val="000000"/>
          <w:sz w:val="24"/>
          <w:szCs w:val="24"/>
        </w:rPr>
        <w:t>Non Executive</w:t>
      </w:r>
      <w:proofErr w:type="spellEnd"/>
      <w:r>
        <w:rPr>
          <w:rFonts w:ascii="Gotham Book" w:hAnsi="Gotham Book" w:cs="Gotham Book"/>
          <w:color w:val="000000"/>
          <w:sz w:val="24"/>
          <w:szCs w:val="24"/>
        </w:rPr>
        <w:t xml:space="preserve">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 xml:space="preserve">Director at </w:t>
      </w:r>
      <w:proofErr w:type="spellStart"/>
      <w:r w:rsidRPr="00CF39C2">
        <w:rPr>
          <w:rFonts w:ascii="Gotham Book" w:hAnsi="Gotham Book" w:cs="Gotham Book"/>
          <w:color w:val="000000"/>
          <w:sz w:val="24"/>
          <w:szCs w:val="24"/>
        </w:rPr>
        <w:t>MTPConnect</w:t>
      </w:r>
      <w:proofErr w:type="spellEnd"/>
      <w:r w:rsidRPr="00CF39C2">
        <w:rPr>
          <w:rFonts w:ascii="Gotham Book" w:hAnsi="Gotham Book" w:cs="Gotham Book"/>
          <w:color w:val="000000"/>
          <w:sz w:val="24"/>
          <w:szCs w:val="24"/>
        </w:rPr>
        <w:t>. MET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S Ignited and NERA have jointly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supported the IMNIS Minerals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Resources and Energy Resources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programs matching 88 PhD me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ntees with industry mentors and </w:t>
      </w:r>
      <w:r w:rsidRPr="00CF39C2">
        <w:rPr>
          <w:rFonts w:ascii="Gotham Book" w:hAnsi="Gotham Book" w:cs="Gotham Book"/>
          <w:color w:val="000000"/>
          <w:sz w:val="24"/>
          <w:szCs w:val="24"/>
        </w:rPr>
        <w:t>providing $20,000 per annum each from 2017 to 2019.</w:t>
      </w:r>
    </w:p>
    <w:p w:rsidR="00AC219B" w:rsidRDefault="00AC219B" w:rsidP="00AC219B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</w:p>
    <w:p w:rsidR="0049436F" w:rsidRPr="00CF39C2" w:rsidRDefault="002F011D" w:rsidP="00AC219B">
      <w:pPr>
        <w:spacing w:after="120" w:line="240" w:lineRule="auto"/>
        <w:rPr>
          <w:rStyle w:val="A2"/>
          <w:rFonts w:ascii="Gotham Book" w:hAnsi="Gotham Book" w:cs="Gotham Book"/>
          <w:b w:val="0"/>
          <w:bCs w:val="0"/>
          <w:color w:val="auto"/>
          <w:sz w:val="24"/>
          <w:szCs w:val="24"/>
        </w:rPr>
      </w:pPr>
      <w:r w:rsidRPr="00CF39C2">
        <w:rPr>
          <w:rStyle w:val="A2"/>
          <w:rFonts w:ascii="Gotham Book" w:hAnsi="Gotham Book" w:cs="Gotham Book"/>
          <w:b w:val="0"/>
          <w:bCs w:val="0"/>
          <w:color w:val="auto"/>
          <w:sz w:val="24"/>
          <w:szCs w:val="24"/>
          <w:u w:val="single"/>
        </w:rPr>
        <w:t>Quote</w:t>
      </w:r>
    </w:p>
    <w:p w:rsidR="00CF39C2" w:rsidRPr="00CF39C2" w:rsidRDefault="00CF39C2" w:rsidP="00AC219B">
      <w:pPr>
        <w:autoSpaceDE w:val="0"/>
        <w:autoSpaceDN w:val="0"/>
        <w:adjustRightInd w:val="0"/>
        <w:spacing w:after="120" w:line="240" w:lineRule="auto"/>
        <w:rPr>
          <w:rFonts w:ascii="Gotham-Medium" w:hAnsi="Gotham-Medium" w:cs="Gotham-Medium"/>
          <w:sz w:val="24"/>
          <w:szCs w:val="24"/>
        </w:rPr>
      </w:pPr>
      <w:r w:rsidRPr="00CF39C2">
        <w:rPr>
          <w:rFonts w:ascii="Gotham-Medium" w:hAnsi="Gotham-Medium" w:cs="Gotham-Medium"/>
          <w:sz w:val="24"/>
          <w:szCs w:val="24"/>
        </w:rPr>
        <w:t>“I be</w:t>
      </w:r>
      <w:r>
        <w:rPr>
          <w:rFonts w:ascii="Gotham-Medium" w:hAnsi="Gotham-Medium" w:cs="Gotham-Medium"/>
          <w:sz w:val="24"/>
          <w:szCs w:val="24"/>
        </w:rPr>
        <w:t xml:space="preserve">lieve the most important aspect </w:t>
      </w:r>
      <w:r w:rsidRPr="00CF39C2">
        <w:rPr>
          <w:rFonts w:ascii="Gotham-Medium" w:hAnsi="Gotham-Medium" w:cs="Gotham-Medium"/>
          <w:sz w:val="24"/>
          <w:szCs w:val="24"/>
        </w:rPr>
        <w:t>of thi</w:t>
      </w:r>
      <w:r>
        <w:rPr>
          <w:rFonts w:ascii="Gotham-Medium" w:hAnsi="Gotham-Medium" w:cs="Gotham-Medium"/>
          <w:sz w:val="24"/>
          <w:szCs w:val="24"/>
        </w:rPr>
        <w:t xml:space="preserve">s program is the opportunity to </w:t>
      </w:r>
      <w:r w:rsidRPr="00CF39C2">
        <w:rPr>
          <w:rFonts w:ascii="Gotham-Medium" w:hAnsi="Gotham-Medium" w:cs="Gotham-Medium"/>
          <w:sz w:val="24"/>
          <w:szCs w:val="24"/>
        </w:rPr>
        <w:t>direc</w:t>
      </w:r>
      <w:r>
        <w:rPr>
          <w:rFonts w:ascii="Gotham-Medium" w:hAnsi="Gotham-Medium" w:cs="Gotham-Medium"/>
          <w:sz w:val="24"/>
          <w:szCs w:val="24"/>
        </w:rPr>
        <w:t xml:space="preserve">tly ask a mentor who is engaged </w:t>
      </w:r>
      <w:r w:rsidRPr="00CF39C2">
        <w:rPr>
          <w:rFonts w:ascii="Gotham-Medium" w:hAnsi="Gotham-Medium" w:cs="Gotham-Medium"/>
          <w:sz w:val="24"/>
          <w:szCs w:val="24"/>
        </w:rPr>
        <w:t>wi</w:t>
      </w:r>
      <w:r>
        <w:rPr>
          <w:rFonts w:ascii="Gotham-Medium" w:hAnsi="Gotham-Medium" w:cs="Gotham-Medium"/>
          <w:sz w:val="24"/>
          <w:szCs w:val="24"/>
        </w:rPr>
        <w:t xml:space="preserve">th the industry how things work </w:t>
      </w:r>
      <w:r w:rsidRPr="00CF39C2">
        <w:rPr>
          <w:rFonts w:ascii="Gotham-Medium" w:hAnsi="Gotham-Medium" w:cs="Gotham-Medium"/>
          <w:sz w:val="24"/>
          <w:szCs w:val="24"/>
        </w:rPr>
        <w:t>from the inside.”</w:t>
      </w:r>
    </w:p>
    <w:p w:rsidR="00087127" w:rsidRPr="00CF39C2" w:rsidRDefault="00CF39C2" w:rsidP="00AC219B">
      <w:pPr>
        <w:autoSpaceDE w:val="0"/>
        <w:autoSpaceDN w:val="0"/>
        <w:adjustRightInd w:val="0"/>
        <w:spacing w:after="120" w:line="240" w:lineRule="auto"/>
        <w:jc w:val="right"/>
        <w:rPr>
          <w:rStyle w:val="A2"/>
          <w:rFonts w:ascii="Gotham Book" w:hAnsi="Gotham Book" w:cs="Gotham Book"/>
          <w:b w:val="0"/>
          <w:bCs w:val="0"/>
          <w:color w:val="auto"/>
          <w:sz w:val="24"/>
          <w:szCs w:val="24"/>
        </w:rPr>
      </w:pPr>
      <w:r w:rsidRPr="00CF39C2">
        <w:rPr>
          <w:rFonts w:ascii="Gotham-BookItalic" w:hAnsi="Gotham-BookItalic" w:cs="Gotham-BookItalic"/>
          <w:i/>
          <w:iCs/>
          <w:sz w:val="24"/>
          <w:szCs w:val="24"/>
        </w:rPr>
        <w:t>— Sebastian Quezada, IMNIS Mentee</w:t>
      </w:r>
    </w:p>
    <w:p w:rsidR="00CF39C2" w:rsidRDefault="00CF39C2" w:rsidP="00AC219B">
      <w:pPr>
        <w:spacing w:after="120" w:line="240" w:lineRule="auto"/>
        <w:rPr>
          <w:rStyle w:val="A2"/>
          <w:rFonts w:ascii="Gotham Book" w:hAnsi="Gotham Book" w:cs="Gotham Book"/>
          <w:sz w:val="24"/>
          <w:szCs w:val="24"/>
        </w:rPr>
      </w:pPr>
    </w:p>
    <w:p w:rsidR="004C0F54" w:rsidRPr="0049436F" w:rsidRDefault="00CF39C2" w:rsidP="00AC219B">
      <w:pPr>
        <w:spacing w:after="120" w:line="240" w:lineRule="auto"/>
        <w:rPr>
          <w:rStyle w:val="A2"/>
          <w:rFonts w:ascii="Gotham Book" w:hAnsi="Gotham Book" w:cs="Gotham Book"/>
          <w:sz w:val="24"/>
          <w:szCs w:val="24"/>
        </w:rPr>
      </w:pPr>
      <w:r w:rsidRPr="00CF39C2">
        <w:rPr>
          <w:rStyle w:val="A2"/>
          <w:rFonts w:ascii="Gotham Book" w:hAnsi="Gotham Book" w:cs="Gotham Book"/>
          <w:sz w:val="24"/>
          <w:szCs w:val="24"/>
        </w:rPr>
        <w:t>IMNIS is just one of many affiliates engaged with</w:t>
      </w:r>
      <w:r>
        <w:rPr>
          <w:rStyle w:val="A2"/>
          <w:rFonts w:ascii="Gotham Book" w:hAnsi="Gotham Book" w:cs="Gotham Book"/>
          <w:sz w:val="24"/>
          <w:szCs w:val="24"/>
        </w:rPr>
        <w:t xml:space="preserve"> </w:t>
      </w:r>
      <w:r w:rsidRPr="00CF39C2">
        <w:rPr>
          <w:rStyle w:val="A2"/>
          <w:rFonts w:ascii="Gotham Book" w:hAnsi="Gotham Book" w:cs="Gotham Book"/>
          <w:sz w:val="24"/>
          <w:szCs w:val="24"/>
        </w:rPr>
        <w:t>the Industry Growth Centres Initiative across</w:t>
      </w:r>
      <w:r>
        <w:rPr>
          <w:rStyle w:val="A2"/>
          <w:rFonts w:ascii="Gotham Book" w:hAnsi="Gotham Book" w:cs="Gotham Book"/>
          <w:sz w:val="24"/>
          <w:szCs w:val="24"/>
        </w:rPr>
        <w:t xml:space="preserve"> </w:t>
      </w:r>
      <w:r w:rsidRPr="00CF39C2">
        <w:rPr>
          <w:rStyle w:val="A2"/>
          <w:rFonts w:ascii="Gotham Book" w:hAnsi="Gotham Book" w:cs="Gotham Book"/>
          <w:sz w:val="24"/>
          <w:szCs w:val="24"/>
        </w:rPr>
        <w:t>Australia’s six growth sectors.</w:t>
      </w:r>
    </w:p>
    <w:p w:rsidR="0049436F" w:rsidRPr="0049436F" w:rsidRDefault="0049436F" w:rsidP="00AC219B">
      <w:pPr>
        <w:autoSpaceDE w:val="0"/>
        <w:autoSpaceDN w:val="0"/>
        <w:adjustRightInd w:val="0"/>
        <w:spacing w:after="120" w:line="240" w:lineRule="auto"/>
        <w:rPr>
          <w:rFonts w:ascii="Gotham Book" w:hAnsi="Gotham Book" w:cs="Gotham Book"/>
          <w:color w:val="000000"/>
          <w:sz w:val="40"/>
          <w:szCs w:val="32"/>
        </w:rPr>
      </w:pPr>
      <w:r w:rsidRPr="00450E09">
        <w:rPr>
          <w:rStyle w:val="A0"/>
          <w:rFonts w:asciiTheme="majorHAnsi" w:eastAsiaTheme="majorEastAsia" w:hAnsiTheme="majorHAnsi"/>
          <w:sz w:val="36"/>
          <w:szCs w:val="32"/>
        </w:rPr>
        <w:t xml:space="preserve">LEARN MORE AT </w:t>
      </w:r>
      <w:hyperlink r:id="rId7" w:history="1">
        <w:r w:rsidRPr="00450E09">
          <w:rPr>
            <w:rStyle w:val="Hyperlink"/>
            <w:rFonts w:asciiTheme="majorHAnsi" w:hAnsiTheme="majorHAnsi" w:cstheme="majorHAnsi"/>
            <w:sz w:val="36"/>
            <w:szCs w:val="32"/>
          </w:rPr>
          <w:t>industry.gov.au/</w:t>
        </w:r>
        <w:proofErr w:type="spellStart"/>
        <w:r w:rsidRPr="00450E09">
          <w:rPr>
            <w:rStyle w:val="Hyperlink"/>
            <w:rFonts w:asciiTheme="majorHAnsi" w:hAnsiTheme="majorHAnsi" w:cstheme="majorHAnsi"/>
            <w:sz w:val="36"/>
            <w:szCs w:val="32"/>
          </w:rPr>
          <w:t>IndustryGrowthCentres</w:t>
        </w:r>
        <w:proofErr w:type="spellEnd"/>
      </w:hyperlink>
    </w:p>
    <w:sectPr w:rsidR="0049436F" w:rsidRPr="004943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6F" w:rsidRDefault="0049436F" w:rsidP="0049436F">
      <w:pPr>
        <w:spacing w:after="0" w:line="240" w:lineRule="auto"/>
      </w:pPr>
      <w:r>
        <w:separator/>
      </w:r>
    </w:p>
  </w:endnote>
  <w:endnote w:type="continuationSeparator" w:id="0">
    <w:p w:rsidR="0049436F" w:rsidRDefault="0049436F" w:rsidP="0049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F" w:rsidRDefault="0049436F" w:rsidP="0049436F">
    <w:pPr>
      <w:pStyle w:val="Footer"/>
      <w:jc w:val="center"/>
    </w:pPr>
    <w:r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6F" w:rsidRDefault="0049436F" w:rsidP="0049436F">
      <w:pPr>
        <w:spacing w:after="0" w:line="240" w:lineRule="auto"/>
      </w:pPr>
      <w:r>
        <w:separator/>
      </w:r>
    </w:p>
  </w:footnote>
  <w:footnote w:type="continuationSeparator" w:id="0">
    <w:p w:rsidR="0049436F" w:rsidRDefault="0049436F" w:rsidP="0049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F" w:rsidRDefault="0049436F" w:rsidP="0049436F">
    <w:pPr>
      <w:pStyle w:val="Header"/>
      <w:jc w:val="right"/>
    </w:pPr>
    <w:r>
      <w:t>Industry Growth Centres Initiative – Success 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63CDD"/>
    <w:multiLevelType w:val="hybridMultilevel"/>
    <w:tmpl w:val="65501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B"/>
    <w:rsid w:val="00087127"/>
    <w:rsid w:val="002F011D"/>
    <w:rsid w:val="0049436F"/>
    <w:rsid w:val="004A7CBB"/>
    <w:rsid w:val="004C0F54"/>
    <w:rsid w:val="007E0840"/>
    <w:rsid w:val="00946EF5"/>
    <w:rsid w:val="00961127"/>
    <w:rsid w:val="00AC219B"/>
    <w:rsid w:val="00C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4E6A-328D-44DA-9319-F74C5C1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6F"/>
  </w:style>
  <w:style w:type="paragraph" w:styleId="Footer">
    <w:name w:val="footer"/>
    <w:basedOn w:val="Normal"/>
    <w:link w:val="FooterChar"/>
    <w:uiPriority w:val="99"/>
    <w:unhideWhenUsed/>
    <w:rsid w:val="0049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6F"/>
  </w:style>
  <w:style w:type="paragraph" w:customStyle="1" w:styleId="Default">
    <w:name w:val="Default"/>
    <w:rsid w:val="0049436F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character" w:customStyle="1" w:styleId="A2">
    <w:name w:val="A2"/>
    <w:uiPriority w:val="99"/>
    <w:rsid w:val="0049436F"/>
    <w:rPr>
      <w:rFonts w:cs="Gotham Bold"/>
      <w:b/>
      <w:bCs/>
      <w:color w:val="000000"/>
      <w:sz w:val="52"/>
      <w:szCs w:val="52"/>
    </w:rPr>
  </w:style>
  <w:style w:type="character" w:customStyle="1" w:styleId="A3">
    <w:name w:val="A3"/>
    <w:uiPriority w:val="99"/>
    <w:rsid w:val="0049436F"/>
    <w:rPr>
      <w:rFonts w:cs="Gotham Bold"/>
      <w:b/>
      <w:bCs/>
      <w:color w:val="000000"/>
      <w:sz w:val="52"/>
      <w:szCs w:val="52"/>
    </w:rPr>
  </w:style>
  <w:style w:type="character" w:customStyle="1" w:styleId="A0">
    <w:name w:val="A0"/>
    <w:uiPriority w:val="99"/>
    <w:rsid w:val="0049436F"/>
    <w:rPr>
      <w:rFonts w:cs="Gotham Bold"/>
      <w:b/>
      <w:bCs/>
      <w:color w:val="00000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943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36F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087127"/>
    <w:pPr>
      <w:spacing w:line="221" w:lineRule="atLeast"/>
    </w:pPr>
    <w:rPr>
      <w:rFonts w:ascii="Gotham Book" w:hAnsi="Gotham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dustry.gov.au/IndustryGrowthCent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1978</Characters>
  <Application>Microsoft Office Word</Application>
  <DocSecurity>0</DocSecurity>
  <Lines>16</Lines>
  <Paragraphs>4</Paragraphs>
  <ScaleCrop>false</ScaleCrop>
  <Company>Department of Industry, Innovation and Science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Rachel</dc:creator>
  <cp:keywords/>
  <dc:description/>
  <cp:lastModifiedBy>Lee, Rachel</cp:lastModifiedBy>
  <cp:revision>11</cp:revision>
  <dcterms:created xsi:type="dcterms:W3CDTF">2018-10-24T05:55:00Z</dcterms:created>
  <dcterms:modified xsi:type="dcterms:W3CDTF">2018-10-24T06:50:00Z</dcterms:modified>
</cp:coreProperties>
</file>