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B74" w:rsidRDefault="00E87B74" w:rsidP="00E87B74">
      <w:pPr>
        <w:pStyle w:val="Heading2"/>
      </w:pPr>
      <w:bookmarkStart w:id="0" w:name="_Toc128386369"/>
      <w:bookmarkStart w:id="1" w:name="_Toc128453585"/>
      <w:bookmarkStart w:id="2" w:name="_Toc128476817"/>
      <w:bookmarkStart w:id="3" w:name="_Toc128968045"/>
      <w:bookmarkStart w:id="4" w:name="_Toc129591415"/>
      <w:bookmarkStart w:id="5" w:name="_Toc410651595"/>
      <w:r w:rsidRPr="008C74C3">
        <w:t>Notice to Relying Parties</w:t>
      </w:r>
      <w:bookmarkEnd w:id="5"/>
    </w:p>
    <w:tbl>
      <w:tblPr>
        <w:tblW w:w="5000" w:type="pct"/>
        <w:tblLook w:val="0000" w:firstRow="0" w:lastRow="0" w:firstColumn="0" w:lastColumn="0" w:noHBand="0" w:noVBand="0"/>
      </w:tblPr>
      <w:tblGrid>
        <w:gridCol w:w="1801"/>
        <w:gridCol w:w="7770"/>
      </w:tblGrid>
      <w:tr w:rsidR="00D63D2E" w:rsidTr="00D560FD">
        <w:tblPrEx>
          <w:tblCellMar>
            <w:top w:w="0" w:type="dxa"/>
            <w:bottom w:w="0" w:type="dxa"/>
          </w:tblCellMar>
        </w:tblPrEx>
        <w:trPr>
          <w:cantSplit/>
        </w:trPr>
        <w:tc>
          <w:tcPr>
            <w:tcW w:w="941" w:type="pct"/>
            <w:tcBorders>
              <w:top w:val="nil"/>
              <w:left w:val="nil"/>
              <w:bottom w:val="nil"/>
              <w:right w:val="nil"/>
            </w:tcBorders>
          </w:tcPr>
          <w:p w:rsidR="00D63D2E" w:rsidRPr="00D560FD" w:rsidRDefault="00D63D2E" w:rsidP="00D63D2E">
            <w:pPr>
              <w:spacing w:before="120"/>
              <w:rPr>
                <w:rFonts w:ascii="Verdana" w:hAnsi="Verdana"/>
                <w:b/>
                <w:sz w:val="18"/>
                <w:szCs w:val="18"/>
              </w:rPr>
            </w:pPr>
          </w:p>
        </w:tc>
        <w:tc>
          <w:tcPr>
            <w:tcW w:w="4059" w:type="pct"/>
            <w:tcBorders>
              <w:top w:val="nil"/>
              <w:left w:val="nil"/>
              <w:bottom w:val="nil"/>
              <w:right w:val="nil"/>
            </w:tcBorders>
          </w:tcPr>
          <w:p w:rsidR="00135F53" w:rsidRDefault="00135F53" w:rsidP="00F34B95">
            <w:pPr>
              <w:pStyle w:val="Para"/>
              <w:rPr>
                <w:lang w:eastAsia="en-US"/>
              </w:rPr>
            </w:pPr>
            <w:r w:rsidRPr="00FF69F7">
              <w:rPr>
                <w:lang w:eastAsia="en-US"/>
              </w:rPr>
              <w:t xml:space="preserve">This </w:t>
            </w:r>
            <w:bookmarkStart w:id="6" w:name="OLE_LINK8"/>
            <w:bookmarkStart w:id="7" w:name="OLE_LINK9"/>
            <w:r w:rsidRPr="008E6079">
              <w:rPr>
                <w:lang w:eastAsia="en-US"/>
              </w:rPr>
              <w:t>PKI Di</w:t>
            </w:r>
            <w:r>
              <w:rPr>
                <w:lang w:eastAsia="en-US"/>
              </w:rPr>
              <w:t xml:space="preserve">sclosure Statement </w:t>
            </w:r>
            <w:bookmarkEnd w:id="6"/>
            <w:bookmarkEnd w:id="7"/>
            <w:r>
              <w:rPr>
                <w:lang w:eastAsia="en-US"/>
              </w:rPr>
              <w:t>(PDS)</w:t>
            </w:r>
            <w:r w:rsidRPr="00FF69F7">
              <w:rPr>
                <w:lang w:eastAsia="en-US"/>
              </w:rPr>
              <w:t xml:space="preserve"> applies t</w:t>
            </w:r>
            <w:r w:rsidR="00113819">
              <w:rPr>
                <w:lang w:eastAsia="en-US"/>
              </w:rPr>
              <w:t>o VANguard Agency c</w:t>
            </w:r>
            <w:r>
              <w:rPr>
                <w:lang w:eastAsia="en-US"/>
              </w:rPr>
              <w:t>ertificates.</w:t>
            </w:r>
          </w:p>
          <w:p w:rsidR="00D85E1D" w:rsidRPr="00D85E1D" w:rsidRDefault="00D85E1D" w:rsidP="00F34B95">
            <w:pPr>
              <w:pStyle w:val="Para"/>
              <w:rPr>
                <w:lang w:val="en-US" w:eastAsia="en-US"/>
              </w:rPr>
            </w:pPr>
            <w:r w:rsidRPr="00D85E1D">
              <w:rPr>
                <w:lang w:val="en-US" w:eastAsia="en-US"/>
              </w:rPr>
              <w:t xml:space="preserve">VANguard </w:t>
            </w:r>
            <w:r>
              <w:rPr>
                <w:lang w:val="en-US" w:eastAsia="en-US"/>
              </w:rPr>
              <w:t xml:space="preserve">is an </w:t>
            </w:r>
            <w:smartTag w:uri="urn:schemas-microsoft-com:office:smarttags" w:element="place">
              <w:smartTag w:uri="urn:schemas-microsoft-com:office:smarttags" w:element="PlaceName">
                <w:r>
                  <w:rPr>
                    <w:lang w:val="en-US" w:eastAsia="en-US"/>
                  </w:rPr>
                  <w:t>Australian</w:t>
                </w:r>
              </w:smartTag>
              <w:r>
                <w:rPr>
                  <w:lang w:val="en-US" w:eastAsia="en-US"/>
                </w:rPr>
                <w:t xml:space="preserve"> </w:t>
              </w:r>
              <w:smartTag w:uri="urn:schemas-microsoft-com:office:smarttags" w:element="PlaceType">
                <w:r>
                  <w:rPr>
                    <w:lang w:val="en-US" w:eastAsia="en-US"/>
                  </w:rPr>
                  <w:t>Commonwealth</w:t>
                </w:r>
              </w:smartTag>
            </w:smartTag>
            <w:r>
              <w:rPr>
                <w:lang w:val="en-US" w:eastAsia="en-US"/>
              </w:rPr>
              <w:t xml:space="preserve"> </w:t>
            </w:r>
            <w:r w:rsidR="007C798E">
              <w:rPr>
                <w:lang w:val="en-US" w:eastAsia="en-US"/>
              </w:rPr>
              <w:t>program</w:t>
            </w:r>
            <w:r>
              <w:rPr>
                <w:lang w:val="en-US" w:eastAsia="en-US"/>
              </w:rPr>
              <w:t xml:space="preserve"> intended to </w:t>
            </w:r>
            <w:r w:rsidRPr="00D85E1D">
              <w:rPr>
                <w:lang w:val="en-US" w:eastAsia="en-US"/>
              </w:rPr>
              <w:t>provide authentication</w:t>
            </w:r>
            <w:r w:rsidR="0011752D">
              <w:rPr>
                <w:lang w:val="en-US" w:eastAsia="en-US"/>
              </w:rPr>
              <w:t xml:space="preserve"> and </w:t>
            </w:r>
            <w:r w:rsidR="00B5779F" w:rsidRPr="00B5779F">
              <w:rPr>
                <w:lang w:eastAsia="en-US"/>
              </w:rPr>
              <w:t>time stamping</w:t>
            </w:r>
            <w:r w:rsidRPr="00D85E1D">
              <w:rPr>
                <w:lang w:val="en-US" w:eastAsia="en-US"/>
              </w:rPr>
              <w:t xml:space="preserve"> services to facilitate online business with government agencies.</w:t>
            </w:r>
            <w:r>
              <w:rPr>
                <w:lang w:val="en-US" w:eastAsia="en-US"/>
              </w:rPr>
              <w:t xml:space="preserve"> It is administered by the Australian Department of </w:t>
            </w:r>
            <w:r w:rsidR="00DB2AAD">
              <w:rPr>
                <w:lang w:val="en-US" w:eastAsia="en-US"/>
              </w:rPr>
              <w:t>In</w:t>
            </w:r>
            <w:r>
              <w:rPr>
                <w:lang w:val="en-US" w:eastAsia="en-US"/>
              </w:rPr>
              <w:t>dustry</w:t>
            </w:r>
            <w:r w:rsidR="00F914DE">
              <w:rPr>
                <w:lang w:val="en-US" w:eastAsia="en-US"/>
              </w:rPr>
              <w:t xml:space="preserve"> and</w:t>
            </w:r>
            <w:r>
              <w:rPr>
                <w:lang w:val="en-US" w:eastAsia="en-US"/>
              </w:rPr>
              <w:t xml:space="preserve"> </w:t>
            </w:r>
            <w:r w:rsidR="00DB2AAD">
              <w:rPr>
                <w:lang w:val="en-US" w:eastAsia="en-US"/>
              </w:rPr>
              <w:t>Science</w:t>
            </w:r>
            <w:r w:rsidR="00F914DE">
              <w:rPr>
                <w:lang w:val="en-US" w:eastAsia="en-US"/>
              </w:rPr>
              <w:t xml:space="preserve">. </w:t>
            </w:r>
            <w:r>
              <w:rPr>
                <w:lang w:val="en-US" w:eastAsia="en-US"/>
              </w:rPr>
              <w:t xml:space="preserve">All references to </w:t>
            </w:r>
            <w:r w:rsidR="00F34B95">
              <w:rPr>
                <w:lang w:val="en-US" w:eastAsia="en-US"/>
              </w:rPr>
              <w:t>'</w:t>
            </w:r>
            <w:r w:rsidR="00F914DE">
              <w:rPr>
                <w:lang w:val="en-US" w:eastAsia="en-US"/>
              </w:rPr>
              <w:t>Department</w:t>
            </w:r>
            <w:r w:rsidR="00F34B95">
              <w:rPr>
                <w:lang w:val="en-US" w:eastAsia="en-US"/>
              </w:rPr>
              <w:t>'</w:t>
            </w:r>
            <w:r>
              <w:rPr>
                <w:lang w:val="en-US" w:eastAsia="en-US"/>
              </w:rPr>
              <w:t xml:space="preserve"> and to </w:t>
            </w:r>
            <w:r w:rsidR="00F34B95">
              <w:rPr>
                <w:lang w:val="en-US" w:eastAsia="en-US"/>
              </w:rPr>
              <w:t>'</w:t>
            </w:r>
            <w:r>
              <w:rPr>
                <w:lang w:val="en-US" w:eastAsia="en-US"/>
              </w:rPr>
              <w:t>VANguard</w:t>
            </w:r>
            <w:r w:rsidR="00F34B95">
              <w:rPr>
                <w:lang w:val="en-US" w:eastAsia="en-US"/>
              </w:rPr>
              <w:t>'</w:t>
            </w:r>
            <w:r>
              <w:rPr>
                <w:lang w:val="en-US" w:eastAsia="en-US"/>
              </w:rPr>
              <w:t xml:space="preserve"> are references to the </w:t>
            </w:r>
            <w:r w:rsidR="00CD04AA">
              <w:rPr>
                <w:lang w:val="en-US" w:eastAsia="en-US"/>
              </w:rPr>
              <w:t xml:space="preserve">Department of </w:t>
            </w:r>
            <w:r w:rsidR="00DB2AAD">
              <w:rPr>
                <w:lang w:val="en-US" w:eastAsia="en-US"/>
              </w:rPr>
              <w:t>Industry</w:t>
            </w:r>
            <w:r w:rsidR="00F914DE">
              <w:rPr>
                <w:lang w:val="en-US" w:eastAsia="en-US"/>
              </w:rPr>
              <w:t xml:space="preserve"> and</w:t>
            </w:r>
            <w:r w:rsidR="00DB2AAD">
              <w:rPr>
                <w:lang w:val="en-US" w:eastAsia="en-US"/>
              </w:rPr>
              <w:t xml:space="preserve"> Science</w:t>
            </w:r>
            <w:r w:rsidR="00CD04AA">
              <w:rPr>
                <w:lang w:val="en-US" w:eastAsia="en-US"/>
              </w:rPr>
              <w:t>.</w:t>
            </w:r>
          </w:p>
          <w:p w:rsidR="008E6079" w:rsidRDefault="008E6079" w:rsidP="00F34B95">
            <w:pPr>
              <w:pStyle w:val="Para"/>
              <w:rPr>
                <w:lang w:eastAsia="en-US"/>
              </w:rPr>
            </w:pPr>
            <w:r w:rsidRPr="008E6079">
              <w:rPr>
                <w:lang w:eastAsia="en-US"/>
              </w:rPr>
              <w:t xml:space="preserve">Before trusting a certificate issued in association with this </w:t>
            </w:r>
            <w:r w:rsidR="00135F53">
              <w:rPr>
                <w:lang w:eastAsia="en-US"/>
              </w:rPr>
              <w:t xml:space="preserve">PDS </w:t>
            </w:r>
            <w:r w:rsidRPr="008E6079">
              <w:rPr>
                <w:lang w:eastAsia="en-US"/>
              </w:rPr>
              <w:t>identified by the object identifier (OID)</w:t>
            </w:r>
            <w:r w:rsidR="00F96059">
              <w:rPr>
                <w:lang w:eastAsia="en-US"/>
              </w:rPr>
              <w:t xml:space="preserve"> </w:t>
            </w:r>
            <w:r w:rsidR="00F96059" w:rsidRPr="008A4057">
              <w:rPr>
                <w:b/>
              </w:rPr>
              <w:t>1.2.36.1.1001.30.</w:t>
            </w:r>
            <w:r w:rsidR="00DB2AAD">
              <w:rPr>
                <w:b/>
              </w:rPr>
              <w:t>8</w:t>
            </w:r>
            <w:r w:rsidR="00F96059" w:rsidRPr="008A4057">
              <w:rPr>
                <w:b/>
              </w:rPr>
              <w:t>.1</w:t>
            </w:r>
            <w:r w:rsidR="00F96059">
              <w:t xml:space="preserve"> </w:t>
            </w:r>
            <w:r w:rsidRPr="008E6079">
              <w:rPr>
                <w:lang w:eastAsia="en-US"/>
              </w:rPr>
              <w:t>you must have read and understood t</w:t>
            </w:r>
            <w:r w:rsidR="00135F53">
              <w:rPr>
                <w:lang w:eastAsia="en-US"/>
              </w:rPr>
              <w:t>he provisions of this document.</w:t>
            </w:r>
          </w:p>
          <w:p w:rsidR="008E6079" w:rsidRDefault="00135F53" w:rsidP="00F34B95">
            <w:pPr>
              <w:pStyle w:val="Para"/>
              <w:rPr>
                <w:lang w:eastAsia="en-US"/>
              </w:rPr>
            </w:pPr>
            <w:r>
              <w:rPr>
                <w:lang w:eastAsia="en-US"/>
              </w:rPr>
              <w:t>Use constitutes</w:t>
            </w:r>
            <w:r w:rsidR="00C01497">
              <w:rPr>
                <w:lang w:eastAsia="en-US"/>
              </w:rPr>
              <w:t xml:space="preserve"> </w:t>
            </w:r>
            <w:r>
              <w:rPr>
                <w:lang w:eastAsia="en-US"/>
              </w:rPr>
              <w:t>acceptance.</w:t>
            </w:r>
          </w:p>
          <w:p w:rsidR="00D63D2E" w:rsidRDefault="008E6079" w:rsidP="00F34B95">
            <w:pPr>
              <w:pStyle w:val="Para"/>
              <w:rPr>
                <w:lang w:eastAsia="en-US"/>
              </w:rPr>
            </w:pPr>
            <w:r w:rsidRPr="008E6079">
              <w:rPr>
                <w:lang w:eastAsia="en-US"/>
              </w:rPr>
              <w:t>The conditions applicable to each type of VANguard certif</w:t>
            </w:r>
            <w:bookmarkStart w:id="8" w:name="_GoBack"/>
            <w:bookmarkEnd w:id="8"/>
            <w:r w:rsidRPr="008E6079">
              <w:rPr>
                <w:lang w:eastAsia="en-US"/>
              </w:rPr>
              <w:t>icate will vary.</w:t>
            </w:r>
          </w:p>
          <w:p w:rsidR="00E87B74" w:rsidRPr="008E6079" w:rsidRDefault="00E87B74" w:rsidP="00F34B95">
            <w:pPr>
              <w:pStyle w:val="Para"/>
              <w:rPr>
                <w:lang w:eastAsia="en-US"/>
              </w:rPr>
            </w:pPr>
            <w:r w:rsidRPr="00FF69F7">
              <w:rPr>
                <w:lang w:eastAsia="en-US"/>
              </w:rPr>
              <w:t>In each VANguard certificate, the certificate policies extension will be used to clearly indicate the OID under which the certificate has been issued and the purposes for whi</w:t>
            </w:r>
            <w:r>
              <w:rPr>
                <w:lang w:eastAsia="en-US"/>
              </w:rPr>
              <w:t>ch the certificate may be used.</w:t>
            </w:r>
            <w:r w:rsidR="00135F53">
              <w:rPr>
                <w:lang w:eastAsia="en-US"/>
              </w:rPr>
              <w:t xml:space="preserve"> It will contain the </w:t>
            </w:r>
            <w:r w:rsidR="005D6417" w:rsidRPr="00FF69F7">
              <w:rPr>
                <w:lang w:eastAsia="en-US"/>
              </w:rPr>
              <w:t>Certification Practice Statement (CPS)</w:t>
            </w:r>
            <w:r w:rsidR="00135F53">
              <w:rPr>
                <w:lang w:eastAsia="en-US"/>
              </w:rPr>
              <w:t xml:space="preserve"> URL</w:t>
            </w:r>
            <w:r w:rsidRPr="00FF69F7">
              <w:rPr>
                <w:lang w:eastAsia="en-US"/>
              </w:rPr>
              <w:t xml:space="preserve"> where th</w:t>
            </w:r>
            <w:r w:rsidR="00964551">
              <w:rPr>
                <w:lang w:eastAsia="en-US"/>
              </w:rPr>
              <w:t>is PDS and the applicable CPS are</w:t>
            </w:r>
            <w:r w:rsidRPr="00FF69F7">
              <w:rPr>
                <w:lang w:eastAsia="en-US"/>
              </w:rPr>
              <w:t xml:space="preserve"> published</w:t>
            </w:r>
            <w:r w:rsidR="00157A20">
              <w:rPr>
                <w:lang w:eastAsia="en-US"/>
              </w:rPr>
              <w:t>,</w:t>
            </w:r>
            <w:r w:rsidRPr="00FF69F7">
              <w:rPr>
                <w:lang w:eastAsia="en-US"/>
              </w:rPr>
              <w:t xml:space="preserve"> and a text field</w:t>
            </w:r>
            <w:r>
              <w:rPr>
                <w:lang w:eastAsia="en-US"/>
              </w:rPr>
              <w:t xml:space="preserve"> with the following disclaimer:</w:t>
            </w:r>
            <w:r w:rsidR="0003310A">
              <w:rPr>
                <w:lang w:eastAsia="en-US"/>
              </w:rPr>
              <w:br/>
            </w:r>
            <w:r w:rsidRPr="00DB2AAD">
              <w:rPr>
                <w:i/>
                <w:lang w:eastAsia="en-US"/>
              </w:rPr>
              <w:t>This certificate is subject to the usage constraints and limitations of liability contained in the PDS and Service Level Agreement. Reliance not expressly permitted in those documents is not supported</w:t>
            </w:r>
            <w:r>
              <w:rPr>
                <w:lang w:eastAsia="en-US"/>
              </w:rPr>
              <w:t>.</w:t>
            </w:r>
          </w:p>
        </w:tc>
      </w:tr>
    </w:tbl>
    <w:p w:rsidR="00D63D2E" w:rsidRDefault="00D63D2E" w:rsidP="00D63D2E">
      <w:pPr>
        <w:pStyle w:val="BlockLine"/>
      </w:pPr>
    </w:p>
    <w:p w:rsidR="00D560FD" w:rsidRDefault="008E6079" w:rsidP="008E6079">
      <w:pPr>
        <w:pStyle w:val="Heading2"/>
      </w:pPr>
      <w:bookmarkStart w:id="9" w:name="_Toc410651596"/>
      <w:r w:rsidRPr="008E6079">
        <w:t>Certification Authority (CA) Contact Information</w:t>
      </w:r>
      <w:bookmarkEnd w:id="9"/>
    </w:p>
    <w:tbl>
      <w:tblPr>
        <w:tblW w:w="5000" w:type="pct"/>
        <w:tblLook w:val="0000" w:firstRow="0" w:lastRow="0" w:firstColumn="0" w:lastColumn="0" w:noHBand="0" w:noVBand="0"/>
      </w:tblPr>
      <w:tblGrid>
        <w:gridCol w:w="1801"/>
        <w:gridCol w:w="7770"/>
      </w:tblGrid>
      <w:tr w:rsidR="00D560FD" w:rsidTr="00D560FD">
        <w:tblPrEx>
          <w:tblCellMar>
            <w:top w:w="0" w:type="dxa"/>
            <w:bottom w:w="0" w:type="dxa"/>
          </w:tblCellMar>
        </w:tblPrEx>
        <w:trPr>
          <w:cantSplit/>
        </w:trPr>
        <w:tc>
          <w:tcPr>
            <w:tcW w:w="941" w:type="pct"/>
            <w:tcBorders>
              <w:top w:val="nil"/>
              <w:left w:val="nil"/>
              <w:bottom w:val="nil"/>
              <w:right w:val="nil"/>
            </w:tcBorders>
          </w:tcPr>
          <w:p w:rsidR="00D560FD" w:rsidRPr="00D560FD" w:rsidRDefault="00D560FD" w:rsidP="00D560FD">
            <w:pPr>
              <w:spacing w:before="120"/>
              <w:rPr>
                <w:rFonts w:ascii="Verdana" w:hAnsi="Verdana"/>
                <w:b/>
                <w:sz w:val="18"/>
                <w:szCs w:val="18"/>
              </w:rPr>
            </w:pPr>
          </w:p>
        </w:tc>
        <w:tc>
          <w:tcPr>
            <w:tcW w:w="4059" w:type="pct"/>
            <w:tcBorders>
              <w:top w:val="nil"/>
              <w:left w:val="nil"/>
              <w:bottom w:val="nil"/>
              <w:right w:val="nil"/>
            </w:tcBorders>
          </w:tcPr>
          <w:p w:rsidR="00D560FD" w:rsidRPr="00D63D2E" w:rsidRDefault="00135F53" w:rsidP="00F34B95">
            <w:pPr>
              <w:pStyle w:val="Para"/>
              <w:rPr>
                <w:lang w:eastAsia="en-US"/>
              </w:rPr>
            </w:pPr>
            <w:r>
              <w:rPr>
                <w:lang w:eastAsia="en-US"/>
              </w:rPr>
              <w:t>C</w:t>
            </w:r>
            <w:r w:rsidR="008E6079" w:rsidRPr="008E6079">
              <w:rPr>
                <w:lang w:eastAsia="en-US"/>
              </w:rPr>
              <w:t>ontact the VANguard Business Manager if you have any questions in relation to this PDS.</w:t>
            </w:r>
          </w:p>
        </w:tc>
      </w:tr>
    </w:tbl>
    <w:p w:rsidR="008E6079" w:rsidRDefault="008E6079" w:rsidP="008E6079">
      <w:pPr>
        <w:rPr>
          <w:lang w:eastAsia="en-US"/>
        </w:rPr>
      </w:pP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4"/>
        <w:gridCol w:w="5249"/>
      </w:tblGrid>
      <w:tr w:rsidR="00E06E2F" w:rsidTr="00E06E2F">
        <w:tblPrEx>
          <w:tblCellMar>
            <w:top w:w="0" w:type="dxa"/>
            <w:bottom w:w="0" w:type="dxa"/>
          </w:tblCellMar>
        </w:tblPrEx>
        <w:trPr>
          <w:jc w:val="right"/>
        </w:trPr>
        <w:tc>
          <w:tcPr>
            <w:tcW w:w="2414" w:type="dxa"/>
          </w:tcPr>
          <w:p w:rsidR="00E06E2F" w:rsidRPr="005D09F1" w:rsidRDefault="00E06E2F" w:rsidP="00E06E2F">
            <w:pPr>
              <w:pStyle w:val="TableText"/>
            </w:pPr>
            <w:r w:rsidRPr="005D09F1">
              <w:t>Attention</w:t>
            </w:r>
            <w:r>
              <w:t>:</w:t>
            </w:r>
          </w:p>
        </w:tc>
        <w:tc>
          <w:tcPr>
            <w:tcW w:w="5249" w:type="dxa"/>
          </w:tcPr>
          <w:p w:rsidR="00E06E2F" w:rsidRPr="005D09F1" w:rsidRDefault="00E06E2F" w:rsidP="001B66FB">
            <w:pPr>
              <w:pStyle w:val="TableText"/>
            </w:pPr>
            <w:r>
              <w:t>Business Manager</w:t>
            </w:r>
            <w:r>
              <w:br/>
              <w:t>VANguard Program</w:t>
            </w:r>
            <w:r>
              <w:br/>
            </w:r>
            <w:r w:rsidRPr="001955FF">
              <w:t>Department of Industry</w:t>
            </w:r>
            <w:r w:rsidR="001B66FB">
              <w:t xml:space="preserve"> and</w:t>
            </w:r>
            <w:r w:rsidRPr="001955FF">
              <w:t xml:space="preserve"> Science</w:t>
            </w:r>
          </w:p>
        </w:tc>
      </w:tr>
      <w:tr w:rsidR="00E06E2F" w:rsidTr="00E06E2F">
        <w:tblPrEx>
          <w:tblCellMar>
            <w:top w:w="0" w:type="dxa"/>
            <w:bottom w:w="0" w:type="dxa"/>
          </w:tblCellMar>
        </w:tblPrEx>
        <w:trPr>
          <w:jc w:val="right"/>
        </w:trPr>
        <w:tc>
          <w:tcPr>
            <w:tcW w:w="2414" w:type="dxa"/>
          </w:tcPr>
          <w:p w:rsidR="00E06E2F" w:rsidRPr="00202FFD" w:rsidRDefault="00E06E2F" w:rsidP="00E06E2F">
            <w:pPr>
              <w:pStyle w:val="TableText"/>
            </w:pPr>
            <w:r w:rsidRPr="00202FFD">
              <w:t>Postal Address</w:t>
            </w:r>
            <w:r>
              <w:t>:</w:t>
            </w:r>
          </w:p>
        </w:tc>
        <w:tc>
          <w:tcPr>
            <w:tcW w:w="5249" w:type="dxa"/>
          </w:tcPr>
          <w:p w:rsidR="00E06E2F" w:rsidRPr="00202FFD" w:rsidRDefault="001B66FB" w:rsidP="00E06E2F">
            <w:pPr>
              <w:pStyle w:val="TableText"/>
            </w:pPr>
            <w:r>
              <w:t>2 Phillip Law</w:t>
            </w:r>
            <w:r w:rsidR="00E06E2F" w:rsidRPr="00202FFD">
              <w:t xml:space="preserve"> Street</w:t>
            </w:r>
            <w:r w:rsidR="00E06E2F" w:rsidRPr="00202FFD">
              <w:br/>
              <w:t>CANBERRA CITY ACT 2601</w:t>
            </w:r>
          </w:p>
        </w:tc>
      </w:tr>
    </w:tbl>
    <w:p w:rsidR="00E06E2F" w:rsidRDefault="00E06E2F" w:rsidP="008E6079">
      <w:pPr>
        <w:rPr>
          <w:lang w:eastAsia="en-US"/>
        </w:rPr>
      </w:pPr>
    </w:p>
    <w:tbl>
      <w:tblPr>
        <w:tblW w:w="5000" w:type="pct"/>
        <w:tblLook w:val="0000" w:firstRow="0" w:lastRow="0" w:firstColumn="0" w:lastColumn="0" w:noHBand="0" w:noVBand="0"/>
      </w:tblPr>
      <w:tblGrid>
        <w:gridCol w:w="1801"/>
        <w:gridCol w:w="7770"/>
      </w:tblGrid>
      <w:tr w:rsidR="00D560FD" w:rsidTr="00D560FD">
        <w:tblPrEx>
          <w:tblCellMar>
            <w:top w:w="0" w:type="dxa"/>
            <w:bottom w:w="0" w:type="dxa"/>
          </w:tblCellMar>
        </w:tblPrEx>
        <w:trPr>
          <w:cantSplit/>
        </w:trPr>
        <w:tc>
          <w:tcPr>
            <w:tcW w:w="941" w:type="pct"/>
            <w:tcBorders>
              <w:top w:val="nil"/>
              <w:left w:val="nil"/>
              <w:bottom w:val="nil"/>
              <w:right w:val="nil"/>
            </w:tcBorders>
          </w:tcPr>
          <w:p w:rsidR="00D560FD" w:rsidRPr="00D560FD" w:rsidRDefault="00D560FD" w:rsidP="00D560FD">
            <w:pPr>
              <w:spacing w:before="120"/>
              <w:rPr>
                <w:rFonts w:ascii="Verdana" w:hAnsi="Verdana"/>
                <w:b/>
                <w:sz w:val="18"/>
                <w:szCs w:val="18"/>
              </w:rPr>
            </w:pPr>
          </w:p>
        </w:tc>
        <w:tc>
          <w:tcPr>
            <w:tcW w:w="4059" w:type="pct"/>
            <w:tcBorders>
              <w:top w:val="nil"/>
              <w:left w:val="nil"/>
              <w:bottom w:val="nil"/>
              <w:right w:val="nil"/>
            </w:tcBorders>
          </w:tcPr>
          <w:p w:rsidR="00D560FD" w:rsidRPr="008E6079" w:rsidRDefault="008E6079" w:rsidP="00F34B95">
            <w:pPr>
              <w:pStyle w:val="Para"/>
              <w:rPr>
                <w:lang w:eastAsia="en-US"/>
              </w:rPr>
            </w:pPr>
            <w:r w:rsidRPr="008E6079">
              <w:rPr>
                <w:lang w:eastAsia="en-US"/>
              </w:rPr>
              <w:t xml:space="preserve">For information regarding Certification Authority </w:t>
            </w:r>
            <w:r w:rsidR="00135F53">
              <w:rPr>
                <w:lang w:eastAsia="en-US"/>
              </w:rPr>
              <w:t xml:space="preserve">(CA) </w:t>
            </w:r>
            <w:r w:rsidRPr="008E6079">
              <w:rPr>
                <w:lang w:eastAsia="en-US"/>
              </w:rPr>
              <w:t>functions including support</w:t>
            </w:r>
            <w:r w:rsidR="00135F53">
              <w:rPr>
                <w:lang w:eastAsia="en-US"/>
              </w:rPr>
              <w:t xml:space="preserve"> </w:t>
            </w:r>
            <w:r w:rsidR="00135F53" w:rsidRPr="008E6079">
              <w:rPr>
                <w:lang w:eastAsia="en-US"/>
              </w:rPr>
              <w:t>contact details and support hours</w:t>
            </w:r>
            <w:r w:rsidRPr="008E6079">
              <w:rPr>
                <w:lang w:eastAsia="en-US"/>
              </w:rPr>
              <w:t xml:space="preserve">, refer to the applicable Service Level Agreement </w:t>
            </w:r>
            <w:r w:rsidR="00135F53">
              <w:rPr>
                <w:lang w:eastAsia="en-US"/>
              </w:rPr>
              <w:t>(SLA)</w:t>
            </w:r>
            <w:r w:rsidRPr="008E6079">
              <w:rPr>
                <w:lang w:eastAsia="en-US"/>
              </w:rPr>
              <w:t>.</w:t>
            </w:r>
          </w:p>
        </w:tc>
      </w:tr>
    </w:tbl>
    <w:p w:rsidR="00D34A85" w:rsidRDefault="00D34A85" w:rsidP="00D34A85">
      <w:pPr>
        <w:pStyle w:val="BlockLine"/>
      </w:pPr>
    </w:p>
    <w:p w:rsidR="006A156D" w:rsidRDefault="00135F53" w:rsidP="00D560FD">
      <w:pPr>
        <w:pStyle w:val="Heading2"/>
      </w:pPr>
      <w:r>
        <w:br w:type="page"/>
      </w:r>
      <w:bookmarkStart w:id="10" w:name="_Toc410651597"/>
      <w:r w:rsidR="008C74C3" w:rsidRPr="008C74C3">
        <w:lastRenderedPageBreak/>
        <w:t>Certificate Type, Validity</w:t>
      </w:r>
      <w:r>
        <w:t>,</w:t>
      </w:r>
      <w:r w:rsidR="008C74C3" w:rsidRPr="008C74C3">
        <w:t xml:space="preserve"> and Uses</w:t>
      </w:r>
      <w:bookmarkEnd w:id="10"/>
    </w:p>
    <w:tbl>
      <w:tblPr>
        <w:tblW w:w="5000" w:type="pct"/>
        <w:tblLook w:val="0000" w:firstRow="0" w:lastRow="0" w:firstColumn="0" w:lastColumn="0" w:noHBand="0" w:noVBand="0"/>
      </w:tblPr>
      <w:tblGrid>
        <w:gridCol w:w="1801"/>
        <w:gridCol w:w="7770"/>
      </w:tblGrid>
      <w:tr w:rsidR="00D560FD" w:rsidTr="00D560FD">
        <w:tblPrEx>
          <w:tblCellMar>
            <w:top w:w="0" w:type="dxa"/>
            <w:bottom w:w="0" w:type="dxa"/>
          </w:tblCellMar>
        </w:tblPrEx>
        <w:trPr>
          <w:cantSplit/>
        </w:trPr>
        <w:tc>
          <w:tcPr>
            <w:tcW w:w="941" w:type="pct"/>
            <w:tcBorders>
              <w:top w:val="nil"/>
              <w:left w:val="nil"/>
              <w:bottom w:val="nil"/>
              <w:right w:val="nil"/>
            </w:tcBorders>
          </w:tcPr>
          <w:p w:rsidR="00D560FD" w:rsidRPr="00FF69F7" w:rsidRDefault="00D560FD" w:rsidP="00D560FD">
            <w:pPr>
              <w:spacing w:before="120"/>
              <w:rPr>
                <w:rFonts w:ascii="Verdana" w:hAnsi="Verdana"/>
                <w:b/>
                <w:sz w:val="18"/>
                <w:szCs w:val="18"/>
              </w:rPr>
            </w:pPr>
          </w:p>
        </w:tc>
        <w:tc>
          <w:tcPr>
            <w:tcW w:w="4059" w:type="pct"/>
            <w:tcBorders>
              <w:top w:val="nil"/>
              <w:left w:val="nil"/>
              <w:bottom w:val="nil"/>
              <w:right w:val="nil"/>
            </w:tcBorders>
          </w:tcPr>
          <w:p w:rsidR="00FF69F7" w:rsidRPr="00FF69F7" w:rsidRDefault="001B66FB" w:rsidP="00F34B95">
            <w:pPr>
              <w:pStyle w:val="Para"/>
              <w:rPr>
                <w:lang w:eastAsia="en-US"/>
              </w:rPr>
            </w:pPr>
            <w:r>
              <w:rPr>
                <w:lang w:eastAsia="en-US"/>
              </w:rPr>
              <w:t>The Department</w:t>
            </w:r>
            <w:r w:rsidR="009D3160">
              <w:rPr>
                <w:lang w:eastAsia="en-US"/>
              </w:rPr>
              <w:t xml:space="preserve"> </w:t>
            </w:r>
            <w:r w:rsidR="00FF69F7" w:rsidRPr="00FF69F7">
              <w:rPr>
                <w:lang w:eastAsia="en-US"/>
              </w:rPr>
              <w:t>issues numerous certificates under</w:t>
            </w:r>
            <w:r w:rsidR="00135F53">
              <w:rPr>
                <w:lang w:eastAsia="en-US"/>
              </w:rPr>
              <w:t xml:space="preserve"> this PDS to different Agencies </w:t>
            </w:r>
            <w:r w:rsidR="00135F53" w:rsidRPr="00FF69F7">
              <w:rPr>
                <w:lang w:eastAsia="en-US"/>
              </w:rPr>
              <w:t>on request</w:t>
            </w:r>
            <w:r w:rsidR="00135F53">
              <w:rPr>
                <w:lang w:eastAsia="en-US"/>
              </w:rPr>
              <w:t xml:space="preserve">, </w:t>
            </w:r>
            <w:r w:rsidR="00715285">
              <w:rPr>
                <w:lang w:eastAsia="en-US"/>
              </w:rPr>
              <w:t xml:space="preserve">for example, </w:t>
            </w:r>
            <w:r w:rsidR="00FF69F7" w:rsidRPr="00FF69F7">
              <w:rPr>
                <w:lang w:eastAsia="en-US"/>
              </w:rPr>
              <w:t>State and Federal agencies and local councils</w:t>
            </w:r>
            <w:r w:rsidR="00135F53">
              <w:rPr>
                <w:lang w:eastAsia="en-US"/>
              </w:rPr>
              <w:t xml:space="preserve">, </w:t>
            </w:r>
            <w:r w:rsidR="00135F53" w:rsidRPr="00FF69F7">
              <w:rPr>
                <w:lang w:eastAsia="en-US"/>
              </w:rPr>
              <w:t>subject to the signing of a Memorandum of Understanding (MOU) and a</w:t>
            </w:r>
            <w:r w:rsidR="00157A20">
              <w:rPr>
                <w:lang w:eastAsia="en-US"/>
              </w:rPr>
              <w:t>n</w:t>
            </w:r>
            <w:r w:rsidR="00715285">
              <w:rPr>
                <w:lang w:eastAsia="en-US"/>
              </w:rPr>
              <w:t xml:space="preserve"> </w:t>
            </w:r>
            <w:r w:rsidR="00135F53">
              <w:rPr>
                <w:lang w:eastAsia="en-US"/>
              </w:rPr>
              <w:t xml:space="preserve">SLA </w:t>
            </w:r>
            <w:r w:rsidR="00135F53" w:rsidRPr="00FF69F7">
              <w:rPr>
                <w:lang w:eastAsia="en-US"/>
              </w:rPr>
              <w:t>b</w:t>
            </w:r>
            <w:r w:rsidR="00135F53">
              <w:rPr>
                <w:lang w:eastAsia="en-US"/>
              </w:rPr>
              <w:t xml:space="preserve">etween the Agency and </w:t>
            </w:r>
            <w:r>
              <w:rPr>
                <w:lang w:eastAsia="en-US"/>
              </w:rPr>
              <w:t>the Department</w:t>
            </w:r>
            <w:r w:rsidR="00135F53">
              <w:rPr>
                <w:lang w:eastAsia="en-US"/>
              </w:rPr>
              <w:t>.</w:t>
            </w:r>
          </w:p>
          <w:p w:rsidR="00FF69F7" w:rsidRPr="00FF69F7" w:rsidRDefault="00F7173C" w:rsidP="00F34B95">
            <w:pPr>
              <w:pStyle w:val="Para"/>
              <w:rPr>
                <w:lang w:eastAsia="en-US"/>
              </w:rPr>
            </w:pPr>
            <w:r>
              <w:rPr>
                <w:lang w:eastAsia="en-US"/>
              </w:rPr>
              <w:t>VANguard Agency c</w:t>
            </w:r>
            <w:r w:rsidR="00FF69F7" w:rsidRPr="00FF69F7">
              <w:rPr>
                <w:lang w:eastAsia="en-US"/>
              </w:rPr>
              <w:t>ertificates may be used:</w:t>
            </w:r>
          </w:p>
          <w:p w:rsidR="00DF5DF4" w:rsidRPr="00DF5DF4" w:rsidRDefault="00DF5DF4" w:rsidP="006B0049">
            <w:pPr>
              <w:pStyle w:val="StyleBodyTextBullet105ptLeft"/>
              <w:tabs>
                <w:tab w:val="clear" w:pos="1364"/>
              </w:tabs>
              <w:ind w:left="284"/>
              <w:rPr>
                <w:lang w:val="en-US"/>
              </w:rPr>
            </w:pPr>
            <w:r w:rsidRPr="00DF5DF4">
              <w:rPr>
                <w:lang w:val="en-US"/>
              </w:rPr>
              <w:t>to authenticate the Agency to VANguard so that the Agency can access VANguard services</w:t>
            </w:r>
          </w:p>
          <w:p w:rsidR="00DF5DF4" w:rsidRPr="00DF5DF4" w:rsidRDefault="00DF5DF4" w:rsidP="006B0049">
            <w:pPr>
              <w:pStyle w:val="StyleBodyTextBullet105ptLeft"/>
              <w:tabs>
                <w:tab w:val="clear" w:pos="1364"/>
              </w:tabs>
              <w:ind w:left="284"/>
              <w:rPr>
                <w:lang w:val="en-US"/>
              </w:rPr>
            </w:pPr>
            <w:r w:rsidRPr="00DF5DF4">
              <w:rPr>
                <w:lang w:val="en-US"/>
              </w:rPr>
              <w:t>to protect the security of communications between the Agency and VANguard</w:t>
            </w:r>
          </w:p>
          <w:p w:rsidR="00DF5DF4" w:rsidRDefault="00DF5DF4" w:rsidP="00DF5DF4">
            <w:pPr>
              <w:pStyle w:val="StyleBodyTextBullet105ptLeft"/>
              <w:tabs>
                <w:tab w:val="clear" w:pos="1364"/>
              </w:tabs>
              <w:ind w:left="284"/>
              <w:rPr>
                <w:lang w:val="en-US"/>
              </w:rPr>
            </w:pPr>
            <w:r w:rsidRPr="00DF5DF4">
              <w:rPr>
                <w:lang w:val="en-US"/>
              </w:rPr>
              <w:t>for Agency to Agency communications outside the VANguard system</w:t>
            </w:r>
          </w:p>
          <w:p w:rsidR="00DF5DF4" w:rsidRPr="00DF5DF4" w:rsidRDefault="00DF5DF4" w:rsidP="006B0049">
            <w:pPr>
              <w:pStyle w:val="StyleBodyTextBullet105ptLeft"/>
              <w:tabs>
                <w:tab w:val="clear" w:pos="1364"/>
              </w:tabs>
              <w:ind w:left="284"/>
              <w:rPr>
                <w:lang w:val="en-US"/>
              </w:rPr>
            </w:pPr>
            <w:r w:rsidRPr="00DF5DF4">
              <w:rPr>
                <w:lang w:val="en-US"/>
              </w:rPr>
              <w:t>by VANguard to identify which Agency it was that submitted a transaction request.</w:t>
            </w:r>
          </w:p>
          <w:p w:rsidR="0011752D" w:rsidRDefault="00F7173C" w:rsidP="00F34B95">
            <w:pPr>
              <w:pStyle w:val="Para"/>
              <w:rPr>
                <w:lang w:eastAsia="en-US"/>
              </w:rPr>
            </w:pPr>
            <w:r>
              <w:rPr>
                <w:lang w:eastAsia="en-US"/>
              </w:rPr>
              <w:t>VANguard Agency c</w:t>
            </w:r>
            <w:r w:rsidRPr="00FF69F7">
              <w:rPr>
                <w:lang w:eastAsia="en-US"/>
              </w:rPr>
              <w:t xml:space="preserve">ertificates are valid for </w:t>
            </w:r>
            <w:r>
              <w:rPr>
                <w:lang w:eastAsia="en-US"/>
              </w:rPr>
              <w:t>four</w:t>
            </w:r>
            <w:r w:rsidRPr="00FF69F7">
              <w:rPr>
                <w:lang w:eastAsia="en-US"/>
              </w:rPr>
              <w:t xml:space="preserve"> </w:t>
            </w:r>
            <w:r>
              <w:rPr>
                <w:lang w:eastAsia="en-US"/>
              </w:rPr>
              <w:t xml:space="preserve">(4) </w:t>
            </w:r>
            <w:r w:rsidRPr="00FF69F7">
              <w:rPr>
                <w:lang w:eastAsia="en-US"/>
              </w:rPr>
              <w:t>years</w:t>
            </w:r>
            <w:r w:rsidRPr="0011752D">
              <w:rPr>
                <w:lang w:eastAsia="en-US"/>
              </w:rPr>
              <w:t xml:space="preserve">, </w:t>
            </w:r>
            <w:r w:rsidR="0011752D" w:rsidRPr="0011752D">
              <w:rPr>
                <w:lang w:eastAsia="en-US"/>
              </w:rPr>
              <w:t>with reissue</w:t>
            </w:r>
            <w:r w:rsidRPr="0011752D">
              <w:rPr>
                <w:lang w:eastAsia="en-US"/>
              </w:rPr>
              <w:t xml:space="preserve"> recommended every 36 to 42 months. </w:t>
            </w:r>
          </w:p>
          <w:p w:rsidR="00F7173C" w:rsidRPr="00FF69F7" w:rsidRDefault="0011752D" w:rsidP="00F34B95">
            <w:pPr>
              <w:pStyle w:val="Para"/>
              <w:rPr>
                <w:lang w:eastAsia="en-US"/>
              </w:rPr>
            </w:pPr>
            <w:r>
              <w:rPr>
                <w:lang w:eastAsia="en-US"/>
              </w:rPr>
              <w:t>Agency c</w:t>
            </w:r>
            <w:r w:rsidR="00FF69F7" w:rsidRPr="0011752D">
              <w:rPr>
                <w:lang w:eastAsia="en-US"/>
              </w:rPr>
              <w:t>ertificates</w:t>
            </w:r>
            <w:r w:rsidR="00FF69F7" w:rsidRPr="00FF69F7">
              <w:rPr>
                <w:lang w:eastAsia="en-US"/>
              </w:rPr>
              <w:t xml:space="preserve"> must be validated using X.509</w:t>
            </w:r>
            <w:r w:rsidR="00FF69F7">
              <w:rPr>
                <w:lang w:eastAsia="en-US"/>
              </w:rPr>
              <w:t xml:space="preserve"> </w:t>
            </w:r>
            <w:r w:rsidR="00F7173C">
              <w:rPr>
                <w:lang w:eastAsia="en-US"/>
              </w:rPr>
              <w:t xml:space="preserve">v3 </w:t>
            </w:r>
            <w:r w:rsidR="00FF69F7">
              <w:rPr>
                <w:lang w:eastAsia="en-US"/>
              </w:rPr>
              <w:t>certificate processing rules.</w:t>
            </w:r>
          </w:p>
        </w:tc>
      </w:tr>
    </w:tbl>
    <w:p w:rsidR="00D560FD" w:rsidRDefault="00D560FD" w:rsidP="00D560FD">
      <w:pPr>
        <w:pStyle w:val="BlockLine"/>
      </w:pPr>
    </w:p>
    <w:p w:rsidR="008C74C3" w:rsidRDefault="008C74C3" w:rsidP="008C74C3">
      <w:pPr>
        <w:pStyle w:val="Heading2"/>
      </w:pPr>
      <w:bookmarkStart w:id="11" w:name="_Toc410651598"/>
      <w:r w:rsidRPr="008C74C3">
        <w:t>Certificate Issuing, Renewal</w:t>
      </w:r>
      <w:r w:rsidR="00135F53">
        <w:t>,</w:t>
      </w:r>
      <w:r w:rsidRPr="008C74C3">
        <w:t xml:space="preserve"> and Revocation</w:t>
      </w:r>
      <w:bookmarkEnd w:id="11"/>
    </w:p>
    <w:tbl>
      <w:tblPr>
        <w:tblW w:w="5000" w:type="pct"/>
        <w:tblLook w:val="0000" w:firstRow="0" w:lastRow="0" w:firstColumn="0" w:lastColumn="0" w:noHBand="0" w:noVBand="0"/>
      </w:tblPr>
      <w:tblGrid>
        <w:gridCol w:w="1801"/>
        <w:gridCol w:w="7770"/>
      </w:tblGrid>
      <w:tr w:rsidR="00D560FD" w:rsidTr="00D560FD">
        <w:tblPrEx>
          <w:tblCellMar>
            <w:top w:w="0" w:type="dxa"/>
            <w:bottom w:w="0" w:type="dxa"/>
          </w:tblCellMar>
        </w:tblPrEx>
        <w:trPr>
          <w:cantSplit/>
        </w:trPr>
        <w:tc>
          <w:tcPr>
            <w:tcW w:w="941" w:type="pct"/>
            <w:tcBorders>
              <w:top w:val="nil"/>
              <w:left w:val="nil"/>
              <w:bottom w:val="nil"/>
              <w:right w:val="nil"/>
            </w:tcBorders>
          </w:tcPr>
          <w:p w:rsidR="00D560FD" w:rsidRPr="00FF69F7" w:rsidRDefault="00D560FD" w:rsidP="00D560FD">
            <w:pPr>
              <w:spacing w:before="120"/>
              <w:rPr>
                <w:rFonts w:ascii="Verdana" w:hAnsi="Verdana"/>
                <w:b/>
                <w:sz w:val="18"/>
                <w:szCs w:val="18"/>
              </w:rPr>
            </w:pPr>
          </w:p>
        </w:tc>
        <w:tc>
          <w:tcPr>
            <w:tcW w:w="4059" w:type="pct"/>
            <w:tcBorders>
              <w:top w:val="nil"/>
              <w:left w:val="nil"/>
              <w:bottom w:val="nil"/>
              <w:right w:val="nil"/>
            </w:tcBorders>
          </w:tcPr>
          <w:p w:rsidR="00BA6DD6" w:rsidRDefault="001B66FB" w:rsidP="00F34B95">
            <w:pPr>
              <w:pStyle w:val="Para"/>
              <w:rPr>
                <w:lang w:eastAsia="en-US"/>
              </w:rPr>
            </w:pPr>
            <w:r>
              <w:rPr>
                <w:lang w:eastAsia="en-US"/>
              </w:rPr>
              <w:t>The Department</w:t>
            </w:r>
            <w:r w:rsidR="001C1D4E">
              <w:rPr>
                <w:lang w:eastAsia="en-US"/>
              </w:rPr>
              <w:t xml:space="preserve"> </w:t>
            </w:r>
            <w:r w:rsidR="00135F53">
              <w:rPr>
                <w:lang w:eastAsia="en-US"/>
              </w:rPr>
              <w:t xml:space="preserve">provides a </w:t>
            </w:r>
            <w:r w:rsidR="00FF69F7" w:rsidRPr="00FF69F7">
              <w:rPr>
                <w:lang w:eastAsia="en-US"/>
              </w:rPr>
              <w:t>Roaming Registration Authority</w:t>
            </w:r>
            <w:r w:rsidR="00135F53">
              <w:rPr>
                <w:lang w:eastAsia="en-US"/>
              </w:rPr>
              <w:t xml:space="preserve"> (RRA) to register Agencies on</w:t>
            </w:r>
            <w:r w:rsidR="00FF69F7" w:rsidRPr="00FF69F7">
              <w:rPr>
                <w:lang w:eastAsia="en-US"/>
              </w:rPr>
              <w:t>site through</w:t>
            </w:r>
            <w:r w:rsidR="00135F53">
              <w:rPr>
                <w:lang w:eastAsia="en-US"/>
              </w:rPr>
              <w:t xml:space="preserve"> an in-person visit by the </w:t>
            </w:r>
            <w:r w:rsidR="001C1D4E">
              <w:rPr>
                <w:lang w:eastAsia="en-US"/>
              </w:rPr>
              <w:t xml:space="preserve">VANguard </w:t>
            </w:r>
            <w:r w:rsidR="00135F53">
              <w:rPr>
                <w:lang w:eastAsia="en-US"/>
              </w:rPr>
              <w:t>RRA.</w:t>
            </w:r>
          </w:p>
          <w:p w:rsidR="0001721D" w:rsidRDefault="00FF69F7" w:rsidP="00F34B95">
            <w:pPr>
              <w:pStyle w:val="Para"/>
              <w:rPr>
                <w:lang w:eastAsia="en-US"/>
              </w:rPr>
            </w:pPr>
            <w:r w:rsidRPr="00FF69F7">
              <w:rPr>
                <w:lang w:eastAsia="en-US"/>
              </w:rPr>
              <w:t>The RRA will validate Evidence of Identity</w:t>
            </w:r>
            <w:r w:rsidR="00BA6DD6">
              <w:rPr>
                <w:lang w:eastAsia="en-US"/>
              </w:rPr>
              <w:t xml:space="preserve"> (EOI)</w:t>
            </w:r>
            <w:r w:rsidRPr="00FF69F7">
              <w:rPr>
                <w:lang w:eastAsia="en-US"/>
              </w:rPr>
              <w:t>, and issue the Agency with the VANguard trust poin</w:t>
            </w:r>
            <w:r w:rsidR="00135F53">
              <w:rPr>
                <w:lang w:eastAsia="en-US"/>
              </w:rPr>
              <w:t>t certificates.</w:t>
            </w:r>
          </w:p>
          <w:p w:rsidR="00D560FD" w:rsidRPr="00FF69F7" w:rsidRDefault="00FF69F7" w:rsidP="00F34B95">
            <w:pPr>
              <w:pStyle w:val="Para"/>
              <w:rPr>
                <w:lang w:eastAsia="en-US"/>
              </w:rPr>
            </w:pPr>
            <w:r w:rsidRPr="00FF69F7">
              <w:rPr>
                <w:lang w:eastAsia="en-US"/>
              </w:rPr>
              <w:t>As certificates near their end of life, the Agencies will generate new keys</w:t>
            </w:r>
            <w:r w:rsidR="00135F53">
              <w:rPr>
                <w:lang w:eastAsia="en-US"/>
              </w:rPr>
              <w:t>,</w:t>
            </w:r>
            <w:r w:rsidRPr="00FF69F7">
              <w:rPr>
                <w:lang w:eastAsia="en-US"/>
              </w:rPr>
              <w:t xml:space="preserve"> and VANguard will issue the Agency with new certificates. The new certificates will be val</w:t>
            </w:r>
            <w:r w:rsidR="00BA6DD6">
              <w:rPr>
                <w:lang w:eastAsia="en-US"/>
              </w:rPr>
              <w:t>id and can be used immediately.</w:t>
            </w:r>
          </w:p>
        </w:tc>
      </w:tr>
    </w:tbl>
    <w:p w:rsidR="00BA6DD6" w:rsidRDefault="00BA6DD6" w:rsidP="00BA6DD6">
      <w:pPr>
        <w:pStyle w:val="BlockLine"/>
        <w:rPr>
          <w:b/>
        </w:rPr>
      </w:pPr>
    </w:p>
    <w:tbl>
      <w:tblPr>
        <w:tblW w:w="5000" w:type="pct"/>
        <w:tblLook w:val="0000" w:firstRow="0" w:lastRow="0" w:firstColumn="0" w:lastColumn="0" w:noHBand="0" w:noVBand="0"/>
      </w:tblPr>
      <w:tblGrid>
        <w:gridCol w:w="1801"/>
        <w:gridCol w:w="7770"/>
      </w:tblGrid>
      <w:tr w:rsidR="00BA6DD6" w:rsidTr="00BA6DD6">
        <w:tblPrEx>
          <w:tblCellMar>
            <w:top w:w="0" w:type="dxa"/>
            <w:bottom w:w="0" w:type="dxa"/>
          </w:tblCellMar>
        </w:tblPrEx>
        <w:trPr>
          <w:cantSplit/>
        </w:trPr>
        <w:tc>
          <w:tcPr>
            <w:tcW w:w="941" w:type="pct"/>
            <w:tcBorders>
              <w:top w:val="nil"/>
              <w:left w:val="nil"/>
              <w:bottom w:val="nil"/>
              <w:right w:val="nil"/>
            </w:tcBorders>
          </w:tcPr>
          <w:p w:rsidR="00BA6DD6" w:rsidRPr="00677EFC" w:rsidRDefault="00677EFC" w:rsidP="00677EFC">
            <w:pPr>
              <w:pStyle w:val="Heading2"/>
              <w:rPr>
                <w:rFonts w:ascii="Verdana" w:hAnsi="Verdana"/>
                <w:b/>
                <w:sz w:val="18"/>
                <w:szCs w:val="18"/>
              </w:rPr>
            </w:pPr>
            <w:bookmarkStart w:id="12" w:name="_Toc410651599"/>
            <w:r w:rsidRPr="00677EFC">
              <w:t>Privacy</w:t>
            </w:r>
            <w:bookmarkEnd w:id="12"/>
          </w:p>
        </w:tc>
        <w:tc>
          <w:tcPr>
            <w:tcW w:w="4059" w:type="pct"/>
            <w:tcBorders>
              <w:top w:val="nil"/>
              <w:left w:val="nil"/>
              <w:bottom w:val="nil"/>
              <w:right w:val="nil"/>
            </w:tcBorders>
          </w:tcPr>
          <w:p w:rsidR="00BA6DD6" w:rsidRDefault="0011752D" w:rsidP="00F34B95">
            <w:pPr>
              <w:pStyle w:val="Para"/>
              <w:rPr>
                <w:lang w:eastAsia="en-US"/>
              </w:rPr>
            </w:pPr>
            <w:r>
              <w:rPr>
                <w:lang w:eastAsia="en-US"/>
              </w:rPr>
              <w:t>Agency c</w:t>
            </w:r>
            <w:r w:rsidR="00BA6DD6" w:rsidRPr="00FF69F7">
              <w:rPr>
                <w:lang w:eastAsia="en-US"/>
              </w:rPr>
              <w:t>ertificates will contain the Agency name and Au</w:t>
            </w:r>
            <w:r w:rsidR="00BA6DD6">
              <w:rPr>
                <w:lang w:eastAsia="en-US"/>
              </w:rPr>
              <w:t>stralian Business Number (ABN).</w:t>
            </w:r>
          </w:p>
          <w:p w:rsidR="00BA6DD6" w:rsidRDefault="0011752D" w:rsidP="00F34B95">
            <w:pPr>
              <w:pStyle w:val="Para"/>
              <w:rPr>
                <w:lang w:eastAsia="en-US"/>
              </w:rPr>
            </w:pPr>
            <w:r>
              <w:rPr>
                <w:lang w:eastAsia="en-US"/>
              </w:rPr>
              <w:t>Agency c</w:t>
            </w:r>
            <w:r w:rsidR="00BA6DD6" w:rsidRPr="00FF69F7">
              <w:rPr>
                <w:lang w:eastAsia="en-US"/>
              </w:rPr>
              <w:t>ertificates subject to this PDS contain n</w:t>
            </w:r>
            <w:r w:rsidR="00BA6DD6">
              <w:rPr>
                <w:lang w:eastAsia="en-US"/>
              </w:rPr>
              <w:t>o personal information.</w:t>
            </w:r>
          </w:p>
          <w:p w:rsidR="00BA6DD6" w:rsidRPr="00D63D2E" w:rsidRDefault="00BA6DD6" w:rsidP="00F34B95">
            <w:pPr>
              <w:pStyle w:val="Para"/>
              <w:rPr>
                <w:lang w:eastAsia="en-US"/>
              </w:rPr>
            </w:pPr>
            <w:r w:rsidRPr="00FF69F7">
              <w:rPr>
                <w:lang w:eastAsia="en-US"/>
              </w:rPr>
              <w:t xml:space="preserve">All VANguard certificate policies and practices require strict adherence to the </w:t>
            </w:r>
            <w:r w:rsidRPr="00157A20">
              <w:rPr>
                <w:i/>
                <w:lang w:eastAsia="en-US"/>
              </w:rPr>
              <w:t>Privacy Act 1988 (Cth)</w:t>
            </w:r>
            <w:r w:rsidRPr="00FF69F7">
              <w:rPr>
                <w:lang w:eastAsia="en-US"/>
              </w:rPr>
              <w:t xml:space="preserve"> including, as appropriate, the </w:t>
            </w:r>
            <w:r w:rsidRPr="00A85F4F">
              <w:rPr>
                <w:lang w:eastAsia="en-US"/>
              </w:rPr>
              <w:t>Information Privacy Principles and the National Privacy Principles.</w:t>
            </w:r>
          </w:p>
        </w:tc>
      </w:tr>
    </w:tbl>
    <w:p w:rsidR="002B6454" w:rsidRDefault="002B6454" w:rsidP="002B6454">
      <w:pPr>
        <w:pStyle w:val="BlockLine"/>
        <w:rPr>
          <w:b/>
        </w:rPr>
      </w:pPr>
    </w:p>
    <w:tbl>
      <w:tblPr>
        <w:tblW w:w="5000" w:type="pct"/>
        <w:tblLook w:val="0000" w:firstRow="0" w:lastRow="0" w:firstColumn="0" w:lastColumn="0" w:noHBand="0" w:noVBand="0"/>
      </w:tblPr>
      <w:tblGrid>
        <w:gridCol w:w="1801"/>
        <w:gridCol w:w="7770"/>
      </w:tblGrid>
      <w:tr w:rsidR="002B6454" w:rsidTr="002B6454">
        <w:tblPrEx>
          <w:tblCellMar>
            <w:top w:w="0" w:type="dxa"/>
            <w:bottom w:w="0" w:type="dxa"/>
          </w:tblCellMar>
        </w:tblPrEx>
        <w:trPr>
          <w:cantSplit/>
        </w:trPr>
        <w:tc>
          <w:tcPr>
            <w:tcW w:w="941" w:type="pct"/>
            <w:tcBorders>
              <w:top w:val="nil"/>
              <w:left w:val="nil"/>
              <w:bottom w:val="nil"/>
              <w:right w:val="nil"/>
            </w:tcBorders>
          </w:tcPr>
          <w:p w:rsidR="002B6454" w:rsidRPr="00D560FD" w:rsidRDefault="00AC5D9F" w:rsidP="00677EFC">
            <w:pPr>
              <w:pStyle w:val="Heading2"/>
              <w:rPr>
                <w:rFonts w:ascii="Verdana" w:hAnsi="Verdana"/>
                <w:b/>
                <w:sz w:val="18"/>
                <w:szCs w:val="18"/>
              </w:rPr>
            </w:pPr>
            <w:r>
              <w:br w:type="page"/>
            </w:r>
            <w:bookmarkStart w:id="13" w:name="_Toc410651600"/>
            <w:r w:rsidR="00677EFC">
              <w:t>Audit</w:t>
            </w:r>
            <w:bookmarkEnd w:id="13"/>
          </w:p>
        </w:tc>
        <w:tc>
          <w:tcPr>
            <w:tcW w:w="4059" w:type="pct"/>
            <w:tcBorders>
              <w:top w:val="nil"/>
              <w:left w:val="nil"/>
              <w:bottom w:val="nil"/>
              <w:right w:val="nil"/>
            </w:tcBorders>
          </w:tcPr>
          <w:p w:rsidR="002B6454" w:rsidRDefault="002B6454" w:rsidP="00F34B95">
            <w:pPr>
              <w:pStyle w:val="Para"/>
              <w:rPr>
                <w:lang w:eastAsia="en-US"/>
              </w:rPr>
            </w:pPr>
            <w:r w:rsidRPr="00FF69F7">
              <w:rPr>
                <w:lang w:eastAsia="en-US"/>
              </w:rPr>
              <w:t>VANguard may be subject to audit by the Privacy Commissioner and the Commonweal</w:t>
            </w:r>
            <w:r>
              <w:rPr>
                <w:lang w:eastAsia="en-US"/>
              </w:rPr>
              <w:t>th or State Auditor-General(s).</w:t>
            </w:r>
          </w:p>
          <w:p w:rsidR="002B6454" w:rsidRPr="00D63D2E" w:rsidRDefault="002B6454" w:rsidP="00F34B95">
            <w:pPr>
              <w:pStyle w:val="Para"/>
              <w:rPr>
                <w:lang w:eastAsia="en-US"/>
              </w:rPr>
            </w:pPr>
            <w:r w:rsidRPr="00FF69F7">
              <w:rPr>
                <w:lang w:eastAsia="en-US"/>
              </w:rPr>
              <w:t>VANguard’s Gatekeeper accredited certificate provider is accountable to the Gatekeeper Competent Authority for their compliance with relevant standards and the Gatekeeper regime overall.</w:t>
            </w:r>
          </w:p>
        </w:tc>
      </w:tr>
    </w:tbl>
    <w:p w:rsidR="002B6454" w:rsidRDefault="002B6454" w:rsidP="002B6454">
      <w:pPr>
        <w:pStyle w:val="BlockLine"/>
        <w:rPr>
          <w:b/>
        </w:rPr>
      </w:pPr>
    </w:p>
    <w:p w:rsidR="002B6454" w:rsidRDefault="002B6454" w:rsidP="002B6454">
      <w:pPr>
        <w:pStyle w:val="Heading2"/>
      </w:pPr>
      <w:bookmarkStart w:id="14" w:name="_Toc410651601"/>
      <w:r w:rsidRPr="008C74C3">
        <w:lastRenderedPageBreak/>
        <w:t>Trust Marks</w:t>
      </w:r>
      <w:bookmarkEnd w:id="14"/>
    </w:p>
    <w:tbl>
      <w:tblPr>
        <w:tblW w:w="5000" w:type="pct"/>
        <w:tblLook w:val="0000" w:firstRow="0" w:lastRow="0" w:firstColumn="0" w:lastColumn="0" w:noHBand="0" w:noVBand="0"/>
      </w:tblPr>
      <w:tblGrid>
        <w:gridCol w:w="1801"/>
        <w:gridCol w:w="7770"/>
      </w:tblGrid>
      <w:tr w:rsidR="002B6454" w:rsidTr="002B6454">
        <w:tblPrEx>
          <w:tblCellMar>
            <w:top w:w="0" w:type="dxa"/>
            <w:bottom w:w="0" w:type="dxa"/>
          </w:tblCellMar>
        </w:tblPrEx>
        <w:trPr>
          <w:cantSplit/>
        </w:trPr>
        <w:tc>
          <w:tcPr>
            <w:tcW w:w="941" w:type="pct"/>
            <w:tcBorders>
              <w:top w:val="nil"/>
              <w:left w:val="nil"/>
              <w:bottom w:val="nil"/>
              <w:right w:val="nil"/>
            </w:tcBorders>
          </w:tcPr>
          <w:p w:rsidR="002B6454" w:rsidRPr="00A97786" w:rsidRDefault="002B6454" w:rsidP="002B6454">
            <w:pPr>
              <w:spacing w:before="120"/>
              <w:rPr>
                <w:rFonts w:ascii="Verdana" w:hAnsi="Verdana"/>
                <w:b/>
                <w:sz w:val="18"/>
                <w:szCs w:val="18"/>
              </w:rPr>
            </w:pPr>
          </w:p>
        </w:tc>
        <w:tc>
          <w:tcPr>
            <w:tcW w:w="4059" w:type="pct"/>
            <w:tcBorders>
              <w:top w:val="nil"/>
              <w:left w:val="nil"/>
              <w:bottom w:val="nil"/>
              <w:right w:val="nil"/>
            </w:tcBorders>
          </w:tcPr>
          <w:p w:rsidR="002B6454" w:rsidRDefault="002B6454" w:rsidP="00F34B95">
            <w:pPr>
              <w:pStyle w:val="Para"/>
              <w:rPr>
                <w:lang w:eastAsia="en-US"/>
              </w:rPr>
            </w:pPr>
            <w:r w:rsidRPr="00FF69F7">
              <w:rPr>
                <w:lang w:eastAsia="en-US"/>
              </w:rPr>
              <w:t xml:space="preserve">The provider of certificate services to VANguard must be Gatekeeper accredited. </w:t>
            </w:r>
          </w:p>
          <w:p w:rsidR="002B6454" w:rsidRPr="00FF69F7" w:rsidRDefault="002B6454" w:rsidP="00F34B95">
            <w:pPr>
              <w:pStyle w:val="Para"/>
              <w:rPr>
                <w:lang w:eastAsia="en-US"/>
              </w:rPr>
            </w:pPr>
            <w:r w:rsidRPr="00FF69F7">
              <w:rPr>
                <w:lang w:eastAsia="en-US"/>
              </w:rPr>
              <w:t>The VANguard PKI has been designed to reflect best practice and the following standards:</w:t>
            </w:r>
          </w:p>
          <w:p w:rsidR="00BB41B8" w:rsidRPr="007166A2" w:rsidRDefault="00BB41B8" w:rsidP="00BB41B8">
            <w:pPr>
              <w:pStyle w:val="StyleBodyTextBullet105ptLeft"/>
              <w:tabs>
                <w:tab w:val="clear" w:pos="1364"/>
              </w:tabs>
              <w:ind w:left="284"/>
              <w:rPr>
                <w:lang w:val="en-US"/>
              </w:rPr>
            </w:pPr>
            <w:bookmarkStart w:id="15" w:name="OLE_LINK5"/>
            <w:bookmarkStart w:id="16" w:name="OLE_LINK6"/>
            <w:bookmarkStart w:id="17" w:name="OLE_LINK7"/>
            <w:r w:rsidRPr="007166A2">
              <w:rPr>
                <w:lang w:val="en-US"/>
              </w:rPr>
              <w:t xml:space="preserve">ASD, </w:t>
            </w:r>
            <w:r w:rsidRPr="007166A2">
              <w:rPr>
                <w:i/>
                <w:lang w:val="en-US"/>
              </w:rPr>
              <w:t xml:space="preserve">Australian Government Information Security </w:t>
            </w:r>
            <w:bookmarkStart w:id="18" w:name="OLE_LINK1"/>
            <w:bookmarkStart w:id="19" w:name="OLE_LINK2"/>
            <w:r w:rsidRPr="007166A2">
              <w:rPr>
                <w:i/>
                <w:lang w:val="en-US"/>
              </w:rPr>
              <w:t>Manual (ISM</w:t>
            </w:r>
            <w:bookmarkEnd w:id="18"/>
            <w:bookmarkEnd w:id="19"/>
            <w:r w:rsidRPr="007166A2">
              <w:rPr>
                <w:i/>
                <w:lang w:val="en-US"/>
              </w:rPr>
              <w:t>)</w:t>
            </w:r>
          </w:p>
          <w:bookmarkEnd w:id="15"/>
          <w:bookmarkEnd w:id="16"/>
          <w:bookmarkEnd w:id="17"/>
          <w:p w:rsidR="00BB41B8" w:rsidRPr="007166A2" w:rsidRDefault="00BB41B8" w:rsidP="00BB41B8">
            <w:pPr>
              <w:pStyle w:val="StyleBodyTextBullet105ptLeft"/>
              <w:tabs>
                <w:tab w:val="clear" w:pos="1364"/>
              </w:tabs>
              <w:ind w:left="284"/>
              <w:rPr>
                <w:lang w:val="en-US"/>
              </w:rPr>
            </w:pPr>
            <w:r w:rsidRPr="007166A2">
              <w:rPr>
                <w:lang w:val="en-US"/>
              </w:rPr>
              <w:t xml:space="preserve">Commonwealth of Australia, </w:t>
            </w:r>
            <w:r w:rsidRPr="007166A2">
              <w:rPr>
                <w:i/>
                <w:lang w:val="en-US"/>
              </w:rPr>
              <w:t>Protective Security Policy Framework</w:t>
            </w:r>
            <w:r w:rsidRPr="007166A2">
              <w:rPr>
                <w:lang w:val="en-US"/>
              </w:rPr>
              <w:t xml:space="preserve"> (PSPF)</w:t>
            </w:r>
          </w:p>
          <w:p w:rsidR="00BB41B8" w:rsidRPr="007166A2" w:rsidRDefault="00BB41B8" w:rsidP="00BB41B8">
            <w:pPr>
              <w:pStyle w:val="StyleBodyTextBullet105ptLeft"/>
              <w:tabs>
                <w:tab w:val="clear" w:pos="1364"/>
              </w:tabs>
              <w:ind w:left="284"/>
              <w:rPr>
                <w:lang w:val="en-US"/>
              </w:rPr>
            </w:pPr>
            <w:r w:rsidRPr="007166A2">
              <w:rPr>
                <w:lang w:val="en-US"/>
              </w:rPr>
              <w:t xml:space="preserve">OASIS, </w:t>
            </w:r>
            <w:r w:rsidRPr="007166A2">
              <w:rPr>
                <w:i/>
                <w:lang w:val="en-US"/>
              </w:rPr>
              <w:t>WS-Trust 1.3 -</w:t>
            </w:r>
            <w:r w:rsidRPr="007166A2">
              <w:rPr>
                <w:lang w:val="en-US"/>
              </w:rPr>
              <w:t xml:space="preserve"> </w:t>
            </w:r>
            <w:r w:rsidRPr="007166A2">
              <w:rPr>
                <w:i/>
                <w:lang w:val="en-US"/>
              </w:rPr>
              <w:t>Security Token Service (STS) framework</w:t>
            </w:r>
            <w:r w:rsidRPr="007166A2">
              <w:rPr>
                <w:lang w:val="en-US"/>
              </w:rPr>
              <w:t>, March 2007</w:t>
            </w:r>
          </w:p>
          <w:p w:rsidR="00BB41B8" w:rsidRPr="007166A2" w:rsidRDefault="00BB41B8" w:rsidP="00BB41B8">
            <w:pPr>
              <w:pStyle w:val="StyleBodyTextBullet105ptLeft"/>
              <w:tabs>
                <w:tab w:val="clear" w:pos="1364"/>
              </w:tabs>
              <w:ind w:left="284"/>
              <w:rPr>
                <w:lang w:val="en-US"/>
              </w:rPr>
            </w:pPr>
            <w:r w:rsidRPr="007166A2">
              <w:rPr>
                <w:lang w:val="en-US"/>
              </w:rPr>
              <w:t>IETF</w:t>
            </w:r>
            <w:r w:rsidRPr="007166A2">
              <w:rPr>
                <w:i/>
                <w:lang w:val="en-US"/>
              </w:rPr>
              <w:t xml:space="preserve">, RFC </w:t>
            </w:r>
            <w:r>
              <w:rPr>
                <w:i/>
                <w:lang w:val="en-US"/>
              </w:rPr>
              <w:t>5750</w:t>
            </w:r>
            <w:r w:rsidRPr="007166A2">
              <w:rPr>
                <w:i/>
                <w:lang w:val="en-US"/>
              </w:rPr>
              <w:t xml:space="preserve"> –</w:t>
            </w:r>
            <w:r w:rsidRPr="007166A2">
              <w:rPr>
                <w:lang w:val="en-US"/>
              </w:rPr>
              <w:t xml:space="preserve"> </w:t>
            </w:r>
            <w:r w:rsidRPr="007166A2">
              <w:rPr>
                <w:i/>
                <w:lang w:val="en-US"/>
              </w:rPr>
              <w:t>Secure/Multipurpose Internet Mail Extensions (S/MIME) Version 3.2 Certificate Handling</w:t>
            </w:r>
            <w:r w:rsidRPr="007166A2">
              <w:rPr>
                <w:lang w:val="en-US"/>
              </w:rPr>
              <w:t>, January 2010</w:t>
            </w:r>
          </w:p>
          <w:p w:rsidR="00BB41B8" w:rsidRPr="007166A2" w:rsidRDefault="00BB41B8" w:rsidP="00BB41B8">
            <w:pPr>
              <w:pStyle w:val="StyleBodyTextBullet105ptLeft"/>
              <w:tabs>
                <w:tab w:val="clear" w:pos="1364"/>
              </w:tabs>
              <w:ind w:left="284"/>
              <w:rPr>
                <w:lang w:val="en-US"/>
              </w:rPr>
            </w:pPr>
            <w:r w:rsidRPr="007166A2">
              <w:rPr>
                <w:lang w:val="en-US"/>
              </w:rPr>
              <w:t xml:space="preserve">IETF, </w:t>
            </w:r>
            <w:r w:rsidRPr="007166A2">
              <w:rPr>
                <w:i/>
                <w:lang w:val="en-US"/>
              </w:rPr>
              <w:t>RFC 6818 –</w:t>
            </w:r>
            <w:r w:rsidRPr="007166A2">
              <w:rPr>
                <w:lang w:val="en-US"/>
              </w:rPr>
              <w:t xml:space="preserve"> </w:t>
            </w:r>
            <w:r w:rsidRPr="003B3355">
              <w:rPr>
                <w:i/>
                <w:lang w:val="en-US"/>
              </w:rPr>
              <w:t>Updates to the Internet X.509 Public Key Infrastructure Certificate and Certificate Revocation List (CRL) Profile</w:t>
            </w:r>
            <w:r>
              <w:rPr>
                <w:i/>
                <w:lang w:val="en-US"/>
              </w:rPr>
              <w:t xml:space="preserve">, </w:t>
            </w:r>
            <w:r w:rsidRPr="007166A2">
              <w:rPr>
                <w:lang w:val="en-US"/>
              </w:rPr>
              <w:t>January 2013</w:t>
            </w:r>
          </w:p>
          <w:p w:rsidR="00BB41B8" w:rsidRDefault="00BB41B8" w:rsidP="00BB41B8">
            <w:pPr>
              <w:pStyle w:val="StyleBodyTextBullet105ptLeft"/>
              <w:tabs>
                <w:tab w:val="clear" w:pos="1364"/>
              </w:tabs>
              <w:ind w:left="284"/>
              <w:rPr>
                <w:lang w:val="en-US"/>
              </w:rPr>
            </w:pPr>
            <w:r w:rsidRPr="002053D2">
              <w:rPr>
                <w:lang w:val="en-US"/>
              </w:rPr>
              <w:t xml:space="preserve">IETF, </w:t>
            </w:r>
            <w:r w:rsidRPr="002053D2">
              <w:rPr>
                <w:i/>
                <w:lang w:val="en-US"/>
              </w:rPr>
              <w:t>RFC 5</w:t>
            </w:r>
            <w:r>
              <w:rPr>
                <w:i/>
                <w:lang w:val="en-US"/>
              </w:rPr>
              <w:t>652</w:t>
            </w:r>
            <w:r w:rsidRPr="002053D2">
              <w:rPr>
                <w:i/>
                <w:lang w:val="en-US"/>
              </w:rPr>
              <w:t xml:space="preserve"> –</w:t>
            </w:r>
            <w:r w:rsidRPr="002053D2">
              <w:rPr>
                <w:lang w:val="en-US"/>
              </w:rPr>
              <w:t xml:space="preserve"> </w:t>
            </w:r>
            <w:r w:rsidRPr="002053D2">
              <w:rPr>
                <w:i/>
                <w:lang w:val="en-US"/>
              </w:rPr>
              <w:t>Cryptographic Message Syntax (CMS)</w:t>
            </w:r>
            <w:r>
              <w:rPr>
                <w:lang w:val="en-US"/>
              </w:rPr>
              <w:t>, September 2009</w:t>
            </w:r>
          </w:p>
          <w:p w:rsidR="00BB41B8" w:rsidRPr="0036016E" w:rsidRDefault="00BB41B8" w:rsidP="00BB41B8">
            <w:pPr>
              <w:pStyle w:val="StyleBodyTextBullet105ptLeft"/>
              <w:tabs>
                <w:tab w:val="clear" w:pos="1364"/>
              </w:tabs>
              <w:ind w:left="284"/>
              <w:rPr>
                <w:lang w:val="en-US"/>
              </w:rPr>
            </w:pPr>
            <w:r w:rsidRPr="0036016E">
              <w:rPr>
                <w:lang w:val="en-US"/>
              </w:rPr>
              <w:t xml:space="preserve">IETF, </w:t>
            </w:r>
            <w:r w:rsidRPr="0036016E">
              <w:rPr>
                <w:i/>
                <w:lang w:val="en-US"/>
              </w:rPr>
              <w:t>RFC 3647 -</w:t>
            </w:r>
            <w:r w:rsidRPr="0036016E">
              <w:rPr>
                <w:lang w:val="en-US"/>
              </w:rPr>
              <w:t xml:space="preserve"> </w:t>
            </w:r>
            <w:r w:rsidRPr="0036016E">
              <w:rPr>
                <w:i/>
                <w:lang w:val="en-US"/>
              </w:rPr>
              <w:t>Internet X.509 Public Key Infrastructure Certificate Policy and Certification Practices Framework</w:t>
            </w:r>
            <w:r w:rsidRPr="0036016E">
              <w:rPr>
                <w:lang w:val="en-US"/>
              </w:rPr>
              <w:t>, November 2003</w:t>
            </w:r>
          </w:p>
          <w:p w:rsidR="002B6454" w:rsidRPr="00D63D2E" w:rsidRDefault="00BB41B8" w:rsidP="00BB41B8">
            <w:pPr>
              <w:pStyle w:val="StyleBodyTextBullet105ptLeft"/>
              <w:tabs>
                <w:tab w:val="clear" w:pos="1364"/>
              </w:tabs>
              <w:ind w:left="284"/>
            </w:pPr>
            <w:r w:rsidRPr="0036016E">
              <w:rPr>
                <w:lang w:val="en-US"/>
              </w:rPr>
              <w:t xml:space="preserve">IETF, </w:t>
            </w:r>
            <w:r w:rsidRPr="0036016E">
              <w:rPr>
                <w:i/>
                <w:lang w:val="en-US"/>
              </w:rPr>
              <w:t xml:space="preserve">RFC </w:t>
            </w:r>
            <w:r w:rsidRPr="0036016E">
              <w:t>5816</w:t>
            </w:r>
            <w:r w:rsidRPr="0036016E">
              <w:rPr>
                <w:i/>
                <w:lang w:val="en-US"/>
              </w:rPr>
              <w:t xml:space="preserve"> -</w:t>
            </w:r>
            <w:r w:rsidRPr="0036016E">
              <w:rPr>
                <w:lang w:val="en-US"/>
              </w:rPr>
              <w:t xml:space="preserve"> </w:t>
            </w:r>
            <w:r w:rsidRPr="0036016E">
              <w:rPr>
                <w:i/>
                <w:lang w:val="en-US"/>
              </w:rPr>
              <w:t xml:space="preserve">Internet X.509 Public Key Infrastructure Time-Stamp Protocol (TSP) </w:t>
            </w:r>
            <w:r w:rsidRPr="0036016E">
              <w:t>ESSCertIDv2</w:t>
            </w:r>
            <w:r w:rsidRPr="0036016E">
              <w:rPr>
                <w:lang w:val="en-US"/>
              </w:rPr>
              <w:t xml:space="preserve">, </w:t>
            </w:r>
            <w:r w:rsidRPr="0036016E">
              <w:t>April 2010</w:t>
            </w:r>
          </w:p>
        </w:tc>
      </w:tr>
    </w:tbl>
    <w:p w:rsidR="00D34A85" w:rsidRDefault="00D34A85" w:rsidP="00D34A85">
      <w:pPr>
        <w:pStyle w:val="BlockLine"/>
        <w:rPr>
          <w:b/>
        </w:rPr>
      </w:pPr>
    </w:p>
    <w:p w:rsidR="008C74C3" w:rsidRDefault="008C74C3" w:rsidP="008C74C3">
      <w:pPr>
        <w:pStyle w:val="Heading2"/>
      </w:pPr>
      <w:bookmarkStart w:id="20" w:name="_Toc410651602"/>
      <w:r w:rsidRPr="008C74C3">
        <w:t>Reliance Limits</w:t>
      </w:r>
      <w:bookmarkEnd w:id="20"/>
    </w:p>
    <w:bookmarkEnd w:id="0"/>
    <w:bookmarkEnd w:id="1"/>
    <w:bookmarkEnd w:id="2"/>
    <w:bookmarkEnd w:id="3"/>
    <w:bookmarkEnd w:id="4"/>
    <w:tbl>
      <w:tblPr>
        <w:tblW w:w="5000" w:type="pct"/>
        <w:tblLook w:val="0000" w:firstRow="0" w:lastRow="0" w:firstColumn="0" w:lastColumn="0" w:noHBand="0" w:noVBand="0"/>
      </w:tblPr>
      <w:tblGrid>
        <w:gridCol w:w="1801"/>
        <w:gridCol w:w="7770"/>
      </w:tblGrid>
      <w:tr w:rsidR="00FF69F7" w:rsidTr="00FF69F7">
        <w:tblPrEx>
          <w:tblCellMar>
            <w:top w:w="0" w:type="dxa"/>
            <w:bottom w:w="0" w:type="dxa"/>
          </w:tblCellMar>
        </w:tblPrEx>
        <w:trPr>
          <w:cantSplit/>
        </w:trPr>
        <w:tc>
          <w:tcPr>
            <w:tcW w:w="941" w:type="pct"/>
            <w:tcBorders>
              <w:top w:val="nil"/>
              <w:left w:val="nil"/>
              <w:bottom w:val="nil"/>
              <w:right w:val="nil"/>
            </w:tcBorders>
          </w:tcPr>
          <w:p w:rsidR="00FF69F7" w:rsidRPr="00FF69F7" w:rsidRDefault="00FF69F7" w:rsidP="00FF69F7">
            <w:pPr>
              <w:spacing w:before="120"/>
              <w:rPr>
                <w:rFonts w:ascii="Verdana" w:hAnsi="Verdana"/>
                <w:b/>
                <w:sz w:val="18"/>
                <w:szCs w:val="18"/>
              </w:rPr>
            </w:pPr>
          </w:p>
        </w:tc>
        <w:tc>
          <w:tcPr>
            <w:tcW w:w="4059" w:type="pct"/>
            <w:tcBorders>
              <w:top w:val="nil"/>
              <w:left w:val="nil"/>
              <w:bottom w:val="nil"/>
              <w:right w:val="nil"/>
            </w:tcBorders>
          </w:tcPr>
          <w:p w:rsidR="00FF69F7" w:rsidRPr="00FF69F7" w:rsidRDefault="00FF69F7" w:rsidP="00F34B95">
            <w:pPr>
              <w:pStyle w:val="Para"/>
              <w:rPr>
                <w:lang w:eastAsia="en-US"/>
              </w:rPr>
            </w:pPr>
            <w:r w:rsidRPr="00FF69F7">
              <w:rPr>
                <w:lang w:eastAsia="en-US"/>
              </w:rPr>
              <w:t>Relying Parties may be VANguard or other parties, including other VANguard participating Agencies, wh</w:t>
            </w:r>
            <w:r w:rsidR="00C411AB">
              <w:rPr>
                <w:lang w:eastAsia="en-US"/>
              </w:rPr>
              <w:t>o elect to use VANguard Agency c</w:t>
            </w:r>
            <w:r w:rsidRPr="00FF69F7">
              <w:rPr>
                <w:lang w:eastAsia="en-US"/>
              </w:rPr>
              <w:t xml:space="preserve">ertificates </w:t>
            </w:r>
            <w:r w:rsidR="007E7312">
              <w:rPr>
                <w:lang w:eastAsia="en-US"/>
              </w:rPr>
              <w:t>in non-VANguard communications.</w:t>
            </w:r>
          </w:p>
          <w:p w:rsidR="00FF69F7" w:rsidRPr="00FF69F7" w:rsidRDefault="00FF69F7" w:rsidP="00F34B95">
            <w:pPr>
              <w:pStyle w:val="Para"/>
              <w:rPr>
                <w:lang w:eastAsia="en-US"/>
              </w:rPr>
            </w:pPr>
            <w:r w:rsidRPr="00FF69F7">
              <w:rPr>
                <w:lang w:eastAsia="en-US"/>
              </w:rPr>
              <w:t>The VANguard business model does not provide for certificates with different levels of suitability for use up to pre-determined financial limits.</w:t>
            </w:r>
          </w:p>
          <w:p w:rsidR="00FF69F7" w:rsidRPr="00FF69F7" w:rsidRDefault="00FF69F7" w:rsidP="00F34B95">
            <w:pPr>
              <w:pStyle w:val="Para"/>
              <w:rPr>
                <w:lang w:eastAsia="en-US"/>
              </w:rPr>
            </w:pPr>
            <w:r w:rsidRPr="00FF69F7">
              <w:rPr>
                <w:lang w:eastAsia="en-US"/>
              </w:rPr>
              <w:t>VANguard does not accept any liability in relation to the operations of the VANguard PKI.</w:t>
            </w:r>
          </w:p>
          <w:p w:rsidR="00BA6DD6" w:rsidRDefault="00FF69F7" w:rsidP="00F34B95">
            <w:pPr>
              <w:pStyle w:val="Para"/>
              <w:rPr>
                <w:lang w:eastAsia="en-US"/>
              </w:rPr>
            </w:pPr>
            <w:r w:rsidRPr="00FF69F7">
              <w:rPr>
                <w:lang w:eastAsia="en-US"/>
              </w:rPr>
              <w:t>Relying Parties, including other VANguard participating Agencies, are advised tha</w:t>
            </w:r>
            <w:r w:rsidR="00157A20">
              <w:rPr>
                <w:lang w:eastAsia="en-US"/>
              </w:rPr>
              <w:t>t before using VANguard Agency c</w:t>
            </w:r>
            <w:r w:rsidRPr="00FF69F7">
              <w:rPr>
                <w:lang w:eastAsia="en-US"/>
              </w:rPr>
              <w:t>ertificates to engage in Agency-to-Agency communications they should conduct their own individual risk assessment. Factors to consider are EOI processes in use</w:t>
            </w:r>
            <w:r w:rsidR="00BA6DD6">
              <w:rPr>
                <w:lang w:eastAsia="en-US"/>
              </w:rPr>
              <w:t>,</w:t>
            </w:r>
            <w:r w:rsidRPr="00FF69F7">
              <w:rPr>
                <w:lang w:eastAsia="en-US"/>
              </w:rPr>
              <w:t xml:space="preserve"> and any approvals that may have been granted by the </w:t>
            </w:r>
            <w:r w:rsidR="00BA6DD6">
              <w:rPr>
                <w:lang w:eastAsia="en-US"/>
              </w:rPr>
              <w:t>Gatekeeper Competent Authority.</w:t>
            </w:r>
          </w:p>
          <w:p w:rsidR="0011752D" w:rsidRPr="00FF69F7" w:rsidRDefault="00FF69F7" w:rsidP="00F34B95">
            <w:pPr>
              <w:pStyle w:val="Para"/>
              <w:rPr>
                <w:lang w:eastAsia="en-US"/>
              </w:rPr>
            </w:pPr>
            <w:r w:rsidRPr="00FF69F7">
              <w:rPr>
                <w:lang w:eastAsia="en-US"/>
              </w:rPr>
              <w:t>In particular, Agencies are advised that it may be prudent to u</w:t>
            </w:r>
            <w:r w:rsidR="00BA6DD6">
              <w:rPr>
                <w:lang w:eastAsia="en-US"/>
              </w:rPr>
              <w:t>se the telephone or another out-</w:t>
            </w:r>
            <w:r w:rsidRPr="00FF69F7">
              <w:rPr>
                <w:lang w:eastAsia="en-US"/>
              </w:rPr>
              <w:t>of</w:t>
            </w:r>
            <w:r w:rsidR="00BA6DD6">
              <w:rPr>
                <w:lang w:eastAsia="en-US"/>
              </w:rPr>
              <w:t>-</w:t>
            </w:r>
            <w:r w:rsidRPr="00FF69F7">
              <w:rPr>
                <w:lang w:eastAsia="en-US"/>
              </w:rPr>
              <w:t>band channel to confirm that the certificate in question is suitable for u</w:t>
            </w:r>
            <w:r w:rsidR="00BA6DD6">
              <w:rPr>
                <w:lang w:eastAsia="en-US"/>
              </w:rPr>
              <w:t>se by a particular application.</w:t>
            </w:r>
          </w:p>
        </w:tc>
      </w:tr>
    </w:tbl>
    <w:p w:rsidR="00FF69F7" w:rsidRDefault="00FF69F7" w:rsidP="00FF69F7">
      <w:pPr>
        <w:pStyle w:val="BlockLine"/>
        <w:rPr>
          <w:b/>
        </w:rPr>
      </w:pPr>
    </w:p>
    <w:p w:rsidR="00BA6DD6" w:rsidRDefault="00BA6DD6" w:rsidP="00BA6DD6">
      <w:pPr>
        <w:pStyle w:val="Heading2"/>
      </w:pPr>
      <w:bookmarkStart w:id="21" w:name="_Toc410651603"/>
      <w:r w:rsidRPr="008C74C3">
        <w:t>Warranties, Liability and Indemnities</w:t>
      </w:r>
      <w:bookmarkEnd w:id="21"/>
    </w:p>
    <w:tbl>
      <w:tblPr>
        <w:tblW w:w="5000" w:type="pct"/>
        <w:tblLook w:val="0000" w:firstRow="0" w:lastRow="0" w:firstColumn="0" w:lastColumn="0" w:noHBand="0" w:noVBand="0"/>
      </w:tblPr>
      <w:tblGrid>
        <w:gridCol w:w="1801"/>
        <w:gridCol w:w="7770"/>
      </w:tblGrid>
      <w:tr w:rsidR="00BA6DD6" w:rsidTr="00BA6DD6">
        <w:tblPrEx>
          <w:tblCellMar>
            <w:top w:w="0" w:type="dxa"/>
            <w:bottom w:w="0" w:type="dxa"/>
          </w:tblCellMar>
        </w:tblPrEx>
        <w:trPr>
          <w:cantSplit/>
        </w:trPr>
        <w:tc>
          <w:tcPr>
            <w:tcW w:w="941" w:type="pct"/>
            <w:tcBorders>
              <w:top w:val="nil"/>
              <w:left w:val="nil"/>
              <w:bottom w:val="nil"/>
              <w:right w:val="nil"/>
            </w:tcBorders>
          </w:tcPr>
          <w:p w:rsidR="00BA6DD6" w:rsidRPr="00FF69F7" w:rsidRDefault="00BA6DD6" w:rsidP="00BA6DD6">
            <w:pPr>
              <w:spacing w:before="120"/>
              <w:rPr>
                <w:rFonts w:ascii="Verdana" w:hAnsi="Verdana"/>
                <w:b/>
                <w:sz w:val="18"/>
                <w:szCs w:val="18"/>
              </w:rPr>
            </w:pPr>
          </w:p>
        </w:tc>
        <w:tc>
          <w:tcPr>
            <w:tcW w:w="4059" w:type="pct"/>
            <w:tcBorders>
              <w:top w:val="nil"/>
              <w:left w:val="nil"/>
              <w:bottom w:val="nil"/>
              <w:right w:val="nil"/>
            </w:tcBorders>
          </w:tcPr>
          <w:p w:rsidR="00333850" w:rsidRPr="002D42B7" w:rsidRDefault="006206F4" w:rsidP="00333850">
            <w:pPr>
              <w:pStyle w:val="Para"/>
              <w:rPr>
                <w:lang w:val="en-US" w:eastAsia="en-US"/>
              </w:rPr>
            </w:pPr>
            <w:r>
              <w:rPr>
                <w:lang w:val="en-US" w:eastAsia="en-US"/>
              </w:rPr>
              <w:t>The Department</w:t>
            </w:r>
            <w:r w:rsidR="00DB2AAD" w:rsidRPr="002D42B7">
              <w:rPr>
                <w:lang w:val="en-US" w:eastAsia="en-US"/>
              </w:rPr>
              <w:t xml:space="preserve"> </w:t>
            </w:r>
            <w:r w:rsidR="00157A20">
              <w:rPr>
                <w:lang w:val="en-US" w:eastAsia="en-US"/>
              </w:rPr>
              <w:t>will operate the VANguard PKI:</w:t>
            </w:r>
          </w:p>
          <w:p w:rsidR="00333850" w:rsidRPr="00A60859" w:rsidRDefault="00333850" w:rsidP="00333850">
            <w:pPr>
              <w:pStyle w:val="BodyTextBullet"/>
              <w:rPr>
                <w:rFonts w:ascii="Verdana" w:hAnsi="Verdana"/>
                <w:sz w:val="20"/>
                <w:lang w:val="en-US"/>
              </w:rPr>
            </w:pPr>
            <w:r w:rsidRPr="002D42B7">
              <w:rPr>
                <w:lang w:val="en-US"/>
              </w:rPr>
              <w:t xml:space="preserve">in </w:t>
            </w:r>
            <w:r>
              <w:rPr>
                <w:rFonts w:ascii="Verdana" w:hAnsi="Verdana"/>
                <w:sz w:val="20"/>
                <w:lang w:val="en-US"/>
              </w:rPr>
              <w:t>accordance with applicable law</w:t>
            </w:r>
          </w:p>
          <w:p w:rsidR="00333850" w:rsidRPr="00A60859" w:rsidRDefault="00333850" w:rsidP="00333850">
            <w:pPr>
              <w:pStyle w:val="BodyTextBullet"/>
              <w:rPr>
                <w:rFonts w:ascii="Verdana" w:hAnsi="Verdana"/>
                <w:sz w:val="20"/>
                <w:lang w:val="en-US"/>
              </w:rPr>
            </w:pPr>
            <w:r w:rsidRPr="00A60859">
              <w:rPr>
                <w:rFonts w:ascii="Verdana" w:hAnsi="Verdana"/>
                <w:sz w:val="20"/>
                <w:lang w:val="en-US"/>
              </w:rPr>
              <w:t>with reason</w:t>
            </w:r>
            <w:r>
              <w:rPr>
                <w:rFonts w:ascii="Verdana" w:hAnsi="Verdana"/>
                <w:sz w:val="20"/>
                <w:lang w:val="en-US"/>
              </w:rPr>
              <w:t>able skill, diligence</w:t>
            </w:r>
            <w:r w:rsidR="0011752D">
              <w:rPr>
                <w:rFonts w:ascii="Verdana" w:hAnsi="Verdana"/>
                <w:sz w:val="20"/>
                <w:lang w:val="en-US"/>
              </w:rPr>
              <w:t>,</w:t>
            </w:r>
            <w:r>
              <w:rPr>
                <w:rFonts w:ascii="Verdana" w:hAnsi="Verdana"/>
                <w:sz w:val="20"/>
                <w:lang w:val="en-US"/>
              </w:rPr>
              <w:t xml:space="preserve"> and care</w:t>
            </w:r>
          </w:p>
          <w:p w:rsidR="00333850" w:rsidRPr="00A60859" w:rsidRDefault="00333850" w:rsidP="00333850">
            <w:pPr>
              <w:pStyle w:val="BodyTextBullet"/>
              <w:rPr>
                <w:rFonts w:ascii="Verdana" w:hAnsi="Verdana"/>
                <w:sz w:val="20"/>
                <w:lang w:val="en-US"/>
              </w:rPr>
            </w:pPr>
            <w:r w:rsidRPr="00A60859">
              <w:rPr>
                <w:rFonts w:ascii="Verdana" w:hAnsi="Verdana"/>
                <w:sz w:val="20"/>
                <w:lang w:val="en-US"/>
              </w:rPr>
              <w:t>in accordance with applicable indus</w:t>
            </w:r>
            <w:r>
              <w:rPr>
                <w:rFonts w:ascii="Verdana" w:hAnsi="Verdana"/>
                <w:sz w:val="20"/>
                <w:lang w:val="en-US"/>
              </w:rPr>
              <w:t>try standards and practice</w:t>
            </w:r>
          </w:p>
          <w:p w:rsidR="00333850" w:rsidRPr="00A60859" w:rsidRDefault="00333850" w:rsidP="00333850">
            <w:pPr>
              <w:pStyle w:val="BodyTextBullet"/>
              <w:rPr>
                <w:rFonts w:ascii="Verdana" w:hAnsi="Verdana"/>
                <w:sz w:val="20"/>
                <w:lang w:val="en-US"/>
              </w:rPr>
            </w:pPr>
            <w:r w:rsidRPr="00A60859">
              <w:rPr>
                <w:rFonts w:ascii="Verdana" w:hAnsi="Verdana"/>
                <w:sz w:val="20"/>
                <w:lang w:val="en-US"/>
              </w:rPr>
              <w:t xml:space="preserve">in accordance with the </w:t>
            </w:r>
            <w:r w:rsidRPr="00A60859">
              <w:rPr>
                <w:rFonts w:ascii="Verdana" w:hAnsi="Verdana"/>
                <w:sz w:val="20"/>
              </w:rPr>
              <w:t>the requirements of this PDS and the associated CPS.</w:t>
            </w:r>
          </w:p>
          <w:p w:rsidR="00333850" w:rsidRPr="002D42B7" w:rsidRDefault="00333850" w:rsidP="00333850">
            <w:pPr>
              <w:pStyle w:val="Para"/>
              <w:rPr>
                <w:lang w:val="en-US" w:eastAsia="en-US"/>
              </w:rPr>
            </w:pPr>
            <w:r w:rsidRPr="002D42B7">
              <w:rPr>
                <w:lang w:val="en-US" w:eastAsia="en-US"/>
              </w:rPr>
              <w:t xml:space="preserve">No other warranties, express or implied, are given by </w:t>
            </w:r>
            <w:r w:rsidR="006206F4">
              <w:rPr>
                <w:lang w:val="en-US" w:eastAsia="en-US"/>
              </w:rPr>
              <w:t>the Department</w:t>
            </w:r>
            <w:r w:rsidRPr="002D42B7">
              <w:rPr>
                <w:lang w:val="en-US" w:eastAsia="en-US"/>
              </w:rPr>
              <w:t>, or by any other entity who may be involved in the issuing or managing of certificates for the VANguard PKI (</w:t>
            </w:r>
            <w:r w:rsidRPr="00157A20">
              <w:rPr>
                <w:lang w:val="en-US" w:eastAsia="en-US"/>
              </w:rPr>
              <w:t>'</w:t>
            </w:r>
            <w:r w:rsidRPr="00157A20">
              <w:rPr>
                <w:bCs/>
                <w:lang w:val="en-US" w:eastAsia="en-US"/>
              </w:rPr>
              <w:t>Service Providers</w:t>
            </w:r>
            <w:r w:rsidRPr="00157A20">
              <w:rPr>
                <w:lang w:val="en-US" w:eastAsia="en-US"/>
              </w:rPr>
              <w:t>'</w:t>
            </w:r>
            <w:r w:rsidRPr="002D42B7">
              <w:rPr>
                <w:lang w:val="en-US" w:eastAsia="en-US"/>
              </w:rPr>
              <w:t xml:space="preserve">). All statutory warranties are excluded, to the extent permitted by law. </w:t>
            </w:r>
          </w:p>
          <w:p w:rsidR="00333850" w:rsidRDefault="006206F4" w:rsidP="00333850">
            <w:pPr>
              <w:pStyle w:val="Para"/>
              <w:rPr>
                <w:lang w:val="en-US" w:eastAsia="en-US"/>
              </w:rPr>
            </w:pPr>
            <w:r>
              <w:rPr>
                <w:lang w:val="en-US" w:eastAsia="en-US"/>
              </w:rPr>
              <w:t>The Department</w:t>
            </w:r>
            <w:r w:rsidR="00DB2AAD" w:rsidRPr="002D42B7">
              <w:rPr>
                <w:lang w:val="en-US" w:eastAsia="en-US"/>
              </w:rPr>
              <w:t xml:space="preserve"> </w:t>
            </w:r>
            <w:r w:rsidR="00333850" w:rsidRPr="002D42B7">
              <w:rPr>
                <w:lang w:val="en-US" w:eastAsia="en-US"/>
              </w:rPr>
              <w:t xml:space="preserve">accepts no liability under this </w:t>
            </w:r>
            <w:r w:rsidR="00333850">
              <w:rPr>
                <w:lang w:val="en-US" w:eastAsia="en-US"/>
              </w:rPr>
              <w:t xml:space="preserve">PDS </w:t>
            </w:r>
            <w:r w:rsidR="00333850" w:rsidRPr="002D42B7">
              <w:rPr>
                <w:lang w:val="en-US" w:eastAsia="en-US"/>
              </w:rPr>
              <w:t>for or in connection with the VANguard PKI and, without limitation, is not liable for the Agency’s use of digital certificates issued under the VANguard PKI, or otherwise in connection with those certificates</w:t>
            </w:r>
            <w:r w:rsidR="00333850">
              <w:rPr>
                <w:lang w:val="en-US" w:eastAsia="en-US"/>
              </w:rPr>
              <w:t>.</w:t>
            </w:r>
          </w:p>
          <w:p w:rsidR="00333850" w:rsidRPr="002D42B7" w:rsidRDefault="00333850" w:rsidP="00333850">
            <w:pPr>
              <w:pStyle w:val="Para"/>
              <w:rPr>
                <w:lang w:val="en-US" w:eastAsia="en-US"/>
              </w:rPr>
            </w:pPr>
            <w:r w:rsidRPr="002D42B7">
              <w:rPr>
                <w:lang w:val="en-US" w:eastAsia="en-US"/>
              </w:rPr>
              <w:t>Th</w:t>
            </w:r>
            <w:r w:rsidR="00157A20">
              <w:rPr>
                <w:lang w:val="en-US" w:eastAsia="en-US"/>
              </w:rPr>
              <w:t>is exclusion of liability:</w:t>
            </w:r>
          </w:p>
          <w:p w:rsidR="00333850" w:rsidRPr="002D42B7" w:rsidRDefault="00333850" w:rsidP="0011752D">
            <w:pPr>
              <w:pStyle w:val="StyleBodyTextBullet105ptLeft"/>
              <w:tabs>
                <w:tab w:val="clear" w:pos="1364"/>
              </w:tabs>
              <w:ind w:left="284"/>
              <w:rPr>
                <w:lang w:val="en-US"/>
              </w:rPr>
            </w:pPr>
            <w:r w:rsidRPr="002D42B7">
              <w:rPr>
                <w:lang w:val="en-US"/>
              </w:rPr>
              <w:t>appl</w:t>
            </w:r>
            <w:r>
              <w:rPr>
                <w:lang w:val="en-US"/>
              </w:rPr>
              <w:t xml:space="preserve">ies </w:t>
            </w:r>
            <w:r w:rsidRPr="002D42B7">
              <w:rPr>
                <w:lang w:val="en-US"/>
              </w:rPr>
              <w:t>only to t</w:t>
            </w:r>
            <w:r w:rsidR="002E1498">
              <w:rPr>
                <w:lang w:val="en-US"/>
              </w:rPr>
              <w:t>he extent permitted by law; and</w:t>
            </w:r>
          </w:p>
          <w:p w:rsidR="00333850" w:rsidRPr="002D42B7" w:rsidRDefault="00333850" w:rsidP="0011752D">
            <w:pPr>
              <w:pStyle w:val="StyleBodyTextBullet105ptLeft"/>
              <w:tabs>
                <w:tab w:val="clear" w:pos="1364"/>
              </w:tabs>
              <w:ind w:left="284"/>
              <w:rPr>
                <w:lang w:val="en-US"/>
              </w:rPr>
            </w:pPr>
            <w:r w:rsidRPr="002D42B7">
              <w:rPr>
                <w:lang w:val="en-US"/>
              </w:rPr>
              <w:t>appl</w:t>
            </w:r>
            <w:r>
              <w:rPr>
                <w:lang w:val="en-US"/>
              </w:rPr>
              <w:t xml:space="preserve">ies </w:t>
            </w:r>
            <w:r w:rsidRPr="002D42B7">
              <w:rPr>
                <w:lang w:val="en-US"/>
              </w:rPr>
              <w:t>whether the liability arises in contract, tort (incl</w:t>
            </w:r>
            <w:r w:rsidR="002E1498">
              <w:rPr>
                <w:lang w:val="en-US"/>
              </w:rPr>
              <w:t>uding negligence) or otherwise.</w:t>
            </w:r>
          </w:p>
          <w:p w:rsidR="00333850" w:rsidRPr="00FF69F7" w:rsidRDefault="00333850" w:rsidP="00333850">
            <w:pPr>
              <w:pStyle w:val="Para"/>
              <w:rPr>
                <w:lang w:eastAsia="en-US"/>
              </w:rPr>
            </w:pPr>
            <w:r w:rsidRPr="00FF69F7">
              <w:rPr>
                <w:lang w:eastAsia="en-US"/>
              </w:rPr>
              <w:t xml:space="preserve">Unless otherwise set forth in contract, any </w:t>
            </w:r>
            <w:r>
              <w:rPr>
                <w:lang w:eastAsia="en-US"/>
              </w:rPr>
              <w:t xml:space="preserve">Agency or </w:t>
            </w:r>
            <w:r w:rsidR="00BB3BA3">
              <w:rPr>
                <w:lang w:eastAsia="en-US"/>
              </w:rPr>
              <w:t>Relying P</w:t>
            </w:r>
            <w:r w:rsidRPr="00FF69F7">
              <w:rPr>
                <w:lang w:eastAsia="en-US"/>
              </w:rPr>
              <w:t xml:space="preserve">arty who relies on </w:t>
            </w:r>
            <w:r>
              <w:rPr>
                <w:lang w:eastAsia="en-US"/>
              </w:rPr>
              <w:t>or makes use of a VANguard Agency</w:t>
            </w:r>
            <w:r w:rsidR="00DB2AAD">
              <w:rPr>
                <w:lang w:eastAsia="en-US"/>
              </w:rPr>
              <w:t xml:space="preserve"> </w:t>
            </w:r>
            <w:r w:rsidR="00157A20">
              <w:rPr>
                <w:lang w:eastAsia="en-US"/>
              </w:rPr>
              <w:t>c</w:t>
            </w:r>
            <w:r w:rsidRPr="00FF69F7">
              <w:rPr>
                <w:lang w:eastAsia="en-US"/>
              </w:rPr>
              <w:t xml:space="preserve">ertificate continually indemnifies </w:t>
            </w:r>
            <w:r w:rsidR="006206F4">
              <w:rPr>
                <w:lang w:val="en-US" w:eastAsia="en-US"/>
              </w:rPr>
              <w:t>the Department</w:t>
            </w:r>
            <w:r w:rsidR="00DB2AAD">
              <w:rPr>
                <w:lang w:eastAsia="en-US"/>
              </w:rPr>
              <w:t xml:space="preserve"> </w:t>
            </w:r>
            <w:r w:rsidRPr="00FF69F7">
              <w:rPr>
                <w:lang w:eastAsia="en-US"/>
              </w:rPr>
              <w:t xml:space="preserve">and the VANguard service providers </w:t>
            </w:r>
            <w:r>
              <w:rPr>
                <w:lang w:eastAsia="en-US"/>
              </w:rPr>
              <w:t>against all loss, liability</w:t>
            </w:r>
            <w:r w:rsidR="0011752D">
              <w:rPr>
                <w:lang w:eastAsia="en-US"/>
              </w:rPr>
              <w:t>,</w:t>
            </w:r>
            <w:r>
              <w:rPr>
                <w:lang w:eastAsia="en-US"/>
              </w:rPr>
              <w:t xml:space="preserve"> and expense </w:t>
            </w:r>
            <w:r w:rsidRPr="00FF69F7">
              <w:rPr>
                <w:lang w:eastAsia="en-US"/>
              </w:rPr>
              <w:t xml:space="preserve">caused by the use or publication of a certificate </w:t>
            </w:r>
            <w:r>
              <w:rPr>
                <w:lang w:eastAsia="en-US"/>
              </w:rPr>
              <w:t>that</w:t>
            </w:r>
            <w:r w:rsidRPr="00FF69F7">
              <w:rPr>
                <w:lang w:eastAsia="en-US"/>
              </w:rPr>
              <w:t xml:space="preserve"> arise</w:t>
            </w:r>
            <w:r>
              <w:rPr>
                <w:lang w:eastAsia="en-US"/>
              </w:rPr>
              <w:t>s</w:t>
            </w:r>
            <w:r w:rsidRPr="00FF69F7">
              <w:rPr>
                <w:lang w:eastAsia="en-US"/>
              </w:rPr>
              <w:t xml:space="preserve"> from:</w:t>
            </w:r>
          </w:p>
          <w:p w:rsidR="00333850" w:rsidRPr="004C5DD3" w:rsidRDefault="00333850" w:rsidP="00333850">
            <w:pPr>
              <w:pStyle w:val="StyleBodyTextBullet105ptLeft"/>
              <w:tabs>
                <w:tab w:val="clear" w:pos="1364"/>
              </w:tabs>
              <w:ind w:left="284"/>
              <w:rPr>
                <w:lang w:val="en-US"/>
              </w:rPr>
            </w:pPr>
            <w:r w:rsidRPr="004C5DD3">
              <w:rPr>
                <w:lang w:val="en-US"/>
              </w:rPr>
              <w:t>use for illegal or improper purposes</w:t>
            </w:r>
          </w:p>
          <w:p w:rsidR="00333850" w:rsidRPr="004C5DD3" w:rsidRDefault="00333850" w:rsidP="00333850">
            <w:pPr>
              <w:pStyle w:val="StyleBodyTextBullet105ptLeft"/>
              <w:tabs>
                <w:tab w:val="clear" w:pos="1364"/>
              </w:tabs>
              <w:ind w:left="284"/>
              <w:rPr>
                <w:lang w:val="en-US"/>
              </w:rPr>
            </w:pPr>
            <w:r w:rsidRPr="004C5DD3">
              <w:rPr>
                <w:lang w:val="en-US"/>
              </w:rPr>
              <w:t>use for any purpose not explicitly permitted under this PDS</w:t>
            </w:r>
          </w:p>
          <w:p w:rsidR="00333850" w:rsidRPr="004C5DD3" w:rsidRDefault="00333850" w:rsidP="00333850">
            <w:pPr>
              <w:pStyle w:val="StyleBodyTextBullet105ptLeft"/>
              <w:tabs>
                <w:tab w:val="clear" w:pos="1364"/>
              </w:tabs>
              <w:ind w:left="284"/>
              <w:rPr>
                <w:lang w:val="en-US"/>
              </w:rPr>
            </w:pPr>
            <w:r w:rsidRPr="004C5DD3">
              <w:rPr>
                <w:lang w:val="en-US"/>
              </w:rPr>
              <w:t>a false or misleading statement of fact by any party other than VANguard</w:t>
            </w:r>
          </w:p>
          <w:p w:rsidR="00333850" w:rsidRPr="004C5DD3" w:rsidRDefault="00333850" w:rsidP="00333850">
            <w:pPr>
              <w:pStyle w:val="StyleBodyTextBullet105ptLeft"/>
              <w:tabs>
                <w:tab w:val="clear" w:pos="1364"/>
              </w:tabs>
              <w:ind w:left="284"/>
              <w:rPr>
                <w:lang w:val="en-US"/>
              </w:rPr>
            </w:pPr>
            <w:r w:rsidRPr="004C5DD3">
              <w:rPr>
                <w:lang w:val="en-US"/>
              </w:rPr>
              <w:t>any</w:t>
            </w:r>
            <w:r w:rsidR="00BB3BA3">
              <w:rPr>
                <w:lang w:val="en-US"/>
              </w:rPr>
              <w:t xml:space="preserve"> omission by the Agency or the Relying P</w:t>
            </w:r>
            <w:r w:rsidRPr="004C5DD3">
              <w:rPr>
                <w:lang w:val="en-US"/>
              </w:rPr>
              <w:t>arty to disclose a material fact if that omission was negligent or intended to deceive</w:t>
            </w:r>
          </w:p>
          <w:p w:rsidR="001C1D4E" w:rsidRPr="00FF69F7" w:rsidRDefault="00333850" w:rsidP="00333850">
            <w:pPr>
              <w:pStyle w:val="StyleBodyTextBullet105ptLeft"/>
              <w:tabs>
                <w:tab w:val="clear" w:pos="1364"/>
              </w:tabs>
              <w:ind w:left="284"/>
            </w:pPr>
            <w:r w:rsidRPr="004C5DD3">
              <w:rPr>
                <w:lang w:val="en-US"/>
              </w:rPr>
              <w:t>any f</w:t>
            </w:r>
            <w:r w:rsidR="00BB3BA3">
              <w:rPr>
                <w:lang w:val="en-US"/>
              </w:rPr>
              <w:t>ailure on the part of the Relying P</w:t>
            </w:r>
            <w:r w:rsidRPr="004C5DD3">
              <w:rPr>
                <w:lang w:val="en-US"/>
              </w:rPr>
              <w:t>arty to inform themselves of the terms and conditions of this document.</w:t>
            </w:r>
          </w:p>
        </w:tc>
      </w:tr>
    </w:tbl>
    <w:p w:rsidR="00BA6DD6" w:rsidRDefault="00BA6DD6" w:rsidP="00BA6DD6">
      <w:pPr>
        <w:pStyle w:val="BlockLine"/>
        <w:rPr>
          <w:b/>
        </w:rPr>
      </w:pPr>
    </w:p>
    <w:p w:rsidR="006206F4" w:rsidRDefault="006206F4" w:rsidP="006206F4">
      <w:pPr>
        <w:pStyle w:val="Heading2"/>
      </w:pPr>
      <w:bookmarkStart w:id="22" w:name="_Toc410651604"/>
      <w:r w:rsidRPr="008C74C3">
        <w:t>Applicable Law and Dispute Resolution</w:t>
      </w:r>
      <w:bookmarkEnd w:id="22"/>
    </w:p>
    <w:tbl>
      <w:tblPr>
        <w:tblW w:w="5000" w:type="pct"/>
        <w:tblLook w:val="0000" w:firstRow="0" w:lastRow="0" w:firstColumn="0" w:lastColumn="0" w:noHBand="0" w:noVBand="0"/>
      </w:tblPr>
      <w:tblGrid>
        <w:gridCol w:w="1801"/>
        <w:gridCol w:w="7770"/>
      </w:tblGrid>
      <w:tr w:rsidR="006206F4" w:rsidTr="003021DC">
        <w:tblPrEx>
          <w:tblCellMar>
            <w:top w:w="0" w:type="dxa"/>
            <w:bottom w:w="0" w:type="dxa"/>
          </w:tblCellMar>
        </w:tblPrEx>
        <w:trPr>
          <w:cantSplit/>
        </w:trPr>
        <w:tc>
          <w:tcPr>
            <w:tcW w:w="941" w:type="pct"/>
            <w:tcBorders>
              <w:top w:val="nil"/>
              <w:left w:val="nil"/>
              <w:bottom w:val="nil"/>
              <w:right w:val="nil"/>
            </w:tcBorders>
          </w:tcPr>
          <w:p w:rsidR="006206F4" w:rsidRPr="00A97786" w:rsidRDefault="006206F4" w:rsidP="003021DC">
            <w:pPr>
              <w:spacing w:before="120"/>
              <w:rPr>
                <w:rFonts w:ascii="Verdana" w:hAnsi="Verdana"/>
                <w:b/>
                <w:sz w:val="18"/>
                <w:szCs w:val="18"/>
              </w:rPr>
            </w:pPr>
          </w:p>
        </w:tc>
        <w:tc>
          <w:tcPr>
            <w:tcW w:w="4059" w:type="pct"/>
            <w:tcBorders>
              <w:top w:val="nil"/>
              <w:left w:val="nil"/>
              <w:bottom w:val="nil"/>
              <w:right w:val="nil"/>
            </w:tcBorders>
          </w:tcPr>
          <w:p w:rsidR="006206F4" w:rsidRDefault="006206F4" w:rsidP="003021DC">
            <w:pPr>
              <w:pStyle w:val="Para"/>
              <w:rPr>
                <w:lang w:eastAsia="en-US"/>
              </w:rPr>
            </w:pPr>
            <w:r w:rsidRPr="00FF69F7">
              <w:rPr>
                <w:lang w:eastAsia="en-US"/>
              </w:rPr>
              <w:t xml:space="preserve">The law of the Australian Capital Territory </w:t>
            </w:r>
            <w:r>
              <w:rPr>
                <w:lang w:eastAsia="en-US"/>
              </w:rPr>
              <w:t xml:space="preserve">(ACT) </w:t>
            </w:r>
            <w:r w:rsidRPr="00FF69F7">
              <w:rPr>
                <w:lang w:eastAsia="en-US"/>
              </w:rPr>
              <w:t xml:space="preserve">shall govern the interpretation and enforcement of this PDS, the </w:t>
            </w:r>
            <w:smartTag w:uri="urn:schemas-microsoft-com:office:smarttags" w:element="place">
              <w:smartTag w:uri="urn:schemas-microsoft-com:office:smarttags" w:element="State">
                <w:r>
                  <w:rPr>
                    <w:lang w:eastAsia="en-US"/>
                  </w:rPr>
                  <w:t>SLA</w:t>
                </w:r>
              </w:smartTag>
            </w:smartTag>
            <w:r w:rsidRPr="00FF69F7">
              <w:rPr>
                <w:lang w:eastAsia="en-US"/>
              </w:rPr>
              <w:t>, the CPS, and a</w:t>
            </w:r>
            <w:r>
              <w:rPr>
                <w:lang w:eastAsia="en-US"/>
              </w:rPr>
              <w:t>ny other associated agreements.</w:t>
            </w:r>
          </w:p>
          <w:p w:rsidR="006206F4" w:rsidRPr="00D63D2E" w:rsidRDefault="006206F4" w:rsidP="003021DC">
            <w:pPr>
              <w:pStyle w:val="Para"/>
              <w:rPr>
                <w:lang w:eastAsia="en-US"/>
              </w:rPr>
            </w:pPr>
            <w:r>
              <w:rPr>
                <w:lang w:eastAsia="en-US"/>
              </w:rPr>
              <w:t xml:space="preserve">Disputes between parties to an </w:t>
            </w:r>
            <w:smartTag w:uri="urn:schemas-microsoft-com:office:smarttags" w:element="place">
              <w:smartTag w:uri="urn:schemas-microsoft-com:office:smarttags" w:element="State">
                <w:r>
                  <w:rPr>
                    <w:lang w:eastAsia="en-US"/>
                  </w:rPr>
                  <w:t>SLA</w:t>
                </w:r>
              </w:smartTag>
            </w:smartTag>
            <w:r>
              <w:rPr>
                <w:lang w:eastAsia="en-US"/>
              </w:rPr>
              <w:t xml:space="preserve"> </w:t>
            </w:r>
            <w:r w:rsidRPr="00FF69F7">
              <w:rPr>
                <w:lang w:eastAsia="en-US"/>
              </w:rPr>
              <w:t xml:space="preserve">shall be resolved according the applicable provisions of that agreement. All disputes may be resolved through </w:t>
            </w:r>
            <w:r>
              <w:rPr>
                <w:lang w:eastAsia="en-US"/>
              </w:rPr>
              <w:t>m</w:t>
            </w:r>
            <w:r w:rsidRPr="00FF69F7">
              <w:rPr>
                <w:lang w:eastAsia="en-US"/>
              </w:rPr>
              <w:t>ediation or other form of alternative dispute resol</w:t>
            </w:r>
            <w:r>
              <w:rPr>
                <w:lang w:eastAsia="en-US"/>
              </w:rPr>
              <w:t>ution if both parties so choose;</w:t>
            </w:r>
            <w:r w:rsidRPr="00FF69F7">
              <w:rPr>
                <w:lang w:eastAsia="en-US"/>
              </w:rPr>
              <w:t xml:space="preserve"> however</w:t>
            </w:r>
            <w:r>
              <w:rPr>
                <w:lang w:eastAsia="en-US"/>
              </w:rPr>
              <w:t>,</w:t>
            </w:r>
            <w:r w:rsidRPr="00FF69F7">
              <w:rPr>
                <w:lang w:eastAsia="en-US"/>
              </w:rPr>
              <w:t xml:space="preserve"> nothing in this clause affects either party’s rights or its ability to commence legal proceedings.</w:t>
            </w:r>
          </w:p>
        </w:tc>
      </w:tr>
    </w:tbl>
    <w:p w:rsidR="006206F4" w:rsidRDefault="006206F4" w:rsidP="006206F4">
      <w:pPr>
        <w:pStyle w:val="BlockLine"/>
        <w:rPr>
          <w:b/>
        </w:rPr>
      </w:pPr>
    </w:p>
    <w:p w:rsidR="006206F4" w:rsidRPr="006206F4" w:rsidRDefault="006206F4" w:rsidP="006206F4">
      <w:pPr>
        <w:rPr>
          <w:lang w:eastAsia="en-US"/>
        </w:rPr>
      </w:pPr>
    </w:p>
    <w:p w:rsidR="008C74C3" w:rsidRDefault="008C74C3" w:rsidP="008C74C3">
      <w:pPr>
        <w:pStyle w:val="Heading2"/>
      </w:pPr>
      <w:bookmarkStart w:id="23" w:name="_Toc410651605"/>
      <w:r w:rsidRPr="008C74C3">
        <w:t>Agency Obligations</w:t>
      </w:r>
      <w:bookmarkEnd w:id="23"/>
    </w:p>
    <w:tbl>
      <w:tblPr>
        <w:tblW w:w="5000" w:type="pct"/>
        <w:tblLook w:val="0000" w:firstRow="0" w:lastRow="0" w:firstColumn="0" w:lastColumn="0" w:noHBand="0" w:noVBand="0"/>
      </w:tblPr>
      <w:tblGrid>
        <w:gridCol w:w="1801"/>
        <w:gridCol w:w="7770"/>
      </w:tblGrid>
      <w:tr w:rsidR="00FF69F7" w:rsidTr="00FF69F7">
        <w:tblPrEx>
          <w:tblCellMar>
            <w:top w:w="0" w:type="dxa"/>
            <w:bottom w:w="0" w:type="dxa"/>
          </w:tblCellMar>
        </w:tblPrEx>
        <w:trPr>
          <w:cantSplit/>
        </w:trPr>
        <w:tc>
          <w:tcPr>
            <w:tcW w:w="941" w:type="pct"/>
            <w:tcBorders>
              <w:top w:val="nil"/>
              <w:left w:val="nil"/>
              <w:bottom w:val="nil"/>
              <w:right w:val="nil"/>
            </w:tcBorders>
          </w:tcPr>
          <w:p w:rsidR="00FF69F7" w:rsidRPr="00FF69F7" w:rsidRDefault="00FF69F7" w:rsidP="00FF69F7">
            <w:pPr>
              <w:spacing w:before="120"/>
              <w:rPr>
                <w:rFonts w:ascii="Verdana" w:hAnsi="Verdana"/>
                <w:b/>
                <w:sz w:val="18"/>
                <w:szCs w:val="18"/>
              </w:rPr>
            </w:pPr>
          </w:p>
        </w:tc>
        <w:tc>
          <w:tcPr>
            <w:tcW w:w="4059" w:type="pct"/>
            <w:tcBorders>
              <w:top w:val="nil"/>
              <w:left w:val="nil"/>
              <w:bottom w:val="nil"/>
              <w:right w:val="nil"/>
            </w:tcBorders>
          </w:tcPr>
          <w:p w:rsidR="00FF69F7" w:rsidRPr="00FF69F7" w:rsidRDefault="00FF69F7" w:rsidP="00F34B95">
            <w:pPr>
              <w:pStyle w:val="Para"/>
              <w:rPr>
                <w:lang w:eastAsia="en-US"/>
              </w:rPr>
            </w:pPr>
            <w:r w:rsidRPr="00FF69F7">
              <w:rPr>
                <w:lang w:eastAsia="en-US"/>
              </w:rPr>
              <w:t xml:space="preserve">As </w:t>
            </w:r>
            <w:r w:rsidR="0011752D">
              <w:rPr>
                <w:lang w:eastAsia="en-US"/>
              </w:rPr>
              <w:t>s</w:t>
            </w:r>
            <w:r w:rsidRPr="00FF69F7">
              <w:rPr>
                <w:lang w:eastAsia="en-US"/>
              </w:rPr>
              <w:t>ubscribers to VANguard, Agencies must:</w:t>
            </w:r>
          </w:p>
          <w:p w:rsidR="00FF69F7" w:rsidRPr="00F34B95" w:rsidRDefault="00327E15" w:rsidP="00F34B95">
            <w:pPr>
              <w:pStyle w:val="StyleBodyTextBullet105ptLeft"/>
              <w:tabs>
                <w:tab w:val="clear" w:pos="1364"/>
              </w:tabs>
              <w:ind w:left="284"/>
              <w:rPr>
                <w:lang w:val="en-US"/>
              </w:rPr>
            </w:pPr>
            <w:r w:rsidRPr="00F34B95">
              <w:rPr>
                <w:lang w:val="en-US"/>
              </w:rPr>
              <w:t>e</w:t>
            </w:r>
            <w:r w:rsidR="00FF69F7" w:rsidRPr="00F34B95">
              <w:rPr>
                <w:lang w:val="en-US"/>
              </w:rPr>
              <w:t xml:space="preserve">nter into and comply with the </w:t>
            </w:r>
            <w:r w:rsidRPr="00F34B95">
              <w:rPr>
                <w:lang w:val="en-US"/>
              </w:rPr>
              <w:t>MOU and SLA</w:t>
            </w:r>
          </w:p>
          <w:p w:rsidR="00FF69F7" w:rsidRPr="00F34B95" w:rsidRDefault="00327E15" w:rsidP="00F34B95">
            <w:pPr>
              <w:pStyle w:val="StyleBodyTextBullet105ptLeft"/>
              <w:tabs>
                <w:tab w:val="clear" w:pos="1364"/>
              </w:tabs>
              <w:ind w:left="284"/>
              <w:rPr>
                <w:lang w:val="en-US"/>
              </w:rPr>
            </w:pPr>
            <w:r w:rsidRPr="00F34B95">
              <w:rPr>
                <w:lang w:val="en-US"/>
              </w:rPr>
              <w:t>p</w:t>
            </w:r>
            <w:r w:rsidR="00FF69F7" w:rsidRPr="00F34B95">
              <w:rPr>
                <w:lang w:val="en-US"/>
              </w:rPr>
              <w:t>rotect their VANguard keys a</w:t>
            </w:r>
            <w:r w:rsidRPr="00F34B95">
              <w:rPr>
                <w:lang w:val="en-US"/>
              </w:rPr>
              <w:t>nd certificates from compromise</w:t>
            </w:r>
          </w:p>
          <w:p w:rsidR="00FF69F7" w:rsidRPr="00F34B95" w:rsidRDefault="00327E15" w:rsidP="00F34B95">
            <w:pPr>
              <w:pStyle w:val="StyleBodyTextBullet105ptLeft"/>
              <w:tabs>
                <w:tab w:val="clear" w:pos="1364"/>
              </w:tabs>
              <w:ind w:left="284"/>
              <w:rPr>
                <w:lang w:val="en-US"/>
              </w:rPr>
            </w:pPr>
            <w:r w:rsidRPr="00F34B95">
              <w:rPr>
                <w:lang w:val="en-US"/>
              </w:rPr>
              <w:t>i</w:t>
            </w:r>
            <w:r w:rsidR="00FF69F7" w:rsidRPr="00F34B95">
              <w:rPr>
                <w:lang w:val="en-US"/>
              </w:rPr>
              <w:t xml:space="preserve">mmediately notify </w:t>
            </w:r>
            <w:r w:rsidR="006206F4">
              <w:rPr>
                <w:lang w:val="en-US"/>
              </w:rPr>
              <w:t>the Department</w:t>
            </w:r>
            <w:r w:rsidR="000B51D3" w:rsidRPr="00F34B95">
              <w:rPr>
                <w:lang w:val="en-US"/>
              </w:rPr>
              <w:t xml:space="preserve"> </w:t>
            </w:r>
            <w:r w:rsidR="00FF69F7" w:rsidRPr="00F34B95">
              <w:rPr>
                <w:lang w:val="en-US"/>
              </w:rPr>
              <w:t>if they suspect their keys and certificates have</w:t>
            </w:r>
            <w:r w:rsidRPr="00F34B95">
              <w:rPr>
                <w:lang w:val="en-US"/>
              </w:rPr>
              <w:t>, or may have been, compromised</w:t>
            </w:r>
          </w:p>
          <w:p w:rsidR="00FF69F7" w:rsidRPr="00F34B95" w:rsidRDefault="00327E15" w:rsidP="00F34B95">
            <w:pPr>
              <w:pStyle w:val="StyleBodyTextBullet105ptLeft"/>
              <w:tabs>
                <w:tab w:val="clear" w:pos="1364"/>
              </w:tabs>
              <w:ind w:left="284"/>
              <w:rPr>
                <w:lang w:val="en-US"/>
              </w:rPr>
            </w:pPr>
            <w:r w:rsidRPr="00F34B95">
              <w:rPr>
                <w:lang w:val="en-US"/>
              </w:rPr>
              <w:t>a</w:t>
            </w:r>
            <w:r w:rsidR="00FF69F7" w:rsidRPr="00F34B95">
              <w:rPr>
                <w:lang w:val="en-US"/>
              </w:rPr>
              <w:t>ccept sole responsibility for the contents of any transmission, message, or other document signed w</w:t>
            </w:r>
            <w:r w:rsidRPr="00F34B95">
              <w:rPr>
                <w:lang w:val="en-US"/>
              </w:rPr>
              <w:t>ith their keys and certificates</w:t>
            </w:r>
          </w:p>
          <w:p w:rsidR="00FF69F7" w:rsidRPr="00F34B95" w:rsidRDefault="00327E15" w:rsidP="00F34B95">
            <w:pPr>
              <w:pStyle w:val="StyleBodyTextBullet105ptLeft"/>
              <w:tabs>
                <w:tab w:val="clear" w:pos="1364"/>
              </w:tabs>
              <w:ind w:left="284"/>
              <w:rPr>
                <w:lang w:val="en-US"/>
              </w:rPr>
            </w:pPr>
            <w:r w:rsidRPr="00F34B95">
              <w:rPr>
                <w:lang w:val="en-US"/>
              </w:rPr>
              <w:t>d</w:t>
            </w:r>
            <w:r w:rsidR="00FF69F7" w:rsidRPr="00F34B95">
              <w:rPr>
                <w:lang w:val="en-US"/>
              </w:rPr>
              <w:t xml:space="preserve">estroy all </w:t>
            </w:r>
            <w:r w:rsidRPr="00F34B95">
              <w:rPr>
                <w:lang w:val="en-US"/>
              </w:rPr>
              <w:t>copies of the key(s) on request</w:t>
            </w:r>
          </w:p>
          <w:p w:rsidR="00FF69F7" w:rsidRPr="00F34B95" w:rsidRDefault="00327E15" w:rsidP="00F34B95">
            <w:pPr>
              <w:pStyle w:val="StyleBodyTextBullet105ptLeft"/>
              <w:tabs>
                <w:tab w:val="clear" w:pos="1364"/>
              </w:tabs>
              <w:ind w:left="284"/>
              <w:rPr>
                <w:lang w:val="en-US"/>
              </w:rPr>
            </w:pPr>
            <w:r w:rsidRPr="00F34B95">
              <w:rPr>
                <w:lang w:val="en-US"/>
              </w:rPr>
              <w:t>u</w:t>
            </w:r>
            <w:r w:rsidR="00FF69F7" w:rsidRPr="00F34B95">
              <w:rPr>
                <w:lang w:val="en-US"/>
              </w:rPr>
              <w:t xml:space="preserve">se their keys and </w:t>
            </w:r>
            <w:r w:rsidRPr="00F34B95">
              <w:rPr>
                <w:lang w:val="en-US"/>
              </w:rPr>
              <w:t>certificates at their sole risk</w:t>
            </w:r>
          </w:p>
          <w:p w:rsidR="00FF69F7" w:rsidRPr="00F34B95" w:rsidRDefault="00327E15" w:rsidP="00F34B95">
            <w:pPr>
              <w:pStyle w:val="StyleBodyTextBullet105ptLeft"/>
              <w:tabs>
                <w:tab w:val="clear" w:pos="1364"/>
              </w:tabs>
              <w:ind w:left="284"/>
              <w:rPr>
                <w:lang w:val="en-US"/>
              </w:rPr>
            </w:pPr>
            <w:r w:rsidRPr="00F34B95">
              <w:rPr>
                <w:lang w:val="en-US"/>
              </w:rPr>
              <w:t>p</w:t>
            </w:r>
            <w:r w:rsidR="00FF69F7" w:rsidRPr="00F34B95">
              <w:rPr>
                <w:lang w:val="en-US"/>
              </w:rPr>
              <w:t xml:space="preserve">rovide accurate and complete information to </w:t>
            </w:r>
            <w:r w:rsidR="00DC1EFA">
              <w:rPr>
                <w:lang w:val="en-US"/>
              </w:rPr>
              <w:t>the Department</w:t>
            </w:r>
            <w:r w:rsidR="000B51D3" w:rsidRPr="00F34B95">
              <w:rPr>
                <w:lang w:val="en-US"/>
              </w:rPr>
              <w:t xml:space="preserve"> </w:t>
            </w:r>
            <w:r w:rsidR="00FF69F7" w:rsidRPr="00F34B95">
              <w:rPr>
                <w:lang w:val="en-US"/>
              </w:rPr>
              <w:t>when applying for keys and certificates, and at all othe</w:t>
            </w:r>
            <w:r w:rsidRPr="00F34B95">
              <w:rPr>
                <w:lang w:val="en-US"/>
              </w:rPr>
              <w:t>r times</w:t>
            </w:r>
          </w:p>
          <w:p w:rsidR="00FF69F7" w:rsidRPr="00F34B95" w:rsidRDefault="00327E15" w:rsidP="00F34B95">
            <w:pPr>
              <w:pStyle w:val="StyleBodyTextBullet105ptLeft"/>
              <w:tabs>
                <w:tab w:val="clear" w:pos="1364"/>
              </w:tabs>
              <w:ind w:left="284"/>
              <w:rPr>
                <w:lang w:val="en-US"/>
              </w:rPr>
            </w:pPr>
            <w:r w:rsidRPr="00F34B95">
              <w:rPr>
                <w:lang w:val="en-US"/>
              </w:rPr>
              <w:t>p</w:t>
            </w:r>
            <w:r w:rsidR="00FF69F7" w:rsidRPr="00F34B95">
              <w:rPr>
                <w:lang w:val="en-US"/>
              </w:rPr>
              <w:t xml:space="preserve">romptly notify </w:t>
            </w:r>
            <w:r w:rsidR="006206F4">
              <w:rPr>
                <w:lang w:val="en-US"/>
              </w:rPr>
              <w:t>the Department</w:t>
            </w:r>
            <w:r w:rsidR="000B51D3" w:rsidRPr="00F34B95">
              <w:rPr>
                <w:lang w:val="en-US"/>
              </w:rPr>
              <w:t xml:space="preserve"> </w:t>
            </w:r>
            <w:r w:rsidR="00FF69F7" w:rsidRPr="00F34B95">
              <w:rPr>
                <w:lang w:val="en-US"/>
              </w:rPr>
              <w:t>in the event that any p</w:t>
            </w:r>
            <w:r w:rsidRPr="00F34B95">
              <w:rPr>
                <w:lang w:val="en-US"/>
              </w:rPr>
              <w:t>art of that information changes</w:t>
            </w:r>
          </w:p>
          <w:p w:rsidR="00FF69F7" w:rsidRPr="00F34B95" w:rsidRDefault="00C411AB" w:rsidP="00F34B95">
            <w:pPr>
              <w:pStyle w:val="StyleBodyTextBullet105ptLeft"/>
              <w:tabs>
                <w:tab w:val="clear" w:pos="1364"/>
              </w:tabs>
              <w:ind w:left="284"/>
              <w:rPr>
                <w:lang w:val="en-US"/>
              </w:rPr>
            </w:pPr>
            <w:r>
              <w:rPr>
                <w:lang w:val="en-US"/>
              </w:rPr>
              <w:t>u</w:t>
            </w:r>
            <w:r w:rsidR="00FF69F7" w:rsidRPr="00F34B95">
              <w:rPr>
                <w:lang w:val="en-US"/>
              </w:rPr>
              <w:t>se VANguard keys and certificates for the purposes authorised</w:t>
            </w:r>
            <w:r w:rsidR="00BA6DD6" w:rsidRPr="00F34B95">
              <w:rPr>
                <w:lang w:val="en-US"/>
              </w:rPr>
              <w:t>,</w:t>
            </w:r>
            <w:r w:rsidR="00FF69F7" w:rsidRPr="00F34B95">
              <w:rPr>
                <w:lang w:val="en-US"/>
              </w:rPr>
              <w:t xml:space="preserve"> and not for any other purpose including a</w:t>
            </w:r>
            <w:r w:rsidR="00327E15" w:rsidRPr="00F34B95">
              <w:rPr>
                <w:lang w:val="en-US"/>
              </w:rPr>
              <w:t>ny unlawful or improper purpose</w:t>
            </w:r>
          </w:p>
          <w:p w:rsidR="00FF69F7" w:rsidRPr="00FF69F7" w:rsidRDefault="00327E15" w:rsidP="00F34B95">
            <w:pPr>
              <w:pStyle w:val="StyleBodyTextBullet105ptLeft"/>
              <w:tabs>
                <w:tab w:val="clear" w:pos="1364"/>
              </w:tabs>
              <w:ind w:left="284"/>
            </w:pPr>
            <w:r w:rsidRPr="00F34B95">
              <w:rPr>
                <w:lang w:val="en-US"/>
              </w:rPr>
              <w:t>c</w:t>
            </w:r>
            <w:r w:rsidR="00FF69F7" w:rsidRPr="00F34B95">
              <w:rPr>
                <w:lang w:val="en-US"/>
              </w:rPr>
              <w:t xml:space="preserve">onduct their own independent </w:t>
            </w:r>
            <w:r w:rsidR="00BA6DD6" w:rsidRPr="00F34B95">
              <w:rPr>
                <w:lang w:val="en-US"/>
              </w:rPr>
              <w:t xml:space="preserve">risk assessment </w:t>
            </w:r>
            <w:r w:rsidR="00FF69F7" w:rsidRPr="00F34B95">
              <w:rPr>
                <w:lang w:val="en-US"/>
              </w:rPr>
              <w:t xml:space="preserve">when using VANguard certificates in non-VANguard applications, </w:t>
            </w:r>
            <w:r w:rsidR="00970A44" w:rsidRPr="00F34B95">
              <w:rPr>
                <w:lang w:val="en-US"/>
              </w:rPr>
              <w:t xml:space="preserve">for example, </w:t>
            </w:r>
            <w:r w:rsidR="00FF69F7" w:rsidRPr="00F34B95">
              <w:rPr>
                <w:lang w:val="en-US"/>
              </w:rPr>
              <w:t>in Agency-to-Agency communications.</w:t>
            </w:r>
          </w:p>
        </w:tc>
      </w:tr>
    </w:tbl>
    <w:p w:rsidR="00FF69F7" w:rsidRDefault="00FF69F7" w:rsidP="00FF69F7">
      <w:pPr>
        <w:pStyle w:val="BlockLine"/>
        <w:rPr>
          <w:b/>
        </w:rPr>
      </w:pPr>
    </w:p>
    <w:p w:rsidR="008C74C3" w:rsidRDefault="008C74C3" w:rsidP="008C74C3">
      <w:pPr>
        <w:pStyle w:val="Heading2"/>
      </w:pPr>
      <w:bookmarkStart w:id="24" w:name="_Toc410651606"/>
      <w:r w:rsidRPr="008C74C3">
        <w:t>Relying Party Obligations</w:t>
      </w:r>
      <w:bookmarkEnd w:id="24"/>
    </w:p>
    <w:tbl>
      <w:tblPr>
        <w:tblW w:w="5000" w:type="pct"/>
        <w:tblLook w:val="0000" w:firstRow="0" w:lastRow="0" w:firstColumn="0" w:lastColumn="0" w:noHBand="0" w:noVBand="0"/>
      </w:tblPr>
      <w:tblGrid>
        <w:gridCol w:w="1801"/>
        <w:gridCol w:w="7770"/>
      </w:tblGrid>
      <w:tr w:rsidR="00FF69F7" w:rsidTr="00FF69F7">
        <w:tblPrEx>
          <w:tblCellMar>
            <w:top w:w="0" w:type="dxa"/>
            <w:bottom w:w="0" w:type="dxa"/>
          </w:tblCellMar>
        </w:tblPrEx>
        <w:trPr>
          <w:cantSplit/>
        </w:trPr>
        <w:tc>
          <w:tcPr>
            <w:tcW w:w="941" w:type="pct"/>
            <w:tcBorders>
              <w:top w:val="nil"/>
              <w:left w:val="nil"/>
              <w:bottom w:val="nil"/>
              <w:right w:val="nil"/>
            </w:tcBorders>
          </w:tcPr>
          <w:p w:rsidR="00FF69F7" w:rsidRPr="00FF69F7" w:rsidRDefault="00FF69F7" w:rsidP="00FF69F7">
            <w:pPr>
              <w:spacing w:before="120"/>
              <w:rPr>
                <w:rFonts w:ascii="Verdana" w:hAnsi="Verdana"/>
                <w:b/>
                <w:sz w:val="18"/>
                <w:szCs w:val="18"/>
              </w:rPr>
            </w:pPr>
          </w:p>
        </w:tc>
        <w:tc>
          <w:tcPr>
            <w:tcW w:w="4059" w:type="pct"/>
            <w:tcBorders>
              <w:top w:val="nil"/>
              <w:left w:val="nil"/>
              <w:bottom w:val="nil"/>
              <w:right w:val="nil"/>
            </w:tcBorders>
          </w:tcPr>
          <w:p w:rsidR="00BA6DD6" w:rsidRDefault="00FF69F7" w:rsidP="00F34B95">
            <w:pPr>
              <w:pStyle w:val="Para"/>
              <w:rPr>
                <w:lang w:eastAsia="en-US"/>
              </w:rPr>
            </w:pPr>
            <w:r w:rsidRPr="00FF69F7">
              <w:rPr>
                <w:lang w:eastAsia="en-US"/>
              </w:rPr>
              <w:t xml:space="preserve">Unless notified by VANguard in writing, Relying Parties </w:t>
            </w:r>
            <w:r w:rsidR="004D6407">
              <w:rPr>
                <w:lang w:eastAsia="en-US"/>
              </w:rPr>
              <w:t xml:space="preserve">that </w:t>
            </w:r>
            <w:r w:rsidRPr="00FF69F7">
              <w:rPr>
                <w:lang w:eastAsia="en-US"/>
              </w:rPr>
              <w:t>rely on VANguard certificates must check the certificat</w:t>
            </w:r>
            <w:r w:rsidR="004D6407">
              <w:rPr>
                <w:lang w:eastAsia="en-US"/>
              </w:rPr>
              <w:t>e</w:t>
            </w:r>
            <w:r w:rsidRPr="00FF69F7">
              <w:rPr>
                <w:lang w:eastAsia="en-US"/>
              </w:rPr>
              <w:t xml:space="preserve"> chain up to the issuing CA</w:t>
            </w:r>
            <w:r w:rsidR="00BA6DD6">
              <w:rPr>
                <w:lang w:eastAsia="en-US"/>
              </w:rPr>
              <w:t xml:space="preserve"> and check the applicable CRL.</w:t>
            </w:r>
          </w:p>
          <w:p w:rsidR="00FF69F7" w:rsidRPr="00FF69F7" w:rsidRDefault="00FF69F7" w:rsidP="00F34B95">
            <w:pPr>
              <w:pStyle w:val="Para"/>
              <w:rPr>
                <w:lang w:eastAsia="en-US"/>
              </w:rPr>
            </w:pPr>
            <w:r w:rsidRPr="00FF69F7">
              <w:rPr>
                <w:lang w:eastAsia="en-US"/>
              </w:rPr>
              <w:t xml:space="preserve">A Relying Party must promptly notify VANguard in the event that it suspects that there has been a compromise of the relevant </w:t>
            </w:r>
            <w:r w:rsidR="002E1498">
              <w:rPr>
                <w:lang w:eastAsia="en-US"/>
              </w:rPr>
              <w:t xml:space="preserve">VANguard </w:t>
            </w:r>
            <w:r w:rsidR="004D6407">
              <w:rPr>
                <w:lang w:eastAsia="en-US"/>
              </w:rPr>
              <w:t>trust point certificates</w:t>
            </w:r>
            <w:r w:rsidRPr="00FF69F7">
              <w:rPr>
                <w:lang w:eastAsia="en-US"/>
              </w:rPr>
              <w:t>.</w:t>
            </w:r>
          </w:p>
        </w:tc>
      </w:tr>
    </w:tbl>
    <w:p w:rsidR="00FF69F7" w:rsidRDefault="00FF69F7" w:rsidP="00FF69F7">
      <w:pPr>
        <w:pStyle w:val="BlockLine"/>
        <w:rPr>
          <w:b/>
        </w:rPr>
      </w:pPr>
    </w:p>
    <w:p w:rsidR="008C74C3" w:rsidRDefault="008C74C3" w:rsidP="008C74C3">
      <w:pPr>
        <w:pStyle w:val="Heading2"/>
      </w:pPr>
      <w:bookmarkStart w:id="25" w:name="_Toc410651607"/>
      <w:r w:rsidRPr="008C74C3">
        <w:t>Refund Policy</w:t>
      </w:r>
      <w:bookmarkEnd w:id="25"/>
    </w:p>
    <w:tbl>
      <w:tblPr>
        <w:tblW w:w="5000" w:type="pct"/>
        <w:tblLook w:val="0000" w:firstRow="0" w:lastRow="0" w:firstColumn="0" w:lastColumn="0" w:noHBand="0" w:noVBand="0"/>
      </w:tblPr>
      <w:tblGrid>
        <w:gridCol w:w="1801"/>
        <w:gridCol w:w="7770"/>
      </w:tblGrid>
      <w:tr w:rsidR="00FF69F7" w:rsidTr="00FF69F7">
        <w:tblPrEx>
          <w:tblCellMar>
            <w:top w:w="0" w:type="dxa"/>
            <w:bottom w:w="0" w:type="dxa"/>
          </w:tblCellMar>
        </w:tblPrEx>
        <w:trPr>
          <w:cantSplit/>
        </w:trPr>
        <w:tc>
          <w:tcPr>
            <w:tcW w:w="941" w:type="pct"/>
            <w:tcBorders>
              <w:top w:val="nil"/>
              <w:left w:val="nil"/>
              <w:bottom w:val="nil"/>
              <w:right w:val="nil"/>
            </w:tcBorders>
          </w:tcPr>
          <w:p w:rsidR="00FF69F7" w:rsidRPr="00D560FD" w:rsidRDefault="00FF69F7" w:rsidP="00FF69F7">
            <w:pPr>
              <w:spacing w:before="120"/>
              <w:rPr>
                <w:rFonts w:ascii="Verdana" w:hAnsi="Verdana"/>
                <w:b/>
                <w:sz w:val="18"/>
                <w:szCs w:val="18"/>
              </w:rPr>
            </w:pPr>
          </w:p>
        </w:tc>
        <w:tc>
          <w:tcPr>
            <w:tcW w:w="4059" w:type="pct"/>
            <w:tcBorders>
              <w:top w:val="nil"/>
              <w:left w:val="nil"/>
              <w:bottom w:val="nil"/>
              <w:right w:val="nil"/>
            </w:tcBorders>
          </w:tcPr>
          <w:p w:rsidR="00FF69F7" w:rsidRPr="00D63D2E" w:rsidRDefault="004B24F9" w:rsidP="00F34B95">
            <w:pPr>
              <w:pStyle w:val="Para"/>
              <w:rPr>
                <w:lang w:eastAsia="en-US"/>
              </w:rPr>
            </w:pPr>
            <w:r>
              <w:rPr>
                <w:lang w:eastAsia="en-US"/>
              </w:rPr>
              <w:t>N</w:t>
            </w:r>
            <w:r w:rsidRPr="00FF69F7">
              <w:rPr>
                <w:lang w:eastAsia="en-US"/>
              </w:rPr>
              <w:t xml:space="preserve">o refunds apply </w:t>
            </w:r>
            <w:r>
              <w:rPr>
                <w:lang w:eastAsia="en-US"/>
              </w:rPr>
              <w:t xml:space="preserve">as </w:t>
            </w:r>
            <w:r w:rsidR="00FF69F7" w:rsidRPr="00FF69F7">
              <w:rPr>
                <w:lang w:eastAsia="en-US"/>
              </w:rPr>
              <w:t>VANguard does not charge fees to Agencies for either VANguard services or VANguard certificates.</w:t>
            </w:r>
          </w:p>
        </w:tc>
      </w:tr>
    </w:tbl>
    <w:p w:rsidR="00FF69F7" w:rsidRDefault="00FF69F7" w:rsidP="00FF69F7">
      <w:pPr>
        <w:pStyle w:val="BlockLine"/>
        <w:rPr>
          <w:b/>
        </w:rPr>
      </w:pPr>
    </w:p>
    <w:p w:rsidR="00BA6DD6" w:rsidRDefault="00BA6DD6" w:rsidP="00BA6DD6">
      <w:pPr>
        <w:pStyle w:val="Heading2"/>
      </w:pPr>
      <w:bookmarkStart w:id="26" w:name="_Toc410651608"/>
      <w:r w:rsidRPr="008C74C3">
        <w:t xml:space="preserve">Agreements, </w:t>
      </w:r>
      <w:r>
        <w:t>C</w:t>
      </w:r>
      <w:r w:rsidR="00C01497">
        <w:t>ertification Practice Statement (CPS)</w:t>
      </w:r>
      <w:bookmarkEnd w:id="26"/>
    </w:p>
    <w:tbl>
      <w:tblPr>
        <w:tblW w:w="5000" w:type="pct"/>
        <w:tblLook w:val="0000" w:firstRow="0" w:lastRow="0" w:firstColumn="0" w:lastColumn="0" w:noHBand="0" w:noVBand="0"/>
      </w:tblPr>
      <w:tblGrid>
        <w:gridCol w:w="1801"/>
        <w:gridCol w:w="7770"/>
      </w:tblGrid>
      <w:tr w:rsidR="00BA6DD6" w:rsidTr="00BA6DD6">
        <w:tblPrEx>
          <w:tblCellMar>
            <w:top w:w="0" w:type="dxa"/>
            <w:bottom w:w="0" w:type="dxa"/>
          </w:tblCellMar>
        </w:tblPrEx>
        <w:trPr>
          <w:cantSplit/>
        </w:trPr>
        <w:tc>
          <w:tcPr>
            <w:tcW w:w="941" w:type="pct"/>
            <w:tcBorders>
              <w:top w:val="nil"/>
              <w:left w:val="nil"/>
              <w:bottom w:val="nil"/>
              <w:right w:val="nil"/>
            </w:tcBorders>
          </w:tcPr>
          <w:p w:rsidR="00BA6DD6" w:rsidRPr="00FF69F7" w:rsidRDefault="00BA6DD6" w:rsidP="00BA6DD6">
            <w:pPr>
              <w:spacing w:before="120"/>
              <w:rPr>
                <w:rFonts w:ascii="Verdana" w:hAnsi="Verdana"/>
                <w:b/>
                <w:sz w:val="18"/>
                <w:szCs w:val="18"/>
              </w:rPr>
            </w:pPr>
          </w:p>
        </w:tc>
        <w:tc>
          <w:tcPr>
            <w:tcW w:w="4059" w:type="pct"/>
            <w:tcBorders>
              <w:top w:val="nil"/>
              <w:left w:val="nil"/>
              <w:bottom w:val="nil"/>
              <w:right w:val="nil"/>
            </w:tcBorders>
          </w:tcPr>
          <w:p w:rsidR="00BA6DD6" w:rsidRDefault="00BA6DD6" w:rsidP="00F34B95">
            <w:pPr>
              <w:pStyle w:val="Para"/>
              <w:rPr>
                <w:lang w:eastAsia="en-US"/>
              </w:rPr>
            </w:pPr>
            <w:r w:rsidRPr="00FF69F7">
              <w:rPr>
                <w:lang w:eastAsia="en-US"/>
              </w:rPr>
              <w:t xml:space="preserve">A document hierarchy applies: the provisions of the applicable </w:t>
            </w:r>
            <w:smartTag w:uri="urn:schemas-microsoft-com:office:smarttags" w:element="place">
              <w:smartTag w:uri="urn:schemas-microsoft-com:office:smarttags" w:element="State">
                <w:r>
                  <w:rPr>
                    <w:lang w:eastAsia="en-US"/>
                  </w:rPr>
                  <w:t>SLA</w:t>
                </w:r>
              </w:smartTag>
            </w:smartTag>
            <w:r w:rsidRPr="00FF69F7">
              <w:rPr>
                <w:lang w:eastAsia="en-US"/>
              </w:rPr>
              <w:t xml:space="preserve"> or other relevant contract overr</w:t>
            </w:r>
            <w:r>
              <w:rPr>
                <w:lang w:eastAsia="en-US"/>
              </w:rPr>
              <w:t>ide the provisions of this PDS.</w:t>
            </w:r>
          </w:p>
          <w:p w:rsidR="00BA6DD6" w:rsidRPr="00FF69F7" w:rsidRDefault="00BA6DD6" w:rsidP="00F34B95">
            <w:pPr>
              <w:pStyle w:val="Para"/>
              <w:rPr>
                <w:lang w:eastAsia="en-US"/>
              </w:rPr>
            </w:pPr>
            <w:r w:rsidRPr="00FF69F7">
              <w:rPr>
                <w:lang w:eastAsia="en-US"/>
              </w:rPr>
              <w:t xml:space="preserve">The provisions of this PDS override </w:t>
            </w:r>
            <w:r>
              <w:rPr>
                <w:lang w:eastAsia="en-US"/>
              </w:rPr>
              <w:t xml:space="preserve">any </w:t>
            </w:r>
            <w:r w:rsidR="00C01497">
              <w:rPr>
                <w:lang w:eastAsia="en-US"/>
              </w:rPr>
              <w:t>applicable CPS.</w:t>
            </w:r>
          </w:p>
          <w:p w:rsidR="00BA6DD6" w:rsidRPr="00D63D2E" w:rsidRDefault="00BA6DD6" w:rsidP="006206F4">
            <w:pPr>
              <w:pStyle w:val="Para"/>
              <w:rPr>
                <w:lang w:eastAsia="en-US"/>
              </w:rPr>
            </w:pPr>
            <w:r w:rsidRPr="00FF69F7">
              <w:rPr>
                <w:lang w:eastAsia="en-US"/>
              </w:rPr>
              <w:t xml:space="preserve">Publicly available documents </w:t>
            </w:r>
            <w:r w:rsidR="004869EB">
              <w:rPr>
                <w:lang w:eastAsia="en-US"/>
              </w:rPr>
              <w:t>are</w:t>
            </w:r>
            <w:r w:rsidRPr="00FF69F7">
              <w:rPr>
                <w:lang w:eastAsia="en-US"/>
              </w:rPr>
              <w:t xml:space="preserve"> posted onto the VANguard webpage at </w:t>
            </w:r>
            <w:hyperlink r:id="rId7" w:history="1">
              <w:r w:rsidR="006206F4" w:rsidRPr="00BA16A9">
                <w:rPr>
                  <w:rStyle w:val="Hyperlink"/>
                  <w:szCs w:val="20"/>
                </w:rPr>
                <w:t>http://vanguard.business.gov.au</w:t>
              </w:r>
            </w:hyperlink>
          </w:p>
        </w:tc>
      </w:tr>
    </w:tbl>
    <w:p w:rsidR="00BA6DD6" w:rsidRDefault="00BA6DD6" w:rsidP="00BA6DD6">
      <w:pPr>
        <w:pStyle w:val="BlockLine"/>
        <w:rPr>
          <w:b/>
        </w:rPr>
      </w:pPr>
    </w:p>
    <w:sectPr w:rsidR="00BA6DD6" w:rsidSect="00D560FD">
      <w:headerReference w:type="first" r:id="rId8"/>
      <w:footerReference w:type="first" r:id="rId9"/>
      <w:pgSz w:w="11907" w:h="16840" w:code="9"/>
      <w:pgMar w:top="1134" w:right="1134" w:bottom="1134" w:left="1418" w:header="709" w:footer="567" w:gutter="0"/>
      <w:cols w:space="708" w:equalWidth="0">
        <w:col w:w="9355"/>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F05" w:rsidRDefault="00C01F05">
      <w:r>
        <w:separator/>
      </w:r>
    </w:p>
  </w:endnote>
  <w:endnote w:type="continuationSeparator" w:id="0">
    <w:p w:rsidR="00C01F05" w:rsidRDefault="00C0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Garamond (W1)">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4C" w:rsidRDefault="00527996" w:rsidP="00906D45">
    <w:pPr>
      <w:pStyle w:val="Header"/>
      <w:pBdr>
        <w:top w:val="single" w:sz="4" w:space="1" w:color="auto"/>
      </w:pBdr>
      <w:tabs>
        <w:tab w:val="clear" w:pos="8306"/>
        <w:tab w:val="right" w:pos="9360"/>
      </w:tabs>
      <w:rPr>
        <w:rStyle w:val="PageNumber"/>
      </w:rPr>
    </w:pPr>
    <w:r>
      <w:rPr>
        <w:lang w:val="en-AU"/>
      </w:rPr>
      <w:t>V2.3</w:t>
    </w:r>
    <w:r w:rsidR="00544B4C">
      <w:rPr>
        <w:lang w:val="en-AU"/>
      </w:rPr>
      <w:tab/>
    </w:r>
    <w:r w:rsidR="00544B4C">
      <w:rPr>
        <w:lang w:val="en-AU"/>
      </w:rPr>
      <w:tab/>
      <w:t xml:space="preserve">Page </w:t>
    </w:r>
    <w:r w:rsidR="00544B4C">
      <w:rPr>
        <w:rStyle w:val="PageNumber"/>
      </w:rPr>
      <w:fldChar w:fldCharType="begin"/>
    </w:r>
    <w:r w:rsidR="00544B4C">
      <w:rPr>
        <w:rStyle w:val="PageNumber"/>
      </w:rPr>
      <w:instrText xml:space="preserve"> PAGE </w:instrText>
    </w:r>
    <w:r w:rsidR="00544B4C">
      <w:rPr>
        <w:rStyle w:val="PageNumber"/>
      </w:rPr>
      <w:fldChar w:fldCharType="separate"/>
    </w:r>
    <w:r w:rsidR="00E074F9">
      <w:rPr>
        <w:rStyle w:val="PageNumber"/>
        <w:noProof/>
      </w:rPr>
      <w:t>1</w:t>
    </w:r>
    <w:r w:rsidR="00544B4C">
      <w:rPr>
        <w:rStyle w:val="PageNumber"/>
      </w:rPr>
      <w:fldChar w:fldCharType="end"/>
    </w:r>
    <w:r w:rsidR="00544B4C">
      <w:rPr>
        <w:rStyle w:val="PageNumber"/>
      </w:rPr>
      <w:t xml:space="preserve"> of </w:t>
    </w:r>
    <w:r w:rsidR="00544B4C">
      <w:rPr>
        <w:rStyle w:val="PageNumber"/>
      </w:rPr>
      <w:fldChar w:fldCharType="begin"/>
    </w:r>
    <w:r w:rsidR="00544B4C">
      <w:rPr>
        <w:rStyle w:val="PageNumber"/>
      </w:rPr>
      <w:instrText xml:space="preserve"> NUMPAGES </w:instrText>
    </w:r>
    <w:r w:rsidR="00544B4C">
      <w:rPr>
        <w:rStyle w:val="PageNumber"/>
      </w:rPr>
      <w:fldChar w:fldCharType="separate"/>
    </w:r>
    <w:r w:rsidR="00E074F9">
      <w:rPr>
        <w:rStyle w:val="PageNumber"/>
        <w:noProof/>
      </w:rPr>
      <w:t>5</w:t>
    </w:r>
    <w:r w:rsidR="00544B4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F05" w:rsidRDefault="00C01F05">
      <w:r>
        <w:separator/>
      </w:r>
    </w:p>
  </w:footnote>
  <w:footnote w:type="continuationSeparator" w:id="0">
    <w:p w:rsidR="00C01F05" w:rsidRDefault="00C01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4C" w:rsidRDefault="00544B4C" w:rsidP="00BE4CBD">
    <w:pPr>
      <w:pStyle w:val="Header"/>
      <w:pBdr>
        <w:bottom w:val="single" w:sz="4" w:space="1" w:color="auto"/>
      </w:pBdr>
      <w:jc w:val="right"/>
    </w:pPr>
    <w:r>
      <w:t>VANguard Agency PDS</w:t>
    </w:r>
  </w:p>
  <w:p w:rsidR="00544B4C" w:rsidRPr="0008190F" w:rsidRDefault="00544B4C" w:rsidP="00B04D94">
    <w:pPr>
      <w:pStyle w:val="Header"/>
      <w:jc w:val="center"/>
      <w:rPr>
        <w:b/>
        <w:color w:val="808080"/>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33658"/>
    <w:multiLevelType w:val="singleLevel"/>
    <w:tmpl w:val="4D72939E"/>
    <w:lvl w:ilvl="0">
      <w:start w:val="1"/>
      <w:numFmt w:val="bullet"/>
      <w:pStyle w:val="BodyTextBullet"/>
      <w:lvlText w:val=""/>
      <w:lvlJc w:val="left"/>
      <w:pPr>
        <w:tabs>
          <w:tab w:val="num" w:pos="1364"/>
        </w:tabs>
        <w:ind w:left="1288" w:hanging="284"/>
      </w:pPr>
      <w:rPr>
        <w:rFonts w:ascii="Wingdings" w:hAnsi="Wingdings" w:hint="default"/>
      </w:rPr>
    </w:lvl>
  </w:abstractNum>
  <w:abstractNum w:abstractNumId="1" w15:restartNumberingAfterBreak="0">
    <w:nsid w:val="388A5110"/>
    <w:multiLevelType w:val="multilevel"/>
    <w:tmpl w:val="9C4C8E24"/>
    <w:styleLink w:val="StyleListBullet1"/>
    <w:lvl w:ilvl="0">
      <w:start w:val="1"/>
      <w:numFmt w:val="bullet"/>
      <w:lvlText w:val=""/>
      <w:lvlJc w:val="left"/>
      <w:pPr>
        <w:tabs>
          <w:tab w:val="num" w:pos="357"/>
        </w:tabs>
        <w:ind w:left="357" w:hanging="357"/>
      </w:pPr>
      <w:rPr>
        <w:rFonts w:ascii="Wingdings 2" w:hAnsi="Wingdings 2" w:hint="default"/>
        <w:color w:val="CC0000"/>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0"/>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8A"/>
    <w:rsid w:val="00001DB1"/>
    <w:rsid w:val="00005595"/>
    <w:rsid w:val="000062DD"/>
    <w:rsid w:val="00012C20"/>
    <w:rsid w:val="00013AA4"/>
    <w:rsid w:val="00013DE0"/>
    <w:rsid w:val="00013F4A"/>
    <w:rsid w:val="0001721D"/>
    <w:rsid w:val="00020B12"/>
    <w:rsid w:val="00022D16"/>
    <w:rsid w:val="00024E72"/>
    <w:rsid w:val="00026E8A"/>
    <w:rsid w:val="0003212D"/>
    <w:rsid w:val="0003310A"/>
    <w:rsid w:val="00036CC5"/>
    <w:rsid w:val="00037ACC"/>
    <w:rsid w:val="00037BEE"/>
    <w:rsid w:val="00041A22"/>
    <w:rsid w:val="00042173"/>
    <w:rsid w:val="00047E15"/>
    <w:rsid w:val="000646D3"/>
    <w:rsid w:val="00066932"/>
    <w:rsid w:val="0007216E"/>
    <w:rsid w:val="000739CD"/>
    <w:rsid w:val="00081FD4"/>
    <w:rsid w:val="00082864"/>
    <w:rsid w:val="0008397E"/>
    <w:rsid w:val="00094FD3"/>
    <w:rsid w:val="00097202"/>
    <w:rsid w:val="000A0EA3"/>
    <w:rsid w:val="000A36CD"/>
    <w:rsid w:val="000A6C0C"/>
    <w:rsid w:val="000B51D3"/>
    <w:rsid w:val="000B544C"/>
    <w:rsid w:val="000D0954"/>
    <w:rsid w:val="000D1EDD"/>
    <w:rsid w:val="000D3DCF"/>
    <w:rsid w:val="000F04A0"/>
    <w:rsid w:val="000F5032"/>
    <w:rsid w:val="00101DF1"/>
    <w:rsid w:val="001065AE"/>
    <w:rsid w:val="00107BE0"/>
    <w:rsid w:val="00107F9E"/>
    <w:rsid w:val="00113087"/>
    <w:rsid w:val="00113819"/>
    <w:rsid w:val="00114FA0"/>
    <w:rsid w:val="001160AC"/>
    <w:rsid w:val="0011752D"/>
    <w:rsid w:val="001209D9"/>
    <w:rsid w:val="00125527"/>
    <w:rsid w:val="00126C3A"/>
    <w:rsid w:val="0013170F"/>
    <w:rsid w:val="0013509F"/>
    <w:rsid w:val="00135F53"/>
    <w:rsid w:val="001400A8"/>
    <w:rsid w:val="001402F7"/>
    <w:rsid w:val="00140477"/>
    <w:rsid w:val="001477E8"/>
    <w:rsid w:val="0014790C"/>
    <w:rsid w:val="00150115"/>
    <w:rsid w:val="00157A20"/>
    <w:rsid w:val="00157DBB"/>
    <w:rsid w:val="00160BAC"/>
    <w:rsid w:val="001642CC"/>
    <w:rsid w:val="0016617F"/>
    <w:rsid w:val="00175DC0"/>
    <w:rsid w:val="0017682C"/>
    <w:rsid w:val="001773F3"/>
    <w:rsid w:val="00180BB5"/>
    <w:rsid w:val="001810E4"/>
    <w:rsid w:val="00182C3A"/>
    <w:rsid w:val="00183949"/>
    <w:rsid w:val="00183EB7"/>
    <w:rsid w:val="00194AE8"/>
    <w:rsid w:val="00197046"/>
    <w:rsid w:val="0019788A"/>
    <w:rsid w:val="001A4350"/>
    <w:rsid w:val="001B15BC"/>
    <w:rsid w:val="001B66FB"/>
    <w:rsid w:val="001C1D4E"/>
    <w:rsid w:val="001C4F8A"/>
    <w:rsid w:val="001C655E"/>
    <w:rsid w:val="001D23E4"/>
    <w:rsid w:val="001E01A7"/>
    <w:rsid w:val="001E5191"/>
    <w:rsid w:val="001F1B8D"/>
    <w:rsid w:val="001F2950"/>
    <w:rsid w:val="001F71D4"/>
    <w:rsid w:val="002147A0"/>
    <w:rsid w:val="00214F11"/>
    <w:rsid w:val="00220342"/>
    <w:rsid w:val="0022184A"/>
    <w:rsid w:val="00225184"/>
    <w:rsid w:val="002329E4"/>
    <w:rsid w:val="00233B84"/>
    <w:rsid w:val="00240683"/>
    <w:rsid w:val="002505D4"/>
    <w:rsid w:val="00252EEC"/>
    <w:rsid w:val="00254254"/>
    <w:rsid w:val="002574AE"/>
    <w:rsid w:val="00263DA7"/>
    <w:rsid w:val="00272E02"/>
    <w:rsid w:val="0027404B"/>
    <w:rsid w:val="00275C1D"/>
    <w:rsid w:val="002767E4"/>
    <w:rsid w:val="00291572"/>
    <w:rsid w:val="002A23E1"/>
    <w:rsid w:val="002A2EDA"/>
    <w:rsid w:val="002A40A5"/>
    <w:rsid w:val="002B2488"/>
    <w:rsid w:val="002B6454"/>
    <w:rsid w:val="002B7E9B"/>
    <w:rsid w:val="002C27F2"/>
    <w:rsid w:val="002C4EA0"/>
    <w:rsid w:val="002C58FD"/>
    <w:rsid w:val="002D42B7"/>
    <w:rsid w:val="002D53E7"/>
    <w:rsid w:val="002D63AE"/>
    <w:rsid w:val="002D7EA1"/>
    <w:rsid w:val="002E1498"/>
    <w:rsid w:val="002E40ED"/>
    <w:rsid w:val="002E5874"/>
    <w:rsid w:val="002E75D6"/>
    <w:rsid w:val="002F5573"/>
    <w:rsid w:val="003018D3"/>
    <w:rsid w:val="003021DC"/>
    <w:rsid w:val="00305FC9"/>
    <w:rsid w:val="00311A47"/>
    <w:rsid w:val="003150EC"/>
    <w:rsid w:val="00316684"/>
    <w:rsid w:val="00327E15"/>
    <w:rsid w:val="00333850"/>
    <w:rsid w:val="003345FF"/>
    <w:rsid w:val="003357BD"/>
    <w:rsid w:val="00337EC6"/>
    <w:rsid w:val="00341C60"/>
    <w:rsid w:val="00344C81"/>
    <w:rsid w:val="00346207"/>
    <w:rsid w:val="0036350D"/>
    <w:rsid w:val="00373349"/>
    <w:rsid w:val="0037540E"/>
    <w:rsid w:val="00377926"/>
    <w:rsid w:val="003826C5"/>
    <w:rsid w:val="00387C79"/>
    <w:rsid w:val="003903F6"/>
    <w:rsid w:val="00393B41"/>
    <w:rsid w:val="00396D11"/>
    <w:rsid w:val="003A25ED"/>
    <w:rsid w:val="003A273F"/>
    <w:rsid w:val="003A2E29"/>
    <w:rsid w:val="003A7166"/>
    <w:rsid w:val="003B3E1C"/>
    <w:rsid w:val="003B54A7"/>
    <w:rsid w:val="003B576D"/>
    <w:rsid w:val="003D0908"/>
    <w:rsid w:val="003D4DA2"/>
    <w:rsid w:val="003D69DB"/>
    <w:rsid w:val="003D7B79"/>
    <w:rsid w:val="00401641"/>
    <w:rsid w:val="004038B3"/>
    <w:rsid w:val="00405027"/>
    <w:rsid w:val="00410F24"/>
    <w:rsid w:val="00415A1D"/>
    <w:rsid w:val="004235E6"/>
    <w:rsid w:val="00425BF0"/>
    <w:rsid w:val="00427840"/>
    <w:rsid w:val="00432D87"/>
    <w:rsid w:val="004375A5"/>
    <w:rsid w:val="00444169"/>
    <w:rsid w:val="00446500"/>
    <w:rsid w:val="00454EFD"/>
    <w:rsid w:val="00461AD0"/>
    <w:rsid w:val="00462392"/>
    <w:rsid w:val="00470014"/>
    <w:rsid w:val="00473846"/>
    <w:rsid w:val="00474BF7"/>
    <w:rsid w:val="00475603"/>
    <w:rsid w:val="00482708"/>
    <w:rsid w:val="00483892"/>
    <w:rsid w:val="00485B8C"/>
    <w:rsid w:val="004869EB"/>
    <w:rsid w:val="00492954"/>
    <w:rsid w:val="004972F0"/>
    <w:rsid w:val="004B1BD2"/>
    <w:rsid w:val="004B24F9"/>
    <w:rsid w:val="004C5F0D"/>
    <w:rsid w:val="004D5F29"/>
    <w:rsid w:val="004D6407"/>
    <w:rsid w:val="004E1261"/>
    <w:rsid w:val="004F464A"/>
    <w:rsid w:val="004F4B11"/>
    <w:rsid w:val="004F6EF1"/>
    <w:rsid w:val="004F7F04"/>
    <w:rsid w:val="00500582"/>
    <w:rsid w:val="005136B1"/>
    <w:rsid w:val="00516EAB"/>
    <w:rsid w:val="00527996"/>
    <w:rsid w:val="005331EB"/>
    <w:rsid w:val="00537BE6"/>
    <w:rsid w:val="00540BA5"/>
    <w:rsid w:val="00542335"/>
    <w:rsid w:val="00542959"/>
    <w:rsid w:val="0054467F"/>
    <w:rsid w:val="00544B4C"/>
    <w:rsid w:val="00544CD7"/>
    <w:rsid w:val="0054638A"/>
    <w:rsid w:val="0055029D"/>
    <w:rsid w:val="00552925"/>
    <w:rsid w:val="00553D2C"/>
    <w:rsid w:val="00554C1C"/>
    <w:rsid w:val="0056141C"/>
    <w:rsid w:val="00561BBE"/>
    <w:rsid w:val="00561C12"/>
    <w:rsid w:val="00563238"/>
    <w:rsid w:val="00573ABD"/>
    <w:rsid w:val="005764CB"/>
    <w:rsid w:val="00584038"/>
    <w:rsid w:val="00596577"/>
    <w:rsid w:val="005A2997"/>
    <w:rsid w:val="005A696F"/>
    <w:rsid w:val="005B0209"/>
    <w:rsid w:val="005B03C1"/>
    <w:rsid w:val="005B347A"/>
    <w:rsid w:val="005B361B"/>
    <w:rsid w:val="005B508D"/>
    <w:rsid w:val="005C08C4"/>
    <w:rsid w:val="005C19B3"/>
    <w:rsid w:val="005C3CB2"/>
    <w:rsid w:val="005C7A07"/>
    <w:rsid w:val="005D146A"/>
    <w:rsid w:val="005D358F"/>
    <w:rsid w:val="005D3A6C"/>
    <w:rsid w:val="005D4D6B"/>
    <w:rsid w:val="005D6417"/>
    <w:rsid w:val="005D6E53"/>
    <w:rsid w:val="005D79E4"/>
    <w:rsid w:val="005E23D3"/>
    <w:rsid w:val="005E4061"/>
    <w:rsid w:val="005E462C"/>
    <w:rsid w:val="005E7FA9"/>
    <w:rsid w:val="005F01FE"/>
    <w:rsid w:val="005F3AC9"/>
    <w:rsid w:val="005F3F27"/>
    <w:rsid w:val="006012C6"/>
    <w:rsid w:val="0060407D"/>
    <w:rsid w:val="0060637C"/>
    <w:rsid w:val="0061226C"/>
    <w:rsid w:val="00613798"/>
    <w:rsid w:val="00615E6A"/>
    <w:rsid w:val="006206F4"/>
    <w:rsid w:val="00632143"/>
    <w:rsid w:val="00632B5D"/>
    <w:rsid w:val="00637803"/>
    <w:rsid w:val="00643583"/>
    <w:rsid w:val="00650CF6"/>
    <w:rsid w:val="0065353D"/>
    <w:rsid w:val="006548DD"/>
    <w:rsid w:val="006632C6"/>
    <w:rsid w:val="0066405D"/>
    <w:rsid w:val="00665657"/>
    <w:rsid w:val="00666FD6"/>
    <w:rsid w:val="0067132C"/>
    <w:rsid w:val="006715C8"/>
    <w:rsid w:val="00677EFC"/>
    <w:rsid w:val="0068451A"/>
    <w:rsid w:val="00687CC0"/>
    <w:rsid w:val="006924B8"/>
    <w:rsid w:val="00694E81"/>
    <w:rsid w:val="006A156D"/>
    <w:rsid w:val="006A4D9C"/>
    <w:rsid w:val="006B0049"/>
    <w:rsid w:val="006B1A26"/>
    <w:rsid w:val="006B3963"/>
    <w:rsid w:val="006B4BCA"/>
    <w:rsid w:val="006B5528"/>
    <w:rsid w:val="006B6636"/>
    <w:rsid w:val="006D3973"/>
    <w:rsid w:val="006D50E8"/>
    <w:rsid w:val="006D703D"/>
    <w:rsid w:val="006E199A"/>
    <w:rsid w:val="006F072E"/>
    <w:rsid w:val="006F1E4A"/>
    <w:rsid w:val="006F2C09"/>
    <w:rsid w:val="006F38C1"/>
    <w:rsid w:val="006F59C4"/>
    <w:rsid w:val="00715285"/>
    <w:rsid w:val="00722A0B"/>
    <w:rsid w:val="007259E7"/>
    <w:rsid w:val="00732C52"/>
    <w:rsid w:val="00736ACF"/>
    <w:rsid w:val="00744167"/>
    <w:rsid w:val="0074519D"/>
    <w:rsid w:val="007521E0"/>
    <w:rsid w:val="0075230D"/>
    <w:rsid w:val="007547A5"/>
    <w:rsid w:val="00755276"/>
    <w:rsid w:val="00762187"/>
    <w:rsid w:val="00773C58"/>
    <w:rsid w:val="00774732"/>
    <w:rsid w:val="00782AF3"/>
    <w:rsid w:val="00783284"/>
    <w:rsid w:val="0079286E"/>
    <w:rsid w:val="00795A27"/>
    <w:rsid w:val="007A0576"/>
    <w:rsid w:val="007A1616"/>
    <w:rsid w:val="007A1D76"/>
    <w:rsid w:val="007A201D"/>
    <w:rsid w:val="007A50F9"/>
    <w:rsid w:val="007B4503"/>
    <w:rsid w:val="007B675B"/>
    <w:rsid w:val="007B7DAD"/>
    <w:rsid w:val="007C387F"/>
    <w:rsid w:val="007C4BFA"/>
    <w:rsid w:val="007C798E"/>
    <w:rsid w:val="007D401B"/>
    <w:rsid w:val="007D6C53"/>
    <w:rsid w:val="007E1770"/>
    <w:rsid w:val="007E6849"/>
    <w:rsid w:val="007E7312"/>
    <w:rsid w:val="007E7CC4"/>
    <w:rsid w:val="0081074E"/>
    <w:rsid w:val="0081370F"/>
    <w:rsid w:val="00814A12"/>
    <w:rsid w:val="00825730"/>
    <w:rsid w:val="00825753"/>
    <w:rsid w:val="00825956"/>
    <w:rsid w:val="008313C7"/>
    <w:rsid w:val="00831F05"/>
    <w:rsid w:val="00836C14"/>
    <w:rsid w:val="00840295"/>
    <w:rsid w:val="00842287"/>
    <w:rsid w:val="00845A01"/>
    <w:rsid w:val="00855648"/>
    <w:rsid w:val="0085750F"/>
    <w:rsid w:val="008623C2"/>
    <w:rsid w:val="0086335A"/>
    <w:rsid w:val="00865C20"/>
    <w:rsid w:val="0086627D"/>
    <w:rsid w:val="0087413E"/>
    <w:rsid w:val="0087459C"/>
    <w:rsid w:val="0087705A"/>
    <w:rsid w:val="00885136"/>
    <w:rsid w:val="00886A90"/>
    <w:rsid w:val="008A15E1"/>
    <w:rsid w:val="008A4057"/>
    <w:rsid w:val="008A6FEE"/>
    <w:rsid w:val="008B09BE"/>
    <w:rsid w:val="008B41DE"/>
    <w:rsid w:val="008B6A1F"/>
    <w:rsid w:val="008B6A42"/>
    <w:rsid w:val="008B719A"/>
    <w:rsid w:val="008B7354"/>
    <w:rsid w:val="008C1C5C"/>
    <w:rsid w:val="008C5A80"/>
    <w:rsid w:val="008C5EEF"/>
    <w:rsid w:val="008C6B36"/>
    <w:rsid w:val="008C74C3"/>
    <w:rsid w:val="008D3418"/>
    <w:rsid w:val="008D58CB"/>
    <w:rsid w:val="008D7126"/>
    <w:rsid w:val="008E6079"/>
    <w:rsid w:val="008E75B5"/>
    <w:rsid w:val="008F4794"/>
    <w:rsid w:val="008F5081"/>
    <w:rsid w:val="008F5506"/>
    <w:rsid w:val="008F5BA3"/>
    <w:rsid w:val="00902B45"/>
    <w:rsid w:val="009039CE"/>
    <w:rsid w:val="009046F9"/>
    <w:rsid w:val="00906D45"/>
    <w:rsid w:val="00907A01"/>
    <w:rsid w:val="00910468"/>
    <w:rsid w:val="0092034F"/>
    <w:rsid w:val="00927858"/>
    <w:rsid w:val="00930B7D"/>
    <w:rsid w:val="00931059"/>
    <w:rsid w:val="00936C37"/>
    <w:rsid w:val="00940154"/>
    <w:rsid w:val="00940B6C"/>
    <w:rsid w:val="009434AB"/>
    <w:rsid w:val="00944EEA"/>
    <w:rsid w:val="00946396"/>
    <w:rsid w:val="0095783B"/>
    <w:rsid w:val="00957956"/>
    <w:rsid w:val="00963212"/>
    <w:rsid w:val="00963587"/>
    <w:rsid w:val="00964551"/>
    <w:rsid w:val="009647FE"/>
    <w:rsid w:val="009661E5"/>
    <w:rsid w:val="0096691A"/>
    <w:rsid w:val="009673E1"/>
    <w:rsid w:val="00967E7D"/>
    <w:rsid w:val="00970A44"/>
    <w:rsid w:val="00974439"/>
    <w:rsid w:val="009760A6"/>
    <w:rsid w:val="0099640C"/>
    <w:rsid w:val="0099799A"/>
    <w:rsid w:val="009A1E3F"/>
    <w:rsid w:val="009A5AE6"/>
    <w:rsid w:val="009A5F60"/>
    <w:rsid w:val="009A6159"/>
    <w:rsid w:val="009B7491"/>
    <w:rsid w:val="009B7D7B"/>
    <w:rsid w:val="009C041C"/>
    <w:rsid w:val="009C165A"/>
    <w:rsid w:val="009C1F74"/>
    <w:rsid w:val="009C2CB7"/>
    <w:rsid w:val="009C6281"/>
    <w:rsid w:val="009D16AC"/>
    <w:rsid w:val="009D1835"/>
    <w:rsid w:val="009D3160"/>
    <w:rsid w:val="009D5836"/>
    <w:rsid w:val="009E4F7D"/>
    <w:rsid w:val="009F3047"/>
    <w:rsid w:val="009F4303"/>
    <w:rsid w:val="00A00B0C"/>
    <w:rsid w:val="00A02BF8"/>
    <w:rsid w:val="00A044E1"/>
    <w:rsid w:val="00A14A9E"/>
    <w:rsid w:val="00A14C99"/>
    <w:rsid w:val="00A153E0"/>
    <w:rsid w:val="00A165CA"/>
    <w:rsid w:val="00A176BA"/>
    <w:rsid w:val="00A23DDA"/>
    <w:rsid w:val="00A24732"/>
    <w:rsid w:val="00A33C5D"/>
    <w:rsid w:val="00A36D59"/>
    <w:rsid w:val="00A377B6"/>
    <w:rsid w:val="00A43A84"/>
    <w:rsid w:val="00A44B62"/>
    <w:rsid w:val="00A44DB1"/>
    <w:rsid w:val="00A46D0F"/>
    <w:rsid w:val="00A52415"/>
    <w:rsid w:val="00A52D44"/>
    <w:rsid w:val="00A57201"/>
    <w:rsid w:val="00A57270"/>
    <w:rsid w:val="00A61AE8"/>
    <w:rsid w:val="00A62E8B"/>
    <w:rsid w:val="00A65536"/>
    <w:rsid w:val="00A76D35"/>
    <w:rsid w:val="00A80C0F"/>
    <w:rsid w:val="00A82703"/>
    <w:rsid w:val="00A82E9C"/>
    <w:rsid w:val="00A85F4F"/>
    <w:rsid w:val="00A91056"/>
    <w:rsid w:val="00A95D38"/>
    <w:rsid w:val="00A967A5"/>
    <w:rsid w:val="00A97786"/>
    <w:rsid w:val="00AA1F9C"/>
    <w:rsid w:val="00AA21A9"/>
    <w:rsid w:val="00AA6BCC"/>
    <w:rsid w:val="00AB0C62"/>
    <w:rsid w:val="00AC3F3B"/>
    <w:rsid w:val="00AC5750"/>
    <w:rsid w:val="00AC5D9F"/>
    <w:rsid w:val="00AC73B7"/>
    <w:rsid w:val="00AD4CCC"/>
    <w:rsid w:val="00AE2A2A"/>
    <w:rsid w:val="00AF1CAA"/>
    <w:rsid w:val="00AF4BED"/>
    <w:rsid w:val="00AF77BA"/>
    <w:rsid w:val="00B01185"/>
    <w:rsid w:val="00B04D94"/>
    <w:rsid w:val="00B05C6E"/>
    <w:rsid w:val="00B164F4"/>
    <w:rsid w:val="00B2772F"/>
    <w:rsid w:val="00B30785"/>
    <w:rsid w:val="00B33763"/>
    <w:rsid w:val="00B3477F"/>
    <w:rsid w:val="00B36542"/>
    <w:rsid w:val="00B367D1"/>
    <w:rsid w:val="00B4463A"/>
    <w:rsid w:val="00B44F84"/>
    <w:rsid w:val="00B512AB"/>
    <w:rsid w:val="00B5779F"/>
    <w:rsid w:val="00B60CFE"/>
    <w:rsid w:val="00B63A5B"/>
    <w:rsid w:val="00B67224"/>
    <w:rsid w:val="00B766D4"/>
    <w:rsid w:val="00B81AC1"/>
    <w:rsid w:val="00B82D1E"/>
    <w:rsid w:val="00B82D5C"/>
    <w:rsid w:val="00B8458E"/>
    <w:rsid w:val="00B86209"/>
    <w:rsid w:val="00B874E6"/>
    <w:rsid w:val="00B87C9B"/>
    <w:rsid w:val="00B90AA7"/>
    <w:rsid w:val="00B9351B"/>
    <w:rsid w:val="00B9442C"/>
    <w:rsid w:val="00B9793A"/>
    <w:rsid w:val="00BA4743"/>
    <w:rsid w:val="00BA6DD6"/>
    <w:rsid w:val="00BA76A6"/>
    <w:rsid w:val="00BA7DFD"/>
    <w:rsid w:val="00BB131B"/>
    <w:rsid w:val="00BB3BA3"/>
    <w:rsid w:val="00BB41B8"/>
    <w:rsid w:val="00BB4570"/>
    <w:rsid w:val="00BB622B"/>
    <w:rsid w:val="00BB6704"/>
    <w:rsid w:val="00BB79E6"/>
    <w:rsid w:val="00BD0770"/>
    <w:rsid w:val="00BD0A34"/>
    <w:rsid w:val="00BD3F58"/>
    <w:rsid w:val="00BE3D90"/>
    <w:rsid w:val="00BE4CBD"/>
    <w:rsid w:val="00BE52C2"/>
    <w:rsid w:val="00BE554A"/>
    <w:rsid w:val="00BF487E"/>
    <w:rsid w:val="00C0112F"/>
    <w:rsid w:val="00C01497"/>
    <w:rsid w:val="00C01F05"/>
    <w:rsid w:val="00C12679"/>
    <w:rsid w:val="00C15AB5"/>
    <w:rsid w:val="00C175B9"/>
    <w:rsid w:val="00C21DDC"/>
    <w:rsid w:val="00C22A6D"/>
    <w:rsid w:val="00C411AB"/>
    <w:rsid w:val="00C51528"/>
    <w:rsid w:val="00C62128"/>
    <w:rsid w:val="00C642A5"/>
    <w:rsid w:val="00C652FB"/>
    <w:rsid w:val="00C6632A"/>
    <w:rsid w:val="00C7687A"/>
    <w:rsid w:val="00C76D7F"/>
    <w:rsid w:val="00C805B5"/>
    <w:rsid w:val="00C806B1"/>
    <w:rsid w:val="00C82F8C"/>
    <w:rsid w:val="00C91AAD"/>
    <w:rsid w:val="00C93DC6"/>
    <w:rsid w:val="00CA02E4"/>
    <w:rsid w:val="00CA3F05"/>
    <w:rsid w:val="00CA4A48"/>
    <w:rsid w:val="00CA7462"/>
    <w:rsid w:val="00CC402A"/>
    <w:rsid w:val="00CD04AA"/>
    <w:rsid w:val="00CD49FC"/>
    <w:rsid w:val="00CD502D"/>
    <w:rsid w:val="00CE2E53"/>
    <w:rsid w:val="00CE41FF"/>
    <w:rsid w:val="00CF7C28"/>
    <w:rsid w:val="00D0710D"/>
    <w:rsid w:val="00D162D9"/>
    <w:rsid w:val="00D16B6D"/>
    <w:rsid w:val="00D1740C"/>
    <w:rsid w:val="00D208A0"/>
    <w:rsid w:val="00D23793"/>
    <w:rsid w:val="00D26948"/>
    <w:rsid w:val="00D2762A"/>
    <w:rsid w:val="00D34A85"/>
    <w:rsid w:val="00D40F00"/>
    <w:rsid w:val="00D424CE"/>
    <w:rsid w:val="00D44782"/>
    <w:rsid w:val="00D4483C"/>
    <w:rsid w:val="00D53487"/>
    <w:rsid w:val="00D560FD"/>
    <w:rsid w:val="00D57FAD"/>
    <w:rsid w:val="00D609AF"/>
    <w:rsid w:val="00D61921"/>
    <w:rsid w:val="00D6337C"/>
    <w:rsid w:val="00D635A5"/>
    <w:rsid w:val="00D63D2E"/>
    <w:rsid w:val="00D66804"/>
    <w:rsid w:val="00D72667"/>
    <w:rsid w:val="00D72887"/>
    <w:rsid w:val="00D81066"/>
    <w:rsid w:val="00D85E1D"/>
    <w:rsid w:val="00D873CC"/>
    <w:rsid w:val="00D90FFF"/>
    <w:rsid w:val="00D96D15"/>
    <w:rsid w:val="00D9729D"/>
    <w:rsid w:val="00DA324D"/>
    <w:rsid w:val="00DA50BE"/>
    <w:rsid w:val="00DB0B15"/>
    <w:rsid w:val="00DB2AAD"/>
    <w:rsid w:val="00DB6420"/>
    <w:rsid w:val="00DB77D6"/>
    <w:rsid w:val="00DC1E94"/>
    <w:rsid w:val="00DC1EFA"/>
    <w:rsid w:val="00DD1114"/>
    <w:rsid w:val="00DD172E"/>
    <w:rsid w:val="00DD2036"/>
    <w:rsid w:val="00DD4E28"/>
    <w:rsid w:val="00DE045E"/>
    <w:rsid w:val="00DE09DC"/>
    <w:rsid w:val="00DE6A09"/>
    <w:rsid w:val="00DE7221"/>
    <w:rsid w:val="00DF155D"/>
    <w:rsid w:val="00DF55F4"/>
    <w:rsid w:val="00DF5DF4"/>
    <w:rsid w:val="00E002A7"/>
    <w:rsid w:val="00E01931"/>
    <w:rsid w:val="00E03801"/>
    <w:rsid w:val="00E06E2F"/>
    <w:rsid w:val="00E074F9"/>
    <w:rsid w:val="00E1641D"/>
    <w:rsid w:val="00E217A3"/>
    <w:rsid w:val="00E26560"/>
    <w:rsid w:val="00E33EDB"/>
    <w:rsid w:val="00E37C66"/>
    <w:rsid w:val="00E5044A"/>
    <w:rsid w:val="00E51D8C"/>
    <w:rsid w:val="00E6010D"/>
    <w:rsid w:val="00E61C10"/>
    <w:rsid w:val="00E6221C"/>
    <w:rsid w:val="00E6346C"/>
    <w:rsid w:val="00E678C3"/>
    <w:rsid w:val="00E8582B"/>
    <w:rsid w:val="00E87B74"/>
    <w:rsid w:val="00E94C58"/>
    <w:rsid w:val="00EA2BFE"/>
    <w:rsid w:val="00EA607D"/>
    <w:rsid w:val="00EB24DB"/>
    <w:rsid w:val="00EB2B82"/>
    <w:rsid w:val="00EC0A76"/>
    <w:rsid w:val="00EC56B8"/>
    <w:rsid w:val="00ED1664"/>
    <w:rsid w:val="00ED194C"/>
    <w:rsid w:val="00ED2BE5"/>
    <w:rsid w:val="00ED30AF"/>
    <w:rsid w:val="00ED397A"/>
    <w:rsid w:val="00ED4D24"/>
    <w:rsid w:val="00ED5082"/>
    <w:rsid w:val="00ED58D2"/>
    <w:rsid w:val="00ED5E7A"/>
    <w:rsid w:val="00ED7C06"/>
    <w:rsid w:val="00EE12DB"/>
    <w:rsid w:val="00EE13A8"/>
    <w:rsid w:val="00EE690D"/>
    <w:rsid w:val="00EE763E"/>
    <w:rsid w:val="00EF3B62"/>
    <w:rsid w:val="00F05910"/>
    <w:rsid w:val="00F10740"/>
    <w:rsid w:val="00F127B2"/>
    <w:rsid w:val="00F12C62"/>
    <w:rsid w:val="00F15E1F"/>
    <w:rsid w:val="00F20635"/>
    <w:rsid w:val="00F2554D"/>
    <w:rsid w:val="00F33A78"/>
    <w:rsid w:val="00F342A9"/>
    <w:rsid w:val="00F34306"/>
    <w:rsid w:val="00F3433B"/>
    <w:rsid w:val="00F34B95"/>
    <w:rsid w:val="00F35C89"/>
    <w:rsid w:val="00F375E8"/>
    <w:rsid w:val="00F415B0"/>
    <w:rsid w:val="00F41696"/>
    <w:rsid w:val="00F5324C"/>
    <w:rsid w:val="00F5359B"/>
    <w:rsid w:val="00F54D1C"/>
    <w:rsid w:val="00F5559C"/>
    <w:rsid w:val="00F6606F"/>
    <w:rsid w:val="00F7173C"/>
    <w:rsid w:val="00F74D43"/>
    <w:rsid w:val="00F76810"/>
    <w:rsid w:val="00F77AD9"/>
    <w:rsid w:val="00F812B2"/>
    <w:rsid w:val="00F914DE"/>
    <w:rsid w:val="00F92029"/>
    <w:rsid w:val="00F94089"/>
    <w:rsid w:val="00F96059"/>
    <w:rsid w:val="00FA1076"/>
    <w:rsid w:val="00FA4E83"/>
    <w:rsid w:val="00FA7CE3"/>
    <w:rsid w:val="00FB2E6C"/>
    <w:rsid w:val="00FB7FE0"/>
    <w:rsid w:val="00FC443A"/>
    <w:rsid w:val="00FD0794"/>
    <w:rsid w:val="00FD3369"/>
    <w:rsid w:val="00FD4CD9"/>
    <w:rsid w:val="00FE1157"/>
    <w:rsid w:val="00FE4081"/>
    <w:rsid w:val="00FF69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15:chartTrackingRefBased/>
  <w15:docId w15:val="{FC817704-F84D-40F2-9B5D-603EC537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87E"/>
    <w:rPr>
      <w:rFonts w:ascii="Arial Narrow" w:hAnsi="Arial Narrow"/>
      <w:lang w:val="en-GB"/>
    </w:rPr>
  </w:style>
  <w:style w:type="paragraph" w:styleId="Heading1">
    <w:name w:val="heading 1"/>
    <w:basedOn w:val="Normal"/>
    <w:next w:val="Normal"/>
    <w:link w:val="Heading1Char"/>
    <w:qFormat/>
    <w:rsid w:val="008B7354"/>
    <w:pPr>
      <w:keepNext/>
      <w:outlineLvl w:val="0"/>
    </w:pPr>
    <w:rPr>
      <w:rFonts w:ascii="Arial Black" w:hAnsi="Arial Black" w:cs="Arial"/>
      <w:bCs/>
      <w:kern w:val="32"/>
      <w:sz w:val="32"/>
      <w:szCs w:val="28"/>
    </w:rPr>
  </w:style>
  <w:style w:type="paragraph" w:styleId="Heading2">
    <w:name w:val="heading 2"/>
    <w:basedOn w:val="Normal"/>
    <w:next w:val="Normal"/>
    <w:link w:val="Heading2Char"/>
    <w:qFormat/>
    <w:rsid w:val="008B7354"/>
    <w:pPr>
      <w:keepNext/>
      <w:outlineLvl w:val="1"/>
    </w:pPr>
    <w:rPr>
      <w:rFonts w:ascii="Arial Black" w:hAnsi="Arial Black" w:cs="Arial"/>
      <w:bCs/>
      <w:iCs/>
      <w:sz w:val="24"/>
      <w:szCs w:val="28"/>
    </w:rPr>
  </w:style>
  <w:style w:type="paragraph" w:styleId="Heading3">
    <w:name w:val="heading 3"/>
    <w:basedOn w:val="Normal"/>
    <w:next w:val="Normal"/>
    <w:qFormat/>
    <w:rsid w:val="008B7354"/>
    <w:pPr>
      <w:keepNext/>
      <w:outlineLvl w:val="2"/>
    </w:pPr>
    <w:rPr>
      <w:rFonts w:ascii="Arial" w:hAnsi="Arial"/>
      <w:sz w:val="24"/>
    </w:rPr>
  </w:style>
  <w:style w:type="paragraph" w:styleId="Heading4">
    <w:name w:val="heading 4"/>
    <w:basedOn w:val="Normal"/>
    <w:next w:val="Normal"/>
    <w:qFormat/>
    <w:rsid w:val="008B7354"/>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B44F84"/>
    <w:rPr>
      <w:rFonts w:ascii="Arial Black" w:hAnsi="Arial Black" w:cs="Arial"/>
      <w:bCs/>
      <w:kern w:val="32"/>
      <w:sz w:val="32"/>
      <w:szCs w:val="28"/>
      <w:lang w:val="en-AU" w:eastAsia="en-AU" w:bidi="ar-SA"/>
    </w:rPr>
  </w:style>
  <w:style w:type="character" w:customStyle="1" w:styleId="Heading2Char">
    <w:name w:val="Heading 2 Char"/>
    <w:link w:val="Heading2"/>
    <w:rsid w:val="00B44F84"/>
    <w:rPr>
      <w:rFonts w:ascii="Arial Black" w:hAnsi="Arial Black" w:cs="Arial"/>
      <w:bCs/>
      <w:iCs/>
      <w:sz w:val="24"/>
      <w:szCs w:val="28"/>
      <w:lang w:val="en-AU" w:eastAsia="en-AU" w:bidi="ar-SA"/>
    </w:rPr>
  </w:style>
  <w:style w:type="paragraph" w:styleId="Header">
    <w:name w:val="header"/>
    <w:basedOn w:val="Normal"/>
    <w:rsid w:val="003B576D"/>
    <w:pPr>
      <w:tabs>
        <w:tab w:val="center" w:pos="4153"/>
        <w:tab w:val="right" w:pos="8306"/>
      </w:tabs>
    </w:pPr>
  </w:style>
  <w:style w:type="paragraph" w:styleId="Footer">
    <w:name w:val="footer"/>
    <w:basedOn w:val="Normal"/>
    <w:rsid w:val="003B576D"/>
    <w:pPr>
      <w:tabs>
        <w:tab w:val="center" w:pos="4153"/>
        <w:tab w:val="right" w:pos="8306"/>
      </w:tabs>
    </w:pPr>
  </w:style>
  <w:style w:type="table" w:styleId="TableGrid">
    <w:name w:val="Table Grid"/>
    <w:basedOn w:val="TableNormal"/>
    <w:rsid w:val="003B5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B7D7B"/>
    <w:rPr>
      <w:vertAlign w:val="superscript"/>
    </w:rPr>
  </w:style>
  <w:style w:type="paragraph" w:styleId="TOC1">
    <w:name w:val="toc 1"/>
    <w:basedOn w:val="Normal"/>
    <w:next w:val="Normal"/>
    <w:autoRedefine/>
    <w:semiHidden/>
    <w:rsid w:val="00AA21A9"/>
    <w:pPr>
      <w:tabs>
        <w:tab w:val="left" w:pos="360"/>
        <w:tab w:val="right" w:leader="dot" w:pos="9061"/>
      </w:tabs>
      <w:spacing w:before="120"/>
    </w:pPr>
    <w:rPr>
      <w:b/>
    </w:rPr>
  </w:style>
  <w:style w:type="paragraph" w:styleId="TOC2">
    <w:name w:val="toc 2"/>
    <w:basedOn w:val="Normal"/>
    <w:next w:val="Normal"/>
    <w:autoRedefine/>
    <w:uiPriority w:val="39"/>
    <w:rsid w:val="00AA21A9"/>
    <w:pPr>
      <w:tabs>
        <w:tab w:val="left" w:pos="720"/>
        <w:tab w:val="right" w:leader="dot" w:pos="9061"/>
      </w:tabs>
      <w:ind w:left="360"/>
    </w:pPr>
  </w:style>
  <w:style w:type="paragraph" w:styleId="BalloonText">
    <w:name w:val="Balloon Text"/>
    <w:basedOn w:val="Normal"/>
    <w:semiHidden/>
    <w:rsid w:val="00B01185"/>
    <w:rPr>
      <w:rFonts w:ascii="Tahoma" w:hAnsi="Tahoma" w:cs="Tahoma"/>
      <w:sz w:val="16"/>
      <w:szCs w:val="16"/>
    </w:rPr>
  </w:style>
  <w:style w:type="character" w:styleId="Hyperlink">
    <w:name w:val="Hyperlink"/>
    <w:rsid w:val="007259E7"/>
    <w:rPr>
      <w:color w:val="0000FF"/>
      <w:u w:val="single"/>
    </w:rPr>
  </w:style>
  <w:style w:type="character" w:customStyle="1" w:styleId="stylequoteverdana11ptchar">
    <w:name w:val="stylequoteverdana11ptchar"/>
    <w:rsid w:val="007259E7"/>
    <w:rPr>
      <w:rFonts w:ascii="Verdana" w:hAnsi="Verdana" w:hint="default"/>
      <w:i/>
      <w:iCs/>
    </w:rPr>
  </w:style>
  <w:style w:type="character" w:styleId="CommentReference">
    <w:name w:val="annotation reference"/>
    <w:semiHidden/>
    <w:rsid w:val="0081074E"/>
    <w:rPr>
      <w:sz w:val="16"/>
      <w:szCs w:val="16"/>
    </w:rPr>
  </w:style>
  <w:style w:type="paragraph" w:styleId="TOC3">
    <w:name w:val="toc 3"/>
    <w:basedOn w:val="Normal"/>
    <w:next w:val="Normal"/>
    <w:autoRedefine/>
    <w:semiHidden/>
    <w:rsid w:val="00AA21A9"/>
    <w:pPr>
      <w:tabs>
        <w:tab w:val="left" w:pos="1260"/>
        <w:tab w:val="right" w:leader="dot" w:pos="9061"/>
      </w:tabs>
      <w:ind w:left="720"/>
    </w:pPr>
  </w:style>
  <w:style w:type="paragraph" w:styleId="CommentText">
    <w:name w:val="annotation text"/>
    <w:basedOn w:val="Normal"/>
    <w:semiHidden/>
    <w:rsid w:val="0081074E"/>
  </w:style>
  <w:style w:type="paragraph" w:styleId="CommentSubject">
    <w:name w:val="annotation subject"/>
    <w:basedOn w:val="CommentText"/>
    <w:next w:val="CommentText"/>
    <w:semiHidden/>
    <w:rsid w:val="0081074E"/>
    <w:rPr>
      <w:b/>
      <w:bCs/>
    </w:rPr>
  </w:style>
  <w:style w:type="character" w:styleId="FollowedHyperlink">
    <w:name w:val="FollowedHyperlink"/>
    <w:rsid w:val="00F15E1F"/>
    <w:rPr>
      <w:color w:val="800080"/>
      <w:u w:val="single"/>
    </w:rPr>
  </w:style>
  <w:style w:type="numbering" w:customStyle="1" w:styleId="StyleListBullet1">
    <w:name w:val="Style List Bullet 1"/>
    <w:basedOn w:val="NoList"/>
    <w:rsid w:val="00907A01"/>
    <w:pPr>
      <w:numPr>
        <w:numId w:val="1"/>
      </w:numPr>
    </w:pPr>
  </w:style>
  <w:style w:type="paragraph" w:customStyle="1" w:styleId="BlockLine">
    <w:name w:val="Block Line"/>
    <w:basedOn w:val="Normal"/>
    <w:next w:val="Normal"/>
    <w:rsid w:val="00F35C89"/>
    <w:pPr>
      <w:pBdr>
        <w:top w:val="single" w:sz="6" w:space="1" w:color="auto"/>
        <w:between w:val="single" w:sz="6" w:space="1" w:color="auto"/>
      </w:pBdr>
      <w:spacing w:before="240"/>
      <w:ind w:left="1700"/>
    </w:pPr>
    <w:rPr>
      <w:rFonts w:ascii="Times New Roman" w:hAnsi="Times New Roman"/>
      <w:sz w:val="24"/>
      <w:szCs w:val="24"/>
      <w:lang w:eastAsia="en-US"/>
    </w:rPr>
  </w:style>
  <w:style w:type="paragraph" w:customStyle="1" w:styleId="Para">
    <w:name w:val="#Para"/>
    <w:basedOn w:val="Normal"/>
    <w:autoRedefine/>
    <w:rsid w:val="00F34B95"/>
    <w:pPr>
      <w:spacing w:before="120"/>
    </w:pPr>
    <w:rPr>
      <w:rFonts w:ascii="Verdana" w:hAnsi="Verdana"/>
      <w:szCs w:val="24"/>
    </w:rPr>
  </w:style>
  <w:style w:type="paragraph" w:styleId="BodyText">
    <w:name w:val="Body Text"/>
    <w:aliases w:val="MAIN TEXT"/>
    <w:basedOn w:val="Normal"/>
    <w:rsid w:val="00C22A6D"/>
    <w:pPr>
      <w:spacing w:before="240"/>
      <w:ind w:left="851"/>
    </w:pPr>
    <w:rPr>
      <w:rFonts w:ascii="Arial (W1)" w:hAnsi="Arial (W1)" w:cs="Arial"/>
      <w:bCs/>
      <w:color w:val="292929"/>
      <w:sz w:val="21"/>
      <w:lang w:eastAsia="en-US"/>
    </w:rPr>
  </w:style>
  <w:style w:type="paragraph" w:customStyle="1" w:styleId="BodyTextBullet">
    <w:name w:val="Body Text Bullet"/>
    <w:basedOn w:val="BodyText"/>
    <w:rsid w:val="008B41DE"/>
    <w:pPr>
      <w:numPr>
        <w:numId w:val="2"/>
      </w:numPr>
      <w:tabs>
        <w:tab w:val="clear" w:pos="1364"/>
      </w:tabs>
      <w:spacing w:before="60" w:after="60"/>
      <w:ind w:left="284"/>
      <w:jc w:val="both"/>
    </w:pPr>
    <w:rPr>
      <w:rFonts w:ascii="Arial" w:hAnsi="Arial" w:cs="Times New Roman"/>
      <w:bCs w:val="0"/>
      <w:color w:val="auto"/>
      <w:sz w:val="22"/>
    </w:rPr>
  </w:style>
  <w:style w:type="paragraph" w:customStyle="1" w:styleId="StyleBodyTextBullet105ptLeft">
    <w:name w:val="Style Body Text Bullet + 10.5 pt Left"/>
    <w:basedOn w:val="BodyTextBullet"/>
    <w:rsid w:val="00135F53"/>
    <w:pPr>
      <w:tabs>
        <w:tab w:val="num" w:pos="1364"/>
      </w:tabs>
      <w:ind w:left="1288"/>
      <w:jc w:val="left"/>
    </w:pPr>
    <w:rPr>
      <w:rFonts w:ascii="Verdana" w:hAnsi="Verdana"/>
      <w:sz w:val="20"/>
    </w:rPr>
  </w:style>
  <w:style w:type="paragraph" w:styleId="TOC4">
    <w:name w:val="toc 4"/>
    <w:basedOn w:val="Normal"/>
    <w:next w:val="Normal"/>
    <w:autoRedefine/>
    <w:semiHidden/>
    <w:rsid w:val="00F375E8"/>
    <w:pPr>
      <w:ind w:left="600"/>
    </w:pPr>
  </w:style>
  <w:style w:type="paragraph" w:customStyle="1" w:styleId="MemoLine">
    <w:name w:val="Memo Line"/>
    <w:basedOn w:val="BlockLine"/>
    <w:next w:val="Normal"/>
    <w:rsid w:val="00F375E8"/>
    <w:pPr>
      <w:ind w:left="0"/>
    </w:pPr>
  </w:style>
  <w:style w:type="character" w:styleId="PageNumber">
    <w:name w:val="page number"/>
    <w:basedOn w:val="DefaultParagraphFont"/>
    <w:rsid w:val="006A156D"/>
  </w:style>
  <w:style w:type="paragraph" w:customStyle="1" w:styleId="Char">
    <w:name w:val=" Char"/>
    <w:basedOn w:val="Normal"/>
    <w:rsid w:val="008E6079"/>
    <w:pPr>
      <w:spacing w:after="160" w:line="240" w:lineRule="exact"/>
    </w:pPr>
    <w:rPr>
      <w:rFonts w:ascii="Tahoma" w:hAnsi="Tahoma"/>
      <w:lang w:val="en-AU" w:eastAsia="en-US"/>
    </w:rPr>
  </w:style>
  <w:style w:type="paragraph" w:customStyle="1" w:styleId="Textbody">
    <w:name w:val="Textbody"/>
    <w:basedOn w:val="Normal"/>
    <w:rsid w:val="008E6079"/>
    <w:pPr>
      <w:spacing w:after="100" w:afterAutospacing="1"/>
    </w:pPr>
    <w:rPr>
      <w:rFonts w:ascii="Garamond (W1)" w:hAnsi="Garamond (W1)"/>
      <w:lang w:val="en-AU" w:eastAsia="en-US"/>
    </w:rPr>
  </w:style>
  <w:style w:type="paragraph" w:customStyle="1" w:styleId="Default">
    <w:name w:val="Default"/>
    <w:rsid w:val="001C1D4E"/>
    <w:pPr>
      <w:autoSpaceDE w:val="0"/>
      <w:autoSpaceDN w:val="0"/>
      <w:adjustRightInd w:val="0"/>
    </w:pPr>
    <w:rPr>
      <w:color w:val="000000"/>
      <w:sz w:val="24"/>
      <w:szCs w:val="24"/>
      <w:lang w:val="en-US" w:eastAsia="en-US"/>
    </w:rPr>
  </w:style>
  <w:style w:type="paragraph" w:customStyle="1" w:styleId="TableText">
    <w:name w:val="Table Text"/>
    <w:basedOn w:val="Normal"/>
    <w:rsid w:val="00E06E2F"/>
    <w:pPr>
      <w:overflowPunct w:val="0"/>
      <w:autoSpaceDE w:val="0"/>
      <w:autoSpaceDN w:val="0"/>
      <w:adjustRightInd w:val="0"/>
      <w:textAlignment w:val="baseline"/>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02724">
      <w:bodyDiv w:val="1"/>
      <w:marLeft w:val="0"/>
      <w:marRight w:val="0"/>
      <w:marTop w:val="0"/>
      <w:marBottom w:val="0"/>
      <w:divBdr>
        <w:top w:val="none" w:sz="0" w:space="0" w:color="auto"/>
        <w:left w:val="none" w:sz="0" w:space="0" w:color="auto"/>
        <w:bottom w:val="none" w:sz="0" w:space="0" w:color="auto"/>
        <w:right w:val="none" w:sz="0" w:space="0" w:color="auto"/>
      </w:divBdr>
    </w:div>
    <w:div w:id="476994143">
      <w:bodyDiv w:val="1"/>
      <w:marLeft w:val="0"/>
      <w:marRight w:val="0"/>
      <w:marTop w:val="0"/>
      <w:marBottom w:val="0"/>
      <w:divBdr>
        <w:top w:val="none" w:sz="0" w:space="0" w:color="auto"/>
        <w:left w:val="none" w:sz="0" w:space="0" w:color="auto"/>
        <w:bottom w:val="none" w:sz="0" w:space="0" w:color="auto"/>
        <w:right w:val="none" w:sz="0" w:space="0" w:color="auto"/>
      </w:divBdr>
      <w:divsChild>
        <w:div w:id="72095950">
          <w:marLeft w:val="0"/>
          <w:marRight w:val="0"/>
          <w:marTop w:val="0"/>
          <w:marBottom w:val="0"/>
          <w:divBdr>
            <w:top w:val="none" w:sz="0" w:space="0" w:color="auto"/>
            <w:left w:val="none" w:sz="0" w:space="0" w:color="auto"/>
            <w:bottom w:val="none" w:sz="0" w:space="0" w:color="auto"/>
            <w:right w:val="none" w:sz="0" w:space="0" w:color="auto"/>
          </w:divBdr>
        </w:div>
        <w:div w:id="102965509">
          <w:marLeft w:val="0"/>
          <w:marRight w:val="0"/>
          <w:marTop w:val="0"/>
          <w:marBottom w:val="0"/>
          <w:divBdr>
            <w:top w:val="none" w:sz="0" w:space="0" w:color="auto"/>
            <w:left w:val="none" w:sz="0" w:space="0" w:color="auto"/>
            <w:bottom w:val="none" w:sz="0" w:space="0" w:color="auto"/>
            <w:right w:val="none" w:sz="0" w:space="0" w:color="auto"/>
          </w:divBdr>
        </w:div>
        <w:div w:id="165748892">
          <w:marLeft w:val="0"/>
          <w:marRight w:val="0"/>
          <w:marTop w:val="0"/>
          <w:marBottom w:val="0"/>
          <w:divBdr>
            <w:top w:val="none" w:sz="0" w:space="0" w:color="auto"/>
            <w:left w:val="none" w:sz="0" w:space="0" w:color="auto"/>
            <w:bottom w:val="none" w:sz="0" w:space="0" w:color="auto"/>
            <w:right w:val="none" w:sz="0" w:space="0" w:color="auto"/>
          </w:divBdr>
        </w:div>
        <w:div w:id="369383506">
          <w:marLeft w:val="0"/>
          <w:marRight w:val="0"/>
          <w:marTop w:val="0"/>
          <w:marBottom w:val="0"/>
          <w:divBdr>
            <w:top w:val="none" w:sz="0" w:space="0" w:color="auto"/>
            <w:left w:val="none" w:sz="0" w:space="0" w:color="auto"/>
            <w:bottom w:val="none" w:sz="0" w:space="0" w:color="auto"/>
            <w:right w:val="none" w:sz="0" w:space="0" w:color="auto"/>
          </w:divBdr>
        </w:div>
        <w:div w:id="379747849">
          <w:marLeft w:val="0"/>
          <w:marRight w:val="0"/>
          <w:marTop w:val="0"/>
          <w:marBottom w:val="0"/>
          <w:divBdr>
            <w:top w:val="none" w:sz="0" w:space="0" w:color="auto"/>
            <w:left w:val="none" w:sz="0" w:space="0" w:color="auto"/>
            <w:bottom w:val="none" w:sz="0" w:space="0" w:color="auto"/>
            <w:right w:val="none" w:sz="0" w:space="0" w:color="auto"/>
          </w:divBdr>
        </w:div>
        <w:div w:id="474176658">
          <w:marLeft w:val="0"/>
          <w:marRight w:val="0"/>
          <w:marTop w:val="0"/>
          <w:marBottom w:val="0"/>
          <w:divBdr>
            <w:top w:val="none" w:sz="0" w:space="0" w:color="auto"/>
            <w:left w:val="none" w:sz="0" w:space="0" w:color="auto"/>
            <w:bottom w:val="none" w:sz="0" w:space="0" w:color="auto"/>
            <w:right w:val="none" w:sz="0" w:space="0" w:color="auto"/>
          </w:divBdr>
        </w:div>
        <w:div w:id="530997223">
          <w:marLeft w:val="0"/>
          <w:marRight w:val="0"/>
          <w:marTop w:val="0"/>
          <w:marBottom w:val="0"/>
          <w:divBdr>
            <w:top w:val="none" w:sz="0" w:space="0" w:color="auto"/>
            <w:left w:val="none" w:sz="0" w:space="0" w:color="auto"/>
            <w:bottom w:val="none" w:sz="0" w:space="0" w:color="auto"/>
            <w:right w:val="none" w:sz="0" w:space="0" w:color="auto"/>
          </w:divBdr>
        </w:div>
        <w:div w:id="533201836">
          <w:marLeft w:val="0"/>
          <w:marRight w:val="0"/>
          <w:marTop w:val="0"/>
          <w:marBottom w:val="0"/>
          <w:divBdr>
            <w:top w:val="none" w:sz="0" w:space="0" w:color="auto"/>
            <w:left w:val="none" w:sz="0" w:space="0" w:color="auto"/>
            <w:bottom w:val="none" w:sz="0" w:space="0" w:color="auto"/>
            <w:right w:val="none" w:sz="0" w:space="0" w:color="auto"/>
          </w:divBdr>
        </w:div>
        <w:div w:id="657421920">
          <w:marLeft w:val="0"/>
          <w:marRight w:val="0"/>
          <w:marTop w:val="0"/>
          <w:marBottom w:val="0"/>
          <w:divBdr>
            <w:top w:val="none" w:sz="0" w:space="0" w:color="auto"/>
            <w:left w:val="none" w:sz="0" w:space="0" w:color="auto"/>
            <w:bottom w:val="none" w:sz="0" w:space="0" w:color="auto"/>
            <w:right w:val="none" w:sz="0" w:space="0" w:color="auto"/>
          </w:divBdr>
        </w:div>
        <w:div w:id="727650039">
          <w:marLeft w:val="0"/>
          <w:marRight w:val="0"/>
          <w:marTop w:val="0"/>
          <w:marBottom w:val="0"/>
          <w:divBdr>
            <w:top w:val="none" w:sz="0" w:space="0" w:color="auto"/>
            <w:left w:val="none" w:sz="0" w:space="0" w:color="auto"/>
            <w:bottom w:val="none" w:sz="0" w:space="0" w:color="auto"/>
            <w:right w:val="none" w:sz="0" w:space="0" w:color="auto"/>
          </w:divBdr>
        </w:div>
        <w:div w:id="736128152">
          <w:marLeft w:val="0"/>
          <w:marRight w:val="0"/>
          <w:marTop w:val="0"/>
          <w:marBottom w:val="0"/>
          <w:divBdr>
            <w:top w:val="none" w:sz="0" w:space="0" w:color="auto"/>
            <w:left w:val="none" w:sz="0" w:space="0" w:color="auto"/>
            <w:bottom w:val="none" w:sz="0" w:space="0" w:color="auto"/>
            <w:right w:val="none" w:sz="0" w:space="0" w:color="auto"/>
          </w:divBdr>
        </w:div>
        <w:div w:id="815144776">
          <w:marLeft w:val="0"/>
          <w:marRight w:val="0"/>
          <w:marTop w:val="0"/>
          <w:marBottom w:val="0"/>
          <w:divBdr>
            <w:top w:val="none" w:sz="0" w:space="0" w:color="auto"/>
            <w:left w:val="none" w:sz="0" w:space="0" w:color="auto"/>
            <w:bottom w:val="none" w:sz="0" w:space="0" w:color="auto"/>
            <w:right w:val="none" w:sz="0" w:space="0" w:color="auto"/>
          </w:divBdr>
        </w:div>
        <w:div w:id="870608218">
          <w:marLeft w:val="0"/>
          <w:marRight w:val="0"/>
          <w:marTop w:val="0"/>
          <w:marBottom w:val="0"/>
          <w:divBdr>
            <w:top w:val="none" w:sz="0" w:space="0" w:color="auto"/>
            <w:left w:val="none" w:sz="0" w:space="0" w:color="auto"/>
            <w:bottom w:val="none" w:sz="0" w:space="0" w:color="auto"/>
            <w:right w:val="none" w:sz="0" w:space="0" w:color="auto"/>
          </w:divBdr>
        </w:div>
        <w:div w:id="941301015">
          <w:marLeft w:val="0"/>
          <w:marRight w:val="0"/>
          <w:marTop w:val="0"/>
          <w:marBottom w:val="0"/>
          <w:divBdr>
            <w:top w:val="none" w:sz="0" w:space="0" w:color="auto"/>
            <w:left w:val="none" w:sz="0" w:space="0" w:color="auto"/>
            <w:bottom w:val="none" w:sz="0" w:space="0" w:color="auto"/>
            <w:right w:val="none" w:sz="0" w:space="0" w:color="auto"/>
          </w:divBdr>
        </w:div>
        <w:div w:id="1063988575">
          <w:marLeft w:val="0"/>
          <w:marRight w:val="0"/>
          <w:marTop w:val="0"/>
          <w:marBottom w:val="0"/>
          <w:divBdr>
            <w:top w:val="none" w:sz="0" w:space="0" w:color="auto"/>
            <w:left w:val="none" w:sz="0" w:space="0" w:color="auto"/>
            <w:bottom w:val="none" w:sz="0" w:space="0" w:color="auto"/>
            <w:right w:val="none" w:sz="0" w:space="0" w:color="auto"/>
          </w:divBdr>
        </w:div>
        <w:div w:id="1132988685">
          <w:marLeft w:val="0"/>
          <w:marRight w:val="0"/>
          <w:marTop w:val="0"/>
          <w:marBottom w:val="0"/>
          <w:divBdr>
            <w:top w:val="none" w:sz="0" w:space="0" w:color="auto"/>
            <w:left w:val="none" w:sz="0" w:space="0" w:color="auto"/>
            <w:bottom w:val="none" w:sz="0" w:space="0" w:color="auto"/>
            <w:right w:val="none" w:sz="0" w:space="0" w:color="auto"/>
          </w:divBdr>
        </w:div>
        <w:div w:id="1136217703">
          <w:marLeft w:val="0"/>
          <w:marRight w:val="0"/>
          <w:marTop w:val="0"/>
          <w:marBottom w:val="0"/>
          <w:divBdr>
            <w:top w:val="none" w:sz="0" w:space="0" w:color="auto"/>
            <w:left w:val="none" w:sz="0" w:space="0" w:color="auto"/>
            <w:bottom w:val="none" w:sz="0" w:space="0" w:color="auto"/>
            <w:right w:val="none" w:sz="0" w:space="0" w:color="auto"/>
          </w:divBdr>
        </w:div>
        <w:div w:id="1213615559">
          <w:marLeft w:val="0"/>
          <w:marRight w:val="0"/>
          <w:marTop w:val="0"/>
          <w:marBottom w:val="0"/>
          <w:divBdr>
            <w:top w:val="none" w:sz="0" w:space="0" w:color="auto"/>
            <w:left w:val="none" w:sz="0" w:space="0" w:color="auto"/>
            <w:bottom w:val="none" w:sz="0" w:space="0" w:color="auto"/>
            <w:right w:val="none" w:sz="0" w:space="0" w:color="auto"/>
          </w:divBdr>
        </w:div>
        <w:div w:id="1260915331">
          <w:marLeft w:val="0"/>
          <w:marRight w:val="0"/>
          <w:marTop w:val="0"/>
          <w:marBottom w:val="0"/>
          <w:divBdr>
            <w:top w:val="none" w:sz="0" w:space="0" w:color="auto"/>
            <w:left w:val="none" w:sz="0" w:space="0" w:color="auto"/>
            <w:bottom w:val="none" w:sz="0" w:space="0" w:color="auto"/>
            <w:right w:val="none" w:sz="0" w:space="0" w:color="auto"/>
          </w:divBdr>
        </w:div>
        <w:div w:id="1302923078">
          <w:marLeft w:val="0"/>
          <w:marRight w:val="0"/>
          <w:marTop w:val="0"/>
          <w:marBottom w:val="0"/>
          <w:divBdr>
            <w:top w:val="none" w:sz="0" w:space="0" w:color="auto"/>
            <w:left w:val="none" w:sz="0" w:space="0" w:color="auto"/>
            <w:bottom w:val="none" w:sz="0" w:space="0" w:color="auto"/>
            <w:right w:val="none" w:sz="0" w:space="0" w:color="auto"/>
          </w:divBdr>
        </w:div>
        <w:div w:id="1316565347">
          <w:marLeft w:val="0"/>
          <w:marRight w:val="0"/>
          <w:marTop w:val="0"/>
          <w:marBottom w:val="0"/>
          <w:divBdr>
            <w:top w:val="none" w:sz="0" w:space="0" w:color="auto"/>
            <w:left w:val="none" w:sz="0" w:space="0" w:color="auto"/>
            <w:bottom w:val="none" w:sz="0" w:space="0" w:color="auto"/>
            <w:right w:val="none" w:sz="0" w:space="0" w:color="auto"/>
          </w:divBdr>
        </w:div>
        <w:div w:id="1454595710">
          <w:marLeft w:val="0"/>
          <w:marRight w:val="0"/>
          <w:marTop w:val="0"/>
          <w:marBottom w:val="0"/>
          <w:divBdr>
            <w:top w:val="none" w:sz="0" w:space="0" w:color="auto"/>
            <w:left w:val="none" w:sz="0" w:space="0" w:color="auto"/>
            <w:bottom w:val="none" w:sz="0" w:space="0" w:color="auto"/>
            <w:right w:val="none" w:sz="0" w:space="0" w:color="auto"/>
          </w:divBdr>
        </w:div>
        <w:div w:id="1504395944">
          <w:marLeft w:val="0"/>
          <w:marRight w:val="0"/>
          <w:marTop w:val="0"/>
          <w:marBottom w:val="0"/>
          <w:divBdr>
            <w:top w:val="none" w:sz="0" w:space="0" w:color="auto"/>
            <w:left w:val="none" w:sz="0" w:space="0" w:color="auto"/>
            <w:bottom w:val="none" w:sz="0" w:space="0" w:color="auto"/>
            <w:right w:val="none" w:sz="0" w:space="0" w:color="auto"/>
          </w:divBdr>
        </w:div>
        <w:div w:id="1625235580">
          <w:marLeft w:val="0"/>
          <w:marRight w:val="0"/>
          <w:marTop w:val="0"/>
          <w:marBottom w:val="0"/>
          <w:divBdr>
            <w:top w:val="none" w:sz="0" w:space="0" w:color="auto"/>
            <w:left w:val="none" w:sz="0" w:space="0" w:color="auto"/>
            <w:bottom w:val="none" w:sz="0" w:space="0" w:color="auto"/>
            <w:right w:val="none" w:sz="0" w:space="0" w:color="auto"/>
          </w:divBdr>
        </w:div>
        <w:div w:id="1632052767">
          <w:marLeft w:val="0"/>
          <w:marRight w:val="0"/>
          <w:marTop w:val="0"/>
          <w:marBottom w:val="0"/>
          <w:divBdr>
            <w:top w:val="none" w:sz="0" w:space="0" w:color="auto"/>
            <w:left w:val="none" w:sz="0" w:space="0" w:color="auto"/>
            <w:bottom w:val="none" w:sz="0" w:space="0" w:color="auto"/>
            <w:right w:val="none" w:sz="0" w:space="0" w:color="auto"/>
          </w:divBdr>
        </w:div>
        <w:div w:id="1654481389">
          <w:marLeft w:val="0"/>
          <w:marRight w:val="0"/>
          <w:marTop w:val="0"/>
          <w:marBottom w:val="0"/>
          <w:divBdr>
            <w:top w:val="none" w:sz="0" w:space="0" w:color="auto"/>
            <w:left w:val="none" w:sz="0" w:space="0" w:color="auto"/>
            <w:bottom w:val="none" w:sz="0" w:space="0" w:color="auto"/>
            <w:right w:val="none" w:sz="0" w:space="0" w:color="auto"/>
          </w:divBdr>
        </w:div>
        <w:div w:id="1655798082">
          <w:marLeft w:val="0"/>
          <w:marRight w:val="0"/>
          <w:marTop w:val="0"/>
          <w:marBottom w:val="0"/>
          <w:divBdr>
            <w:top w:val="none" w:sz="0" w:space="0" w:color="auto"/>
            <w:left w:val="none" w:sz="0" w:space="0" w:color="auto"/>
            <w:bottom w:val="none" w:sz="0" w:space="0" w:color="auto"/>
            <w:right w:val="none" w:sz="0" w:space="0" w:color="auto"/>
          </w:divBdr>
        </w:div>
        <w:div w:id="1683629651">
          <w:marLeft w:val="0"/>
          <w:marRight w:val="0"/>
          <w:marTop w:val="0"/>
          <w:marBottom w:val="0"/>
          <w:divBdr>
            <w:top w:val="none" w:sz="0" w:space="0" w:color="auto"/>
            <w:left w:val="none" w:sz="0" w:space="0" w:color="auto"/>
            <w:bottom w:val="none" w:sz="0" w:space="0" w:color="auto"/>
            <w:right w:val="none" w:sz="0" w:space="0" w:color="auto"/>
          </w:divBdr>
        </w:div>
        <w:div w:id="1886520438">
          <w:marLeft w:val="0"/>
          <w:marRight w:val="0"/>
          <w:marTop w:val="0"/>
          <w:marBottom w:val="0"/>
          <w:divBdr>
            <w:top w:val="none" w:sz="0" w:space="0" w:color="auto"/>
            <w:left w:val="none" w:sz="0" w:space="0" w:color="auto"/>
            <w:bottom w:val="none" w:sz="0" w:space="0" w:color="auto"/>
            <w:right w:val="none" w:sz="0" w:space="0" w:color="auto"/>
          </w:divBdr>
        </w:div>
        <w:div w:id="1926065842">
          <w:marLeft w:val="0"/>
          <w:marRight w:val="0"/>
          <w:marTop w:val="0"/>
          <w:marBottom w:val="0"/>
          <w:divBdr>
            <w:top w:val="none" w:sz="0" w:space="0" w:color="auto"/>
            <w:left w:val="none" w:sz="0" w:space="0" w:color="auto"/>
            <w:bottom w:val="none" w:sz="0" w:space="0" w:color="auto"/>
            <w:right w:val="none" w:sz="0" w:space="0" w:color="auto"/>
          </w:divBdr>
        </w:div>
        <w:div w:id="1929075499">
          <w:marLeft w:val="0"/>
          <w:marRight w:val="0"/>
          <w:marTop w:val="0"/>
          <w:marBottom w:val="0"/>
          <w:divBdr>
            <w:top w:val="none" w:sz="0" w:space="0" w:color="auto"/>
            <w:left w:val="none" w:sz="0" w:space="0" w:color="auto"/>
            <w:bottom w:val="none" w:sz="0" w:space="0" w:color="auto"/>
            <w:right w:val="none" w:sz="0" w:space="0" w:color="auto"/>
          </w:divBdr>
        </w:div>
        <w:div w:id="1970162645">
          <w:marLeft w:val="0"/>
          <w:marRight w:val="0"/>
          <w:marTop w:val="0"/>
          <w:marBottom w:val="0"/>
          <w:divBdr>
            <w:top w:val="none" w:sz="0" w:space="0" w:color="auto"/>
            <w:left w:val="none" w:sz="0" w:space="0" w:color="auto"/>
            <w:bottom w:val="none" w:sz="0" w:space="0" w:color="auto"/>
            <w:right w:val="none" w:sz="0" w:space="0" w:color="auto"/>
          </w:divBdr>
        </w:div>
        <w:div w:id="2016569548">
          <w:marLeft w:val="0"/>
          <w:marRight w:val="0"/>
          <w:marTop w:val="0"/>
          <w:marBottom w:val="0"/>
          <w:divBdr>
            <w:top w:val="none" w:sz="0" w:space="0" w:color="auto"/>
            <w:left w:val="none" w:sz="0" w:space="0" w:color="auto"/>
            <w:bottom w:val="none" w:sz="0" w:space="0" w:color="auto"/>
            <w:right w:val="none" w:sz="0" w:space="0" w:color="auto"/>
          </w:divBdr>
        </w:div>
        <w:div w:id="2085028001">
          <w:marLeft w:val="0"/>
          <w:marRight w:val="0"/>
          <w:marTop w:val="0"/>
          <w:marBottom w:val="0"/>
          <w:divBdr>
            <w:top w:val="none" w:sz="0" w:space="0" w:color="auto"/>
            <w:left w:val="none" w:sz="0" w:space="0" w:color="auto"/>
            <w:bottom w:val="none" w:sz="0" w:space="0" w:color="auto"/>
            <w:right w:val="none" w:sz="0" w:space="0" w:color="auto"/>
          </w:divBdr>
        </w:div>
      </w:divsChild>
    </w:div>
    <w:div w:id="739209345">
      <w:bodyDiv w:val="1"/>
      <w:marLeft w:val="0"/>
      <w:marRight w:val="0"/>
      <w:marTop w:val="0"/>
      <w:marBottom w:val="0"/>
      <w:divBdr>
        <w:top w:val="none" w:sz="0" w:space="0" w:color="auto"/>
        <w:left w:val="none" w:sz="0" w:space="0" w:color="auto"/>
        <w:bottom w:val="none" w:sz="0" w:space="0" w:color="auto"/>
        <w:right w:val="none" w:sz="0" w:space="0" w:color="auto"/>
      </w:divBdr>
    </w:div>
    <w:div w:id="750084639">
      <w:bodyDiv w:val="1"/>
      <w:marLeft w:val="0"/>
      <w:marRight w:val="0"/>
      <w:marTop w:val="0"/>
      <w:marBottom w:val="0"/>
      <w:divBdr>
        <w:top w:val="none" w:sz="0" w:space="0" w:color="auto"/>
        <w:left w:val="none" w:sz="0" w:space="0" w:color="auto"/>
        <w:bottom w:val="none" w:sz="0" w:space="0" w:color="auto"/>
        <w:right w:val="none" w:sz="0" w:space="0" w:color="auto"/>
      </w:divBdr>
    </w:div>
    <w:div w:id="13163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anguard.business.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VANguard\Security\Security%20Team%20Templates\Document%20Template%20v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 Template v0.3</Template>
  <TotalTime>1</TotalTime>
  <Pages>5</Pages>
  <Words>1483</Words>
  <Characters>8454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DIISR</Company>
  <LinksUpToDate>false</LinksUpToDate>
  <CharactersWithSpaces>9918</CharactersWithSpaces>
  <SharedDoc>false</SharedDoc>
  <HLinks>
    <vt:vector size="6" baseType="variant">
      <vt:variant>
        <vt:i4>5177372</vt:i4>
      </vt:variant>
      <vt:variant>
        <vt:i4>0</vt:i4>
      </vt:variant>
      <vt:variant>
        <vt:i4>0</vt:i4>
      </vt:variant>
      <vt:variant>
        <vt:i4>5</vt:i4>
      </vt:variant>
      <vt:variant>
        <vt:lpwstr>http://vanguard.business.gov.au/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EHoward</dc:creator>
  <cp:keywords/>
  <cp:lastModifiedBy>Mongan, Fleur</cp:lastModifiedBy>
  <cp:revision>2</cp:revision>
  <cp:lastPrinted>2009-03-23T02:41:00Z</cp:lastPrinted>
  <dcterms:created xsi:type="dcterms:W3CDTF">2018-10-25T21:27:00Z</dcterms:created>
  <dcterms:modified xsi:type="dcterms:W3CDTF">2018-10-25T21:27:00Z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Pty">
    <vt:lpwstr/>
  </property>
  <property fmtid="{D5CDD505-2E9C-101B-9397-08002B2CF9AE}" pid="3" name="FileNumberPty">
    <vt:lpwstr/>
  </property>
  <property fmtid="{D5CDD505-2E9C-101B-9397-08002B2CF9AE}" pid="4" name="CorporateTmplBased">
    <vt:lpwstr>No</vt:lpwstr>
  </property>
  <property fmtid="{D5CDD505-2E9C-101B-9397-08002B2CF9AE}" pid="5" name="VersionNumber">
    <vt:i4>0</vt:i4>
  </property>
</Properties>
</file>