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drawings/drawing1.xml" ContentType="application/vnd.openxmlformats-officedocument.drawingml.chartshapes+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B572B" w:rsidRDefault="0013236F">
      <w:r>
        <w:rPr>
          <w:noProof/>
          <w:lang w:eastAsia="en-AU"/>
        </w:rPr>
        <w:drawing>
          <wp:inline distT="0" distB="0" distL="0" distR="0" wp14:anchorId="60FDB8A8" wp14:editId="5F73C5B7">
            <wp:extent cx="2233930" cy="703580"/>
            <wp:effectExtent l="0" t="0" r="0" b="1270"/>
            <wp:docPr id="5" name="Picture 4" descr="Australian Government | Department of Industry, Innovation and Science logo" title="Australian Government | Department of Industry, Innovation and Science "/>
            <wp:cNvGraphicFramePr/>
            <a:graphic xmlns:a="http://schemas.openxmlformats.org/drawingml/2006/main">
              <a:graphicData uri="http://schemas.openxmlformats.org/drawingml/2006/picture">
                <pic:pic xmlns:pic="http://schemas.openxmlformats.org/drawingml/2006/picture">
                  <pic:nvPicPr>
                    <pic:cNvPr id="5" name="Picture 4" title="Australian Government | Department of Industry, Innovation and Science "/>
                    <pic:cNvPicPr/>
                  </pic:nvPicPr>
                  <pic:blipFill>
                    <a:blip r:embed="rId8" cstate="print">
                      <a:extLst>
                        <a:ext uri="{28A0092B-C50C-407E-A947-70E740481C1C}">
                          <a14:useLocalDpi xmlns:a14="http://schemas.microsoft.com/office/drawing/2010/main" val="0"/>
                        </a:ext>
                      </a:extLst>
                    </a:blip>
                    <a:stretch>
                      <a:fillRect/>
                    </a:stretch>
                  </pic:blipFill>
                  <pic:spPr>
                    <a:xfrm>
                      <a:off x="0" y="0"/>
                      <a:ext cx="2233930" cy="703580"/>
                    </a:xfrm>
                    <a:prstGeom prst="rect">
                      <a:avLst/>
                    </a:prstGeom>
                  </pic:spPr>
                </pic:pic>
              </a:graphicData>
            </a:graphic>
          </wp:inline>
        </w:drawing>
      </w:r>
    </w:p>
    <w:p w:rsidR="0013236F" w:rsidRDefault="0013236F"/>
    <w:p w:rsidR="00F14AFF" w:rsidRDefault="00F14AFF" w:rsidP="00F14AFF">
      <w:pPr>
        <w:pStyle w:val="Heading1"/>
        <w:spacing w:after="480"/>
        <w:rPr>
          <w:lang w:val="en-US"/>
        </w:rPr>
        <w:sectPr w:rsidR="00F14AFF" w:rsidSect="0013236F">
          <w:headerReference w:type="even" r:id="rId9"/>
          <w:headerReference w:type="default" r:id="rId10"/>
          <w:footerReference w:type="even" r:id="rId11"/>
          <w:footerReference w:type="default" r:id="rId12"/>
          <w:headerReference w:type="first" r:id="rId13"/>
          <w:footerReference w:type="first" r:id="rId14"/>
          <w:pgSz w:w="16838" w:h="11906" w:orient="landscape"/>
          <w:pgMar w:top="1440" w:right="1440" w:bottom="1440" w:left="1440" w:header="708" w:footer="708" w:gutter="0"/>
          <w:cols w:space="708"/>
          <w:docGrid w:linePitch="360"/>
        </w:sectPr>
      </w:pPr>
    </w:p>
    <w:p w:rsidR="007A395D" w:rsidRDefault="0013236F" w:rsidP="007A395D">
      <w:pPr>
        <w:pStyle w:val="Heading1"/>
        <w:spacing w:before="960" w:after="480"/>
        <w:rPr>
          <w:b/>
          <w:sz w:val="48"/>
          <w:szCs w:val="48"/>
          <w:lang w:val="en-US"/>
        </w:rPr>
      </w:pPr>
      <w:r w:rsidRPr="00F14AFF">
        <w:rPr>
          <w:b/>
          <w:sz w:val="48"/>
          <w:szCs w:val="48"/>
          <w:lang w:val="en-US"/>
        </w:rPr>
        <w:t xml:space="preserve">National Survey of </w:t>
      </w:r>
      <w:proofErr w:type="spellStart"/>
      <w:r w:rsidRPr="00F14AFF">
        <w:rPr>
          <w:b/>
          <w:sz w:val="48"/>
          <w:szCs w:val="48"/>
          <w:lang w:val="en-US"/>
        </w:rPr>
        <w:t>Resea</w:t>
      </w:r>
      <w:proofErr w:type="spellEnd"/>
      <w:r w:rsidRPr="00F14AFF">
        <w:rPr>
          <w:rStyle w:val="Heading1Char"/>
          <w:b/>
          <w:sz w:val="48"/>
          <w:szCs w:val="48"/>
        </w:rPr>
        <w:t>r</w:t>
      </w:r>
      <w:proofErr w:type="spellStart"/>
      <w:r w:rsidRPr="00F14AFF">
        <w:rPr>
          <w:b/>
          <w:sz w:val="48"/>
          <w:szCs w:val="48"/>
          <w:lang w:val="en-US"/>
        </w:rPr>
        <w:t>ch</w:t>
      </w:r>
      <w:proofErr w:type="spellEnd"/>
      <w:r w:rsidRPr="00F14AFF">
        <w:rPr>
          <w:b/>
          <w:sz w:val="48"/>
          <w:szCs w:val="48"/>
          <w:lang w:val="en-US"/>
        </w:rPr>
        <w:t xml:space="preserve"> </w:t>
      </w:r>
      <w:proofErr w:type="spellStart"/>
      <w:r w:rsidRPr="00F14AFF">
        <w:rPr>
          <w:b/>
          <w:sz w:val="48"/>
          <w:szCs w:val="48"/>
          <w:lang w:val="en-US"/>
        </w:rPr>
        <w:t>Commercialisation</w:t>
      </w:r>
      <w:proofErr w:type="spellEnd"/>
      <w:r w:rsidRPr="00F14AFF">
        <w:rPr>
          <w:b/>
          <w:sz w:val="48"/>
          <w:szCs w:val="48"/>
          <w:lang w:val="en-US"/>
        </w:rPr>
        <w:t xml:space="preserve"> (NSRC) </w:t>
      </w:r>
    </w:p>
    <w:p w:rsidR="007A395D" w:rsidRDefault="007A395D" w:rsidP="007A395D">
      <w:pPr>
        <w:rPr>
          <w:lang w:val="en-US"/>
        </w:rPr>
      </w:pPr>
    </w:p>
    <w:p w:rsidR="007A395D" w:rsidRPr="007A395D" w:rsidRDefault="007A395D" w:rsidP="007A395D">
      <w:pPr>
        <w:rPr>
          <w:lang w:val="en-US"/>
        </w:rPr>
      </w:pPr>
    </w:p>
    <w:p w:rsidR="0013236F" w:rsidRPr="007A395D" w:rsidRDefault="0013236F" w:rsidP="00EE5003">
      <w:pPr>
        <w:spacing w:after="600"/>
        <w:rPr>
          <w:b/>
          <w:color w:val="FFFFFF" w:themeColor="background1"/>
          <w:sz w:val="48"/>
          <w:szCs w:val="48"/>
        </w:rPr>
      </w:pPr>
      <w:r w:rsidRPr="007A395D">
        <w:rPr>
          <w:b/>
          <w:color w:val="FFFFFF" w:themeColor="background1"/>
          <w:sz w:val="48"/>
          <w:szCs w:val="48"/>
        </w:rPr>
        <w:t>2018 Snapshot</w:t>
      </w:r>
    </w:p>
    <w:p w:rsidR="007A395D" w:rsidRDefault="007A395D">
      <w:pPr>
        <w:rPr>
          <w:b/>
          <w:bCs/>
          <w:color w:val="FFFFFF" w:themeColor="background1"/>
          <w:sz w:val="28"/>
          <w:szCs w:val="28"/>
          <w:lang w:val="en-US"/>
        </w:rPr>
      </w:pPr>
    </w:p>
    <w:p w:rsidR="007A395D" w:rsidRDefault="007A395D">
      <w:pPr>
        <w:rPr>
          <w:b/>
          <w:bCs/>
          <w:color w:val="FFFFFF" w:themeColor="background1"/>
          <w:sz w:val="28"/>
          <w:szCs w:val="28"/>
          <w:lang w:val="en-US"/>
        </w:rPr>
      </w:pPr>
    </w:p>
    <w:p w:rsidR="007A395D" w:rsidRDefault="007A395D">
      <w:pPr>
        <w:rPr>
          <w:b/>
          <w:bCs/>
          <w:color w:val="FFFFFF" w:themeColor="background1"/>
          <w:sz w:val="28"/>
          <w:szCs w:val="28"/>
          <w:lang w:val="en-US"/>
        </w:rPr>
      </w:pPr>
    </w:p>
    <w:p w:rsidR="007A395D" w:rsidRDefault="007A395D">
      <w:pPr>
        <w:rPr>
          <w:b/>
          <w:bCs/>
          <w:color w:val="FFFFFF" w:themeColor="background1"/>
          <w:sz w:val="28"/>
          <w:szCs w:val="28"/>
          <w:lang w:val="en-US"/>
        </w:rPr>
      </w:pPr>
    </w:p>
    <w:p w:rsidR="007A395D" w:rsidRDefault="007A395D">
      <w:pPr>
        <w:rPr>
          <w:b/>
          <w:bCs/>
          <w:color w:val="FFFFFF" w:themeColor="background1"/>
          <w:sz w:val="28"/>
          <w:szCs w:val="28"/>
          <w:lang w:val="en-US"/>
        </w:rPr>
      </w:pPr>
    </w:p>
    <w:p w:rsidR="0013236F" w:rsidRPr="00F14AFF" w:rsidRDefault="0013236F">
      <w:pPr>
        <w:rPr>
          <w:b/>
          <w:bCs/>
          <w:color w:val="FFFFFF" w:themeColor="background1"/>
          <w:sz w:val="28"/>
          <w:szCs w:val="28"/>
          <w:lang w:val="en-US"/>
        </w:rPr>
      </w:pPr>
      <w:r w:rsidRPr="00F14AFF">
        <w:rPr>
          <w:b/>
          <w:bCs/>
          <w:color w:val="FFFFFF" w:themeColor="background1"/>
          <w:sz w:val="28"/>
          <w:szCs w:val="28"/>
          <w:lang w:val="en-US"/>
        </w:rPr>
        <w:t>Data represents activities undertaken in 2016</w:t>
      </w:r>
    </w:p>
    <w:p w:rsidR="0013236F" w:rsidRDefault="0013236F">
      <w:pPr>
        <w:rPr>
          <w:b/>
          <w:bCs/>
          <w:lang w:val="en-US"/>
        </w:rPr>
        <w:sectPr w:rsidR="0013236F" w:rsidSect="00F14AFF">
          <w:type w:val="continuous"/>
          <w:pgSz w:w="16838" w:h="11906" w:orient="landscape"/>
          <w:pgMar w:top="1440" w:right="1440" w:bottom="1440" w:left="1440" w:header="708" w:footer="708" w:gutter="0"/>
          <w:cols w:num="2" w:space="678"/>
          <w:docGrid w:linePitch="360"/>
        </w:sectPr>
      </w:pPr>
    </w:p>
    <w:p w:rsidR="0013236F" w:rsidRDefault="0013236F" w:rsidP="0013236F">
      <w:pPr>
        <w:pStyle w:val="Heading2"/>
        <w:spacing w:after="120"/>
      </w:pPr>
      <w:r w:rsidRPr="0013236F">
        <w:lastRenderedPageBreak/>
        <w:t>Australian Government support for knowledge transfer and r</w:t>
      </w:r>
      <w:bookmarkStart w:id="0" w:name="_GoBack"/>
      <w:bookmarkEnd w:id="0"/>
      <w:r w:rsidRPr="0013236F">
        <w:t xml:space="preserve">esearch </w:t>
      </w:r>
      <w:proofErr w:type="spellStart"/>
      <w:r w:rsidRPr="0013236F">
        <w:t>commercialisation</w:t>
      </w:r>
      <w:proofErr w:type="spellEnd"/>
    </w:p>
    <w:p w:rsidR="00CB5274" w:rsidRPr="00CB5274" w:rsidRDefault="00CB5274" w:rsidP="00CB5274">
      <w:pPr>
        <w:rPr>
          <w:lang w:val="en-US"/>
        </w:rPr>
      </w:pPr>
    </w:p>
    <w:p w:rsidR="00CB5274" w:rsidRDefault="00CB5274" w:rsidP="0013236F">
      <w:pPr>
        <w:pStyle w:val="ListParagraph"/>
        <w:numPr>
          <w:ilvl w:val="0"/>
          <w:numId w:val="1"/>
        </w:numPr>
        <w:sectPr w:rsidR="00CB5274" w:rsidSect="0013236F">
          <w:headerReference w:type="default" r:id="rId15"/>
          <w:footerReference w:type="default" r:id="rId16"/>
          <w:pgSz w:w="16838" w:h="11906" w:orient="landscape"/>
          <w:pgMar w:top="1440" w:right="1440" w:bottom="1440" w:left="1440" w:header="708" w:footer="708" w:gutter="0"/>
          <w:cols w:space="708"/>
          <w:docGrid w:linePitch="360"/>
        </w:sectPr>
      </w:pPr>
    </w:p>
    <w:p w:rsidR="007A395D" w:rsidRDefault="0013236F" w:rsidP="00CB5274">
      <w:pPr>
        <w:pStyle w:val="ListParagraph"/>
        <w:numPr>
          <w:ilvl w:val="0"/>
          <w:numId w:val="1"/>
        </w:numPr>
        <w:spacing w:after="240"/>
        <w:ind w:left="714" w:hanging="357"/>
        <w:contextualSpacing w:val="0"/>
        <w:rPr>
          <w:sz w:val="28"/>
          <w:szCs w:val="28"/>
        </w:rPr>
      </w:pPr>
      <w:r w:rsidRPr="00CB5274">
        <w:rPr>
          <w:sz w:val="28"/>
          <w:szCs w:val="28"/>
        </w:rPr>
        <w:t>The Australian Government supports knowledge transfer, collaboration and commercialisation through initiatives such as the</w:t>
      </w:r>
      <w:r w:rsidR="007A395D">
        <w:rPr>
          <w:sz w:val="28"/>
          <w:szCs w:val="28"/>
        </w:rPr>
        <w:t>:</w:t>
      </w:r>
    </w:p>
    <w:p w:rsidR="007A395D" w:rsidRDefault="0013236F" w:rsidP="007A395D">
      <w:pPr>
        <w:pStyle w:val="ListParagraph"/>
        <w:numPr>
          <w:ilvl w:val="1"/>
          <w:numId w:val="1"/>
        </w:numPr>
        <w:spacing w:after="240"/>
        <w:contextualSpacing w:val="0"/>
        <w:rPr>
          <w:sz w:val="28"/>
          <w:szCs w:val="28"/>
        </w:rPr>
      </w:pPr>
      <w:r w:rsidRPr="00CB5274">
        <w:rPr>
          <w:sz w:val="28"/>
          <w:szCs w:val="28"/>
        </w:rPr>
        <w:t xml:space="preserve"> Cooperative Research Centres (CRCs) program, </w:t>
      </w:r>
    </w:p>
    <w:p w:rsidR="007A395D" w:rsidRDefault="0013236F" w:rsidP="007A395D">
      <w:pPr>
        <w:pStyle w:val="ListParagraph"/>
        <w:numPr>
          <w:ilvl w:val="1"/>
          <w:numId w:val="1"/>
        </w:numPr>
        <w:spacing w:after="240"/>
        <w:contextualSpacing w:val="0"/>
        <w:rPr>
          <w:sz w:val="28"/>
          <w:szCs w:val="28"/>
        </w:rPr>
      </w:pPr>
      <w:r w:rsidRPr="00CB5274">
        <w:rPr>
          <w:sz w:val="28"/>
          <w:szCs w:val="28"/>
        </w:rPr>
        <w:t xml:space="preserve">Australian Research Council (ARC) Linkages program, </w:t>
      </w:r>
    </w:p>
    <w:p w:rsidR="007A395D" w:rsidRDefault="0013236F" w:rsidP="007A395D">
      <w:pPr>
        <w:pStyle w:val="ListParagraph"/>
        <w:numPr>
          <w:ilvl w:val="1"/>
          <w:numId w:val="1"/>
        </w:numPr>
        <w:spacing w:after="240"/>
        <w:contextualSpacing w:val="0"/>
        <w:rPr>
          <w:sz w:val="28"/>
          <w:szCs w:val="28"/>
        </w:rPr>
      </w:pPr>
      <w:r w:rsidRPr="00CB5274">
        <w:rPr>
          <w:sz w:val="28"/>
          <w:szCs w:val="28"/>
        </w:rPr>
        <w:t xml:space="preserve">Entrepreneurs Programme, </w:t>
      </w:r>
    </w:p>
    <w:p w:rsidR="007A395D" w:rsidRDefault="0013236F" w:rsidP="007A395D">
      <w:pPr>
        <w:pStyle w:val="ListParagraph"/>
        <w:numPr>
          <w:ilvl w:val="1"/>
          <w:numId w:val="1"/>
        </w:numPr>
        <w:spacing w:after="240"/>
        <w:contextualSpacing w:val="0"/>
        <w:rPr>
          <w:sz w:val="28"/>
          <w:szCs w:val="28"/>
        </w:rPr>
      </w:pPr>
      <w:r w:rsidRPr="00CB5274">
        <w:rPr>
          <w:sz w:val="28"/>
          <w:szCs w:val="28"/>
        </w:rPr>
        <w:t>Biomedical Translation Fund (BTF) and</w:t>
      </w:r>
    </w:p>
    <w:p w:rsidR="0013236F" w:rsidRDefault="0013236F" w:rsidP="007A395D">
      <w:pPr>
        <w:pStyle w:val="ListParagraph"/>
        <w:numPr>
          <w:ilvl w:val="1"/>
          <w:numId w:val="1"/>
        </w:numPr>
        <w:spacing w:after="240"/>
        <w:contextualSpacing w:val="0"/>
        <w:rPr>
          <w:sz w:val="28"/>
          <w:szCs w:val="28"/>
        </w:rPr>
      </w:pPr>
      <w:r w:rsidRPr="00CB5274">
        <w:rPr>
          <w:sz w:val="28"/>
          <w:szCs w:val="28"/>
        </w:rPr>
        <w:t xml:space="preserve"> CSIRO’s ‘ON’ Accelerator and Innovation Fund. </w:t>
      </w:r>
    </w:p>
    <w:p w:rsidR="00C93543" w:rsidRPr="00CB5274" w:rsidRDefault="0013236F" w:rsidP="00CB5274">
      <w:pPr>
        <w:pStyle w:val="ListParagraph"/>
        <w:numPr>
          <w:ilvl w:val="0"/>
          <w:numId w:val="1"/>
        </w:numPr>
        <w:spacing w:after="240"/>
        <w:ind w:left="714" w:hanging="357"/>
        <w:contextualSpacing w:val="0"/>
        <w:rPr>
          <w:sz w:val="28"/>
          <w:szCs w:val="28"/>
        </w:rPr>
      </w:pPr>
      <w:r w:rsidRPr="00CB5274">
        <w:rPr>
          <w:sz w:val="28"/>
          <w:szCs w:val="28"/>
        </w:rPr>
        <w:t>And our public research organisations – universities, medical research organisations and CSIRO are doing more to drive partnerships with industry and the commercialisation of research</w:t>
      </w:r>
    </w:p>
    <w:p w:rsidR="00CB5274" w:rsidRDefault="00CB5274" w:rsidP="0013236F">
      <w:pPr>
        <w:sectPr w:rsidR="00CB5274" w:rsidSect="00CB5274">
          <w:type w:val="continuous"/>
          <w:pgSz w:w="16838" w:h="11906" w:orient="landscape"/>
          <w:pgMar w:top="1440" w:right="1440" w:bottom="1440" w:left="1440" w:header="708" w:footer="708" w:gutter="0"/>
          <w:cols w:num="2" w:space="708"/>
          <w:docGrid w:linePitch="360"/>
        </w:sectPr>
      </w:pPr>
      <w:r>
        <w:rPr>
          <w:noProof/>
          <w:lang w:eastAsia="en-AU"/>
        </w:rPr>
        <mc:AlternateContent>
          <mc:Choice Requires="wpg">
            <w:drawing>
              <wp:inline distT="0" distB="0" distL="0" distR="0">
                <wp:extent cx="4075044" cy="4731026"/>
                <wp:effectExtent l="0" t="0" r="1905" b="0"/>
                <wp:docPr id="6" name="Group 6" descr="We have many great examples of Australian research commercialised:&#10;Bioic Ear&#10;Gardasil&#10;Medical application of penicillin&#10;Google maps platform&#10;Black box flight recorder&#10;WiFi&#10;Solution for sleep apnoea&#10;Polymer banknotes&#10;Ultrasound scanner" title="Examples of Australian research commercialis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5044" cy="4731026"/>
                          <a:chOff x="0" y="2783"/>
                          <a:chExt cx="38884" cy="49898"/>
                        </a:xfrm>
                      </wpg:grpSpPr>
                      <wps:wsp>
                        <wps:cNvPr id="8" name="TextBox 5"/>
                        <wps:cNvSpPr txBox="1">
                          <a:spLocks noChangeArrowheads="1"/>
                        </wps:cNvSpPr>
                        <wps:spPr bwMode="auto">
                          <a:xfrm>
                            <a:off x="0" y="2783"/>
                            <a:ext cx="38884" cy="49898"/>
                          </a:xfrm>
                          <a:prstGeom prst="rect">
                            <a:avLst/>
                          </a:prstGeom>
                          <a:solidFill>
                            <a:schemeClr val="bg1">
                              <a:lumMod val="9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B5274" w:rsidRPr="00F14AFF" w:rsidRDefault="00CB5274" w:rsidP="00CB5274">
                              <w:pPr>
                                <w:pStyle w:val="NormalWeb"/>
                                <w:spacing w:before="0" w:beforeAutospacing="0" w:after="0" w:afterAutospacing="0"/>
                                <w:textAlignment w:val="baseline"/>
                                <w:rPr>
                                  <w:sz w:val="28"/>
                                  <w:szCs w:val="28"/>
                                </w:rPr>
                              </w:pPr>
                              <w:r w:rsidRPr="00F14AFF">
                                <w:rPr>
                                  <w:rFonts w:ascii="Arial" w:eastAsia="MS PGothic" w:hAnsi="Arial" w:cs="MS PGothic"/>
                                  <w:b/>
                                  <w:bCs/>
                                  <w:color w:val="000000" w:themeColor="text1"/>
                                  <w:kern w:val="24"/>
                                  <w:sz w:val="28"/>
                                  <w:szCs w:val="28"/>
                                  <w:lang w:val="en-US"/>
                                </w:rPr>
                                <w:t xml:space="preserve">We have many great examples of Australian research </w:t>
                              </w:r>
                              <w:proofErr w:type="spellStart"/>
                              <w:r w:rsidRPr="00F14AFF">
                                <w:rPr>
                                  <w:rFonts w:ascii="Arial" w:eastAsia="MS PGothic" w:hAnsi="Arial" w:cs="MS PGothic"/>
                                  <w:b/>
                                  <w:bCs/>
                                  <w:color w:val="000000" w:themeColor="text1"/>
                                  <w:kern w:val="24"/>
                                  <w:sz w:val="28"/>
                                  <w:szCs w:val="28"/>
                                  <w:lang w:val="en-US"/>
                                </w:rPr>
                                <w:t>commercialised</w:t>
                              </w:r>
                              <w:proofErr w:type="spellEnd"/>
                            </w:p>
                          </w:txbxContent>
                        </wps:txbx>
                        <wps:bodyPr rot="0" vert="horz" wrap="square" lIns="180000" tIns="180000" rIns="180000" bIns="180000" anchor="t" anchorCtr="0" upright="1">
                          <a:noAutofit/>
                        </wps:bodyPr>
                      </wps:wsp>
                      <pic:pic xmlns:pic="http://schemas.openxmlformats.org/drawingml/2006/picture">
                        <pic:nvPicPr>
                          <pic:cNvPr id="9" name="Picture 7" descr="icon"/>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1689" y="10634"/>
                            <a:ext cx="8922" cy="827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Picture 9" descr="icon"/>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15107" y="10038"/>
                            <a:ext cx="8922" cy="108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Picture 11" descr="icon&#10;"/>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28127" y="9939"/>
                            <a:ext cx="10148" cy="125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 name="Picture 8" descr="icon"/>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15008" y="23655"/>
                            <a:ext cx="11480" cy="1018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 name="Picture 10" descr="icon"/>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596" y="23754"/>
                            <a:ext cx="11481" cy="105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 name="Picture 12" descr="icon"/>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15008" y="38464"/>
                            <a:ext cx="11480" cy="105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 name="Picture 14" descr="icon"/>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28724" y="25046"/>
                            <a:ext cx="8890" cy="70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 name="Picture 13" descr="icon"/>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1789" y="38464"/>
                            <a:ext cx="11010" cy="104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 name="Picture 15" descr="icon"/>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28227" y="38862"/>
                            <a:ext cx="9106" cy="1065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6" o:spid="_x0000_s1026" alt="Title: Examples of Australian research commercialised - Description: We have many great examples of Australian research commercialised:&#10;Bioic Ear&#10;Gardasil&#10;Medical application of penicillin&#10;Google maps platform&#10;Black box flight recorder&#10;WiFi&#10;Solution for sleep apnoea&#10;Polymer banknotes&#10;Ultrasound scanner" style="width:320.85pt;height:372.5pt;mso-position-horizontal-relative:char;mso-position-vertical-relative:line" coordorigin=",2783" coordsize="38884,498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">
                <v:shapetype id="_x0000_t202" coordsize="21600,21600" o:spt="202" path="m,l,21600r21600,l21600,xe">
                  <v:stroke joinstyle="miter"/>
                  <v:path gradientshapeok="t" o:connecttype="rect"/>
                </v:shapetype>
                <v:shape id="TextBox 5" o:spid="_x0000_s1027" type="#_x0000_t202" style="position:absolute;top:2783;width:38884;height:498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bGxb8A&#10;AADaAAAADwAAAGRycy9kb3ducmV2LnhtbERPTYvCMBC9C/6HMII3TZXVajWKCIIreLAKXodmbIvN&#10;pDRZW//95iB4fLzv9bYzlXhR40rLCibjCARxZnXJuYLb9TBagHAeWWNlmRS8ycF20++tMdG25Qu9&#10;Up+LEMIuQQWF93UipcsKMujGtiYO3MM2Bn2ATS51g20IN5WcRtFcGiw5NBRY076g7Jn+GQXLahaf&#10;5PlZx4e3b6c/99n+lP4qNRx0uxUIT53/ij/uo1YQtoYr4QbIz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R9sbFvwAAANoAAAAPAAAAAAAAAAAAAAAAAJgCAABkcnMvZG93bnJl&#10;di54bWxQSwUGAAAAAAQABAD1AAAAhAMAAAAA&#10;" fillcolor="#f2f2f2 [3052]" stroked="f">
                  <v:textbox inset="5mm,5mm,5mm,5mm">
                    <w:txbxContent>
                      <w:p w:rsidR="00CB5274" w:rsidRPr="00F14AFF" w:rsidRDefault="00CB5274" w:rsidP="00CB5274">
                        <w:pPr>
                          <w:pStyle w:val="NormalWeb"/>
                          <w:spacing w:before="0" w:beforeAutospacing="0" w:after="0" w:afterAutospacing="0"/>
                          <w:textAlignment w:val="baseline"/>
                          <w:rPr>
                            <w:sz w:val="28"/>
                            <w:szCs w:val="28"/>
                          </w:rPr>
                        </w:pPr>
                        <w:r w:rsidRPr="00F14AFF">
                          <w:rPr>
                            <w:rFonts w:ascii="Arial" w:eastAsia="MS PGothic" w:hAnsi="Arial" w:cs="MS PGothic"/>
                            <w:b/>
                            <w:bCs/>
                            <w:color w:val="000000" w:themeColor="text1"/>
                            <w:kern w:val="24"/>
                            <w:sz w:val="28"/>
                            <w:szCs w:val="28"/>
                            <w:lang w:val="en-US"/>
                          </w:rPr>
                          <w:t xml:space="preserve">We have many great examples of Australian research </w:t>
                        </w:r>
                        <w:proofErr w:type="spellStart"/>
                        <w:r w:rsidRPr="00F14AFF">
                          <w:rPr>
                            <w:rFonts w:ascii="Arial" w:eastAsia="MS PGothic" w:hAnsi="Arial" w:cs="MS PGothic"/>
                            <w:b/>
                            <w:bCs/>
                            <w:color w:val="000000" w:themeColor="text1"/>
                            <w:kern w:val="24"/>
                            <w:sz w:val="28"/>
                            <w:szCs w:val="28"/>
                            <w:lang w:val="en-US"/>
                          </w:rPr>
                          <w:t>commercialised</w:t>
                        </w:r>
                        <w:proofErr w:type="spellEnd"/>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8" type="#_x0000_t75" alt="icon" style="position:absolute;left:1689;top:10634;width:8922;height:82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agPCAAAA2gAAAA8AAABkcnMvZG93bnJldi54bWxEj0GLwjAUhO8L/ofwBG9r6gqi1SgiLIgH&#10;QXf34O3ZPJti81KbqK2/3gjCHoeZ+YaZLRpbihvVvnCsYNBPQBBnThecK/j9+f4cg/ABWWPpmBS0&#10;5GEx73zMMNXuzju67UMuIoR9igpMCFUqpc8MWfR9VxFH7+RqiyHKOpe6xnuE21J+JclIWiw4Lhis&#10;aGUoO++vVsGlNZOHXh6Osl1ttkM5/uPqXCrV6zbLKYhATfgPv9trrWACryvxBsj5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f2oDwgAAANoAAAAPAAAAAAAAAAAAAAAAAJ8C&#10;AABkcnMvZG93bnJldi54bWxQSwUGAAAAAAQABAD3AAAAjgMAAAAA&#10;">
                  <v:imagedata r:id="rId26" o:title="icon"/>
                  <v:path arrowok="t"/>
                </v:shape>
                <v:shape id="Picture 9" o:spid="_x0000_s1029" type="#_x0000_t75" alt="icon" style="position:absolute;left:15107;top:10038;width:8922;height:108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nwXCAAAA2wAAAA8AAABkcnMvZG93bnJldi54bWxEj0FPwzAMhe9I/IfISNxYOqQhVJZN0yYE&#10;4kbZD7Aar4lonCpJ19Jfjw9I3Gy95/c+b/dz6NWVUvaRDaxXFSjiNlrPnYHz1+vDM6hckC32kcnA&#10;D2XY725vtljbOPEnXZvSKQnhXKMBV8pQa51bRwHzKg7Eol1iClhkTZ22CScJD71+rKonHdCzNDgc&#10;6Oio/W7GYODj5Je22Yw+nd7GtAnTcnHrxZj7u/nwAqrQXP7Nf9fvVvCFXn6RAfTu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Dfp8FwgAAANsAAAAPAAAAAAAAAAAAAAAAAJ8C&#10;AABkcnMvZG93bnJldi54bWxQSwUGAAAAAAQABAD3AAAAjgMAAAAA&#10;">
                  <v:imagedata r:id="rId27" o:title="icon"/>
                  <v:path arrowok="t"/>
                </v:shape>
                <v:shape id="Picture 11" o:spid="_x0000_s1030" type="#_x0000_t75" alt="icon&#10;" style="position:absolute;left:28127;top:9939;width:10148;height:12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AvW/AAAAA2wAAAA8AAABkcnMvZG93bnJldi54bWxET81qg0AQvhf6DssEcmtWm2iCzRpKodDc&#10;Es0DDO5UJe6suNuob98NBHKbj+939ofJdOJGg2stK4hXEQjiyuqWawWX8vttB8J5ZI2dZVIwk4ND&#10;/vqyx0zbkc90K3wtQgi7DBU03veZlK5qyKBb2Z44cL92MOgDHGqpBxxDuOnkexSl0mDLoaHBnr4a&#10;qq7Fn1FA6SaZ+3WR7rb6uB3tuS6T8qTUcjF9foDwNPmn+OH+0WF+DPdfwgEy/w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MC9b8AAAADbAAAADwAAAAAAAAAAAAAAAACfAgAA&#10;ZHJzL2Rvd25yZXYueG1sUEsFBgAAAAAEAAQA9wAAAIwDAAAAAA==&#10;">
                  <v:imagedata r:id="rId28" o:title="icon&#10;"/>
                  <v:path arrowok="t"/>
                </v:shape>
                <v:shape id="Picture 8" o:spid="_x0000_s1031" type="#_x0000_t75" alt="icon" style="position:absolute;left:15008;top:23655;width:11480;height:101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WrIzAAAAA2wAAAA8AAABkcnMvZG93bnJldi54bWxET01vgkAQvTfpf9hME29lKQdtkdVQ0xpv&#10;RuzF24QdgcjOEnYF/PeuiUlv8/I+J1tPphUD9a6xrOAjikEQl1Y3XCn4O/6+f4JwHllja5kU3MjB&#10;evX6kmGq7cgHGgpfiRDCLkUFtfddKqUrazLoItsRB+5se4M+wL6SuscxhJtWJnE8lwYbDg01drSp&#10;qbwUV6Mgl4sttdOX9vH3eDgV+1InP06p2duUL0F4mvy/+One6TA/gccv4QC5ug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ZasjMAAAADbAAAADwAAAAAAAAAAAAAAAACfAgAA&#10;ZHJzL2Rvd25yZXYueG1sUEsFBgAAAAAEAAQA9wAAAIwDAAAAAA==&#10;">
                  <v:imagedata r:id="rId29" o:title="icon"/>
                  <v:path arrowok="t"/>
                </v:shape>
                <v:shape id="Picture 10" o:spid="_x0000_s1032" type="#_x0000_t75" alt="icon" style="position:absolute;left:596;top:23754;width:11481;height:105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Fd+6+AAAA2wAAAA8AAABkcnMvZG93bnJldi54bWxET81qwkAQvhd8h2UEb3Wjgi3RVaRQ1Fu1&#10;PsCQHZNodjZmxyS+vVsQepuP73eW695VqqUmlJ4NTMYJKOLM25JzA6ff7/dPUEGQLVaeycCDAqxX&#10;g7clptZ3fKD2KLmKIRxSNFCI1KnWISvIYRj7mjhyZ984lAibXNsGuxjuKj1Nkrl2WHJsKLCmr4Ky&#10;6/HuDDBbcu32p9vfTuzvm4vMP3IxZjTsNwtQQr38i1/unY3zZ/D3SzxAr54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BgFd+6+AAAA2wAAAA8AAAAAAAAAAAAAAAAAnwIAAGRy&#10;cy9kb3ducmV2LnhtbFBLBQYAAAAABAAEAPcAAACKAwAAAAA=&#10;">
                  <v:imagedata r:id="rId30" o:title="icon"/>
                  <v:path arrowok="t"/>
                </v:shape>
                <v:shape id="Picture 12" o:spid="_x0000_s1033" type="#_x0000_t75" alt="icon" style="position:absolute;left:15008;top:38464;width:11480;height:105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1RTy+AAAA2wAAAA8AAABkcnMvZG93bnJldi54bWxET0uLwjAQvi/4H8II3tZUEZFqWkSR3asP&#10;8Do0Y1NtJqWJtf33ZmHB23x8z9nkva1FR62vHCuYTRMQxIXTFZcKLufD9wqED8gaa8ekYCAPeTb6&#10;2mCq3YuP1J1CKWII+xQVmBCaVEpfGLLop64hjtzNtRZDhG0pdYuvGG5rOU+SpbRYcWww2NDOUPE4&#10;Pa2C1VAaSddungw/98I2w30/O+yVmoz77RpEoD58xP/uXx3nL+Dvl3iAzN4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BW1RTy+AAAA2wAAAA8AAAAAAAAAAAAAAAAAnwIAAGRy&#10;cy9kb3ducmV2LnhtbFBLBQYAAAAABAAEAPcAAACKAwAAAAA=&#10;">
                  <v:imagedata r:id="rId31" o:title="icon"/>
                  <v:path arrowok="t"/>
                </v:shape>
                <v:shape id="Picture 14" o:spid="_x0000_s1034" type="#_x0000_t75" alt="icon" style="position:absolute;left:28724;top:25046;width:8890;height:70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9F7bCAAAA2wAAAA8AAABkcnMvZG93bnJldi54bWxET9tqwkAQfS/4D8sIfasblQaNriKi0Je2&#10;3j5gzE6ywexsyK4x7dd3C4W+zeFcZ7nubS06an3lWMF4lIAgzp2uuFRwOe9fZiB8QNZYOyYFX+Rh&#10;vRo8LTHT7sFH6k6hFDGEfYYKTAhNJqXPDVn0I9cQR65wrcUQYVtK3eIjhttaTpIklRYrjg0GG9oa&#10;ym+nu1XA5iM177t5XxyO00txvX6m35tOqedhv1mACNSHf/Gf+03H+a/w+0s8QK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8vRe2wgAAANsAAAAPAAAAAAAAAAAAAAAAAJ8C&#10;AABkcnMvZG93bnJldi54bWxQSwUGAAAAAAQABAD3AAAAjgMAAAAA&#10;">
                  <v:imagedata r:id="rId32" o:title="icon"/>
                  <v:path arrowok="t"/>
                </v:shape>
                <v:shape id="Picture 13" o:spid="_x0000_s1035" type="#_x0000_t75" alt="icon" style="position:absolute;left:1789;top:38464;width:11010;height:104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1cVevGAAAA2wAAAA8AAABkcnMvZG93bnJldi54bWxEj1trwkAQhd+F/odlCr7ppoK2pK4ipaJ5&#10;EC+9QN+G7HQTmp0N2TWJ/94VCr7NcM6c78x82dtKtNT40rGCp3ECgjh3umSj4PNjPXoB4QOyxsox&#10;KbiQh+XiYTDHVLuOj9SeghExhH2KCooQ6lRKnxdk0Y9dTRy1X9dYDHFtjNQNdjHcVnKSJDNpseRI&#10;KLCmt4Lyv9PZRsg+86vd9Nl02ff7pj2Yn+zrmCk1fOxXryAC9eFu/r/e6lh/Brdf4gByc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VxV68YAAADbAAAADwAAAAAAAAAAAAAA&#10;AACfAgAAZHJzL2Rvd25yZXYueG1sUEsFBgAAAAAEAAQA9wAAAJIDAAAAAA==&#10;">
                  <v:imagedata r:id="rId33" o:title="icon"/>
                  <v:path arrowok="t"/>
                </v:shape>
                <v:shape id="Picture 15" o:spid="_x0000_s1036" type="#_x0000_t75" alt="icon" style="position:absolute;left:28227;top:38862;width:9106;height:106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0fL7AAAAA2wAAAA8AAABkcnMvZG93bnJldi54bWxET02LwjAQvS/4H8IIXkRTBXelGkWFgnhS&#10;Vz0PzdgUm0lpotZ/b4SFvc3jfc582dpKPKjxpWMFo2ECgjh3uuRCwek3G0xB+ICssXJMCl7kYbno&#10;fM0x1e7JB3ocQyFiCPsUFZgQ6lRKnxuy6IeuJo7c1TUWQ4RNIXWDzxhuKzlOkm9pseTYYLCmjaH8&#10;drxbBX1pMr/PdtNz/3A9y8tlfc8ma6V63XY1AxGoDf/iP/dWx/k/8PklHiAXb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PR8vsAAAADbAAAADwAAAAAAAAAAAAAAAACfAgAA&#10;ZHJzL2Rvd25yZXYueG1sUEsFBgAAAAAEAAQA9wAAAIwDAAAAAA==&#10;">
                  <v:imagedata r:id="rId34" o:title="icon"/>
                  <v:path arrowok="t"/>
                </v:shape>
                <w10:anchorlock/>
              </v:group>
            </w:pict>
          </mc:Fallback>
        </mc:AlternateContent>
      </w:r>
    </w:p>
    <w:p w:rsidR="00C93543" w:rsidRDefault="00C93543" w:rsidP="0013236F">
      <w:pPr>
        <w:sectPr w:rsidR="00C93543" w:rsidSect="00CB5274">
          <w:type w:val="continuous"/>
          <w:pgSz w:w="16838" w:h="11906" w:orient="landscape"/>
          <w:pgMar w:top="1440" w:right="1440" w:bottom="1440" w:left="1440" w:header="708" w:footer="708" w:gutter="0"/>
          <w:cols w:space="708"/>
          <w:docGrid w:linePitch="360"/>
        </w:sectPr>
      </w:pPr>
    </w:p>
    <w:p w:rsidR="0013236F" w:rsidRDefault="00CB5274" w:rsidP="00CB5274">
      <w:pPr>
        <w:pStyle w:val="Heading2"/>
      </w:pPr>
      <w:r w:rsidRPr="00CB5274">
        <w:lastRenderedPageBreak/>
        <w:t>National Survey</w:t>
      </w:r>
      <w:r>
        <w:t xml:space="preserve"> of Research Commercialisation </w:t>
      </w:r>
      <w:r w:rsidRPr="00CB5274">
        <w:t>(NSRC) – What is it?</w:t>
      </w:r>
    </w:p>
    <w:p w:rsidR="00CB5274" w:rsidRDefault="00CB5274" w:rsidP="00CB5274">
      <w:pPr>
        <w:sectPr w:rsidR="00CB5274" w:rsidSect="0013236F">
          <w:pgSz w:w="16838" w:h="11906" w:orient="landscape"/>
          <w:pgMar w:top="1440" w:right="1440" w:bottom="1440" w:left="1440" w:header="708" w:footer="708" w:gutter="0"/>
          <w:cols w:space="708"/>
          <w:docGrid w:linePitch="360"/>
        </w:sectPr>
      </w:pPr>
    </w:p>
    <w:p w:rsidR="00CB5274" w:rsidRDefault="00CB5274" w:rsidP="007A395D">
      <w:pPr>
        <w:pStyle w:val="ListParagraph"/>
        <w:numPr>
          <w:ilvl w:val="0"/>
          <w:numId w:val="4"/>
        </w:numPr>
        <w:rPr>
          <w:sz w:val="28"/>
          <w:szCs w:val="28"/>
        </w:rPr>
      </w:pPr>
      <w:r w:rsidRPr="007A395D">
        <w:rPr>
          <w:sz w:val="28"/>
          <w:szCs w:val="28"/>
        </w:rPr>
        <w:t>The NSRC surveys Australian Universities, Medical Research Institutes (MRIs) and Publicly Funded Research Agencies (PFRAs)</w:t>
      </w:r>
    </w:p>
    <w:p w:rsidR="007A395D" w:rsidRPr="007A395D" w:rsidRDefault="007A395D" w:rsidP="007A395D">
      <w:pPr>
        <w:pStyle w:val="ListParagraph"/>
        <w:rPr>
          <w:sz w:val="28"/>
          <w:szCs w:val="28"/>
        </w:rPr>
      </w:pPr>
    </w:p>
    <w:p w:rsidR="00CB5274" w:rsidRPr="007A395D" w:rsidRDefault="00CB5274" w:rsidP="007A395D">
      <w:pPr>
        <w:pStyle w:val="ListParagraph"/>
        <w:numPr>
          <w:ilvl w:val="0"/>
          <w:numId w:val="4"/>
        </w:numPr>
        <w:rPr>
          <w:sz w:val="28"/>
          <w:szCs w:val="28"/>
        </w:rPr>
      </w:pPr>
      <w:r w:rsidRPr="007A395D">
        <w:rPr>
          <w:sz w:val="28"/>
          <w:szCs w:val="28"/>
        </w:rPr>
        <w:t>The data collected covers:</w:t>
      </w:r>
    </w:p>
    <w:p w:rsidR="00D55656" w:rsidRDefault="007C526B" w:rsidP="007A395D">
      <w:pPr>
        <w:numPr>
          <w:ilvl w:val="2"/>
          <w:numId w:val="2"/>
        </w:numPr>
        <w:tabs>
          <w:tab w:val="clear" w:pos="2160"/>
          <w:tab w:val="num" w:pos="993"/>
        </w:tabs>
        <w:ind w:left="993" w:hanging="284"/>
        <w:rPr>
          <w:sz w:val="28"/>
          <w:szCs w:val="28"/>
        </w:rPr>
      </w:pPr>
      <w:r w:rsidRPr="00CB5274">
        <w:rPr>
          <w:b/>
          <w:bCs/>
          <w:sz w:val="28"/>
          <w:szCs w:val="28"/>
        </w:rPr>
        <w:t>Investment</w:t>
      </w:r>
      <w:r w:rsidRPr="00CB5274">
        <w:rPr>
          <w:sz w:val="28"/>
          <w:szCs w:val="28"/>
        </w:rPr>
        <w:t xml:space="preserve"> in R&amp;D, commercialisation staff and training</w:t>
      </w:r>
    </w:p>
    <w:p w:rsidR="00D55656" w:rsidRPr="007A395D" w:rsidRDefault="007C526B" w:rsidP="007A395D">
      <w:pPr>
        <w:numPr>
          <w:ilvl w:val="2"/>
          <w:numId w:val="2"/>
        </w:numPr>
        <w:tabs>
          <w:tab w:val="clear" w:pos="2160"/>
          <w:tab w:val="num" w:pos="993"/>
        </w:tabs>
        <w:ind w:left="993" w:hanging="284"/>
        <w:rPr>
          <w:sz w:val="28"/>
          <w:szCs w:val="28"/>
        </w:rPr>
      </w:pPr>
      <w:r w:rsidRPr="007A395D">
        <w:rPr>
          <w:b/>
          <w:bCs/>
          <w:sz w:val="28"/>
          <w:szCs w:val="28"/>
        </w:rPr>
        <w:t>Commercialisation pathways</w:t>
      </w:r>
      <w:r w:rsidRPr="007A395D">
        <w:rPr>
          <w:sz w:val="28"/>
          <w:szCs w:val="28"/>
        </w:rPr>
        <w:t xml:space="preserve">: licences, </w:t>
      </w:r>
      <w:proofErr w:type="spellStart"/>
      <w:r w:rsidRPr="007A395D">
        <w:rPr>
          <w:sz w:val="28"/>
          <w:szCs w:val="28"/>
        </w:rPr>
        <w:t>startups</w:t>
      </w:r>
      <w:proofErr w:type="spellEnd"/>
      <w:r w:rsidRPr="007A395D">
        <w:rPr>
          <w:sz w:val="28"/>
          <w:szCs w:val="28"/>
        </w:rPr>
        <w:t>, patents and disclosures, consultancies, contracts and collaborations</w:t>
      </w:r>
    </w:p>
    <w:p w:rsidR="00CB5274" w:rsidRPr="007A395D" w:rsidRDefault="00CB5274" w:rsidP="007A395D">
      <w:pPr>
        <w:pStyle w:val="ListParagraph"/>
        <w:numPr>
          <w:ilvl w:val="0"/>
          <w:numId w:val="6"/>
        </w:numPr>
        <w:rPr>
          <w:sz w:val="28"/>
          <w:szCs w:val="28"/>
        </w:rPr>
      </w:pPr>
      <w:r w:rsidRPr="007A395D">
        <w:rPr>
          <w:sz w:val="28"/>
          <w:szCs w:val="28"/>
        </w:rPr>
        <w:t>Data is also included on CRCs, Patents and Plant Breeders Rights (PBRs)</w:t>
      </w:r>
    </w:p>
    <w:p w:rsidR="00CB5274" w:rsidRDefault="00CB5274" w:rsidP="00CB5274">
      <w:pPr>
        <w:rPr>
          <w:lang w:val="en-US"/>
        </w:rPr>
        <w:sectPr w:rsidR="00CB5274" w:rsidSect="00CB5274">
          <w:type w:val="continuous"/>
          <w:pgSz w:w="16838" w:h="11906" w:orient="landscape"/>
          <w:pgMar w:top="1440" w:right="1440" w:bottom="1440" w:left="1440" w:header="708" w:footer="708" w:gutter="0"/>
          <w:cols w:num="2" w:space="710" w:equalWidth="0">
            <w:col w:w="4536" w:space="710"/>
            <w:col w:w="8712"/>
          </w:cols>
          <w:docGrid w:linePitch="360"/>
        </w:sectPr>
      </w:pPr>
      <w:r w:rsidRPr="00CB5274">
        <w:rPr>
          <w:noProof/>
          <w:lang w:eastAsia="en-AU"/>
        </w:rPr>
        <w:drawing>
          <wp:inline distT="0" distB="0" distL="0" distR="0" wp14:anchorId="7C12391B" wp14:editId="5AF7BE07">
            <wp:extent cx="5585791" cy="3993827"/>
            <wp:effectExtent l="0" t="0" r="0" b="6985"/>
            <wp:docPr id="4" name="Picture 3" descr="Unis:&#10;ACU, Adelaide, ANU, Canberra, CQU, CSU, Curtin ,Deakin, Edith Cowan, FedUni, Flinders, Griffith, James Cook, La Trobe, Macquarie, Melbourne, Monash, Murdoch, New England, New South Wales, Newcastle, Notre Dame, Queensland, QUT, RMIT, SCU, South Australia, Sunshine Coast, Swinburne, Sydney, Tasmania, USQ, UTS, Victoria, Western Australia, Western Sydney, Wollongong&#10;&#10;MRIs:&#10;ANZAC, Baker, Bionics, Brien Holden Vision, Burnet, Cancer Council Vic, Centenary, Garvan, George, Hudson, IBAS, MCRI, NeuRA, ONJCRI, PeterMac, QIMR Berghofer, Telethon Kids, Victor Chang, WEHI, Woolcock&#10;&#10;PFRAs:&#10;AAO, AIMS, ANSTO, CSIRO, DST, NMI" title="37 Unis, 20 MRIs, 6 PF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Unis:&#10;ACU, Adelaide, ANU, Canberra, CQU, CSU, Curtin ,Deakin, Edith Cowan, FedUni, Flinders, Griffith, James Cook, La Trobe, Macquarie, Melbourne, Monash, Murdoch, New England, New South Wales, Newcastle, Notre Dame, Queensland, QUT, RMIT, SCU, South Australia, Sunshine Coast, Swinburne, Sydney, Tasmania, USQ, UTS, Victoria, Western Australia, Western Sydney, Wollongong&#10;&#10;MRIs:&#10;ANZAC, Baker, Bionics, Brien Holden Vision, Burnet, Cancer Council Vic, Centenary, Garvan, George, Hudson, IBAS, MCRI, NeuRA, ONJCRI, PeterMac, QIMR Berghofer, Telethon Kids, Victor Chang, WEHI, Woolcock&#10;&#10;PFRAs:&#10;AAO, AIMS, ANSTO, CSIRO, DST, NMI" title="37 Unis, 20 MRIs, 6 PFRAs"/>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594126" cy="3999786"/>
                    </a:xfrm>
                    <a:prstGeom prst="rect">
                      <a:avLst/>
                    </a:prstGeom>
                  </pic:spPr>
                </pic:pic>
              </a:graphicData>
            </a:graphic>
          </wp:inline>
        </w:drawing>
      </w:r>
    </w:p>
    <w:p w:rsidR="00CB5274" w:rsidRDefault="00CB5274" w:rsidP="00CB5274">
      <w:pPr>
        <w:pStyle w:val="Heading2"/>
      </w:pPr>
      <w:r>
        <w:t xml:space="preserve">NSRC – </w:t>
      </w:r>
      <w:r w:rsidRPr="00CB5274">
        <w:t>2018 Highlights</w:t>
      </w:r>
    </w:p>
    <w:p w:rsidR="00CB5274" w:rsidRDefault="00CB5274" w:rsidP="00646AF1">
      <w:pPr>
        <w:sectPr w:rsidR="00CB5274" w:rsidSect="00CB5274">
          <w:pgSz w:w="16838" w:h="11906" w:orient="landscape"/>
          <w:pgMar w:top="1440" w:right="1440" w:bottom="1440" w:left="1440" w:header="708" w:footer="708" w:gutter="0"/>
          <w:cols w:num="2" w:space="710" w:equalWidth="0">
            <w:col w:w="4536" w:space="710"/>
            <w:col w:w="8712"/>
          </w:cols>
          <w:docGrid w:linePitch="360"/>
        </w:sectPr>
      </w:pPr>
    </w:p>
    <w:p w:rsidR="00D55656" w:rsidRDefault="007C526B" w:rsidP="007A395D">
      <w:pPr>
        <w:numPr>
          <w:ilvl w:val="0"/>
          <w:numId w:val="7"/>
        </w:numPr>
        <w:rPr>
          <w:sz w:val="28"/>
          <w:szCs w:val="28"/>
        </w:rPr>
      </w:pPr>
      <w:r w:rsidRPr="00CB5274">
        <w:rPr>
          <w:sz w:val="28"/>
          <w:szCs w:val="28"/>
        </w:rPr>
        <w:t xml:space="preserve">Australian public research organisations have </w:t>
      </w:r>
      <w:r w:rsidRPr="00CB5274">
        <w:rPr>
          <w:b/>
          <w:bCs/>
          <w:sz w:val="28"/>
          <w:szCs w:val="28"/>
        </w:rPr>
        <w:t>increased</w:t>
      </w:r>
      <w:r w:rsidRPr="00CB5274">
        <w:rPr>
          <w:sz w:val="28"/>
          <w:szCs w:val="28"/>
        </w:rPr>
        <w:t xml:space="preserve"> their commercialisation and collaboration activities over the life of the survey since it was first undertaken in 2000.</w:t>
      </w:r>
    </w:p>
    <w:p w:rsidR="007A395D" w:rsidRPr="00CB5274" w:rsidRDefault="007A395D" w:rsidP="007A395D">
      <w:pPr>
        <w:ind w:left="720"/>
        <w:rPr>
          <w:sz w:val="28"/>
          <w:szCs w:val="28"/>
        </w:rPr>
      </w:pPr>
    </w:p>
    <w:p w:rsidR="00D55656" w:rsidRPr="00CB5274" w:rsidRDefault="007C526B" w:rsidP="007A395D">
      <w:pPr>
        <w:numPr>
          <w:ilvl w:val="0"/>
          <w:numId w:val="7"/>
        </w:numPr>
        <w:rPr>
          <w:sz w:val="28"/>
          <w:szCs w:val="28"/>
        </w:rPr>
      </w:pPr>
      <w:r w:rsidRPr="00CB5274">
        <w:rPr>
          <w:sz w:val="28"/>
          <w:szCs w:val="28"/>
        </w:rPr>
        <w:t xml:space="preserve">NSRC data for 2016 shows </w:t>
      </w:r>
      <w:r w:rsidRPr="00CB5274">
        <w:rPr>
          <w:b/>
          <w:bCs/>
          <w:sz w:val="28"/>
          <w:szCs w:val="28"/>
        </w:rPr>
        <w:t>positive trends</w:t>
      </w:r>
      <w:r w:rsidRPr="00CB5274">
        <w:rPr>
          <w:sz w:val="28"/>
          <w:szCs w:val="28"/>
        </w:rPr>
        <w:t xml:space="preserve"> across most metrics:</w:t>
      </w:r>
    </w:p>
    <w:p w:rsidR="00D55656" w:rsidRPr="00CB5274" w:rsidRDefault="007C526B" w:rsidP="007A395D">
      <w:pPr>
        <w:numPr>
          <w:ilvl w:val="1"/>
          <w:numId w:val="8"/>
        </w:numPr>
        <w:ind w:left="1080"/>
        <w:rPr>
          <w:sz w:val="28"/>
          <w:szCs w:val="28"/>
        </w:rPr>
      </w:pPr>
      <w:r w:rsidRPr="00CB5274">
        <w:rPr>
          <w:sz w:val="28"/>
          <w:szCs w:val="28"/>
        </w:rPr>
        <w:t>Continued growth in start-up creation</w:t>
      </w:r>
    </w:p>
    <w:p w:rsidR="00D55656" w:rsidRPr="00CB5274" w:rsidRDefault="007C526B" w:rsidP="007A395D">
      <w:pPr>
        <w:numPr>
          <w:ilvl w:val="1"/>
          <w:numId w:val="8"/>
        </w:numPr>
        <w:ind w:left="1080"/>
        <w:rPr>
          <w:sz w:val="28"/>
          <w:szCs w:val="28"/>
        </w:rPr>
      </w:pPr>
      <w:r w:rsidRPr="00CB5274">
        <w:rPr>
          <w:sz w:val="28"/>
          <w:szCs w:val="28"/>
        </w:rPr>
        <w:t>Increased technology licences executed</w:t>
      </w:r>
    </w:p>
    <w:p w:rsidR="00D55656" w:rsidRDefault="007C526B" w:rsidP="007A395D">
      <w:pPr>
        <w:numPr>
          <w:ilvl w:val="1"/>
          <w:numId w:val="8"/>
        </w:numPr>
        <w:ind w:left="1080"/>
        <w:rPr>
          <w:sz w:val="28"/>
          <w:szCs w:val="28"/>
        </w:rPr>
      </w:pPr>
      <w:r w:rsidRPr="00CB5274">
        <w:rPr>
          <w:sz w:val="28"/>
          <w:szCs w:val="28"/>
        </w:rPr>
        <w:t>Consultancies, contracts and collaborations with end users including industry partners</w:t>
      </w:r>
    </w:p>
    <w:p w:rsidR="007A395D" w:rsidRPr="00CB5274" w:rsidRDefault="007A395D" w:rsidP="007A395D">
      <w:pPr>
        <w:ind w:left="1080"/>
        <w:rPr>
          <w:sz w:val="28"/>
          <w:szCs w:val="28"/>
        </w:rPr>
      </w:pPr>
    </w:p>
    <w:p w:rsidR="00D55656" w:rsidRPr="00CB5274" w:rsidRDefault="007C526B" w:rsidP="007A395D">
      <w:pPr>
        <w:numPr>
          <w:ilvl w:val="0"/>
          <w:numId w:val="8"/>
        </w:numPr>
        <w:ind w:left="709" w:hanging="283"/>
        <w:rPr>
          <w:sz w:val="28"/>
          <w:szCs w:val="28"/>
        </w:rPr>
      </w:pPr>
      <w:r w:rsidRPr="00CB5274">
        <w:rPr>
          <w:sz w:val="28"/>
          <w:szCs w:val="28"/>
        </w:rPr>
        <w:t>And an increase of 35% in researchers and students participating in industry skills training</w:t>
      </w:r>
    </w:p>
    <w:p w:rsidR="00CB5274" w:rsidRDefault="00CB5274" w:rsidP="007A395D">
      <w:pPr>
        <w:rPr>
          <w:sz w:val="28"/>
          <w:szCs w:val="28"/>
          <w:lang w:val="en-US"/>
        </w:rPr>
        <w:sectPr w:rsidR="00CB5274" w:rsidSect="00CB5274">
          <w:type w:val="continuous"/>
          <w:pgSz w:w="16838" w:h="11906" w:orient="landscape"/>
          <w:pgMar w:top="1440" w:right="1440" w:bottom="1440" w:left="1440" w:header="708" w:footer="708" w:gutter="0"/>
          <w:cols w:space="710"/>
          <w:docGrid w:linePitch="360"/>
        </w:sectPr>
      </w:pPr>
    </w:p>
    <w:p w:rsidR="00CB5274" w:rsidRDefault="00CB5274" w:rsidP="00CB5274">
      <w:pPr>
        <w:pStyle w:val="Heading2"/>
      </w:pPr>
      <w:r>
        <w:t xml:space="preserve">Commercialisation Activity – </w:t>
      </w:r>
      <w:r w:rsidRPr="00CB5274">
        <w:t>Startup creation</w:t>
      </w:r>
    </w:p>
    <w:p w:rsidR="00CB5274" w:rsidRPr="00CB5274" w:rsidRDefault="00CB5274" w:rsidP="00CB5274">
      <w:pPr>
        <w:rPr>
          <w:lang w:val="en-US"/>
        </w:rPr>
      </w:pPr>
      <w:r w:rsidRPr="00CB5274">
        <w:rPr>
          <w:lang w:val="en-US"/>
        </w:rPr>
        <w:t xml:space="preserve">Institutional policy within each PFRO plays a significant role in determining that </w:t>
      </w:r>
      <w:proofErr w:type="spellStart"/>
      <w:r w:rsidRPr="00CB5274">
        <w:rPr>
          <w:lang w:val="en-US"/>
        </w:rPr>
        <w:t>organisations</w:t>
      </w:r>
      <w:proofErr w:type="spellEnd"/>
      <w:r w:rsidRPr="00CB5274">
        <w:rPr>
          <w:lang w:val="en-US"/>
        </w:rPr>
        <w:t xml:space="preserve"> appetite for starting up new firms. Some </w:t>
      </w:r>
      <w:proofErr w:type="spellStart"/>
      <w:r w:rsidRPr="00CB5274">
        <w:rPr>
          <w:lang w:val="en-US"/>
        </w:rPr>
        <w:t>organisations</w:t>
      </w:r>
      <w:proofErr w:type="spellEnd"/>
      <w:r w:rsidRPr="00CB5274">
        <w:rPr>
          <w:lang w:val="en-US"/>
        </w:rPr>
        <w:t xml:space="preserve"> may, for example, wish to </w:t>
      </w:r>
      <w:proofErr w:type="spellStart"/>
      <w:r w:rsidRPr="00CB5274">
        <w:rPr>
          <w:lang w:val="en-US"/>
        </w:rPr>
        <w:t>minimise</w:t>
      </w:r>
      <w:proofErr w:type="spellEnd"/>
      <w:r w:rsidRPr="00CB5274">
        <w:rPr>
          <w:lang w:val="en-US"/>
        </w:rPr>
        <w:t xml:space="preserve"> the legal/financial risk associated with startups. However, startups do convey a range of benefits to PFROs. </w:t>
      </w:r>
    </w:p>
    <w:p w:rsidR="00CB5274" w:rsidRDefault="00CB5274" w:rsidP="00CB5274">
      <w:pPr>
        <w:rPr>
          <w:lang w:val="en-US"/>
        </w:rPr>
      </w:pPr>
      <w:r w:rsidRPr="00CB5274">
        <w:rPr>
          <w:lang w:val="en-US"/>
        </w:rPr>
        <w:t xml:space="preserve">For example, having the IP owned by a separate </w:t>
      </w:r>
      <w:proofErr w:type="spellStart"/>
      <w:r w:rsidRPr="00CB5274">
        <w:rPr>
          <w:lang w:val="en-US"/>
        </w:rPr>
        <w:t>organisation</w:t>
      </w:r>
      <w:proofErr w:type="spellEnd"/>
      <w:r w:rsidRPr="00CB5274">
        <w:rPr>
          <w:lang w:val="en-US"/>
        </w:rPr>
        <w:t xml:space="preserve"> i.e. the startup, enables ease of transfer and transactions.  It also facilitates access to overseas markets because the firm’s mobility is comparatively unrestricted. Ultimately, the strategy behind starting up new firms may be that PFROs can </w:t>
      </w:r>
      <w:proofErr w:type="spellStart"/>
      <w:r w:rsidRPr="00CB5274">
        <w:rPr>
          <w:lang w:val="en-US"/>
        </w:rPr>
        <w:t>realise</w:t>
      </w:r>
      <w:proofErr w:type="spellEnd"/>
      <w:r w:rsidRPr="00CB5274">
        <w:rPr>
          <w:lang w:val="en-US"/>
        </w:rPr>
        <w:t xml:space="preserve"> the greatest amount of returns with minimal risk to the home </w:t>
      </w:r>
      <w:proofErr w:type="spellStart"/>
      <w:r w:rsidRPr="00CB5274">
        <w:rPr>
          <w:lang w:val="en-US"/>
        </w:rPr>
        <w:t>organisation</w:t>
      </w:r>
      <w:proofErr w:type="spellEnd"/>
      <w:r w:rsidRPr="00CB5274">
        <w:rPr>
          <w:lang w:val="en-US"/>
        </w:rPr>
        <w:t>.</w:t>
      </w:r>
    </w:p>
    <w:p w:rsidR="00CB5274" w:rsidRDefault="00CB5274" w:rsidP="00CB5274">
      <w:pPr>
        <w:spacing w:after="480"/>
        <w:rPr>
          <w:lang w:val="en-US"/>
        </w:rPr>
      </w:pPr>
    </w:p>
    <w:p w:rsidR="00CB5274" w:rsidRDefault="00CB5274" w:rsidP="00CB5274">
      <w:pPr>
        <w:spacing w:after="480"/>
        <w:rPr>
          <w:lang w:val="en-US"/>
        </w:rPr>
        <w:sectPr w:rsidR="00CB5274" w:rsidSect="00CB5274">
          <w:pgSz w:w="16838" w:h="11906" w:orient="landscape"/>
          <w:pgMar w:top="1440" w:right="1440" w:bottom="1440" w:left="1440" w:header="708" w:footer="708" w:gutter="0"/>
          <w:cols w:space="710"/>
          <w:docGrid w:linePitch="360"/>
        </w:sectPr>
      </w:pPr>
    </w:p>
    <w:p w:rsidR="00CB5274" w:rsidRDefault="00CB5274" w:rsidP="00CB5274">
      <w:pPr>
        <w:rPr>
          <w:lang w:val="en-US"/>
        </w:rPr>
      </w:pPr>
      <w:r w:rsidRPr="00CB5274">
        <w:rPr>
          <w:noProof/>
          <w:lang w:eastAsia="en-AU"/>
        </w:rPr>
        <w:drawing>
          <wp:inline distT="0" distB="0" distL="0" distR="0" wp14:anchorId="1C3EC628" wp14:editId="760EC628">
            <wp:extent cx="4412615" cy="2882348"/>
            <wp:effectExtent l="0" t="0" r="6985" b="0"/>
            <wp:docPr id="18" name="Chart 18" descr="Average number of start-ups created per surveyed organisation. The chart shows the average number of start-ups created  has almost doubled between 2004 and 2016." title="Average number of Start-ups created by surveyed organisations, 2004-20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CB5274" w:rsidRPr="007A395D" w:rsidRDefault="00CB5274" w:rsidP="00CB5274">
      <w:pPr>
        <w:rPr>
          <w:sz w:val="14"/>
          <w:szCs w:val="16"/>
        </w:rPr>
      </w:pPr>
      <w:r w:rsidRPr="007A395D">
        <w:rPr>
          <w:sz w:val="14"/>
          <w:szCs w:val="16"/>
          <w:lang w:val="en-US"/>
        </w:rPr>
        <w:t xml:space="preserve">*Data has been </w:t>
      </w:r>
      <w:proofErr w:type="spellStart"/>
      <w:r w:rsidRPr="007A395D">
        <w:rPr>
          <w:sz w:val="14"/>
          <w:szCs w:val="16"/>
          <w:lang w:val="en-US"/>
        </w:rPr>
        <w:t>normalised</w:t>
      </w:r>
      <w:proofErr w:type="spellEnd"/>
      <w:r w:rsidRPr="007A395D">
        <w:rPr>
          <w:sz w:val="14"/>
          <w:szCs w:val="16"/>
          <w:lang w:val="en-US"/>
        </w:rPr>
        <w:t xml:space="preserve"> by dividing the total number of start-ups created by the number of participating </w:t>
      </w:r>
      <w:proofErr w:type="spellStart"/>
      <w:r w:rsidRPr="007A395D">
        <w:rPr>
          <w:sz w:val="14"/>
          <w:szCs w:val="16"/>
          <w:lang w:val="en-US"/>
        </w:rPr>
        <w:t>organisations</w:t>
      </w:r>
      <w:proofErr w:type="spellEnd"/>
      <w:r w:rsidRPr="007A395D">
        <w:rPr>
          <w:sz w:val="14"/>
          <w:szCs w:val="16"/>
          <w:lang w:val="en-US"/>
        </w:rPr>
        <w:t xml:space="preserve"> each year. </w:t>
      </w:r>
    </w:p>
    <w:p w:rsidR="00A92B21" w:rsidRDefault="00CB5274" w:rsidP="00CB5274">
      <w:pPr>
        <w:sectPr w:rsidR="00A92B21" w:rsidSect="00F14AFF">
          <w:type w:val="continuous"/>
          <w:pgSz w:w="16838" w:h="11906" w:orient="landscape"/>
          <w:pgMar w:top="1440" w:right="1440" w:bottom="568" w:left="1440" w:header="708" w:footer="708" w:gutter="0"/>
          <w:cols w:num="2" w:space="710"/>
          <w:docGrid w:linePitch="360"/>
        </w:sectPr>
      </w:pPr>
      <w:r w:rsidRPr="00CB5274">
        <w:rPr>
          <w:noProof/>
          <w:lang w:eastAsia="en-AU"/>
        </w:rPr>
        <w:drawing>
          <wp:inline distT="0" distB="0" distL="0" distR="0" wp14:anchorId="0104DA68" wp14:editId="3072B373">
            <wp:extent cx="4234070" cy="3239770"/>
            <wp:effectExtent l="0" t="0" r="0" b="0"/>
            <wp:docPr id="19" name="Chart 19" descr="Chart shows the low numbers in start-ups created. The top three organisations are University of New South Wales; Burnet Institute and the Bionics Institute." title="Average number of Start-ups created per surveyed organisation 2014-20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CB5274" w:rsidRDefault="00A92B21" w:rsidP="00A92B21">
      <w:pPr>
        <w:pStyle w:val="Heading2"/>
      </w:pPr>
      <w:r>
        <w:t xml:space="preserve">Commercialisation Activity – </w:t>
      </w:r>
      <w:r w:rsidRPr="00A92B21">
        <w:t>Provisional and PCT applications</w:t>
      </w:r>
    </w:p>
    <w:p w:rsidR="00A92B21" w:rsidRPr="00A92B21" w:rsidRDefault="00A92B21" w:rsidP="00A92B21">
      <w:r w:rsidRPr="00A92B21">
        <w:t xml:space="preserve">Provisional applications establish a priority date signalling intention to file a full patent application. To claim the priority date, a patent or a Patent Cooperation Treaty (PCT) application must be filed within 12 months. </w:t>
      </w:r>
    </w:p>
    <w:p w:rsidR="00A92B21" w:rsidRPr="00A92B21" w:rsidRDefault="00A92B21" w:rsidP="00A92B21">
      <w:r w:rsidRPr="00A92B21">
        <w:t xml:space="preserve">A provisional application allows time to determine if the invention is worthy of further time, money and effort associated with filing an application for a patent. </w:t>
      </w:r>
    </w:p>
    <w:p w:rsidR="00A92B21" w:rsidRPr="00A92B21" w:rsidRDefault="00A92B21" w:rsidP="00A92B21">
      <w:r w:rsidRPr="00A92B21">
        <w:t xml:space="preserve">A PCT application provides a quick indication of whether an invention can be patented. A PCT application will go through an examination process according to a set of standards accepted by all the 151 countries which are signatories to the treaty. </w:t>
      </w:r>
    </w:p>
    <w:p w:rsidR="00A92B21" w:rsidRDefault="00A92B21" w:rsidP="00A92B21">
      <w:pPr>
        <w:rPr>
          <w:lang w:val="en-US"/>
        </w:rPr>
        <w:sectPr w:rsidR="00A92B21" w:rsidSect="00A92B21">
          <w:pgSz w:w="16838" w:h="11906" w:orient="landscape"/>
          <w:pgMar w:top="1440" w:right="1440" w:bottom="851" w:left="1440" w:header="708" w:footer="708" w:gutter="0"/>
          <w:cols w:space="710"/>
          <w:docGrid w:linePitch="360"/>
        </w:sectPr>
      </w:pPr>
      <w:r w:rsidRPr="00A92B21">
        <w:rPr>
          <w:noProof/>
          <w:lang w:eastAsia="en-AU"/>
        </w:rPr>
        <w:drawing>
          <wp:inline distT="0" distB="0" distL="0" distR="0" wp14:anchorId="63186862" wp14:editId="78740A8B">
            <wp:extent cx="4104456" cy="3852232"/>
            <wp:effectExtent l="0" t="0" r="0" b="0"/>
            <wp:docPr id="20" name="Chart 20" descr="Shows the top 15 organisation reporting the number of new provisional applications, with CSIRO leading at 68." title="Number of new Provisional applications per surveyed organisation, 2014-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Pr>
          <w:lang w:val="en-US"/>
        </w:rPr>
        <w:t xml:space="preserve">  </w:t>
      </w:r>
      <w:r w:rsidRPr="00A92B21">
        <w:rPr>
          <w:noProof/>
          <w:lang w:eastAsia="en-AU"/>
        </w:rPr>
        <w:drawing>
          <wp:inline distT="0" distB="0" distL="0" distR="0" wp14:anchorId="24C5A902" wp14:editId="42A737D6">
            <wp:extent cx="4184374" cy="3851910"/>
            <wp:effectExtent l="0" t="0" r="6985" b="0"/>
            <wp:docPr id="21" name="Chart 21" descr="Shows the top 16 organisations reporting the number of new PCT applications with CSIRO leading at 50 for 2016. " title="Number of new PCT applications per surveyed organisation 2014-20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A92B21" w:rsidRDefault="00A92B21" w:rsidP="00F14AFF">
      <w:pPr>
        <w:pStyle w:val="Heading2"/>
        <w:spacing w:after="360"/>
      </w:pPr>
      <w:r w:rsidRPr="00A92B21">
        <w:t>Commercialisation Activity – consultancies, contracts and collaborations with end users</w:t>
      </w:r>
    </w:p>
    <w:p w:rsidR="00A92B21" w:rsidRPr="00A92B21" w:rsidRDefault="00A92B21" w:rsidP="00A92B21">
      <w:pPr>
        <w:rPr>
          <w:lang w:val="en-US"/>
        </w:rPr>
      </w:pPr>
      <w:r w:rsidRPr="00A92B21">
        <w:rPr>
          <w:lang w:val="en-US"/>
        </w:rPr>
        <w:t xml:space="preserve">Research contracts, consultancies and collaborations provide useful insights on levels of engagement between research </w:t>
      </w:r>
      <w:proofErr w:type="spellStart"/>
      <w:r w:rsidRPr="00A92B21">
        <w:rPr>
          <w:lang w:val="en-US"/>
        </w:rPr>
        <w:t>organisations</w:t>
      </w:r>
      <w:proofErr w:type="spellEnd"/>
      <w:r w:rsidRPr="00A92B21">
        <w:rPr>
          <w:lang w:val="en-US"/>
        </w:rPr>
        <w:t xml:space="preserve"> and end users, particularly industry partners, at an early stage in the </w:t>
      </w:r>
      <w:proofErr w:type="spellStart"/>
      <w:r w:rsidRPr="00A92B21">
        <w:rPr>
          <w:lang w:val="en-US"/>
        </w:rPr>
        <w:t>commercialisation</w:t>
      </w:r>
      <w:proofErr w:type="spellEnd"/>
      <w:r w:rsidRPr="00A92B21">
        <w:rPr>
          <w:lang w:val="en-US"/>
        </w:rPr>
        <w:t xml:space="preserve"> pipeline. </w:t>
      </w:r>
    </w:p>
    <w:p w:rsidR="00A92B21" w:rsidRDefault="00A92B21" w:rsidP="00A92B21">
      <w:pPr>
        <w:rPr>
          <w:lang w:val="en-US"/>
        </w:rPr>
        <w:sectPr w:rsidR="00A92B21" w:rsidSect="00A92B21">
          <w:pgSz w:w="16838" w:h="11906" w:orient="landscape"/>
          <w:pgMar w:top="1440" w:right="1440" w:bottom="851" w:left="1440" w:header="708" w:footer="708" w:gutter="0"/>
          <w:cols w:space="710"/>
          <w:docGrid w:linePitch="360"/>
        </w:sectPr>
      </w:pPr>
      <w:r w:rsidRPr="00A92B21">
        <w:rPr>
          <w:lang w:val="en-US"/>
        </w:rPr>
        <w:t xml:space="preserve">A </w:t>
      </w:r>
      <w:r w:rsidRPr="00CB1129">
        <w:rPr>
          <w:b/>
          <w:lang w:val="en-US"/>
        </w:rPr>
        <w:t>consultancy</w:t>
      </w:r>
      <w:r w:rsidRPr="00A92B21">
        <w:rPr>
          <w:lang w:val="en-US"/>
        </w:rPr>
        <w:t xml:space="preserve"> is the provision of expert advice to clients external to the PFRO based on its existing research knowledge, skills and capabilities. A </w:t>
      </w:r>
      <w:r w:rsidRPr="00CB1129">
        <w:rPr>
          <w:b/>
          <w:lang w:val="en-US"/>
        </w:rPr>
        <w:t xml:space="preserve">contract </w:t>
      </w:r>
      <w:r w:rsidRPr="00A92B21">
        <w:rPr>
          <w:lang w:val="en-US"/>
        </w:rPr>
        <w:t xml:space="preserve">is an agreement to undertake research on behalf of clients external to the PFRO. A </w:t>
      </w:r>
      <w:r w:rsidRPr="00CB1129">
        <w:rPr>
          <w:b/>
          <w:lang w:val="en-US"/>
        </w:rPr>
        <w:t xml:space="preserve">collaboration </w:t>
      </w:r>
      <w:r w:rsidRPr="00A92B21">
        <w:rPr>
          <w:lang w:val="en-US"/>
        </w:rPr>
        <w:t>is a structured research project that involves researchers from the PFRO and one or more industry partners where all parties work together toward a common goal by sharing resources, knowledge, learning and building consensus.</w:t>
      </w:r>
    </w:p>
    <w:p w:rsidR="00A92B21" w:rsidRDefault="00A92B21" w:rsidP="00A92B21">
      <w:pPr>
        <w:rPr>
          <w:lang w:val="en-US"/>
        </w:rPr>
      </w:pPr>
      <w:r w:rsidRPr="00A92B21">
        <w:rPr>
          <w:noProof/>
          <w:lang w:eastAsia="en-AU"/>
        </w:rPr>
        <mc:AlternateContent>
          <mc:Choice Requires="wps">
            <w:drawing>
              <wp:anchor distT="0" distB="0" distL="114300" distR="114300" simplePos="0" relativeHeight="251659264" behindDoc="0" locked="0" layoutInCell="1" allowOverlap="1" wp14:anchorId="7CF4E673" wp14:editId="5A39BC1E">
                <wp:simplePos x="0" y="0"/>
                <wp:positionH relativeFrom="column">
                  <wp:posOffset>1598930</wp:posOffset>
                </wp:positionH>
                <wp:positionV relativeFrom="paragraph">
                  <wp:posOffset>2903855</wp:posOffset>
                </wp:positionV>
                <wp:extent cx="1127232" cy="215444"/>
                <wp:effectExtent l="0" t="0" r="0" b="0"/>
                <wp:wrapNone/>
                <wp:docPr id="24" name="Rectangle 3"/>
                <wp:cNvGraphicFramePr/>
                <a:graphic xmlns:a="http://schemas.openxmlformats.org/drawingml/2006/main">
                  <a:graphicData uri="http://schemas.microsoft.com/office/word/2010/wordprocessingShape">
                    <wps:wsp>
                      <wps:cNvSpPr/>
                      <wps:spPr>
                        <a:xfrm>
                          <a:off x="0" y="0"/>
                          <a:ext cx="1127232" cy="215444"/>
                        </a:xfrm>
                        <a:prstGeom prst="rect">
                          <a:avLst/>
                        </a:prstGeom>
                      </wps:spPr>
                      <wps:txbx>
                        <w:txbxContent>
                          <w:p w:rsidR="00A92B21" w:rsidRPr="00CB1129" w:rsidRDefault="00A92B21" w:rsidP="00A92B21">
                            <w:pPr>
                              <w:pStyle w:val="NormalWeb"/>
                              <w:spacing w:before="0" w:beforeAutospacing="0" w:after="0" w:afterAutospacing="0"/>
                              <w:jc w:val="center"/>
                              <w:textAlignment w:val="baseline"/>
                              <w:rPr>
                                <w:sz w:val="16"/>
                                <w:szCs w:val="16"/>
                              </w:rPr>
                            </w:pPr>
                            <w:r w:rsidRPr="00CB1129">
                              <w:rPr>
                                <w:rFonts w:asciiTheme="minorHAnsi" w:hAnsi="Arial" w:cstheme="minorBidi"/>
                                <w:kern w:val="24"/>
                                <w:sz w:val="16"/>
                                <w:szCs w:val="16"/>
                                <w:lang w:val="en-US"/>
                              </w:rPr>
                              <w:t xml:space="preserve">AUD Millions </w:t>
                            </w:r>
                            <w:r w:rsidR="00EA0ECA" w:rsidRPr="00CB1129">
                              <w:rPr>
                                <w:rFonts w:asciiTheme="minorHAnsi" w:hAnsi="Arial" w:cstheme="minorBidi"/>
                                <w:kern w:val="24"/>
                                <w:sz w:val="16"/>
                                <w:szCs w:val="16"/>
                                <w:lang w:val="en-US"/>
                              </w:rPr>
                              <w:t>–</w:t>
                            </w:r>
                            <w:r w:rsidRPr="00CB1129">
                              <w:rPr>
                                <w:rFonts w:asciiTheme="minorHAnsi" w:hAnsi="Arial" w:cstheme="minorBidi"/>
                                <w:kern w:val="24"/>
                                <w:sz w:val="16"/>
                                <w:szCs w:val="16"/>
                                <w:lang w:val="en-US"/>
                              </w:rPr>
                              <w:t xml:space="preserve"> 2016 prices</w:t>
                            </w:r>
                          </w:p>
                        </w:txbxContent>
                      </wps:txbx>
                      <wps:bodyPr wrap="none">
                        <a:spAutoFit/>
                      </wps:bodyPr>
                    </wps:wsp>
                  </a:graphicData>
                </a:graphic>
              </wp:anchor>
            </w:drawing>
          </mc:Choice>
          <mc:Fallback>
            <w:pict>
              <v:rect w14:anchorId="7CF4E673" id="Rectangle 3" o:spid="_x0000_s1037" style="position:absolute;margin-left:125.9pt;margin-top:228.65pt;width:88.75pt;height:16.95pt;z-index:251659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" filled="f" stroked="f">
                <v:textbox style="mso-fit-shape-to-text:t">
                  <w:txbxContent>
                    <w:p w:rsidR="00A92B21" w:rsidRPr="00CB1129" w:rsidRDefault="00A92B21" w:rsidP="00A92B21">
                      <w:pPr>
                        <w:pStyle w:val="NormalWeb"/>
                        <w:spacing w:before="0" w:beforeAutospacing="0" w:after="0" w:afterAutospacing="0"/>
                        <w:jc w:val="center"/>
                        <w:textAlignment w:val="baseline"/>
                        <w:rPr>
                          <w:sz w:val="16"/>
                          <w:szCs w:val="16"/>
                        </w:rPr>
                      </w:pPr>
                      <w:r w:rsidRPr="00CB1129">
                        <w:rPr>
                          <w:rFonts w:asciiTheme="minorHAnsi" w:hAnsi="Arial" w:cstheme="minorBidi"/>
                          <w:kern w:val="24"/>
                          <w:sz w:val="16"/>
                          <w:szCs w:val="16"/>
                          <w:lang w:val="en-US"/>
                        </w:rPr>
                        <w:t xml:space="preserve">AUD Millions </w:t>
                      </w:r>
                      <w:r w:rsidR="00EA0ECA" w:rsidRPr="00CB1129">
                        <w:rPr>
                          <w:rFonts w:asciiTheme="minorHAnsi" w:hAnsi="Arial" w:cstheme="minorBidi"/>
                          <w:kern w:val="24"/>
                          <w:sz w:val="16"/>
                          <w:szCs w:val="16"/>
                          <w:lang w:val="en-US"/>
                        </w:rPr>
                        <w:t>–</w:t>
                      </w:r>
                      <w:r w:rsidRPr="00CB1129">
                        <w:rPr>
                          <w:rFonts w:asciiTheme="minorHAnsi" w:hAnsi="Arial" w:cstheme="minorBidi"/>
                          <w:kern w:val="24"/>
                          <w:sz w:val="16"/>
                          <w:szCs w:val="16"/>
                          <w:lang w:val="en-US"/>
                        </w:rPr>
                        <w:t xml:space="preserve"> 2016 prices</w:t>
                      </w:r>
                    </w:p>
                  </w:txbxContent>
                </v:textbox>
              </v:rect>
            </w:pict>
          </mc:Fallback>
        </mc:AlternateContent>
      </w:r>
      <w:r w:rsidRPr="00A92B21">
        <w:rPr>
          <w:noProof/>
          <w:lang w:eastAsia="en-AU"/>
        </w:rPr>
        <w:drawing>
          <wp:inline distT="0" distB="0" distL="0" distR="0" wp14:anchorId="4621EC25" wp14:editId="5E3C0AED">
            <wp:extent cx="4323080" cy="3389244"/>
            <wp:effectExtent l="0" t="0" r="1270" b="1905"/>
            <wp:docPr id="23" name="Chart 23" descr="The average value per organisation has increased from 17.7 in 2004 to 30.3 in 2016." title="Average value of Consultancies, contracts and collaborations by surveyed organisations 2004-20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A92B21" w:rsidRPr="00CB1129" w:rsidRDefault="00A92B21" w:rsidP="00A92B21">
      <w:pPr>
        <w:rPr>
          <w:sz w:val="14"/>
          <w:szCs w:val="18"/>
        </w:rPr>
      </w:pPr>
      <w:r w:rsidRPr="00CB1129">
        <w:rPr>
          <w:sz w:val="14"/>
          <w:szCs w:val="18"/>
          <w:lang w:val="en-US"/>
        </w:rPr>
        <w:t xml:space="preserve">*Data has been </w:t>
      </w:r>
      <w:proofErr w:type="spellStart"/>
      <w:r w:rsidRPr="00CB1129">
        <w:rPr>
          <w:sz w:val="14"/>
          <w:szCs w:val="18"/>
          <w:lang w:val="en-US"/>
        </w:rPr>
        <w:t>normalised</w:t>
      </w:r>
      <w:proofErr w:type="spellEnd"/>
      <w:r w:rsidRPr="00CB1129">
        <w:rPr>
          <w:sz w:val="14"/>
          <w:szCs w:val="18"/>
          <w:lang w:val="en-US"/>
        </w:rPr>
        <w:t xml:space="preserve"> by dividing the number of consultancies, contracts and collaborations by the number of participating </w:t>
      </w:r>
      <w:proofErr w:type="spellStart"/>
      <w:r w:rsidRPr="00CB1129">
        <w:rPr>
          <w:sz w:val="14"/>
          <w:szCs w:val="18"/>
          <w:lang w:val="en-US"/>
        </w:rPr>
        <w:t>organisations</w:t>
      </w:r>
      <w:proofErr w:type="spellEnd"/>
      <w:r w:rsidRPr="00CB1129">
        <w:rPr>
          <w:sz w:val="14"/>
          <w:szCs w:val="18"/>
          <w:lang w:val="en-US"/>
        </w:rPr>
        <w:t xml:space="preserve"> each year. </w:t>
      </w:r>
    </w:p>
    <w:p w:rsidR="00A92B21" w:rsidRDefault="00A92B21" w:rsidP="00A92B21">
      <w:pPr>
        <w:rPr>
          <w:lang w:val="en-US"/>
        </w:rPr>
        <w:sectPr w:rsidR="00A92B21" w:rsidSect="00A92B21">
          <w:type w:val="continuous"/>
          <w:pgSz w:w="16838" w:h="11906" w:orient="landscape"/>
          <w:pgMar w:top="1440" w:right="1440" w:bottom="851" w:left="1440" w:header="708" w:footer="708" w:gutter="0"/>
          <w:cols w:num="2" w:space="710" w:equalWidth="0">
            <w:col w:w="6624" w:space="710"/>
            <w:col w:w="6624"/>
          </w:cols>
          <w:docGrid w:linePitch="360"/>
        </w:sectPr>
      </w:pPr>
      <w:r w:rsidRPr="00A92B21">
        <w:rPr>
          <w:noProof/>
          <w:lang w:eastAsia="en-AU"/>
        </w:rPr>
        <w:drawing>
          <wp:inline distT="0" distB="0" distL="0" distR="0" wp14:anchorId="5A805A5E" wp14:editId="6E740D20">
            <wp:extent cx="4104005" cy="3747052"/>
            <wp:effectExtent l="0" t="0" r="0" b="6350"/>
            <wp:docPr id="25" name="Chart 25" descr="The value of Consultancies, Contracts and collaborations for 2016 shows CSIRO, Queensland and Monash reporting the highest results." title="Value of Consultancies, Contracts and Collaborations per surveyed organisation 2014-20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A92B21" w:rsidRDefault="00A92B21" w:rsidP="00A92B21">
      <w:pPr>
        <w:pStyle w:val="Heading2"/>
      </w:pPr>
      <w:r>
        <w:t xml:space="preserve">Commercialisation Investment – </w:t>
      </w:r>
      <w:r w:rsidRPr="00A92B21">
        <w:t>R&amp;D Expenditure</w:t>
      </w:r>
    </w:p>
    <w:p w:rsidR="00A92B21" w:rsidRDefault="00A92B21" w:rsidP="00A92B21">
      <w:pPr>
        <w:rPr>
          <w:lang w:val="en-US"/>
        </w:rPr>
      </w:pPr>
      <w:r w:rsidRPr="00A92B21">
        <w:rPr>
          <w:lang w:val="en-US"/>
        </w:rPr>
        <w:t>R&amp;D expenditure is a key indicator of innovation effort in a given year and defined as the money spent on creative work undertaken on a systematic basis to increase the stock of knowledge and the use of this knowledge to devise new applications.</w:t>
      </w:r>
    </w:p>
    <w:p w:rsidR="00A92B21" w:rsidRDefault="00A92B21" w:rsidP="00A92B21">
      <w:pPr>
        <w:rPr>
          <w:lang w:val="en-US"/>
        </w:rPr>
        <w:sectPr w:rsidR="00A92B21" w:rsidSect="00A92B21">
          <w:pgSz w:w="16838" w:h="11906" w:orient="landscape"/>
          <w:pgMar w:top="1440" w:right="1440" w:bottom="851" w:left="1440" w:header="708" w:footer="708" w:gutter="0"/>
          <w:cols w:space="710"/>
          <w:docGrid w:linePitch="360"/>
        </w:sectPr>
      </w:pPr>
    </w:p>
    <w:p w:rsidR="00A92B21" w:rsidRDefault="00A92B21" w:rsidP="00A92B21">
      <w:pPr>
        <w:rPr>
          <w:lang w:val="en-US"/>
        </w:rPr>
      </w:pPr>
      <w:r w:rsidRPr="00A92B21">
        <w:rPr>
          <w:noProof/>
          <w:lang w:eastAsia="en-AU"/>
        </w:rPr>
        <w:drawing>
          <wp:inline distT="0" distB="0" distL="0" distR="0" wp14:anchorId="6E1E2A7A" wp14:editId="295DD9C2">
            <wp:extent cx="4263887" cy="4044950"/>
            <wp:effectExtent l="0" t="0" r="3810" b="0"/>
            <wp:docPr id="26" name="Chart 26" descr="The average amount reported in 2004 was 97.72 with the figure peaking in 2016 at 188.07" title="Average R&amp;D expendiutre by surveyed organisations, 2004-20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A92B21" w:rsidRPr="00CB1129" w:rsidRDefault="00A92B21" w:rsidP="00A92B21">
      <w:pPr>
        <w:rPr>
          <w:sz w:val="14"/>
          <w:szCs w:val="18"/>
        </w:rPr>
      </w:pPr>
      <w:r w:rsidRPr="00CB1129">
        <w:rPr>
          <w:sz w:val="14"/>
          <w:szCs w:val="18"/>
          <w:lang w:val="en-US"/>
        </w:rPr>
        <w:t xml:space="preserve">*Data has been </w:t>
      </w:r>
      <w:proofErr w:type="spellStart"/>
      <w:r w:rsidRPr="00CB1129">
        <w:rPr>
          <w:sz w:val="14"/>
          <w:szCs w:val="18"/>
          <w:lang w:val="en-US"/>
        </w:rPr>
        <w:t>normalised</w:t>
      </w:r>
      <w:proofErr w:type="spellEnd"/>
      <w:r w:rsidRPr="00CB1129">
        <w:rPr>
          <w:sz w:val="14"/>
          <w:szCs w:val="18"/>
          <w:lang w:val="en-US"/>
        </w:rPr>
        <w:t xml:space="preserve"> by dividing the total R&amp;D expenditure by the number of participating </w:t>
      </w:r>
      <w:proofErr w:type="spellStart"/>
      <w:r w:rsidRPr="00CB1129">
        <w:rPr>
          <w:sz w:val="14"/>
          <w:szCs w:val="18"/>
          <w:lang w:val="en-US"/>
        </w:rPr>
        <w:t>organisations</w:t>
      </w:r>
      <w:proofErr w:type="spellEnd"/>
      <w:r w:rsidRPr="00CB1129">
        <w:rPr>
          <w:sz w:val="14"/>
          <w:szCs w:val="18"/>
          <w:lang w:val="en-US"/>
        </w:rPr>
        <w:t xml:space="preserve"> for each year. </w:t>
      </w:r>
    </w:p>
    <w:p w:rsidR="00A92B21" w:rsidRDefault="00A92B21" w:rsidP="00A92B21">
      <w:pPr>
        <w:rPr>
          <w:sz w:val="18"/>
          <w:szCs w:val="18"/>
        </w:rPr>
        <w:sectPr w:rsidR="00A92B21" w:rsidSect="00A92B21">
          <w:type w:val="continuous"/>
          <w:pgSz w:w="16838" w:h="11906" w:orient="landscape"/>
          <w:pgMar w:top="1440" w:right="1440" w:bottom="851" w:left="1440" w:header="708" w:footer="708" w:gutter="0"/>
          <w:cols w:num="2" w:space="284" w:equalWidth="0">
            <w:col w:w="6624" w:space="284"/>
            <w:col w:w="7050"/>
          </w:cols>
          <w:docGrid w:linePitch="360"/>
        </w:sectPr>
      </w:pPr>
      <w:r w:rsidRPr="00A92B21">
        <w:rPr>
          <w:noProof/>
          <w:sz w:val="18"/>
          <w:szCs w:val="18"/>
          <w:lang w:eastAsia="en-AU"/>
        </w:rPr>
        <w:drawing>
          <wp:inline distT="0" distB="0" distL="0" distR="0" wp14:anchorId="5BFB2F0E" wp14:editId="66B3CCE3">
            <wp:extent cx="4482547" cy="4651375"/>
            <wp:effectExtent l="0" t="0" r="0" b="0"/>
            <wp:docPr id="27" name="Chart 27" descr="The 2016 yearly average for this indicator is 168 with the University of Melbourne reporting 1097." title="R&amp;D expenditure per surveyed organisations, 2014-20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A92B21" w:rsidRDefault="00A92B21" w:rsidP="00A92B21">
      <w:pPr>
        <w:pStyle w:val="Heading2"/>
      </w:pPr>
      <w:r>
        <w:t xml:space="preserve">Commercialisation Activity – </w:t>
      </w:r>
      <w:r w:rsidRPr="00A92B21">
        <w:t>Invention disclosures international comparison</w:t>
      </w:r>
    </w:p>
    <w:p w:rsidR="00A92B21" w:rsidRPr="00A92B21" w:rsidRDefault="00A92B21" w:rsidP="00A92B21">
      <w:r w:rsidRPr="00A92B21">
        <w:t xml:space="preserve">An invention disclosure is a confidential document outlining a new invention, product or process which helps an organisation to determine whether patent protection should be sought. These are often a PFRO researcher’s first step in the commercialisation process and the beginning of their relationship with their institution’s technology transfer office. </w:t>
      </w:r>
    </w:p>
    <w:p w:rsidR="00A92B21" w:rsidRDefault="00A92B21" w:rsidP="00A92B21">
      <w:r w:rsidRPr="00A92B21">
        <w:t xml:space="preserve">By submitting an invention disclosure, the inventor enables their technology transfer office to offer assistance and support throughout the commercialisation process if the university asserts its interest in the technology. The number of invention disclosures filed within an institution shows the extent of research outcomes with potential to generate economic benefits through commercialisation. </w:t>
      </w:r>
    </w:p>
    <w:p w:rsidR="00F14AFF" w:rsidRDefault="00F14AFF" w:rsidP="00A92B21"/>
    <w:p w:rsidR="003D52E7" w:rsidRDefault="003D52E7" w:rsidP="00F14AFF">
      <w:pPr>
        <w:jc w:val="center"/>
      </w:pPr>
      <w:r w:rsidRPr="00D9282E">
        <w:rPr>
          <w:noProof/>
          <w:shd w:val="clear" w:color="auto" w:fill="C45911" w:themeFill="accent2" w:themeFillShade="BF"/>
          <w:lang w:eastAsia="en-AU"/>
        </w:rPr>
        <w:drawing>
          <wp:inline distT="0" distB="0" distL="0" distR="0" wp14:anchorId="235A1881" wp14:editId="6472DA80">
            <wp:extent cx="7128792" cy="3470870"/>
            <wp:effectExtent l="0" t="0" r="0" b="0"/>
            <wp:docPr id="28" name="Chart 28" descr="The trends for Australia, Canada, Israel and the US show the average number per organisation of invention disclosures:&#10;US from 84.9 in 2014 to 132.4&#10;Israel from 65.3 in 2008 to 70.0 in 2016&#10;Canada reporting 38.4 in 2004 to 48.5 in 2018&#10;Australia 13.7 in 2004 to 23.9 in 2016&#10;" title="Average number of invention disclosures by surveyed organisations and country 2004-20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3D52E7" w:rsidRPr="00CB1129" w:rsidRDefault="003D52E7" w:rsidP="00A92B21">
      <w:pPr>
        <w:rPr>
          <w:sz w:val="14"/>
          <w:szCs w:val="18"/>
          <w:lang w:val="en-US"/>
        </w:rPr>
        <w:sectPr w:rsidR="003D52E7" w:rsidRPr="00CB1129" w:rsidSect="00A92B21">
          <w:pgSz w:w="16838" w:h="11906" w:orient="landscape"/>
          <w:pgMar w:top="1440" w:right="1440" w:bottom="851" w:left="1440" w:header="708" w:footer="708" w:gutter="0"/>
          <w:cols w:space="284"/>
          <w:docGrid w:linePitch="360"/>
        </w:sectPr>
      </w:pPr>
      <w:r w:rsidRPr="00CB1129">
        <w:rPr>
          <w:sz w:val="14"/>
          <w:szCs w:val="18"/>
          <w:lang w:val="en-US"/>
        </w:rPr>
        <w:t xml:space="preserve">*Data has been </w:t>
      </w:r>
      <w:proofErr w:type="spellStart"/>
      <w:r w:rsidRPr="00CB1129">
        <w:rPr>
          <w:sz w:val="14"/>
          <w:szCs w:val="18"/>
          <w:lang w:val="en-US"/>
        </w:rPr>
        <w:t>normalised</w:t>
      </w:r>
      <w:proofErr w:type="spellEnd"/>
      <w:r w:rsidRPr="00CB1129">
        <w:rPr>
          <w:sz w:val="14"/>
          <w:szCs w:val="18"/>
          <w:lang w:val="en-US"/>
        </w:rPr>
        <w:t xml:space="preserve"> by dividing the total number of invention disclosures by the number of participating </w:t>
      </w:r>
      <w:proofErr w:type="spellStart"/>
      <w:r w:rsidRPr="00CB1129">
        <w:rPr>
          <w:sz w:val="14"/>
          <w:szCs w:val="18"/>
          <w:lang w:val="en-US"/>
        </w:rPr>
        <w:t>organisations</w:t>
      </w:r>
      <w:proofErr w:type="spellEnd"/>
      <w:r w:rsidRPr="00CB1129">
        <w:rPr>
          <w:sz w:val="14"/>
          <w:szCs w:val="18"/>
          <w:lang w:val="en-US"/>
        </w:rPr>
        <w:t xml:space="preserve"> each year. </w:t>
      </w:r>
    </w:p>
    <w:p w:rsidR="00A92B21" w:rsidRDefault="003D52E7" w:rsidP="003D52E7">
      <w:pPr>
        <w:pStyle w:val="Heading2"/>
        <w:rPr>
          <w:lang w:val="en-AU"/>
        </w:rPr>
      </w:pPr>
      <w:r>
        <w:rPr>
          <w:lang w:val="en-AU"/>
        </w:rPr>
        <w:t xml:space="preserve">Commercialisation Pathways – </w:t>
      </w:r>
      <w:r w:rsidRPr="003D52E7">
        <w:rPr>
          <w:lang w:val="en-AU"/>
        </w:rPr>
        <w:t>Patents granted</w:t>
      </w:r>
    </w:p>
    <w:p w:rsidR="003D52E7" w:rsidRDefault="003D52E7" w:rsidP="003D52E7">
      <w:r w:rsidRPr="003D52E7">
        <w:t>There are two types of patents available in Australia – standard and innovation. Once granted, a patent excludes anyone else from using the patented invention in Australia for up to 20 years for standard patents (or 25 years for some pharmaceutical patents) and up to eight years for innovation patents. Patent protection means the invention cannot be commercially produced, used, distributed, imported or sold by others without the patent owner's consent.</w:t>
      </w:r>
    </w:p>
    <w:p w:rsidR="003D52E7" w:rsidRDefault="003D52E7" w:rsidP="003D52E7">
      <w:pPr>
        <w:sectPr w:rsidR="003D52E7" w:rsidSect="00A92B21">
          <w:pgSz w:w="16838" w:h="11906" w:orient="landscape"/>
          <w:pgMar w:top="1440" w:right="1440" w:bottom="851" w:left="1440" w:header="708" w:footer="708" w:gutter="0"/>
          <w:cols w:space="284"/>
          <w:docGrid w:linePitch="360"/>
        </w:sectPr>
      </w:pPr>
    </w:p>
    <w:p w:rsidR="003D52E7" w:rsidRDefault="003D52E7" w:rsidP="003D52E7">
      <w:r w:rsidRPr="003D52E7">
        <w:rPr>
          <w:noProof/>
          <w:lang w:eastAsia="en-AU"/>
        </w:rPr>
        <w:drawing>
          <wp:inline distT="0" distB="0" distL="0" distR="0" wp14:anchorId="79810978" wp14:editId="704D3C4C">
            <wp:extent cx="5616575" cy="4094922"/>
            <wp:effectExtent l="0" t="0" r="3175" b="1270"/>
            <wp:docPr id="29" name="Chart 29" descr="The average number of patents granted by region:&#10;US from 1.6 in 2004 to 2.5 in 2016&#10;AU from 1.8 i 2004 to 1.9 in 2016&#10;Elsewhere from 3.0 in 2004 to 1.7 in 2016&#10;EU from 0.9 in 2004 to 1.3 in 2016." title="Average number of patents granted by surveyed organisations, 2004-20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3D52E7" w:rsidRDefault="003D52E7" w:rsidP="003D52E7">
      <w:pPr>
        <w:rPr>
          <w:sz w:val="18"/>
          <w:szCs w:val="18"/>
          <w:lang w:val="en-US"/>
        </w:rPr>
      </w:pPr>
      <w:r w:rsidRPr="00D9282E">
        <w:rPr>
          <w:sz w:val="14"/>
          <w:szCs w:val="18"/>
          <w:lang w:val="en-US"/>
        </w:rPr>
        <w:t xml:space="preserve">*Data has been </w:t>
      </w:r>
      <w:proofErr w:type="spellStart"/>
      <w:r w:rsidRPr="00D9282E">
        <w:rPr>
          <w:sz w:val="14"/>
          <w:szCs w:val="18"/>
          <w:lang w:val="en-US"/>
        </w:rPr>
        <w:t>normalised</w:t>
      </w:r>
      <w:proofErr w:type="spellEnd"/>
      <w:r w:rsidRPr="00D9282E">
        <w:rPr>
          <w:sz w:val="14"/>
          <w:szCs w:val="18"/>
          <w:lang w:val="en-US"/>
        </w:rPr>
        <w:t xml:space="preserve"> by dividing the number of patents granted by the number of participating </w:t>
      </w:r>
      <w:proofErr w:type="spellStart"/>
      <w:r w:rsidRPr="00D9282E">
        <w:rPr>
          <w:sz w:val="14"/>
          <w:szCs w:val="18"/>
          <w:lang w:val="en-US"/>
        </w:rPr>
        <w:t>organisations</w:t>
      </w:r>
      <w:proofErr w:type="spellEnd"/>
      <w:r w:rsidRPr="00D9282E">
        <w:rPr>
          <w:sz w:val="14"/>
          <w:szCs w:val="18"/>
          <w:lang w:val="en-US"/>
        </w:rPr>
        <w:t xml:space="preserve">. </w:t>
      </w:r>
      <w:r w:rsidRPr="003D52E7">
        <w:rPr>
          <w:sz w:val="18"/>
          <w:szCs w:val="18"/>
          <w:lang w:val="en-US"/>
        </w:rPr>
        <w:br w:type="column"/>
      </w:r>
      <w:r w:rsidRPr="003D52E7">
        <w:rPr>
          <w:noProof/>
          <w:lang w:eastAsia="en-AU"/>
        </w:rPr>
        <w:drawing>
          <wp:inline distT="0" distB="0" distL="0" distR="0" wp14:anchorId="25F62F06" wp14:editId="14F28D63">
            <wp:extent cx="3024336" cy="2736305"/>
            <wp:effectExtent l="0" t="0" r="5080" b="6985"/>
            <wp:docPr id="30" name="Chart 30" descr="Piechart. The surveyed organisations reported that the largest number of patents was granted in the US at 33%, followed by Australia at 26%, EU at 18% and rest of the world at 23%." title="Average Patents granted by region to surveyed organisations in 20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3D52E7" w:rsidRDefault="003D52E7" w:rsidP="003D52E7">
      <w:pPr>
        <w:rPr>
          <w:sz w:val="18"/>
          <w:szCs w:val="18"/>
        </w:rPr>
        <w:sectPr w:rsidR="003D52E7" w:rsidSect="003D52E7">
          <w:type w:val="continuous"/>
          <w:pgSz w:w="16838" w:h="11906" w:orient="landscape"/>
          <w:pgMar w:top="1440" w:right="1440" w:bottom="851" w:left="1440" w:header="708" w:footer="708" w:gutter="0"/>
          <w:cols w:num="2" w:space="284" w:equalWidth="0">
            <w:col w:w="8335" w:space="284"/>
            <w:col w:w="5339"/>
          </w:cols>
          <w:docGrid w:linePitch="360"/>
        </w:sectPr>
      </w:pPr>
    </w:p>
    <w:p w:rsidR="003D52E7" w:rsidRDefault="003D52E7" w:rsidP="003D52E7">
      <w:pPr>
        <w:pStyle w:val="Heading2"/>
      </w:pPr>
      <w:r w:rsidRPr="003D52E7">
        <w:t>Ind</w:t>
      </w:r>
      <w:r>
        <w:t xml:space="preserve">ustry-Research Collaboration – </w:t>
      </w:r>
      <w:r w:rsidRPr="003D52E7">
        <w:t>CRC performance data</w:t>
      </w:r>
    </w:p>
    <w:p w:rsidR="003D52E7" w:rsidRDefault="003D52E7" w:rsidP="003D52E7">
      <w:pPr>
        <w:rPr>
          <w:lang w:val="en-US"/>
        </w:rPr>
        <w:sectPr w:rsidR="003D52E7" w:rsidSect="003D52E7">
          <w:pgSz w:w="16838" w:h="11906" w:orient="landscape"/>
          <w:pgMar w:top="1440" w:right="1440" w:bottom="851" w:left="1440" w:header="708" w:footer="708" w:gutter="0"/>
          <w:cols w:space="284"/>
          <w:docGrid w:linePitch="360"/>
        </w:sectPr>
      </w:pPr>
      <w:r w:rsidRPr="003D52E7">
        <w:rPr>
          <w:noProof/>
          <w:lang w:eastAsia="en-AU"/>
        </w:rPr>
        <w:drawing>
          <wp:inline distT="0" distB="0" distL="0" distR="0" wp14:anchorId="78A7260E" wp14:editId="2727EF91">
            <wp:extent cx="8761434" cy="4924418"/>
            <wp:effectExtent l="0" t="0" r="1905" b="0"/>
            <wp:docPr id="3" name="Picture 2" descr="In 2015-16 there were 33 active CRCs across Agriculture; Forestry and Fishing; Manufacturing; Mining and Services&#10;&#10;No. of patents:&#10;Maintaining (Australia = 86, Overseas = 236)&#10;Filing ((Australia = 17, Overseas = 20)&#10;&#10;Licenses:&#10;233 produced&#10;&#10;Industry Uptake:&#10;68 postgraduate students taking up employment with industry" title="In 2015-16 there were 33 active CRCs across Agriculture; Forestry and Fishing; Manufacturing; Mining and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No. of patents:&#10;Maintaining (Australia = 86, Overseas = 236)&#10;Filing ((Australia = 17, Overseas = 20)&#10;&#10;Licenses:&#10;233 produced&#10;&#10;Industry Uptake:&#10;68 postgraduate students taking up employment with industry" title="In 2015-16 there were 33 active CRCs across Agriculture; Forestry and Fishing; Manufacturing; Mining and Services"/>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8761434" cy="4924418"/>
                    </a:xfrm>
                    <a:prstGeom prst="rect">
                      <a:avLst/>
                    </a:prstGeom>
                  </pic:spPr>
                </pic:pic>
              </a:graphicData>
            </a:graphic>
          </wp:inline>
        </w:drawing>
      </w:r>
    </w:p>
    <w:p w:rsidR="003D52E7" w:rsidRDefault="003D52E7" w:rsidP="003D52E7">
      <w:pPr>
        <w:pStyle w:val="Heading2"/>
      </w:pPr>
      <w:r w:rsidRPr="003D52E7">
        <w:t>NSRC summary</w:t>
      </w:r>
    </w:p>
    <w:p w:rsidR="00D9282E" w:rsidRPr="00D9282E" w:rsidRDefault="003D52E7" w:rsidP="00D9282E">
      <w:pPr>
        <w:pStyle w:val="ListParagraph"/>
        <w:numPr>
          <w:ilvl w:val="0"/>
          <w:numId w:val="11"/>
        </w:numPr>
        <w:spacing w:before="240" w:line="360" w:lineRule="auto"/>
        <w:rPr>
          <w:sz w:val="28"/>
          <w:szCs w:val="28"/>
        </w:rPr>
      </w:pPr>
      <w:r w:rsidRPr="00D9282E">
        <w:rPr>
          <w:sz w:val="28"/>
          <w:szCs w:val="28"/>
        </w:rPr>
        <w:t xml:space="preserve">The 2018 Snapshot presents a collection of metrics based on data collected through the </w:t>
      </w:r>
      <w:r w:rsidR="00D9282E">
        <w:rPr>
          <w:sz w:val="28"/>
          <w:szCs w:val="28"/>
        </w:rPr>
        <w:t>NSRC</w:t>
      </w:r>
      <w:r w:rsidRPr="00D9282E">
        <w:rPr>
          <w:sz w:val="28"/>
          <w:szCs w:val="28"/>
        </w:rPr>
        <w:t xml:space="preserve"> which demonstrate commercialisation activities and outcomes of participating Australian research organisations. </w:t>
      </w:r>
    </w:p>
    <w:p w:rsidR="00D9282E" w:rsidRPr="00D9282E" w:rsidRDefault="003D52E7" w:rsidP="00D9282E">
      <w:pPr>
        <w:pStyle w:val="ListParagraph"/>
        <w:numPr>
          <w:ilvl w:val="0"/>
          <w:numId w:val="11"/>
        </w:numPr>
        <w:spacing w:before="240" w:line="360" w:lineRule="auto"/>
        <w:rPr>
          <w:sz w:val="28"/>
          <w:szCs w:val="28"/>
        </w:rPr>
      </w:pPr>
      <w:r w:rsidRPr="00D9282E">
        <w:rPr>
          <w:sz w:val="28"/>
          <w:szCs w:val="28"/>
        </w:rPr>
        <w:t>In its 16</w:t>
      </w:r>
      <w:r w:rsidRPr="00D9282E">
        <w:rPr>
          <w:sz w:val="28"/>
          <w:szCs w:val="28"/>
          <w:vertAlign w:val="superscript"/>
        </w:rPr>
        <w:t>th</w:t>
      </w:r>
      <w:r w:rsidRPr="00D9282E">
        <w:rPr>
          <w:sz w:val="28"/>
          <w:szCs w:val="28"/>
        </w:rPr>
        <w:t xml:space="preserve"> year, the NSRC tracks knowledge exchange activities in Australia’s public research system. </w:t>
      </w:r>
      <w:r w:rsidRPr="00D9282E">
        <w:rPr>
          <w:sz w:val="28"/>
          <w:szCs w:val="28"/>
          <w:lang w:val="en-US"/>
        </w:rPr>
        <w:t xml:space="preserve">The NSRC </w:t>
      </w:r>
      <w:r w:rsidRPr="00D9282E">
        <w:rPr>
          <w:sz w:val="28"/>
          <w:szCs w:val="28"/>
        </w:rPr>
        <w:t>results showcase efforts to collaborate with industry, transfer knowledge and commercialise research. Organisations surveyed are Australian universities, medical research institutes (MRIs) and publicly funded research agencies (PFRAs).</w:t>
      </w:r>
      <w:r w:rsidRPr="00D9282E">
        <w:rPr>
          <w:sz w:val="28"/>
          <w:szCs w:val="28"/>
          <w:lang w:val="en-US"/>
        </w:rPr>
        <w:t xml:space="preserve"> </w:t>
      </w:r>
    </w:p>
    <w:p w:rsidR="003D52E7" w:rsidRPr="00D9282E" w:rsidRDefault="003D52E7" w:rsidP="00D9282E">
      <w:pPr>
        <w:pStyle w:val="ListParagraph"/>
        <w:numPr>
          <w:ilvl w:val="0"/>
          <w:numId w:val="11"/>
        </w:numPr>
        <w:spacing w:before="240" w:line="360" w:lineRule="auto"/>
        <w:rPr>
          <w:sz w:val="28"/>
          <w:szCs w:val="28"/>
        </w:rPr>
      </w:pPr>
      <w:r w:rsidRPr="00D9282E">
        <w:rPr>
          <w:sz w:val="28"/>
          <w:szCs w:val="28"/>
        </w:rPr>
        <w:t xml:space="preserve">The </w:t>
      </w:r>
      <w:r w:rsidRPr="00D9282E">
        <w:rPr>
          <w:sz w:val="28"/>
          <w:szCs w:val="28"/>
          <w:lang w:val="en-US"/>
        </w:rPr>
        <w:t xml:space="preserve">survey is an important source of evidence on Australian public research </w:t>
      </w:r>
      <w:proofErr w:type="spellStart"/>
      <w:r w:rsidRPr="00D9282E">
        <w:rPr>
          <w:sz w:val="28"/>
          <w:szCs w:val="28"/>
          <w:lang w:val="en-US"/>
        </w:rPr>
        <w:t>commercialisation</w:t>
      </w:r>
      <w:proofErr w:type="spellEnd"/>
      <w:r w:rsidRPr="00D9282E">
        <w:rPr>
          <w:sz w:val="28"/>
          <w:szCs w:val="28"/>
          <w:lang w:val="en-US"/>
        </w:rPr>
        <w:t xml:space="preserve">, covering outcomes from engagement and collaboration, through to impact. </w:t>
      </w:r>
    </w:p>
    <w:p w:rsidR="003D52E7" w:rsidRPr="00D9282E" w:rsidRDefault="003D52E7" w:rsidP="00D9282E">
      <w:pPr>
        <w:pStyle w:val="ListParagraph"/>
        <w:numPr>
          <w:ilvl w:val="0"/>
          <w:numId w:val="11"/>
        </w:numPr>
        <w:spacing w:before="240" w:line="360" w:lineRule="auto"/>
        <w:rPr>
          <w:sz w:val="28"/>
          <w:szCs w:val="28"/>
        </w:rPr>
      </w:pPr>
      <w:r w:rsidRPr="00D9282E">
        <w:rPr>
          <w:sz w:val="28"/>
          <w:szCs w:val="28"/>
          <w:lang w:val="en-US"/>
        </w:rPr>
        <w:t xml:space="preserve">The dataset is widely used to understand trends, priorities and gaps by a range of stakeholders including federal and state governments, international bodies, universities, medical research institutes, publicly funded research agencies and peak bodies. </w:t>
      </w:r>
      <w:r w:rsidRPr="00D9282E">
        <w:rPr>
          <w:sz w:val="28"/>
          <w:szCs w:val="28"/>
        </w:rPr>
        <w:t xml:space="preserve">It is used for policy, planning and benchmarking by research organisations, industry and government. </w:t>
      </w:r>
    </w:p>
    <w:p w:rsidR="003D52E7" w:rsidRPr="00D9282E" w:rsidRDefault="003D52E7" w:rsidP="00D9282E">
      <w:pPr>
        <w:pStyle w:val="ListParagraph"/>
        <w:numPr>
          <w:ilvl w:val="0"/>
          <w:numId w:val="11"/>
        </w:numPr>
        <w:spacing w:before="240" w:line="360" w:lineRule="auto"/>
        <w:rPr>
          <w:sz w:val="28"/>
          <w:szCs w:val="28"/>
        </w:rPr>
      </w:pPr>
      <w:r w:rsidRPr="00D9282E">
        <w:rPr>
          <w:sz w:val="28"/>
          <w:szCs w:val="28"/>
        </w:rPr>
        <w:t xml:space="preserve">The results presented in the 2018 Snapshot are from the latest NSRC survey, representing 2016 data, and cover </w:t>
      </w:r>
      <w:proofErr w:type="spellStart"/>
      <w:r w:rsidR="00646AF1">
        <w:rPr>
          <w:sz w:val="28"/>
          <w:szCs w:val="28"/>
        </w:rPr>
        <w:t>Startup</w:t>
      </w:r>
      <w:proofErr w:type="spellEnd"/>
      <w:r w:rsidR="00646AF1">
        <w:rPr>
          <w:sz w:val="28"/>
          <w:szCs w:val="28"/>
        </w:rPr>
        <w:t xml:space="preserve"> creation</w:t>
      </w:r>
      <w:r w:rsidRPr="00D9282E">
        <w:rPr>
          <w:sz w:val="28"/>
          <w:szCs w:val="28"/>
        </w:rPr>
        <w:t xml:space="preserve">, </w:t>
      </w:r>
      <w:r w:rsidR="00646AF1">
        <w:rPr>
          <w:sz w:val="28"/>
          <w:szCs w:val="28"/>
        </w:rPr>
        <w:t xml:space="preserve">Provisional and PCT applications, </w:t>
      </w:r>
      <w:r w:rsidRPr="00D9282E">
        <w:rPr>
          <w:sz w:val="28"/>
          <w:szCs w:val="28"/>
        </w:rPr>
        <w:t xml:space="preserve">consultancies, contracts and collaborations, R&amp;D expenditure, invention disclosures, patents granted and CRCs. </w:t>
      </w:r>
    </w:p>
    <w:sectPr w:rsidR="003D52E7" w:rsidRPr="00D9282E" w:rsidSect="003D52E7">
      <w:pgSz w:w="16838" w:h="11906" w:orient="landscape"/>
      <w:pgMar w:top="1440" w:right="1440" w:bottom="851" w:left="1440" w:header="708" w:footer="708" w:gutter="0"/>
      <w:cols w:space="284"/>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3236F" w:rsidRDefault="0013236F" w:rsidP="0013236F">
      <w:pPr>
        <w:spacing w:after="0" w:line="240" w:lineRule="auto"/>
      </w:pPr>
      <w:r>
        <w:separator/>
      </w:r>
    </w:p>
  </w:endnote>
  <w:endnote w:type="continuationSeparator" w:id="0">
    <w:p w:rsidR="0013236F" w:rsidRDefault="0013236F" w:rsidP="001323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P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46AF1" w:rsidRDefault="00646AF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97682477"/>
      <w:docPartObj>
        <w:docPartGallery w:val="Page Numbers (Bottom of Page)"/>
        <w:docPartUnique/>
      </w:docPartObj>
    </w:sdtPr>
    <w:sdtEndPr>
      <w:rPr>
        <w:noProof/>
      </w:rPr>
    </w:sdtEndPr>
    <w:sdtContent>
      <w:p w:rsidR="00F14AFF" w:rsidRDefault="00F14AFF" w:rsidP="00F14AFF">
        <w:pPr>
          <w:pStyle w:val="Footer"/>
          <w:jc w:val="right"/>
        </w:pPr>
        <w:r>
          <w:fldChar w:fldCharType="begin"/>
        </w:r>
        <w:r>
          <w:instrText xml:space="preserve"> PAGE   \* MERGEFORMAT </w:instrText>
        </w:r>
        <w:r>
          <w:fldChar w:fldCharType="separate"/>
        </w:r>
        <w:r w:rsidR="00646AF1">
          <w:rPr>
            <w:noProof/>
          </w:rPr>
          <w:t>1</w:t>
        </w:r>
        <w:r>
          <w:rPr>
            <w:noProof/>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46AF1" w:rsidRDefault="00646AF1">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38727997"/>
      <w:docPartObj>
        <w:docPartGallery w:val="Page Numbers (Bottom of Page)"/>
        <w:docPartUnique/>
      </w:docPartObj>
    </w:sdtPr>
    <w:sdtEndPr>
      <w:rPr>
        <w:noProof/>
      </w:rPr>
    </w:sdtEndPr>
    <w:sdtContent>
      <w:p w:rsidR="00EE5003" w:rsidRDefault="00EE5003" w:rsidP="00F14AFF">
        <w:pPr>
          <w:pStyle w:val="Footer"/>
          <w:jc w:val="right"/>
        </w:pPr>
        <w:r>
          <w:rPr>
            <w:noProof/>
            <w:lang w:eastAsia="en-AU"/>
          </w:rPr>
          <mc:AlternateContent>
            <mc:Choice Requires="wps">
              <w:drawing>
                <wp:anchor distT="0" distB="0" distL="114300" distR="114300" simplePos="0" relativeHeight="251664384" behindDoc="0" locked="0" layoutInCell="1" allowOverlap="1" wp14:anchorId="37F65CCC" wp14:editId="0152D39B">
                  <wp:simplePos x="0" y="0"/>
                  <wp:positionH relativeFrom="column">
                    <wp:posOffset>19685</wp:posOffset>
                  </wp:positionH>
                  <wp:positionV relativeFrom="paragraph">
                    <wp:posOffset>7399</wp:posOffset>
                  </wp:positionV>
                  <wp:extent cx="8642611" cy="129209"/>
                  <wp:effectExtent l="0" t="0" r="6350" b="4445"/>
                  <wp:wrapNone/>
                  <wp:docPr id="33" name="Rectangle 33" descr="graphic footer"/>
                  <wp:cNvGraphicFramePr/>
                  <a:graphic xmlns:a="http://schemas.openxmlformats.org/drawingml/2006/main">
                    <a:graphicData uri="http://schemas.microsoft.com/office/word/2010/wordprocessingShape">
                      <wps:wsp>
                        <wps:cNvSpPr/>
                        <wps:spPr>
                          <a:xfrm>
                            <a:off x="0" y="0"/>
                            <a:ext cx="8642611" cy="129209"/>
                          </a:xfrm>
                          <a:prstGeom prst="rect">
                            <a:avLst/>
                          </a:prstGeom>
                          <a:solidFill>
                            <a:srgbClr val="00283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2AE2C2" id="Rectangle 33" o:spid="_x0000_s1026" alt="graphic footer" style="position:absolute;margin-left:1.55pt;margin-top:.6pt;width:680.5pt;height:10.1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" fillcolor="#00283e" stroked="f" strokeweight="1pt"/>
              </w:pict>
            </mc:Fallback>
          </mc:AlternateContent>
        </w:r>
        <w:r>
          <w:fldChar w:fldCharType="begin"/>
        </w:r>
        <w:r>
          <w:instrText xml:space="preserve"> PAGE   \* MERGEFORMAT </w:instrText>
        </w:r>
        <w:r>
          <w:fldChar w:fldCharType="separate"/>
        </w:r>
        <w:r w:rsidR="00FE2A14">
          <w:rPr>
            <w:noProof/>
          </w:rPr>
          <w:t>5</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3236F" w:rsidRDefault="0013236F" w:rsidP="0013236F">
      <w:pPr>
        <w:spacing w:after="0" w:line="240" w:lineRule="auto"/>
      </w:pPr>
      <w:r>
        <w:separator/>
      </w:r>
    </w:p>
  </w:footnote>
  <w:footnote w:type="continuationSeparator" w:id="0">
    <w:p w:rsidR="0013236F" w:rsidRDefault="0013236F" w:rsidP="0013236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46AF1" w:rsidRDefault="00646AF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3236F" w:rsidRDefault="0013236F" w:rsidP="00F14AFF">
    <w:pPr>
      <w:pStyle w:val="Header"/>
      <w:tabs>
        <w:tab w:val="left" w:pos="7655"/>
      </w:tabs>
    </w:pPr>
    <w:r>
      <w:rPr>
        <w:noProof/>
        <w:lang w:eastAsia="en-AU"/>
      </w:rPr>
      <mc:AlternateContent>
        <mc:Choice Requires="wps">
          <w:drawing>
            <wp:anchor distT="0" distB="0" distL="114300" distR="114300" simplePos="0" relativeHeight="251660288" behindDoc="0" locked="0" layoutInCell="1" allowOverlap="1" wp14:anchorId="6B8EEE31" wp14:editId="1E88C45B">
              <wp:simplePos x="0" y="0"/>
              <wp:positionH relativeFrom="column">
                <wp:posOffset>-342900</wp:posOffset>
              </wp:positionH>
              <wp:positionV relativeFrom="paragraph">
                <wp:posOffset>-440055</wp:posOffset>
              </wp:positionV>
              <wp:extent cx="4695825" cy="7535186"/>
              <wp:effectExtent l="0" t="0" r="9525" b="8890"/>
              <wp:wrapNone/>
              <wp:docPr id="1" name="Rectangle 3" title="blue shape"/>
              <wp:cNvGraphicFramePr/>
              <a:graphic xmlns:a="http://schemas.openxmlformats.org/drawingml/2006/main">
                <a:graphicData uri="http://schemas.microsoft.com/office/word/2010/wordprocessingShape">
                  <wps:wsp>
                    <wps:cNvSpPr/>
                    <wps:spPr>
                      <a:xfrm>
                        <a:off x="0" y="0"/>
                        <a:ext cx="4695825" cy="7535186"/>
                      </a:xfrm>
                      <a:prstGeom prst="rect">
                        <a:avLst/>
                      </a:prstGeom>
                      <a:solidFill>
                        <a:srgbClr val="005677"/>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64C94344" id="Rectangle 3" o:spid="_x0000_s1026" alt="Title: blue shape" style="position:absolute;margin-left:-27pt;margin-top:-34.65pt;width:369.75pt;height:593.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" fillcolor="#005677" stroked="f" strokeweight="1pt"/>
          </w:pict>
        </mc:Fallback>
      </mc:AlternateContent>
    </w:r>
    <w:r>
      <w:rPr>
        <w:noProof/>
        <w:lang w:eastAsia="en-AU"/>
      </w:rPr>
      <w:drawing>
        <wp:anchor distT="0" distB="0" distL="114300" distR="114300" simplePos="0" relativeHeight="251659264" behindDoc="0" locked="0" layoutInCell="1" allowOverlap="1" wp14:anchorId="4AA42AB8" wp14:editId="37FA75DF">
          <wp:simplePos x="0" y="0"/>
          <wp:positionH relativeFrom="column">
            <wp:posOffset>-903605</wp:posOffset>
          </wp:positionH>
          <wp:positionV relativeFrom="paragraph">
            <wp:posOffset>-969866</wp:posOffset>
          </wp:positionV>
          <wp:extent cx="10692000" cy="8062062"/>
          <wp:effectExtent l="0" t="0" r="0" b="0"/>
          <wp:wrapNone/>
          <wp:docPr id="32" name="Picture 3" descr="Graphic background" title="Graphic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Graphic background" title="Graphic background"/>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692000" cy="8062062"/>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46AF1" w:rsidRDefault="00646AF1">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3236F" w:rsidRDefault="0013236F">
    <w:pPr>
      <w:pStyle w:val="Header"/>
    </w:pPr>
    <w:r w:rsidRPr="0013236F">
      <w:rPr>
        <w:noProof/>
        <w:lang w:eastAsia="en-AU"/>
      </w:rPr>
      <w:drawing>
        <wp:anchor distT="0" distB="0" distL="114300" distR="114300" simplePos="0" relativeHeight="251661312" behindDoc="1" locked="0" layoutInCell="1" allowOverlap="1">
          <wp:simplePos x="0" y="0"/>
          <wp:positionH relativeFrom="column">
            <wp:posOffset>-943610</wp:posOffset>
          </wp:positionH>
          <wp:positionV relativeFrom="paragraph">
            <wp:posOffset>-796925</wp:posOffset>
          </wp:positionV>
          <wp:extent cx="10728000" cy="1237432"/>
          <wp:effectExtent l="0" t="0" r="0" b="1270"/>
          <wp:wrapNone/>
          <wp:docPr id="7" name="Picture 6" descr="graphic 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728000" cy="1237432"/>
                  </a:xfrm>
                  <a:prstGeom prst="rect">
                    <a:avLst/>
                  </a:prstGeom>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5F057C"/>
    <w:multiLevelType w:val="hybridMultilevel"/>
    <w:tmpl w:val="48D0C3DE"/>
    <w:lvl w:ilvl="0" w:tplc="F0FC9B7E">
      <w:start w:val="1"/>
      <w:numFmt w:val="bullet"/>
      <w:lvlText w:val="•"/>
      <w:lvlJc w:val="left"/>
      <w:pPr>
        <w:tabs>
          <w:tab w:val="num" w:pos="720"/>
        </w:tabs>
        <w:ind w:left="720" w:hanging="360"/>
      </w:pPr>
      <w:rPr>
        <w:rFonts w:ascii="Arial" w:hAnsi="Arial" w:hint="default"/>
      </w:rPr>
    </w:lvl>
    <w:lvl w:ilvl="1" w:tplc="9894D924">
      <w:start w:val="1"/>
      <w:numFmt w:val="bullet"/>
      <w:lvlText w:val="•"/>
      <w:lvlJc w:val="left"/>
      <w:pPr>
        <w:tabs>
          <w:tab w:val="num" w:pos="1440"/>
        </w:tabs>
        <w:ind w:left="1440" w:hanging="360"/>
      </w:pPr>
      <w:rPr>
        <w:rFonts w:ascii="Arial" w:hAnsi="Arial" w:hint="default"/>
      </w:rPr>
    </w:lvl>
    <w:lvl w:ilvl="2" w:tplc="F0FC9B7E">
      <w:start w:val="1"/>
      <w:numFmt w:val="bullet"/>
      <w:lvlText w:val="•"/>
      <w:lvlJc w:val="left"/>
      <w:pPr>
        <w:tabs>
          <w:tab w:val="num" w:pos="2160"/>
        </w:tabs>
        <w:ind w:left="2160" w:hanging="360"/>
      </w:pPr>
      <w:rPr>
        <w:rFonts w:ascii="Arial" w:hAnsi="Arial" w:hint="default"/>
      </w:rPr>
    </w:lvl>
    <w:lvl w:ilvl="3" w:tplc="AF2490A8" w:tentative="1">
      <w:start w:val="1"/>
      <w:numFmt w:val="bullet"/>
      <w:lvlText w:val="•"/>
      <w:lvlJc w:val="left"/>
      <w:pPr>
        <w:tabs>
          <w:tab w:val="num" w:pos="2880"/>
        </w:tabs>
        <w:ind w:left="2880" w:hanging="360"/>
      </w:pPr>
      <w:rPr>
        <w:rFonts w:ascii="Arial" w:hAnsi="Arial" w:hint="default"/>
      </w:rPr>
    </w:lvl>
    <w:lvl w:ilvl="4" w:tplc="FB4E8428" w:tentative="1">
      <w:start w:val="1"/>
      <w:numFmt w:val="bullet"/>
      <w:lvlText w:val="•"/>
      <w:lvlJc w:val="left"/>
      <w:pPr>
        <w:tabs>
          <w:tab w:val="num" w:pos="3600"/>
        </w:tabs>
        <w:ind w:left="3600" w:hanging="360"/>
      </w:pPr>
      <w:rPr>
        <w:rFonts w:ascii="Arial" w:hAnsi="Arial" w:hint="default"/>
      </w:rPr>
    </w:lvl>
    <w:lvl w:ilvl="5" w:tplc="7F1E36DE" w:tentative="1">
      <w:start w:val="1"/>
      <w:numFmt w:val="bullet"/>
      <w:lvlText w:val="•"/>
      <w:lvlJc w:val="left"/>
      <w:pPr>
        <w:tabs>
          <w:tab w:val="num" w:pos="4320"/>
        </w:tabs>
        <w:ind w:left="4320" w:hanging="360"/>
      </w:pPr>
      <w:rPr>
        <w:rFonts w:ascii="Arial" w:hAnsi="Arial" w:hint="default"/>
      </w:rPr>
    </w:lvl>
    <w:lvl w:ilvl="6" w:tplc="759EA896" w:tentative="1">
      <w:start w:val="1"/>
      <w:numFmt w:val="bullet"/>
      <w:lvlText w:val="•"/>
      <w:lvlJc w:val="left"/>
      <w:pPr>
        <w:tabs>
          <w:tab w:val="num" w:pos="5040"/>
        </w:tabs>
        <w:ind w:left="5040" w:hanging="360"/>
      </w:pPr>
      <w:rPr>
        <w:rFonts w:ascii="Arial" w:hAnsi="Arial" w:hint="default"/>
      </w:rPr>
    </w:lvl>
    <w:lvl w:ilvl="7" w:tplc="25E669D2" w:tentative="1">
      <w:start w:val="1"/>
      <w:numFmt w:val="bullet"/>
      <w:lvlText w:val="•"/>
      <w:lvlJc w:val="left"/>
      <w:pPr>
        <w:tabs>
          <w:tab w:val="num" w:pos="5760"/>
        </w:tabs>
        <w:ind w:left="5760" w:hanging="360"/>
      </w:pPr>
      <w:rPr>
        <w:rFonts w:ascii="Arial" w:hAnsi="Arial" w:hint="default"/>
      </w:rPr>
    </w:lvl>
    <w:lvl w:ilvl="8" w:tplc="FB64D756"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123C48E8"/>
    <w:multiLevelType w:val="hybridMultilevel"/>
    <w:tmpl w:val="9F94771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D200C43"/>
    <w:multiLevelType w:val="hybridMultilevel"/>
    <w:tmpl w:val="E96A4B92"/>
    <w:lvl w:ilvl="0" w:tplc="C7BAAFF4">
      <w:start w:val="1"/>
      <w:numFmt w:val="bullet"/>
      <w:lvlText w:val="•"/>
      <w:lvlJc w:val="left"/>
      <w:pPr>
        <w:tabs>
          <w:tab w:val="num" w:pos="720"/>
        </w:tabs>
        <w:ind w:left="720" w:hanging="360"/>
      </w:pPr>
      <w:rPr>
        <w:rFonts w:ascii="Arial" w:hAnsi="Arial" w:hint="default"/>
      </w:rPr>
    </w:lvl>
    <w:lvl w:ilvl="1" w:tplc="9894D924">
      <w:start w:val="1"/>
      <w:numFmt w:val="bullet"/>
      <w:lvlText w:val="•"/>
      <w:lvlJc w:val="left"/>
      <w:pPr>
        <w:tabs>
          <w:tab w:val="num" w:pos="1440"/>
        </w:tabs>
        <w:ind w:left="1440" w:hanging="360"/>
      </w:pPr>
      <w:rPr>
        <w:rFonts w:ascii="Arial" w:hAnsi="Arial" w:hint="default"/>
      </w:rPr>
    </w:lvl>
    <w:lvl w:ilvl="2" w:tplc="0C090003">
      <w:start w:val="1"/>
      <w:numFmt w:val="bullet"/>
      <w:lvlText w:val="o"/>
      <w:lvlJc w:val="left"/>
      <w:pPr>
        <w:tabs>
          <w:tab w:val="num" w:pos="2160"/>
        </w:tabs>
        <w:ind w:left="2160" w:hanging="360"/>
      </w:pPr>
      <w:rPr>
        <w:rFonts w:ascii="Courier New" w:hAnsi="Courier New" w:cs="Courier New" w:hint="default"/>
      </w:rPr>
    </w:lvl>
    <w:lvl w:ilvl="3" w:tplc="AF2490A8" w:tentative="1">
      <w:start w:val="1"/>
      <w:numFmt w:val="bullet"/>
      <w:lvlText w:val="•"/>
      <w:lvlJc w:val="left"/>
      <w:pPr>
        <w:tabs>
          <w:tab w:val="num" w:pos="2880"/>
        </w:tabs>
        <w:ind w:left="2880" w:hanging="360"/>
      </w:pPr>
      <w:rPr>
        <w:rFonts w:ascii="Arial" w:hAnsi="Arial" w:hint="default"/>
      </w:rPr>
    </w:lvl>
    <w:lvl w:ilvl="4" w:tplc="FB4E8428" w:tentative="1">
      <w:start w:val="1"/>
      <w:numFmt w:val="bullet"/>
      <w:lvlText w:val="•"/>
      <w:lvlJc w:val="left"/>
      <w:pPr>
        <w:tabs>
          <w:tab w:val="num" w:pos="3600"/>
        </w:tabs>
        <w:ind w:left="3600" w:hanging="360"/>
      </w:pPr>
      <w:rPr>
        <w:rFonts w:ascii="Arial" w:hAnsi="Arial" w:hint="default"/>
      </w:rPr>
    </w:lvl>
    <w:lvl w:ilvl="5" w:tplc="7F1E36DE" w:tentative="1">
      <w:start w:val="1"/>
      <w:numFmt w:val="bullet"/>
      <w:lvlText w:val="•"/>
      <w:lvlJc w:val="left"/>
      <w:pPr>
        <w:tabs>
          <w:tab w:val="num" w:pos="4320"/>
        </w:tabs>
        <w:ind w:left="4320" w:hanging="360"/>
      </w:pPr>
      <w:rPr>
        <w:rFonts w:ascii="Arial" w:hAnsi="Arial" w:hint="default"/>
      </w:rPr>
    </w:lvl>
    <w:lvl w:ilvl="6" w:tplc="759EA896" w:tentative="1">
      <w:start w:val="1"/>
      <w:numFmt w:val="bullet"/>
      <w:lvlText w:val="•"/>
      <w:lvlJc w:val="left"/>
      <w:pPr>
        <w:tabs>
          <w:tab w:val="num" w:pos="5040"/>
        </w:tabs>
        <w:ind w:left="5040" w:hanging="360"/>
      </w:pPr>
      <w:rPr>
        <w:rFonts w:ascii="Arial" w:hAnsi="Arial" w:hint="default"/>
      </w:rPr>
    </w:lvl>
    <w:lvl w:ilvl="7" w:tplc="25E669D2" w:tentative="1">
      <w:start w:val="1"/>
      <w:numFmt w:val="bullet"/>
      <w:lvlText w:val="•"/>
      <w:lvlJc w:val="left"/>
      <w:pPr>
        <w:tabs>
          <w:tab w:val="num" w:pos="5760"/>
        </w:tabs>
        <w:ind w:left="5760" w:hanging="360"/>
      </w:pPr>
      <w:rPr>
        <w:rFonts w:ascii="Arial" w:hAnsi="Arial" w:hint="default"/>
      </w:rPr>
    </w:lvl>
    <w:lvl w:ilvl="8" w:tplc="FB64D756"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232747D9"/>
    <w:multiLevelType w:val="hybridMultilevel"/>
    <w:tmpl w:val="187C91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26152413"/>
    <w:multiLevelType w:val="hybridMultilevel"/>
    <w:tmpl w:val="6442C9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7871F8F"/>
    <w:multiLevelType w:val="hybridMultilevel"/>
    <w:tmpl w:val="E2C8C6CE"/>
    <w:lvl w:ilvl="0" w:tplc="49EAE3BC">
      <w:start w:val="1"/>
      <w:numFmt w:val="bullet"/>
      <w:lvlText w:val="•"/>
      <w:lvlJc w:val="left"/>
      <w:pPr>
        <w:tabs>
          <w:tab w:val="num" w:pos="720"/>
        </w:tabs>
        <w:ind w:left="720" w:hanging="360"/>
      </w:pPr>
      <w:rPr>
        <w:rFonts w:ascii="Arial" w:hAnsi="Arial" w:hint="default"/>
      </w:rPr>
    </w:lvl>
    <w:lvl w:ilvl="1" w:tplc="45DEA982">
      <w:start w:val="214"/>
      <w:numFmt w:val="bullet"/>
      <w:lvlText w:val="•"/>
      <w:lvlJc w:val="left"/>
      <w:pPr>
        <w:tabs>
          <w:tab w:val="num" w:pos="1440"/>
        </w:tabs>
        <w:ind w:left="1440" w:hanging="360"/>
      </w:pPr>
      <w:rPr>
        <w:rFonts w:ascii="Arial" w:hAnsi="Arial" w:hint="default"/>
      </w:rPr>
    </w:lvl>
    <w:lvl w:ilvl="2" w:tplc="611A9ADE" w:tentative="1">
      <w:start w:val="1"/>
      <w:numFmt w:val="bullet"/>
      <w:lvlText w:val="•"/>
      <w:lvlJc w:val="left"/>
      <w:pPr>
        <w:tabs>
          <w:tab w:val="num" w:pos="2160"/>
        </w:tabs>
        <w:ind w:left="2160" w:hanging="360"/>
      </w:pPr>
      <w:rPr>
        <w:rFonts w:ascii="Arial" w:hAnsi="Arial" w:hint="default"/>
      </w:rPr>
    </w:lvl>
    <w:lvl w:ilvl="3" w:tplc="DF6A6CDC" w:tentative="1">
      <w:start w:val="1"/>
      <w:numFmt w:val="bullet"/>
      <w:lvlText w:val="•"/>
      <w:lvlJc w:val="left"/>
      <w:pPr>
        <w:tabs>
          <w:tab w:val="num" w:pos="2880"/>
        </w:tabs>
        <w:ind w:left="2880" w:hanging="360"/>
      </w:pPr>
      <w:rPr>
        <w:rFonts w:ascii="Arial" w:hAnsi="Arial" w:hint="default"/>
      </w:rPr>
    </w:lvl>
    <w:lvl w:ilvl="4" w:tplc="B4F4907A" w:tentative="1">
      <w:start w:val="1"/>
      <w:numFmt w:val="bullet"/>
      <w:lvlText w:val="•"/>
      <w:lvlJc w:val="left"/>
      <w:pPr>
        <w:tabs>
          <w:tab w:val="num" w:pos="3600"/>
        </w:tabs>
        <w:ind w:left="3600" w:hanging="360"/>
      </w:pPr>
      <w:rPr>
        <w:rFonts w:ascii="Arial" w:hAnsi="Arial" w:hint="default"/>
      </w:rPr>
    </w:lvl>
    <w:lvl w:ilvl="5" w:tplc="45926CEA" w:tentative="1">
      <w:start w:val="1"/>
      <w:numFmt w:val="bullet"/>
      <w:lvlText w:val="•"/>
      <w:lvlJc w:val="left"/>
      <w:pPr>
        <w:tabs>
          <w:tab w:val="num" w:pos="4320"/>
        </w:tabs>
        <w:ind w:left="4320" w:hanging="360"/>
      </w:pPr>
      <w:rPr>
        <w:rFonts w:ascii="Arial" w:hAnsi="Arial" w:hint="default"/>
      </w:rPr>
    </w:lvl>
    <w:lvl w:ilvl="6" w:tplc="C900BFB8" w:tentative="1">
      <w:start w:val="1"/>
      <w:numFmt w:val="bullet"/>
      <w:lvlText w:val="•"/>
      <w:lvlJc w:val="left"/>
      <w:pPr>
        <w:tabs>
          <w:tab w:val="num" w:pos="5040"/>
        </w:tabs>
        <w:ind w:left="5040" w:hanging="360"/>
      </w:pPr>
      <w:rPr>
        <w:rFonts w:ascii="Arial" w:hAnsi="Arial" w:hint="default"/>
      </w:rPr>
    </w:lvl>
    <w:lvl w:ilvl="7" w:tplc="A8A2F14C" w:tentative="1">
      <w:start w:val="1"/>
      <w:numFmt w:val="bullet"/>
      <w:lvlText w:val="•"/>
      <w:lvlJc w:val="left"/>
      <w:pPr>
        <w:tabs>
          <w:tab w:val="num" w:pos="5760"/>
        </w:tabs>
        <w:ind w:left="5760" w:hanging="360"/>
      </w:pPr>
      <w:rPr>
        <w:rFonts w:ascii="Arial" w:hAnsi="Arial" w:hint="default"/>
      </w:rPr>
    </w:lvl>
    <w:lvl w:ilvl="8" w:tplc="B00C6902"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347E075D"/>
    <w:multiLevelType w:val="hybridMultilevel"/>
    <w:tmpl w:val="3BF0E5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507300B3"/>
    <w:multiLevelType w:val="hybridMultilevel"/>
    <w:tmpl w:val="E848D840"/>
    <w:lvl w:ilvl="0" w:tplc="0C090001">
      <w:start w:val="1"/>
      <w:numFmt w:val="bullet"/>
      <w:lvlText w:val=""/>
      <w:lvlJc w:val="left"/>
      <w:pPr>
        <w:ind w:left="2160" w:hanging="360"/>
      </w:pPr>
      <w:rPr>
        <w:rFonts w:ascii="Symbol" w:hAnsi="Symbol" w:hint="default"/>
      </w:rPr>
    </w:lvl>
    <w:lvl w:ilvl="1" w:tplc="0C090003">
      <w:start w:val="1"/>
      <w:numFmt w:val="bullet"/>
      <w:lvlText w:val="o"/>
      <w:lvlJc w:val="left"/>
      <w:pPr>
        <w:ind w:left="2880" w:hanging="360"/>
      </w:pPr>
      <w:rPr>
        <w:rFonts w:ascii="Courier New" w:hAnsi="Courier New" w:cs="Courier New" w:hint="default"/>
      </w:rPr>
    </w:lvl>
    <w:lvl w:ilvl="2" w:tplc="0C090005" w:tentative="1">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8" w15:restartNumberingAfterBreak="0">
    <w:nsid w:val="50742B92"/>
    <w:multiLevelType w:val="hybridMultilevel"/>
    <w:tmpl w:val="931E5BCA"/>
    <w:lvl w:ilvl="0" w:tplc="0C090001">
      <w:start w:val="1"/>
      <w:numFmt w:val="bullet"/>
      <w:lvlText w:val=""/>
      <w:lvlJc w:val="left"/>
      <w:pPr>
        <w:tabs>
          <w:tab w:val="num" w:pos="720"/>
        </w:tabs>
        <w:ind w:left="720" w:hanging="360"/>
      </w:pPr>
      <w:rPr>
        <w:rFonts w:ascii="Symbol" w:hAnsi="Symbol" w:hint="default"/>
      </w:rPr>
    </w:lvl>
    <w:lvl w:ilvl="1" w:tplc="9894D924">
      <w:start w:val="1"/>
      <w:numFmt w:val="bullet"/>
      <w:lvlText w:val="•"/>
      <w:lvlJc w:val="left"/>
      <w:pPr>
        <w:tabs>
          <w:tab w:val="num" w:pos="1440"/>
        </w:tabs>
        <w:ind w:left="1440" w:hanging="360"/>
      </w:pPr>
      <w:rPr>
        <w:rFonts w:ascii="Arial" w:hAnsi="Arial" w:hint="default"/>
      </w:rPr>
    </w:lvl>
    <w:lvl w:ilvl="2" w:tplc="F0FC9B7E">
      <w:start w:val="1"/>
      <w:numFmt w:val="bullet"/>
      <w:lvlText w:val="•"/>
      <w:lvlJc w:val="left"/>
      <w:pPr>
        <w:tabs>
          <w:tab w:val="num" w:pos="2160"/>
        </w:tabs>
        <w:ind w:left="2160" w:hanging="360"/>
      </w:pPr>
      <w:rPr>
        <w:rFonts w:ascii="Arial" w:hAnsi="Arial" w:hint="default"/>
      </w:rPr>
    </w:lvl>
    <w:lvl w:ilvl="3" w:tplc="AF2490A8" w:tentative="1">
      <w:start w:val="1"/>
      <w:numFmt w:val="bullet"/>
      <w:lvlText w:val="•"/>
      <w:lvlJc w:val="left"/>
      <w:pPr>
        <w:tabs>
          <w:tab w:val="num" w:pos="2880"/>
        </w:tabs>
        <w:ind w:left="2880" w:hanging="360"/>
      </w:pPr>
      <w:rPr>
        <w:rFonts w:ascii="Arial" w:hAnsi="Arial" w:hint="default"/>
      </w:rPr>
    </w:lvl>
    <w:lvl w:ilvl="4" w:tplc="FB4E8428" w:tentative="1">
      <w:start w:val="1"/>
      <w:numFmt w:val="bullet"/>
      <w:lvlText w:val="•"/>
      <w:lvlJc w:val="left"/>
      <w:pPr>
        <w:tabs>
          <w:tab w:val="num" w:pos="3600"/>
        </w:tabs>
        <w:ind w:left="3600" w:hanging="360"/>
      </w:pPr>
      <w:rPr>
        <w:rFonts w:ascii="Arial" w:hAnsi="Arial" w:hint="default"/>
      </w:rPr>
    </w:lvl>
    <w:lvl w:ilvl="5" w:tplc="7F1E36DE" w:tentative="1">
      <w:start w:val="1"/>
      <w:numFmt w:val="bullet"/>
      <w:lvlText w:val="•"/>
      <w:lvlJc w:val="left"/>
      <w:pPr>
        <w:tabs>
          <w:tab w:val="num" w:pos="4320"/>
        </w:tabs>
        <w:ind w:left="4320" w:hanging="360"/>
      </w:pPr>
      <w:rPr>
        <w:rFonts w:ascii="Arial" w:hAnsi="Arial" w:hint="default"/>
      </w:rPr>
    </w:lvl>
    <w:lvl w:ilvl="6" w:tplc="759EA896" w:tentative="1">
      <w:start w:val="1"/>
      <w:numFmt w:val="bullet"/>
      <w:lvlText w:val="•"/>
      <w:lvlJc w:val="left"/>
      <w:pPr>
        <w:tabs>
          <w:tab w:val="num" w:pos="5040"/>
        </w:tabs>
        <w:ind w:left="5040" w:hanging="360"/>
      </w:pPr>
      <w:rPr>
        <w:rFonts w:ascii="Arial" w:hAnsi="Arial" w:hint="default"/>
      </w:rPr>
    </w:lvl>
    <w:lvl w:ilvl="7" w:tplc="25E669D2" w:tentative="1">
      <w:start w:val="1"/>
      <w:numFmt w:val="bullet"/>
      <w:lvlText w:val="•"/>
      <w:lvlJc w:val="left"/>
      <w:pPr>
        <w:tabs>
          <w:tab w:val="num" w:pos="5760"/>
        </w:tabs>
        <w:ind w:left="5760" w:hanging="360"/>
      </w:pPr>
      <w:rPr>
        <w:rFonts w:ascii="Arial" w:hAnsi="Arial" w:hint="default"/>
      </w:rPr>
    </w:lvl>
    <w:lvl w:ilvl="8" w:tplc="FB64D756"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55450DBD"/>
    <w:multiLevelType w:val="hybridMultilevel"/>
    <w:tmpl w:val="9DD0D76A"/>
    <w:lvl w:ilvl="0" w:tplc="0C090001">
      <w:start w:val="1"/>
      <w:numFmt w:val="bullet"/>
      <w:lvlText w:val=""/>
      <w:lvlJc w:val="left"/>
      <w:pPr>
        <w:tabs>
          <w:tab w:val="num" w:pos="720"/>
        </w:tabs>
        <w:ind w:left="720" w:hanging="360"/>
      </w:pPr>
      <w:rPr>
        <w:rFonts w:ascii="Symbol" w:hAnsi="Symbol" w:hint="default"/>
      </w:rPr>
    </w:lvl>
    <w:lvl w:ilvl="1" w:tplc="45DEA982">
      <w:start w:val="214"/>
      <w:numFmt w:val="bullet"/>
      <w:lvlText w:val="•"/>
      <w:lvlJc w:val="left"/>
      <w:pPr>
        <w:tabs>
          <w:tab w:val="num" w:pos="1440"/>
        </w:tabs>
        <w:ind w:left="1440" w:hanging="360"/>
      </w:pPr>
      <w:rPr>
        <w:rFonts w:ascii="Arial" w:hAnsi="Arial" w:hint="default"/>
      </w:rPr>
    </w:lvl>
    <w:lvl w:ilvl="2" w:tplc="611A9ADE" w:tentative="1">
      <w:start w:val="1"/>
      <w:numFmt w:val="bullet"/>
      <w:lvlText w:val="•"/>
      <w:lvlJc w:val="left"/>
      <w:pPr>
        <w:tabs>
          <w:tab w:val="num" w:pos="2160"/>
        </w:tabs>
        <w:ind w:left="2160" w:hanging="360"/>
      </w:pPr>
      <w:rPr>
        <w:rFonts w:ascii="Arial" w:hAnsi="Arial" w:hint="default"/>
      </w:rPr>
    </w:lvl>
    <w:lvl w:ilvl="3" w:tplc="DF6A6CDC" w:tentative="1">
      <w:start w:val="1"/>
      <w:numFmt w:val="bullet"/>
      <w:lvlText w:val="•"/>
      <w:lvlJc w:val="left"/>
      <w:pPr>
        <w:tabs>
          <w:tab w:val="num" w:pos="2880"/>
        </w:tabs>
        <w:ind w:left="2880" w:hanging="360"/>
      </w:pPr>
      <w:rPr>
        <w:rFonts w:ascii="Arial" w:hAnsi="Arial" w:hint="default"/>
      </w:rPr>
    </w:lvl>
    <w:lvl w:ilvl="4" w:tplc="B4F4907A" w:tentative="1">
      <w:start w:val="1"/>
      <w:numFmt w:val="bullet"/>
      <w:lvlText w:val="•"/>
      <w:lvlJc w:val="left"/>
      <w:pPr>
        <w:tabs>
          <w:tab w:val="num" w:pos="3600"/>
        </w:tabs>
        <w:ind w:left="3600" w:hanging="360"/>
      </w:pPr>
      <w:rPr>
        <w:rFonts w:ascii="Arial" w:hAnsi="Arial" w:hint="default"/>
      </w:rPr>
    </w:lvl>
    <w:lvl w:ilvl="5" w:tplc="45926CEA" w:tentative="1">
      <w:start w:val="1"/>
      <w:numFmt w:val="bullet"/>
      <w:lvlText w:val="•"/>
      <w:lvlJc w:val="left"/>
      <w:pPr>
        <w:tabs>
          <w:tab w:val="num" w:pos="4320"/>
        </w:tabs>
        <w:ind w:left="4320" w:hanging="360"/>
      </w:pPr>
      <w:rPr>
        <w:rFonts w:ascii="Arial" w:hAnsi="Arial" w:hint="default"/>
      </w:rPr>
    </w:lvl>
    <w:lvl w:ilvl="6" w:tplc="C900BFB8" w:tentative="1">
      <w:start w:val="1"/>
      <w:numFmt w:val="bullet"/>
      <w:lvlText w:val="•"/>
      <w:lvlJc w:val="left"/>
      <w:pPr>
        <w:tabs>
          <w:tab w:val="num" w:pos="5040"/>
        </w:tabs>
        <w:ind w:left="5040" w:hanging="360"/>
      </w:pPr>
      <w:rPr>
        <w:rFonts w:ascii="Arial" w:hAnsi="Arial" w:hint="default"/>
      </w:rPr>
    </w:lvl>
    <w:lvl w:ilvl="7" w:tplc="A8A2F14C" w:tentative="1">
      <w:start w:val="1"/>
      <w:numFmt w:val="bullet"/>
      <w:lvlText w:val="•"/>
      <w:lvlJc w:val="left"/>
      <w:pPr>
        <w:tabs>
          <w:tab w:val="num" w:pos="5760"/>
        </w:tabs>
        <w:ind w:left="5760" w:hanging="360"/>
      </w:pPr>
      <w:rPr>
        <w:rFonts w:ascii="Arial" w:hAnsi="Arial" w:hint="default"/>
      </w:rPr>
    </w:lvl>
    <w:lvl w:ilvl="8" w:tplc="B00C6902"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581560B2"/>
    <w:multiLevelType w:val="hybridMultilevel"/>
    <w:tmpl w:val="959288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5"/>
  </w:num>
  <w:num w:numId="4">
    <w:abstractNumId w:val="10"/>
  </w:num>
  <w:num w:numId="5">
    <w:abstractNumId w:val="0"/>
  </w:num>
  <w:num w:numId="6">
    <w:abstractNumId w:val="8"/>
  </w:num>
  <w:num w:numId="7">
    <w:abstractNumId w:val="9"/>
  </w:num>
  <w:num w:numId="8">
    <w:abstractNumId w:val="7"/>
  </w:num>
  <w:num w:numId="9">
    <w:abstractNumId w:val="4"/>
  </w:num>
  <w:num w:numId="10">
    <w:abstractNumId w:val="6"/>
  </w:num>
  <w:num w:numId="1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3236F"/>
    <w:rsid w:val="0013236F"/>
    <w:rsid w:val="003B34A2"/>
    <w:rsid w:val="003D52E7"/>
    <w:rsid w:val="00531D3B"/>
    <w:rsid w:val="00646AF1"/>
    <w:rsid w:val="007A395D"/>
    <w:rsid w:val="007C526B"/>
    <w:rsid w:val="00917317"/>
    <w:rsid w:val="00A00BE8"/>
    <w:rsid w:val="00A92B21"/>
    <w:rsid w:val="00B43316"/>
    <w:rsid w:val="00BC4EB9"/>
    <w:rsid w:val="00C93543"/>
    <w:rsid w:val="00CB1129"/>
    <w:rsid w:val="00CB5274"/>
    <w:rsid w:val="00D55656"/>
    <w:rsid w:val="00D9282E"/>
    <w:rsid w:val="00D92BBD"/>
    <w:rsid w:val="00DC273C"/>
    <w:rsid w:val="00E861EE"/>
    <w:rsid w:val="00EA0ECA"/>
    <w:rsid w:val="00EE5003"/>
    <w:rsid w:val="00F14AFF"/>
    <w:rsid w:val="00FE2A1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EE5003"/>
    <w:pPr>
      <w:keepNext/>
      <w:keepLines/>
      <w:spacing w:before="240" w:after="0"/>
      <w:outlineLvl w:val="0"/>
    </w:pPr>
    <w:rPr>
      <w:rFonts w:ascii="Arial" w:eastAsiaTheme="majorEastAsia" w:hAnsi="Arial" w:cstheme="majorBidi"/>
      <w:color w:val="FFFFFF" w:themeColor="background1"/>
      <w:sz w:val="44"/>
      <w:szCs w:val="32"/>
    </w:rPr>
  </w:style>
  <w:style w:type="paragraph" w:styleId="Heading2">
    <w:name w:val="heading 2"/>
    <w:basedOn w:val="Normal"/>
    <w:next w:val="Normal"/>
    <w:link w:val="Heading2Char"/>
    <w:uiPriority w:val="9"/>
    <w:unhideWhenUsed/>
    <w:qFormat/>
    <w:rsid w:val="00F14AFF"/>
    <w:pPr>
      <w:spacing w:before="240" w:after="600"/>
      <w:outlineLvl w:val="1"/>
    </w:pPr>
    <w:rPr>
      <w:b/>
      <w:bCs/>
      <w:sz w:val="36"/>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3236F"/>
    <w:pPr>
      <w:tabs>
        <w:tab w:val="center" w:pos="4513"/>
        <w:tab w:val="right" w:pos="9026"/>
      </w:tabs>
      <w:spacing w:after="0" w:line="240" w:lineRule="auto"/>
    </w:pPr>
  </w:style>
  <w:style w:type="character" w:customStyle="1" w:styleId="HeaderChar">
    <w:name w:val="Header Char"/>
    <w:basedOn w:val="DefaultParagraphFont"/>
    <w:link w:val="Header"/>
    <w:uiPriority w:val="99"/>
    <w:rsid w:val="0013236F"/>
  </w:style>
  <w:style w:type="paragraph" w:styleId="Footer">
    <w:name w:val="footer"/>
    <w:basedOn w:val="Normal"/>
    <w:link w:val="FooterChar"/>
    <w:uiPriority w:val="99"/>
    <w:unhideWhenUsed/>
    <w:rsid w:val="0013236F"/>
    <w:pPr>
      <w:tabs>
        <w:tab w:val="center" w:pos="4513"/>
        <w:tab w:val="right" w:pos="9026"/>
      </w:tabs>
      <w:spacing w:after="0" w:line="240" w:lineRule="auto"/>
    </w:pPr>
  </w:style>
  <w:style w:type="character" w:customStyle="1" w:styleId="FooterChar">
    <w:name w:val="Footer Char"/>
    <w:basedOn w:val="DefaultParagraphFont"/>
    <w:link w:val="Footer"/>
    <w:uiPriority w:val="99"/>
    <w:rsid w:val="0013236F"/>
  </w:style>
  <w:style w:type="character" w:customStyle="1" w:styleId="Heading1Char">
    <w:name w:val="Heading 1 Char"/>
    <w:basedOn w:val="DefaultParagraphFont"/>
    <w:link w:val="Heading1"/>
    <w:uiPriority w:val="9"/>
    <w:rsid w:val="00EE5003"/>
    <w:rPr>
      <w:rFonts w:ascii="Arial" w:eastAsiaTheme="majorEastAsia" w:hAnsi="Arial" w:cstheme="majorBidi"/>
      <w:color w:val="FFFFFF" w:themeColor="background1"/>
      <w:sz w:val="44"/>
      <w:szCs w:val="32"/>
    </w:rPr>
  </w:style>
  <w:style w:type="character" w:customStyle="1" w:styleId="Heading2Char">
    <w:name w:val="Heading 2 Char"/>
    <w:basedOn w:val="DefaultParagraphFont"/>
    <w:link w:val="Heading2"/>
    <w:uiPriority w:val="9"/>
    <w:rsid w:val="00F14AFF"/>
    <w:rPr>
      <w:b/>
      <w:bCs/>
      <w:sz w:val="36"/>
      <w:lang w:val="en-US"/>
    </w:rPr>
  </w:style>
  <w:style w:type="paragraph" w:styleId="ListParagraph">
    <w:name w:val="List Paragraph"/>
    <w:basedOn w:val="Normal"/>
    <w:uiPriority w:val="34"/>
    <w:qFormat/>
    <w:rsid w:val="0013236F"/>
    <w:pPr>
      <w:ind w:left="720"/>
      <w:contextualSpacing/>
    </w:pPr>
  </w:style>
  <w:style w:type="paragraph" w:styleId="NormalWeb">
    <w:name w:val="Normal (Web)"/>
    <w:basedOn w:val="Normal"/>
    <w:uiPriority w:val="99"/>
    <w:semiHidden/>
    <w:unhideWhenUsed/>
    <w:rsid w:val="00CB5274"/>
    <w:pPr>
      <w:spacing w:before="100" w:beforeAutospacing="1" w:after="100" w:afterAutospacing="1" w:line="240" w:lineRule="auto"/>
    </w:pPr>
    <w:rPr>
      <w:rFonts w:ascii="Times New Roman" w:eastAsiaTheme="minorEastAsia" w:hAnsi="Times New Roman" w:cs="Times New Roman"/>
      <w:sz w:val="24"/>
      <w:szCs w:val="24"/>
      <w:lang w:eastAsia="en-AU"/>
    </w:rPr>
  </w:style>
  <w:style w:type="paragraph" w:styleId="Subtitle">
    <w:name w:val="Subtitle"/>
    <w:basedOn w:val="Heading1"/>
    <w:next w:val="Normal"/>
    <w:link w:val="SubtitleChar"/>
    <w:uiPriority w:val="11"/>
    <w:qFormat/>
    <w:rsid w:val="00EE5003"/>
    <w:pPr>
      <w:spacing w:after="960"/>
    </w:pPr>
    <w:rPr>
      <w:b/>
      <w:sz w:val="48"/>
      <w:szCs w:val="48"/>
      <w:lang w:val="en-US"/>
    </w:rPr>
  </w:style>
  <w:style w:type="character" w:customStyle="1" w:styleId="SubtitleChar">
    <w:name w:val="Subtitle Char"/>
    <w:basedOn w:val="DefaultParagraphFont"/>
    <w:link w:val="Subtitle"/>
    <w:uiPriority w:val="11"/>
    <w:rsid w:val="00EE5003"/>
    <w:rPr>
      <w:rFonts w:ascii="Arial" w:eastAsiaTheme="majorEastAsia" w:hAnsi="Arial" w:cstheme="majorBidi"/>
      <w:b/>
      <w:color w:val="FFFFFF" w:themeColor="background1"/>
      <w:sz w:val="48"/>
      <w:szCs w:val="4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1600173">
      <w:bodyDiv w:val="1"/>
      <w:marLeft w:val="0"/>
      <w:marRight w:val="0"/>
      <w:marTop w:val="0"/>
      <w:marBottom w:val="0"/>
      <w:divBdr>
        <w:top w:val="none" w:sz="0" w:space="0" w:color="auto"/>
        <w:left w:val="none" w:sz="0" w:space="0" w:color="auto"/>
        <w:bottom w:val="none" w:sz="0" w:space="0" w:color="auto"/>
        <w:right w:val="none" w:sz="0" w:space="0" w:color="auto"/>
      </w:divBdr>
    </w:div>
    <w:div w:id="229538572">
      <w:bodyDiv w:val="1"/>
      <w:marLeft w:val="0"/>
      <w:marRight w:val="0"/>
      <w:marTop w:val="0"/>
      <w:marBottom w:val="0"/>
      <w:divBdr>
        <w:top w:val="none" w:sz="0" w:space="0" w:color="auto"/>
        <w:left w:val="none" w:sz="0" w:space="0" w:color="auto"/>
        <w:bottom w:val="none" w:sz="0" w:space="0" w:color="auto"/>
        <w:right w:val="none" w:sz="0" w:space="0" w:color="auto"/>
      </w:divBdr>
    </w:div>
    <w:div w:id="388921468">
      <w:bodyDiv w:val="1"/>
      <w:marLeft w:val="0"/>
      <w:marRight w:val="0"/>
      <w:marTop w:val="0"/>
      <w:marBottom w:val="0"/>
      <w:divBdr>
        <w:top w:val="none" w:sz="0" w:space="0" w:color="auto"/>
        <w:left w:val="none" w:sz="0" w:space="0" w:color="auto"/>
        <w:bottom w:val="none" w:sz="0" w:space="0" w:color="auto"/>
        <w:right w:val="none" w:sz="0" w:space="0" w:color="auto"/>
      </w:divBdr>
      <w:divsChild>
        <w:div w:id="376856745">
          <w:marLeft w:val="288"/>
          <w:marRight w:val="0"/>
          <w:marTop w:val="200"/>
          <w:marBottom w:val="240"/>
          <w:divBdr>
            <w:top w:val="none" w:sz="0" w:space="0" w:color="auto"/>
            <w:left w:val="none" w:sz="0" w:space="0" w:color="auto"/>
            <w:bottom w:val="none" w:sz="0" w:space="0" w:color="auto"/>
            <w:right w:val="none" w:sz="0" w:space="0" w:color="auto"/>
          </w:divBdr>
        </w:div>
        <w:div w:id="150214374">
          <w:marLeft w:val="288"/>
          <w:marRight w:val="0"/>
          <w:marTop w:val="0"/>
          <w:marBottom w:val="240"/>
          <w:divBdr>
            <w:top w:val="none" w:sz="0" w:space="0" w:color="auto"/>
            <w:left w:val="none" w:sz="0" w:space="0" w:color="auto"/>
            <w:bottom w:val="none" w:sz="0" w:space="0" w:color="auto"/>
            <w:right w:val="none" w:sz="0" w:space="0" w:color="auto"/>
          </w:divBdr>
        </w:div>
      </w:divsChild>
    </w:div>
    <w:div w:id="499347490">
      <w:bodyDiv w:val="1"/>
      <w:marLeft w:val="0"/>
      <w:marRight w:val="0"/>
      <w:marTop w:val="0"/>
      <w:marBottom w:val="0"/>
      <w:divBdr>
        <w:top w:val="none" w:sz="0" w:space="0" w:color="auto"/>
        <w:left w:val="none" w:sz="0" w:space="0" w:color="auto"/>
        <w:bottom w:val="none" w:sz="0" w:space="0" w:color="auto"/>
        <w:right w:val="none" w:sz="0" w:space="0" w:color="auto"/>
      </w:divBdr>
      <w:divsChild>
        <w:div w:id="2104375088">
          <w:marLeft w:val="547"/>
          <w:marRight w:val="0"/>
          <w:marTop w:val="0"/>
          <w:marBottom w:val="0"/>
          <w:divBdr>
            <w:top w:val="none" w:sz="0" w:space="0" w:color="auto"/>
            <w:left w:val="none" w:sz="0" w:space="0" w:color="auto"/>
            <w:bottom w:val="none" w:sz="0" w:space="0" w:color="auto"/>
            <w:right w:val="none" w:sz="0" w:space="0" w:color="auto"/>
          </w:divBdr>
        </w:div>
        <w:div w:id="1518620846">
          <w:marLeft w:val="547"/>
          <w:marRight w:val="0"/>
          <w:marTop w:val="0"/>
          <w:marBottom w:val="0"/>
          <w:divBdr>
            <w:top w:val="none" w:sz="0" w:space="0" w:color="auto"/>
            <w:left w:val="none" w:sz="0" w:space="0" w:color="auto"/>
            <w:bottom w:val="none" w:sz="0" w:space="0" w:color="auto"/>
            <w:right w:val="none" w:sz="0" w:space="0" w:color="auto"/>
          </w:divBdr>
        </w:div>
        <w:div w:id="692807453">
          <w:marLeft w:val="1267"/>
          <w:marRight w:val="0"/>
          <w:marTop w:val="0"/>
          <w:marBottom w:val="0"/>
          <w:divBdr>
            <w:top w:val="none" w:sz="0" w:space="0" w:color="auto"/>
            <w:left w:val="none" w:sz="0" w:space="0" w:color="auto"/>
            <w:bottom w:val="none" w:sz="0" w:space="0" w:color="auto"/>
            <w:right w:val="none" w:sz="0" w:space="0" w:color="auto"/>
          </w:divBdr>
        </w:div>
        <w:div w:id="817840476">
          <w:marLeft w:val="1267"/>
          <w:marRight w:val="0"/>
          <w:marTop w:val="0"/>
          <w:marBottom w:val="0"/>
          <w:divBdr>
            <w:top w:val="none" w:sz="0" w:space="0" w:color="auto"/>
            <w:left w:val="none" w:sz="0" w:space="0" w:color="auto"/>
            <w:bottom w:val="none" w:sz="0" w:space="0" w:color="auto"/>
            <w:right w:val="none" w:sz="0" w:space="0" w:color="auto"/>
          </w:divBdr>
        </w:div>
        <w:div w:id="1909728789">
          <w:marLeft w:val="1267"/>
          <w:marRight w:val="0"/>
          <w:marTop w:val="0"/>
          <w:marBottom w:val="0"/>
          <w:divBdr>
            <w:top w:val="none" w:sz="0" w:space="0" w:color="auto"/>
            <w:left w:val="none" w:sz="0" w:space="0" w:color="auto"/>
            <w:bottom w:val="none" w:sz="0" w:space="0" w:color="auto"/>
            <w:right w:val="none" w:sz="0" w:space="0" w:color="auto"/>
          </w:divBdr>
        </w:div>
        <w:div w:id="1721632829">
          <w:marLeft w:val="547"/>
          <w:marRight w:val="0"/>
          <w:marTop w:val="0"/>
          <w:marBottom w:val="0"/>
          <w:divBdr>
            <w:top w:val="none" w:sz="0" w:space="0" w:color="auto"/>
            <w:left w:val="none" w:sz="0" w:space="0" w:color="auto"/>
            <w:bottom w:val="none" w:sz="0" w:space="0" w:color="auto"/>
            <w:right w:val="none" w:sz="0" w:space="0" w:color="auto"/>
          </w:divBdr>
        </w:div>
      </w:divsChild>
    </w:div>
    <w:div w:id="538859510">
      <w:bodyDiv w:val="1"/>
      <w:marLeft w:val="0"/>
      <w:marRight w:val="0"/>
      <w:marTop w:val="0"/>
      <w:marBottom w:val="0"/>
      <w:divBdr>
        <w:top w:val="none" w:sz="0" w:space="0" w:color="auto"/>
        <w:left w:val="none" w:sz="0" w:space="0" w:color="auto"/>
        <w:bottom w:val="none" w:sz="0" w:space="0" w:color="auto"/>
        <w:right w:val="none" w:sz="0" w:space="0" w:color="auto"/>
      </w:divBdr>
    </w:div>
    <w:div w:id="645746340">
      <w:bodyDiv w:val="1"/>
      <w:marLeft w:val="0"/>
      <w:marRight w:val="0"/>
      <w:marTop w:val="0"/>
      <w:marBottom w:val="0"/>
      <w:divBdr>
        <w:top w:val="none" w:sz="0" w:space="0" w:color="auto"/>
        <w:left w:val="none" w:sz="0" w:space="0" w:color="auto"/>
        <w:bottom w:val="none" w:sz="0" w:space="0" w:color="auto"/>
        <w:right w:val="none" w:sz="0" w:space="0" w:color="auto"/>
      </w:divBdr>
    </w:div>
    <w:div w:id="956066350">
      <w:bodyDiv w:val="1"/>
      <w:marLeft w:val="0"/>
      <w:marRight w:val="0"/>
      <w:marTop w:val="0"/>
      <w:marBottom w:val="0"/>
      <w:divBdr>
        <w:top w:val="none" w:sz="0" w:space="0" w:color="auto"/>
        <w:left w:val="none" w:sz="0" w:space="0" w:color="auto"/>
        <w:bottom w:val="none" w:sz="0" w:space="0" w:color="auto"/>
        <w:right w:val="none" w:sz="0" w:space="0" w:color="auto"/>
      </w:divBdr>
    </w:div>
    <w:div w:id="1225334238">
      <w:bodyDiv w:val="1"/>
      <w:marLeft w:val="0"/>
      <w:marRight w:val="0"/>
      <w:marTop w:val="0"/>
      <w:marBottom w:val="0"/>
      <w:divBdr>
        <w:top w:val="none" w:sz="0" w:space="0" w:color="auto"/>
        <w:left w:val="none" w:sz="0" w:space="0" w:color="auto"/>
        <w:bottom w:val="none" w:sz="0" w:space="0" w:color="auto"/>
        <w:right w:val="none" w:sz="0" w:space="0" w:color="auto"/>
      </w:divBdr>
    </w:div>
    <w:div w:id="1302541704">
      <w:bodyDiv w:val="1"/>
      <w:marLeft w:val="0"/>
      <w:marRight w:val="0"/>
      <w:marTop w:val="0"/>
      <w:marBottom w:val="0"/>
      <w:divBdr>
        <w:top w:val="none" w:sz="0" w:space="0" w:color="auto"/>
        <w:left w:val="none" w:sz="0" w:space="0" w:color="auto"/>
        <w:bottom w:val="none" w:sz="0" w:space="0" w:color="auto"/>
        <w:right w:val="none" w:sz="0" w:space="0" w:color="auto"/>
      </w:divBdr>
    </w:div>
    <w:div w:id="1514951430">
      <w:bodyDiv w:val="1"/>
      <w:marLeft w:val="0"/>
      <w:marRight w:val="0"/>
      <w:marTop w:val="0"/>
      <w:marBottom w:val="0"/>
      <w:divBdr>
        <w:top w:val="none" w:sz="0" w:space="0" w:color="auto"/>
        <w:left w:val="none" w:sz="0" w:space="0" w:color="auto"/>
        <w:bottom w:val="none" w:sz="0" w:space="0" w:color="auto"/>
        <w:right w:val="none" w:sz="0" w:space="0" w:color="auto"/>
      </w:divBdr>
    </w:div>
    <w:div w:id="16976589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chart" Target="charts/chart4.xml"/><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chart" Target="charts/chart7.xml"/><Relationship Id="rId47" Type="http://schemas.openxmlformats.org/officeDocument/2006/relationships/image" Target="media/image23.pn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chart" Target="charts/chart3.xml"/><Relationship Id="rId46" Type="http://schemas.openxmlformats.org/officeDocument/2006/relationships/chart" Target="charts/chart11.xm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chart" Target="charts/chart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chart" Target="charts/chart2.xml"/><Relationship Id="rId40" Type="http://schemas.openxmlformats.org/officeDocument/2006/relationships/chart" Target="charts/chart5.xml"/><Relationship Id="rId45" Type="http://schemas.openxmlformats.org/officeDocument/2006/relationships/chart" Target="charts/chart10.xml"/><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chart" Target="charts/chart1.xml"/><Relationship Id="rId49"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chart" Target="charts/chart9.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chart" Target="charts/chart8.xml"/><Relationship Id="rId48" Type="http://schemas.openxmlformats.org/officeDocument/2006/relationships/fontTable" Target="fontTable.xml"/><Relationship Id="rId8"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3" Type="http://schemas.openxmlformats.org/officeDocument/2006/relationships/oleObject" Target="file:///\\prod.protected.ind\user\User05\ELevanat\my%20Documents\1.Work%20documents\NSRC\1.%20NSRC%202017\NSRC%20snapshot\Copy%20of%20NSRC_Snapshot_2016_Data_Analysis%20MASTER.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1.xml"/><Relationship Id="rId1" Type="http://schemas.microsoft.com/office/2011/relationships/chartStyle" Target="style11.xml"/></Relationships>
</file>

<file path=word/charts/_rels/chart2.xml.rels><?xml version="1.0" encoding="UTF-8" standalone="yes"?>
<Relationships xmlns="http://schemas.openxmlformats.org/package/2006/relationships"><Relationship Id="rId3" Type="http://schemas.openxmlformats.org/officeDocument/2006/relationships/oleObject" Target="file:///\\prod.protected.ind\user\User05\ELevanat\my%20Documents\1.Work%20documents\NSRC\1.%20NSRC%202017\NSRC%20snapshot\Copy%20of%20NSRC_Snapshot_2016_Data_Analysis%20MASTER%20gg1.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prod.protected.ind\user\User05\ELevanat\my%20Documents\1.Work%20documents\NSRC\1.%20NSRC%202017\NSRC%20snapshot\Copy%20of%20NSRC_Snapshot_2016_Data_Analysis%20MASTER.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prod.protected.ind\user\User05\ELevanat\My%20Documents\1.Work%20documents\NSRC\1.%20NSRC%202017\NSRC%20snapshot\NSRC_Snapshot_2016_Data_Analysis%20MASTER%20gg1.xlsx" TargetMode="Externa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chartUserShapes" Target="../drawings/drawing1.xml"/></Relationships>
</file>

<file path=word/charts/_rels/chart9.xml.rels><?xml version="1.0" encoding="UTF-8" standalone="yes"?>
<Relationships xmlns="http://schemas.openxmlformats.org/package/2006/relationships"><Relationship Id="rId3" Type="http://schemas.openxmlformats.org/officeDocument/2006/relationships/oleObject" Target="file:///\\prod.protected.ind\user\User05\ELevanat\my%20Documents\1.Work%20documents\NSRC\1.%20NSRC%202017\NSRC%20snapshot\Copy%20of%20NSRC_Snapshot_2016_Data_Analysis%20MASTER.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900" b="1" dirty="0" smtClean="0">
                <a:solidFill>
                  <a:sysClr val="windowText" lastClr="000000"/>
                </a:solidFill>
                <a:latin typeface="Arial" panose="020B0604020202020204" pitchFamily="34" charset="0"/>
                <a:cs typeface="Arial" panose="020B0604020202020204" pitchFamily="34" charset="0"/>
              </a:rPr>
              <a:t>Average number of Start-ups </a:t>
            </a:r>
            <a:r>
              <a:rPr lang="en-US" sz="900" b="1" dirty="0">
                <a:solidFill>
                  <a:sysClr val="windowText" lastClr="000000"/>
                </a:solidFill>
                <a:latin typeface="Arial" panose="020B0604020202020204" pitchFamily="34" charset="0"/>
                <a:cs typeface="Arial" panose="020B0604020202020204" pitchFamily="34" charset="0"/>
              </a:rPr>
              <a:t>created</a:t>
            </a:r>
            <a:r>
              <a:rPr lang="en-US" sz="900" b="1" baseline="0" dirty="0">
                <a:solidFill>
                  <a:sysClr val="windowText" lastClr="000000"/>
                </a:solidFill>
                <a:latin typeface="Arial" panose="020B0604020202020204" pitchFamily="34" charset="0"/>
                <a:cs typeface="Arial" panose="020B0604020202020204" pitchFamily="34" charset="0"/>
              </a:rPr>
              <a:t> </a:t>
            </a:r>
            <a:r>
              <a:rPr lang="en-US" sz="900" b="1" baseline="0" dirty="0" smtClean="0">
                <a:solidFill>
                  <a:sysClr val="windowText" lastClr="000000"/>
                </a:solidFill>
                <a:latin typeface="Arial" panose="020B0604020202020204" pitchFamily="34" charset="0"/>
                <a:cs typeface="Arial" panose="020B0604020202020204" pitchFamily="34" charset="0"/>
              </a:rPr>
              <a:t>by surveyed organisations, 2004-2016</a:t>
            </a:r>
            <a:endParaRPr lang="en-US" sz="900" b="1" dirty="0">
              <a:solidFill>
                <a:sysClr val="windowText" lastClr="000000"/>
              </a:solidFill>
              <a:latin typeface="Arial" panose="020B0604020202020204" pitchFamily="34" charset="0"/>
              <a:cs typeface="Arial" panose="020B0604020202020204" pitchFamily="34" charset="0"/>
            </a:endParaRPr>
          </a:p>
        </c:rich>
      </c:tx>
      <c:layout>
        <c:manualLayout>
          <c:xMode val="edge"/>
          <c:yMode val="edge"/>
          <c:x val="0.1840337305656623"/>
          <c:y val="0"/>
        </c:manualLayout>
      </c:layout>
      <c:overlay val="0"/>
      <c:spPr>
        <a:noFill/>
        <a:ln>
          <a:noFill/>
        </a:ln>
        <a:effectLst/>
      </c:spPr>
      <c:txPr>
        <a:bodyPr rot="0" spcFirstLastPara="1" vertOverflow="ellipsis" vert="horz" wrap="square" anchor="ctr" anchorCtr="1"/>
        <a:lstStyle/>
        <a:p>
          <a:pPr>
            <a:defRPr sz="9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lineChart>
        <c:grouping val="standard"/>
        <c:varyColors val="0"/>
        <c:ser>
          <c:idx val="0"/>
          <c:order val="0"/>
          <c:tx>
            <c:strRef>
              <c:f>'3. CO- Start- ups'!$K$1266</c:f>
              <c:strCache>
                <c:ptCount val="1"/>
                <c:pt idx="0">
                  <c:v>Average No of Start-ups per survey participants</c:v>
                </c:pt>
              </c:strCache>
            </c:strRef>
          </c:tx>
          <c:spPr>
            <a:ln w="28575" cap="rnd">
              <a:solidFill>
                <a:schemeClr val="accent6"/>
              </a:solidFill>
              <a:round/>
            </a:ln>
            <a:effectLst/>
          </c:spPr>
          <c:marker>
            <c:symbol val="square"/>
            <c:size val="6"/>
            <c:spPr>
              <a:solidFill>
                <a:schemeClr val="accent6"/>
              </a:solidFill>
              <a:ln w="9525">
                <a:solidFill>
                  <a:schemeClr val="accent6"/>
                </a:solidFill>
              </a:ln>
              <a:effectLst/>
            </c:spPr>
          </c:marker>
          <c:cat>
            <c:numRef>
              <c:f>'3. CO- Start- ups'!$J$1267:$J$1279</c:f>
              <c:numCache>
                <c:formatCode>General</c:formatCode>
                <c:ptCount val="13"/>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numCache>
            </c:numRef>
          </c:cat>
          <c:val>
            <c:numRef>
              <c:f>'3. CO- Start- ups'!$K$1267:$K$1279</c:f>
              <c:numCache>
                <c:formatCode>0.0</c:formatCode>
                <c:ptCount val="13"/>
                <c:pt idx="0">
                  <c:v>0.442857142857143</c:v>
                </c:pt>
                <c:pt idx="1">
                  <c:v>0.4</c:v>
                </c:pt>
                <c:pt idx="2">
                  <c:v>0.43</c:v>
                </c:pt>
                <c:pt idx="3">
                  <c:v>0.37</c:v>
                </c:pt>
                <c:pt idx="4">
                  <c:v>0.21621621621621601</c:v>
                </c:pt>
                <c:pt idx="5">
                  <c:v>0.36486486486486502</c:v>
                </c:pt>
                <c:pt idx="6">
                  <c:v>0.23611111111111099</c:v>
                </c:pt>
                <c:pt idx="7">
                  <c:v>0.23611111111111099</c:v>
                </c:pt>
                <c:pt idx="8">
                  <c:v>0.33333333333333298</c:v>
                </c:pt>
                <c:pt idx="9">
                  <c:v>0.39393939393939398</c:v>
                </c:pt>
                <c:pt idx="10">
                  <c:v>0.16129032258064499</c:v>
                </c:pt>
                <c:pt idx="11">
                  <c:v>0.63636363636363602</c:v>
                </c:pt>
                <c:pt idx="12">
                  <c:v>0.73015873015873001</c:v>
                </c:pt>
              </c:numCache>
            </c:numRef>
          </c:val>
          <c:smooth val="0"/>
        </c:ser>
        <c:dLbls>
          <c:showLegendKey val="0"/>
          <c:showVal val="0"/>
          <c:showCatName val="0"/>
          <c:showSerName val="0"/>
          <c:showPercent val="0"/>
          <c:showBubbleSize val="0"/>
        </c:dLbls>
        <c:marker val="1"/>
        <c:smooth val="0"/>
        <c:axId val="447865416"/>
        <c:axId val="447866200"/>
      </c:lineChart>
      <c:catAx>
        <c:axId val="447865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crossAx val="447866200"/>
        <c:crosses val="autoZero"/>
        <c:auto val="1"/>
        <c:lblAlgn val="ctr"/>
        <c:lblOffset val="100"/>
        <c:noMultiLvlLbl val="0"/>
      </c:catAx>
      <c:valAx>
        <c:axId val="4478662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sz="800" b="0" dirty="0">
                    <a:solidFill>
                      <a:sysClr val="windowText" lastClr="000000"/>
                    </a:solidFill>
                    <a:latin typeface="Arial" panose="020B0604020202020204" pitchFamily="34" charset="0"/>
                    <a:cs typeface="Arial" panose="020B0604020202020204" pitchFamily="34" charset="0"/>
                  </a:rPr>
                  <a:t>Average</a:t>
                </a:r>
                <a:r>
                  <a:rPr lang="en-AU" sz="800" b="0" baseline="0" dirty="0">
                    <a:solidFill>
                      <a:sysClr val="windowText" lastClr="000000"/>
                    </a:solidFill>
                    <a:latin typeface="Arial" panose="020B0604020202020204" pitchFamily="34" charset="0"/>
                    <a:cs typeface="Arial" panose="020B0604020202020204" pitchFamily="34" charset="0"/>
                  </a:rPr>
                  <a:t> no. per </a:t>
                </a:r>
                <a:r>
                  <a:rPr lang="en-AU" sz="800" b="0" baseline="0" dirty="0" smtClean="0">
                    <a:solidFill>
                      <a:sysClr val="windowText" lastClr="000000"/>
                    </a:solidFill>
                    <a:latin typeface="Arial" panose="020B0604020202020204" pitchFamily="34" charset="0"/>
                    <a:cs typeface="Arial" panose="020B0604020202020204" pitchFamily="34" charset="0"/>
                  </a:rPr>
                  <a:t>organisation*</a:t>
                </a:r>
                <a:endParaRPr lang="en-AU" sz="800" b="0" baseline="0" dirty="0">
                  <a:solidFill>
                    <a:sysClr val="windowText" lastClr="000000"/>
                  </a:solidFill>
                  <a:latin typeface="Arial" panose="020B0604020202020204" pitchFamily="34" charset="0"/>
                  <a:cs typeface="Arial" panose="020B0604020202020204" pitchFamily="34" charset="0"/>
                </a:endParaRPr>
              </a:p>
              <a:p>
                <a:pPr>
                  <a:defRPr sz="800" b="1">
                    <a:solidFill>
                      <a:sysClr val="windowText" lastClr="000000"/>
                    </a:solidFill>
                    <a:latin typeface="Arial" panose="020B0604020202020204" pitchFamily="34" charset="0"/>
                    <a:cs typeface="Arial" panose="020B0604020202020204" pitchFamily="34" charset="0"/>
                  </a:defRPr>
                </a:pPr>
                <a:endParaRPr lang="en-AU" sz="800" b="1" dirty="0">
                  <a:solidFill>
                    <a:sysClr val="windowText" lastClr="000000"/>
                  </a:solidFill>
                  <a:latin typeface="Arial" panose="020B0604020202020204" pitchFamily="34" charset="0"/>
                  <a:cs typeface="Arial" panose="020B0604020202020204" pitchFamily="34" charset="0"/>
                </a:endParaRPr>
              </a:p>
            </c:rich>
          </c:tx>
          <c:layout/>
          <c:overlay val="0"/>
          <c:spPr>
            <a:noFill/>
            <a:ln>
              <a:noFill/>
            </a:ln>
            <a:effectLst/>
          </c:spPr>
          <c:txPr>
            <a:bodyPr rot="-5400000" spcFirstLastPara="1" vertOverflow="ellipsis" vert="horz" wrap="square" anchor="ctr" anchorCtr="1"/>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4786541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900" b="1" dirty="0" smtClean="0">
                <a:solidFill>
                  <a:sysClr val="windowText" lastClr="000000"/>
                </a:solidFill>
                <a:latin typeface="Arial" panose="020B0604020202020204" pitchFamily="34" charset="0"/>
                <a:cs typeface="Arial" panose="020B0604020202020204" pitchFamily="34" charset="0"/>
              </a:rPr>
              <a:t>Average number of Patents</a:t>
            </a:r>
            <a:r>
              <a:rPr lang="en-AU" sz="900" b="1" baseline="0" dirty="0" smtClean="0">
                <a:solidFill>
                  <a:sysClr val="windowText" lastClr="000000"/>
                </a:solidFill>
                <a:latin typeface="Arial" panose="020B0604020202020204" pitchFamily="34" charset="0"/>
                <a:cs typeface="Arial" panose="020B0604020202020204" pitchFamily="34" charset="0"/>
              </a:rPr>
              <a:t> granted by surveyed organisations, 2004-2016</a:t>
            </a:r>
            <a:endParaRPr lang="en-AU" sz="900" b="1" dirty="0">
              <a:solidFill>
                <a:sysClr val="windowText" lastClr="000000"/>
              </a:solidFill>
              <a:latin typeface="Arial" panose="020B0604020202020204" pitchFamily="34" charset="0"/>
              <a:cs typeface="Arial" panose="020B0604020202020204" pitchFamily="34" charset="0"/>
            </a:endParaRPr>
          </a:p>
        </c:rich>
      </c:tx>
      <c:layout>
        <c:manualLayout>
          <c:xMode val="edge"/>
          <c:yMode val="edge"/>
          <c:x val="0.17901910471486074"/>
          <c:y val="2.9289965119572246E-2"/>
        </c:manualLayout>
      </c:layout>
      <c:overlay val="0"/>
      <c:spPr>
        <a:noFill/>
        <a:ln>
          <a:noFill/>
        </a:ln>
        <a:effectLst/>
      </c:spPr>
      <c:txPr>
        <a:bodyPr rot="0" spcFirstLastPara="1" vertOverflow="ellipsis" vert="horz" wrap="square" anchor="ctr" anchorCtr="1"/>
        <a:lstStyle/>
        <a:p>
          <a:pPr>
            <a:defRPr sz="9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11771574558025"/>
          <c:y val="0.11591795922902"/>
          <c:w val="0.86090901855275204"/>
          <c:h val="0.74474027741259941"/>
        </c:manualLayout>
      </c:layout>
      <c:lineChart>
        <c:grouping val="standard"/>
        <c:varyColors val="0"/>
        <c:ser>
          <c:idx val="0"/>
          <c:order val="0"/>
          <c:tx>
            <c:strRef>
              <c:f>'PatentGrt-AUS'!$A$1152</c:f>
              <c:strCache>
                <c:ptCount val="1"/>
                <c:pt idx="0">
                  <c:v>AU</c:v>
                </c:pt>
              </c:strCache>
            </c:strRef>
          </c:tx>
          <c:spPr>
            <a:ln w="28575" cap="rnd">
              <a:solidFill>
                <a:schemeClr val="accent6"/>
              </a:solidFill>
              <a:round/>
            </a:ln>
            <a:effectLst/>
          </c:spPr>
          <c:marker>
            <c:symbol val="square"/>
            <c:size val="6"/>
            <c:spPr>
              <a:solidFill>
                <a:schemeClr val="accent6"/>
              </a:solidFill>
              <a:ln w="9525">
                <a:solidFill>
                  <a:schemeClr val="accent6"/>
                </a:solidFill>
              </a:ln>
              <a:effectLst/>
            </c:spPr>
          </c:marker>
          <c:cat>
            <c:numRef>
              <c:f>'PatentGrt-AUS'!$F$1151:$R$1151</c:f>
              <c:numCache>
                <c:formatCode>General</c:formatCode>
                <c:ptCount val="13"/>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numCache>
            </c:numRef>
          </c:cat>
          <c:val>
            <c:numRef>
              <c:f>'PatentGrt-AUS'!$F$1152:$R$1152</c:f>
              <c:numCache>
                <c:formatCode>0.0</c:formatCode>
                <c:ptCount val="13"/>
                <c:pt idx="0">
                  <c:v>1.7619047619047619</c:v>
                </c:pt>
                <c:pt idx="1">
                  <c:v>1.5079365079365079</c:v>
                </c:pt>
                <c:pt idx="2">
                  <c:v>1.1904761904761905</c:v>
                </c:pt>
                <c:pt idx="3">
                  <c:v>1.4444444444444444</c:v>
                </c:pt>
                <c:pt idx="4">
                  <c:v>1.6825396825396826</c:v>
                </c:pt>
                <c:pt idx="5">
                  <c:v>1.3492063492063493</c:v>
                </c:pt>
                <c:pt idx="6">
                  <c:v>1.4603174603174602</c:v>
                </c:pt>
                <c:pt idx="7">
                  <c:v>1.5238095238095237</c:v>
                </c:pt>
                <c:pt idx="8">
                  <c:v>1.9047619047619047</c:v>
                </c:pt>
                <c:pt idx="9">
                  <c:v>1.8095238095238095</c:v>
                </c:pt>
                <c:pt idx="10">
                  <c:v>2.0476190476190474</c:v>
                </c:pt>
                <c:pt idx="11">
                  <c:v>2.4920634920634921</c:v>
                </c:pt>
                <c:pt idx="12">
                  <c:v>1.9365079365079365</c:v>
                </c:pt>
              </c:numCache>
            </c:numRef>
          </c:val>
          <c:smooth val="0"/>
        </c:ser>
        <c:ser>
          <c:idx val="1"/>
          <c:order val="1"/>
          <c:tx>
            <c:strRef>
              <c:f>'PatentGrt-AUS'!$A$1153</c:f>
              <c:strCache>
                <c:ptCount val="1"/>
                <c:pt idx="0">
                  <c:v>US</c:v>
                </c:pt>
              </c:strCache>
            </c:strRef>
          </c:tx>
          <c:spPr>
            <a:ln w="28575" cap="rnd">
              <a:solidFill>
                <a:schemeClr val="accent5"/>
              </a:solidFill>
              <a:round/>
            </a:ln>
            <a:effectLst/>
          </c:spPr>
          <c:marker>
            <c:symbol val="square"/>
            <c:size val="6"/>
            <c:spPr>
              <a:solidFill>
                <a:schemeClr val="accent5"/>
              </a:solidFill>
              <a:ln w="9525">
                <a:solidFill>
                  <a:schemeClr val="accent5"/>
                </a:solidFill>
              </a:ln>
              <a:effectLst/>
            </c:spPr>
          </c:marker>
          <c:cat>
            <c:numRef>
              <c:f>'PatentGrt-AUS'!$F$1151:$R$1151</c:f>
              <c:numCache>
                <c:formatCode>General</c:formatCode>
                <c:ptCount val="13"/>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numCache>
            </c:numRef>
          </c:cat>
          <c:val>
            <c:numRef>
              <c:f>'PatentGrt-AUS'!$F$1153:$R$1153</c:f>
              <c:numCache>
                <c:formatCode>0.0</c:formatCode>
                <c:ptCount val="13"/>
                <c:pt idx="0">
                  <c:v>1.6031746031746033</c:v>
                </c:pt>
                <c:pt idx="1">
                  <c:v>1.1904761904761905</c:v>
                </c:pt>
                <c:pt idx="2">
                  <c:v>1.6984126984126984</c:v>
                </c:pt>
                <c:pt idx="3">
                  <c:v>1.1746031746031746</c:v>
                </c:pt>
                <c:pt idx="4">
                  <c:v>0.8571428571428571</c:v>
                </c:pt>
                <c:pt idx="5">
                  <c:v>1.4444444444444444</c:v>
                </c:pt>
                <c:pt idx="6">
                  <c:v>1.3492063492063493</c:v>
                </c:pt>
                <c:pt idx="7">
                  <c:v>1.4603174603174602</c:v>
                </c:pt>
                <c:pt idx="8">
                  <c:v>1.8253968253968254</c:v>
                </c:pt>
                <c:pt idx="9">
                  <c:v>2</c:v>
                </c:pt>
                <c:pt idx="10">
                  <c:v>2.4285714285714284</c:v>
                </c:pt>
                <c:pt idx="11">
                  <c:v>2.6349206349206349</c:v>
                </c:pt>
                <c:pt idx="12">
                  <c:v>2.4603174603174605</c:v>
                </c:pt>
              </c:numCache>
            </c:numRef>
          </c:val>
          <c:smooth val="0"/>
        </c:ser>
        <c:ser>
          <c:idx val="2"/>
          <c:order val="2"/>
          <c:tx>
            <c:strRef>
              <c:f>'PatentGrt-AUS'!$A$1154</c:f>
              <c:strCache>
                <c:ptCount val="1"/>
                <c:pt idx="0">
                  <c:v>EU</c:v>
                </c:pt>
              </c:strCache>
            </c:strRef>
          </c:tx>
          <c:spPr>
            <a:ln w="28575" cap="rnd">
              <a:solidFill>
                <a:schemeClr val="accent4"/>
              </a:solidFill>
              <a:round/>
            </a:ln>
            <a:effectLst/>
          </c:spPr>
          <c:marker>
            <c:symbol val="square"/>
            <c:size val="6"/>
            <c:spPr>
              <a:solidFill>
                <a:schemeClr val="accent4"/>
              </a:solidFill>
              <a:ln w="9525">
                <a:solidFill>
                  <a:schemeClr val="accent4"/>
                </a:solidFill>
              </a:ln>
              <a:effectLst/>
            </c:spPr>
          </c:marker>
          <c:cat>
            <c:numRef>
              <c:f>'PatentGrt-AUS'!$F$1151:$R$1151</c:f>
              <c:numCache>
                <c:formatCode>General</c:formatCode>
                <c:ptCount val="13"/>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numCache>
            </c:numRef>
          </c:cat>
          <c:val>
            <c:numRef>
              <c:f>'PatentGrt-AUS'!$F$1154:$R$1154</c:f>
              <c:numCache>
                <c:formatCode>0.0</c:formatCode>
                <c:ptCount val="13"/>
                <c:pt idx="0">
                  <c:v>0.90476190476190477</c:v>
                </c:pt>
                <c:pt idx="1">
                  <c:v>0.76190476190476186</c:v>
                </c:pt>
                <c:pt idx="2">
                  <c:v>0.92063492063492058</c:v>
                </c:pt>
                <c:pt idx="3">
                  <c:v>0.84126984126984128</c:v>
                </c:pt>
                <c:pt idx="4">
                  <c:v>0.8571428571428571</c:v>
                </c:pt>
                <c:pt idx="5">
                  <c:v>0.68253968253968256</c:v>
                </c:pt>
                <c:pt idx="6">
                  <c:v>0.73015873015873012</c:v>
                </c:pt>
                <c:pt idx="7">
                  <c:v>0.7142857142857143</c:v>
                </c:pt>
                <c:pt idx="8">
                  <c:v>0.80952380952380953</c:v>
                </c:pt>
                <c:pt idx="9">
                  <c:v>0.8571428571428571</c:v>
                </c:pt>
                <c:pt idx="10">
                  <c:v>0.8571428571428571</c:v>
                </c:pt>
                <c:pt idx="11">
                  <c:v>0.82539682539682535</c:v>
                </c:pt>
                <c:pt idx="12">
                  <c:v>1.3174603174603174</c:v>
                </c:pt>
              </c:numCache>
            </c:numRef>
          </c:val>
          <c:smooth val="0"/>
        </c:ser>
        <c:ser>
          <c:idx val="3"/>
          <c:order val="3"/>
          <c:tx>
            <c:strRef>
              <c:f>'PatentGrt-AUS'!$A$1155</c:f>
              <c:strCache>
                <c:ptCount val="1"/>
                <c:pt idx="0">
                  <c:v>Rest of the world</c:v>
                </c:pt>
              </c:strCache>
            </c:strRef>
          </c:tx>
          <c:spPr>
            <a:ln w="28575" cap="rnd">
              <a:solidFill>
                <a:schemeClr val="accent1"/>
              </a:solidFill>
              <a:round/>
            </a:ln>
            <a:effectLst/>
          </c:spPr>
          <c:marker>
            <c:symbol val="square"/>
            <c:size val="6"/>
            <c:spPr>
              <a:solidFill>
                <a:schemeClr val="accent1"/>
              </a:solidFill>
              <a:ln w="9525">
                <a:solidFill>
                  <a:schemeClr val="accent1"/>
                </a:solidFill>
              </a:ln>
              <a:effectLst/>
            </c:spPr>
          </c:marker>
          <c:cat>
            <c:numRef>
              <c:f>'PatentGrt-AUS'!$F$1151:$R$1151</c:f>
              <c:numCache>
                <c:formatCode>General</c:formatCode>
                <c:ptCount val="13"/>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numCache>
            </c:numRef>
          </c:cat>
          <c:val>
            <c:numRef>
              <c:f>'PatentGrt-AUS'!$F$1155:$R$1155</c:f>
              <c:numCache>
                <c:formatCode>0.0</c:formatCode>
                <c:ptCount val="13"/>
                <c:pt idx="0">
                  <c:v>2.9841269841269842</c:v>
                </c:pt>
                <c:pt idx="1">
                  <c:v>3.0952380952380953</c:v>
                </c:pt>
                <c:pt idx="2">
                  <c:v>3.4285714285714284</c:v>
                </c:pt>
                <c:pt idx="3">
                  <c:v>4.2380952380952381</c:v>
                </c:pt>
                <c:pt idx="4">
                  <c:v>3.3492063492063493</c:v>
                </c:pt>
                <c:pt idx="5">
                  <c:v>2.9841269841269842</c:v>
                </c:pt>
                <c:pt idx="6">
                  <c:v>3.0634920634920637</c:v>
                </c:pt>
                <c:pt idx="7">
                  <c:v>2.8095238095238093</c:v>
                </c:pt>
                <c:pt idx="8">
                  <c:v>2.6666666666666665</c:v>
                </c:pt>
                <c:pt idx="9">
                  <c:v>3.0952380952380953</c:v>
                </c:pt>
                <c:pt idx="10">
                  <c:v>2.6190476190476191</c:v>
                </c:pt>
                <c:pt idx="11">
                  <c:v>2.2698412698412698</c:v>
                </c:pt>
                <c:pt idx="12">
                  <c:v>1.6984126984126984</c:v>
                </c:pt>
              </c:numCache>
            </c:numRef>
          </c:val>
          <c:smooth val="0"/>
        </c:ser>
        <c:dLbls>
          <c:showLegendKey val="0"/>
          <c:showVal val="0"/>
          <c:showCatName val="0"/>
          <c:showSerName val="0"/>
          <c:showPercent val="0"/>
          <c:showBubbleSize val="0"/>
        </c:dLbls>
        <c:marker val="1"/>
        <c:smooth val="0"/>
        <c:axId val="454643752"/>
        <c:axId val="454647672"/>
      </c:lineChart>
      <c:catAx>
        <c:axId val="454643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crossAx val="454647672"/>
        <c:crosses val="autoZero"/>
        <c:auto val="1"/>
        <c:lblAlgn val="ctr"/>
        <c:lblOffset val="100"/>
        <c:noMultiLvlLbl val="0"/>
      </c:catAx>
      <c:valAx>
        <c:axId val="4546476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r>
                  <a:rPr lang="en-US" sz="800" b="0" dirty="0" smtClean="0">
                    <a:solidFill>
                      <a:sysClr val="windowText" lastClr="000000"/>
                    </a:solidFill>
                  </a:rPr>
                  <a:t>Average no, per </a:t>
                </a:r>
                <a:r>
                  <a:rPr lang="en-US" sz="800" b="0" dirty="0" err="1" smtClean="0">
                    <a:solidFill>
                      <a:sysClr val="windowText" lastClr="000000"/>
                    </a:solidFill>
                  </a:rPr>
                  <a:t>organisation</a:t>
                </a:r>
                <a:r>
                  <a:rPr lang="en-US" sz="800" b="0" dirty="0" smtClean="0">
                    <a:solidFill>
                      <a:sysClr val="windowText" lastClr="000000"/>
                    </a:solidFill>
                  </a:rPr>
                  <a:t>*</a:t>
                </a:r>
                <a:endParaRPr lang="en-US" sz="800" b="0" dirty="0">
                  <a:solidFill>
                    <a:sysClr val="windowText" lastClr="000000"/>
                  </a:solidFill>
                </a:endParaRPr>
              </a:p>
            </c:rich>
          </c:tx>
          <c:layout>
            <c:manualLayout>
              <c:xMode val="edge"/>
              <c:yMode val="edge"/>
              <c:x val="1.4326346572421805E-2"/>
              <c:y val="0.29122696899239953"/>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54643752"/>
        <c:crosses val="autoZero"/>
        <c:crossBetween val="between"/>
      </c:valAx>
      <c:spPr>
        <a:noFill/>
        <a:ln>
          <a:noFill/>
        </a:ln>
        <a:effectLst/>
      </c:spPr>
    </c:plotArea>
    <c:legend>
      <c:legendPos val="b"/>
      <c:layout>
        <c:manualLayout>
          <c:xMode val="edge"/>
          <c:yMode val="edge"/>
          <c:x val="0.28029412942941206"/>
          <c:y val="0.91855975164791559"/>
          <c:w val="0.46832503484348798"/>
          <c:h val="5.6392543685622201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sz="900" dirty="0" smtClean="0">
                <a:solidFill>
                  <a:sysClr val="windowText" lastClr="000000"/>
                </a:solidFill>
                <a:latin typeface="Arial" panose="020B0604020202020204" pitchFamily="34" charset="0"/>
                <a:cs typeface="Arial" panose="020B0604020202020204" pitchFamily="34" charset="0"/>
              </a:rPr>
              <a:t>Average Patents granted by region to surveyed organisations in 2016</a:t>
            </a:r>
            <a:endParaRPr lang="en-AU" sz="900" dirty="0">
              <a:solidFill>
                <a:sysClr val="windowText" lastClr="000000"/>
              </a:solidFill>
              <a:latin typeface="Arial" panose="020B0604020202020204" pitchFamily="34" charset="0"/>
              <a:cs typeface="Arial" panose="020B0604020202020204" pitchFamily="34" charset="0"/>
            </a:endParaRPr>
          </a:p>
        </c:rich>
      </c:tx>
      <c:layout>
        <c:manualLayout>
          <c:xMode val="edge"/>
          <c:yMode val="edge"/>
          <c:x val="0.11356114752681799"/>
          <c:y val="2.52359458350431E-2"/>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pieChart>
        <c:varyColors val="1"/>
        <c:ser>
          <c:idx val="0"/>
          <c:order val="0"/>
          <c:dPt>
            <c:idx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dPt>
          <c:dPt>
            <c:idx val="1"/>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dPt>
          <c:dPt>
            <c:idx val="2"/>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dPt>
          <c:dPt>
            <c:idx val="3"/>
            <c:bubble3D val="0"/>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dPt>
          <c:dLbls>
            <c:dLbl>
              <c:idx val="0"/>
              <c:layout>
                <c:manualLayout>
                  <c:x val="-0.1372274773702393"/>
                  <c:y val="0.15030086192876888"/>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layout/>
                </c:ext>
              </c:extLst>
            </c:dLbl>
            <c:dLbl>
              <c:idx val="1"/>
              <c:layout>
                <c:manualLayout>
                  <c:x val="-0.11713943159754744"/>
                  <c:y val="-0.2204732294097333"/>
                </c:manualLayout>
              </c:layout>
              <c:tx>
                <c:rich>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fld id="{2FA5557F-57DF-47C4-B12E-9215C0E5DE0D}" type="CATEGORYNAME">
                      <a:rPr lang="en-US">
                        <a:solidFill>
                          <a:sysClr val="windowText" lastClr="000000"/>
                        </a:solidFill>
                      </a:rPr>
                      <a:pPr>
                        <a:defRPr b="1">
                          <a:solidFill>
                            <a:schemeClr val="bg1"/>
                          </a:solidFill>
                        </a:defRPr>
                      </a:pPr>
                      <a:t>[CATEGORY NAME]</a:t>
                    </a:fld>
                    <a:r>
                      <a:rPr lang="en-US" baseline="0">
                        <a:solidFill>
                          <a:sysClr val="windowText" lastClr="000000"/>
                        </a:solidFill>
                      </a:rPr>
                      <a:t>
</a:t>
                    </a:r>
                    <a:fld id="{10FF55D1-8821-42C2-8CE9-B09CEDB8B260}" type="PERCENTAGE">
                      <a:rPr lang="en-US" baseline="0">
                        <a:solidFill>
                          <a:sysClr val="windowText" lastClr="000000"/>
                        </a:solidFill>
                      </a:rPr>
                      <a:pPr>
                        <a:defRPr b="1">
                          <a:solidFill>
                            <a:schemeClr val="bg1"/>
                          </a:solidFill>
                        </a:defRPr>
                      </a:pPr>
                      <a:t>[PERCENTAGE]</a:t>
                    </a:fld>
                    <a:endParaRPr lang="en-US" baseline="0">
                      <a:solidFill>
                        <a:sysClr val="windowText" lastClr="000000"/>
                      </a:solidFill>
                    </a:endParaRPr>
                  </a:p>
                </c:rich>
              </c:tx>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layout/>
                  <c15:dlblFieldTable/>
                  <c15:showDataLabelsRange val="0"/>
                </c:ext>
              </c:extLst>
            </c:dLbl>
            <c:dLbl>
              <c:idx val="2"/>
              <c:layout>
                <c:manualLayout>
                  <c:x val="0.16655821310859639"/>
                  <c:y val="-0.10926632813228057"/>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layout/>
                </c:ext>
              </c:extLst>
            </c:dLbl>
            <c:dLbl>
              <c:idx val="3"/>
              <c:layout>
                <c:manualLayout>
                  <c:x val="0.19525872786621593"/>
                  <c:y val="0.20187150189763198"/>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'PatentGrt-AUS'!$A$1143:$A$1146</c:f>
              <c:strCache>
                <c:ptCount val="4"/>
                <c:pt idx="0">
                  <c:v>AU</c:v>
                </c:pt>
                <c:pt idx="1">
                  <c:v>US</c:v>
                </c:pt>
                <c:pt idx="2">
                  <c:v>EU</c:v>
                </c:pt>
                <c:pt idx="3">
                  <c:v>Rest of the world</c:v>
                </c:pt>
              </c:strCache>
            </c:strRef>
          </c:cat>
          <c:val>
            <c:numRef>
              <c:f>'PatentGrt-AUS'!$R$1143:$R$1146</c:f>
              <c:numCache>
                <c:formatCode>General</c:formatCode>
                <c:ptCount val="4"/>
                <c:pt idx="0">
                  <c:v>122</c:v>
                </c:pt>
                <c:pt idx="1">
                  <c:v>155</c:v>
                </c:pt>
                <c:pt idx="2">
                  <c:v>83</c:v>
                </c:pt>
                <c:pt idx="3">
                  <c:v>107</c:v>
                </c:pt>
              </c:numCache>
            </c:numRef>
          </c:val>
        </c:ser>
        <c:dLbls>
          <c:dLblPos val="in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900" b="1" dirty="0" smtClean="0">
                <a:solidFill>
                  <a:sysClr val="windowText" lastClr="000000"/>
                </a:solidFill>
                <a:latin typeface="Arial" panose="020B0604020202020204" pitchFamily="34" charset="0"/>
                <a:cs typeface="Arial" panose="020B0604020202020204" pitchFamily="34" charset="0"/>
              </a:rPr>
              <a:t>Number of Start-ups created per surveyed organisation 2014-2016</a:t>
            </a:r>
            <a:endParaRPr lang="en-AU" sz="900" b="1" dirty="0">
              <a:solidFill>
                <a:sysClr val="windowText" lastClr="000000"/>
              </a:solidFill>
              <a:latin typeface="Arial" panose="020B0604020202020204" pitchFamily="34" charset="0"/>
              <a:cs typeface="Arial" panose="020B0604020202020204" pitchFamily="34" charset="0"/>
            </a:endParaRPr>
          </a:p>
        </c:rich>
      </c:tx>
      <c:layout>
        <c:manualLayout>
          <c:xMode val="edge"/>
          <c:yMode val="edge"/>
          <c:x val="0.15368491417948787"/>
          <c:y val="2.1408927176929226E-3"/>
        </c:manualLayout>
      </c:layout>
      <c:overlay val="0"/>
      <c:spPr>
        <a:noFill/>
        <a:ln>
          <a:noFill/>
        </a:ln>
        <a:effectLst/>
      </c:spPr>
      <c:txPr>
        <a:bodyPr rot="0" spcFirstLastPara="1" vertOverflow="ellipsis" vert="horz" wrap="square" anchor="ctr" anchorCtr="1"/>
        <a:lstStyle/>
        <a:p>
          <a:pPr>
            <a:defRPr sz="9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27141711722244"/>
          <c:y val="0.103703036827326"/>
          <c:w val="0.68842677610984404"/>
          <c:h val="0.77400355899152995"/>
        </c:manualLayout>
      </c:layout>
      <c:barChart>
        <c:barDir val="bar"/>
        <c:grouping val="clustered"/>
        <c:varyColors val="0"/>
        <c:ser>
          <c:idx val="0"/>
          <c:order val="0"/>
          <c:tx>
            <c:strRef>
              <c:f>'3. CO- Start- ups'!$D$1413</c:f>
              <c:strCache>
                <c:ptCount val="1"/>
                <c:pt idx="0">
                  <c:v>2014</c:v>
                </c:pt>
              </c:strCache>
            </c:strRef>
          </c:tx>
          <c:spPr>
            <a:solidFill>
              <a:schemeClr val="accent6"/>
            </a:solidFill>
            <a:ln>
              <a:noFill/>
            </a:ln>
            <a:effectLst/>
          </c:spPr>
          <c:invertIfNegative val="0"/>
          <c:cat>
            <c:strRef>
              <c:f>'3. CO- Start- ups'!$C$1414:$C$1438</c:f>
              <c:strCache>
                <c:ptCount val="25"/>
                <c:pt idx="0">
                  <c:v>Curtin</c:v>
                </c:pt>
                <c:pt idx="1">
                  <c:v>Baker</c:v>
                </c:pt>
                <c:pt idx="2">
                  <c:v>Telethon Kids</c:v>
                </c:pt>
                <c:pt idx="3">
                  <c:v>WEHI</c:v>
                </c:pt>
                <c:pt idx="4">
                  <c:v>George</c:v>
                </c:pt>
                <c:pt idx="5">
                  <c:v>Canberra</c:v>
                </c:pt>
                <c:pt idx="6">
                  <c:v>UTS</c:v>
                </c:pt>
                <c:pt idx="7">
                  <c:v>Tasmania</c:v>
                </c:pt>
                <c:pt idx="8">
                  <c:v>Garvan</c:v>
                </c:pt>
                <c:pt idx="9">
                  <c:v>Centenary</c:v>
                </c:pt>
                <c:pt idx="10">
                  <c:v>MCRI</c:v>
                </c:pt>
                <c:pt idx="11">
                  <c:v>Flinders</c:v>
                </c:pt>
                <c:pt idx="12">
                  <c:v>Swinburne</c:v>
                </c:pt>
                <c:pt idx="13">
                  <c:v>Melbourne</c:v>
                </c:pt>
                <c:pt idx="14">
                  <c:v>Newcastle</c:v>
                </c:pt>
                <c:pt idx="15">
                  <c:v>Western Australia</c:v>
                </c:pt>
                <c:pt idx="16">
                  <c:v>South Australia</c:v>
                </c:pt>
                <c:pt idx="17">
                  <c:v>Sydney</c:v>
                </c:pt>
                <c:pt idx="18">
                  <c:v>Queensland</c:v>
                </c:pt>
                <c:pt idx="19">
                  <c:v>Deakin</c:v>
                </c:pt>
                <c:pt idx="20">
                  <c:v>CSIRO</c:v>
                </c:pt>
                <c:pt idx="21">
                  <c:v>Monash</c:v>
                </c:pt>
                <c:pt idx="22">
                  <c:v>Bionics</c:v>
                </c:pt>
                <c:pt idx="23">
                  <c:v>Burnet</c:v>
                </c:pt>
                <c:pt idx="24">
                  <c:v>New South Wales</c:v>
                </c:pt>
              </c:strCache>
            </c:strRef>
          </c:cat>
          <c:val>
            <c:numRef>
              <c:f>'3. CO- Start- ups'!$D$1414:$D$1438</c:f>
              <c:numCache>
                <c:formatCode>General</c:formatCode>
                <c:ptCount val="25"/>
                <c:pt idx="0">
                  <c:v>1</c:v>
                </c:pt>
                <c:pt idx="1">
                  <c:v>0</c:v>
                </c:pt>
                <c:pt idx="2">
                  <c:v>0</c:v>
                </c:pt>
                <c:pt idx="3">
                  <c:v>0</c:v>
                </c:pt>
                <c:pt idx="6">
                  <c:v>0</c:v>
                </c:pt>
                <c:pt idx="7">
                  <c:v>2</c:v>
                </c:pt>
                <c:pt idx="8">
                  <c:v>1</c:v>
                </c:pt>
                <c:pt idx="9">
                  <c:v>0</c:v>
                </c:pt>
                <c:pt idx="10">
                  <c:v>0</c:v>
                </c:pt>
                <c:pt idx="11">
                  <c:v>0</c:v>
                </c:pt>
                <c:pt idx="12">
                  <c:v>0</c:v>
                </c:pt>
                <c:pt idx="13">
                  <c:v>0</c:v>
                </c:pt>
                <c:pt idx="14">
                  <c:v>0</c:v>
                </c:pt>
                <c:pt idx="15">
                  <c:v>0</c:v>
                </c:pt>
                <c:pt idx="16">
                  <c:v>2</c:v>
                </c:pt>
                <c:pt idx="17">
                  <c:v>0</c:v>
                </c:pt>
                <c:pt idx="18">
                  <c:v>0</c:v>
                </c:pt>
                <c:pt idx="19">
                  <c:v>0</c:v>
                </c:pt>
                <c:pt idx="20">
                  <c:v>2</c:v>
                </c:pt>
                <c:pt idx="21">
                  <c:v>0</c:v>
                </c:pt>
                <c:pt idx="23">
                  <c:v>2</c:v>
                </c:pt>
                <c:pt idx="24">
                  <c:v>0</c:v>
                </c:pt>
              </c:numCache>
            </c:numRef>
          </c:val>
        </c:ser>
        <c:ser>
          <c:idx val="1"/>
          <c:order val="1"/>
          <c:tx>
            <c:strRef>
              <c:f>'3. CO- Start- ups'!$E$1413</c:f>
              <c:strCache>
                <c:ptCount val="1"/>
                <c:pt idx="0">
                  <c:v>2015</c:v>
                </c:pt>
              </c:strCache>
            </c:strRef>
          </c:tx>
          <c:spPr>
            <a:solidFill>
              <a:schemeClr val="accent5"/>
            </a:solidFill>
            <a:ln>
              <a:noFill/>
            </a:ln>
            <a:effectLst/>
          </c:spPr>
          <c:invertIfNegative val="0"/>
          <c:cat>
            <c:strRef>
              <c:f>'3. CO- Start- ups'!$C$1414:$C$1438</c:f>
              <c:strCache>
                <c:ptCount val="25"/>
                <c:pt idx="0">
                  <c:v>Curtin</c:v>
                </c:pt>
                <c:pt idx="1">
                  <c:v>Baker</c:v>
                </c:pt>
                <c:pt idx="2">
                  <c:v>Telethon Kids</c:v>
                </c:pt>
                <c:pt idx="3">
                  <c:v>WEHI</c:v>
                </c:pt>
                <c:pt idx="4">
                  <c:v>George</c:v>
                </c:pt>
                <c:pt idx="5">
                  <c:v>Canberra</c:v>
                </c:pt>
                <c:pt idx="6">
                  <c:v>UTS</c:v>
                </c:pt>
                <c:pt idx="7">
                  <c:v>Tasmania</c:v>
                </c:pt>
                <c:pt idx="8">
                  <c:v>Garvan</c:v>
                </c:pt>
                <c:pt idx="9">
                  <c:v>Centenary</c:v>
                </c:pt>
                <c:pt idx="10">
                  <c:v>MCRI</c:v>
                </c:pt>
                <c:pt idx="11">
                  <c:v>Flinders</c:v>
                </c:pt>
                <c:pt idx="12">
                  <c:v>Swinburne</c:v>
                </c:pt>
                <c:pt idx="13">
                  <c:v>Melbourne</c:v>
                </c:pt>
                <c:pt idx="14">
                  <c:v>Newcastle</c:v>
                </c:pt>
                <c:pt idx="15">
                  <c:v>Western Australia</c:v>
                </c:pt>
                <c:pt idx="16">
                  <c:v>South Australia</c:v>
                </c:pt>
                <c:pt idx="17">
                  <c:v>Sydney</c:v>
                </c:pt>
                <c:pt idx="18">
                  <c:v>Queensland</c:v>
                </c:pt>
                <c:pt idx="19">
                  <c:v>Deakin</c:v>
                </c:pt>
                <c:pt idx="20">
                  <c:v>CSIRO</c:v>
                </c:pt>
                <c:pt idx="21">
                  <c:v>Monash</c:v>
                </c:pt>
                <c:pt idx="22">
                  <c:v>Bionics</c:v>
                </c:pt>
                <c:pt idx="23">
                  <c:v>Burnet</c:v>
                </c:pt>
                <c:pt idx="24">
                  <c:v>New South Wales</c:v>
                </c:pt>
              </c:strCache>
            </c:strRef>
          </c:cat>
          <c:val>
            <c:numRef>
              <c:f>'3. CO- Start- ups'!$E$1414:$E$1438</c:f>
              <c:numCache>
                <c:formatCode>General</c:formatCode>
                <c:ptCount val="25"/>
                <c:pt idx="0">
                  <c:v>0</c:v>
                </c:pt>
                <c:pt idx="1">
                  <c:v>1</c:v>
                </c:pt>
                <c:pt idx="2">
                  <c:v>1</c:v>
                </c:pt>
                <c:pt idx="3">
                  <c:v>1</c:v>
                </c:pt>
                <c:pt idx="4">
                  <c:v>1</c:v>
                </c:pt>
                <c:pt idx="5">
                  <c:v>1</c:v>
                </c:pt>
                <c:pt idx="6">
                  <c:v>1</c:v>
                </c:pt>
                <c:pt idx="7">
                  <c:v>0</c:v>
                </c:pt>
                <c:pt idx="8">
                  <c:v>0</c:v>
                </c:pt>
                <c:pt idx="9">
                  <c:v>0</c:v>
                </c:pt>
                <c:pt idx="10">
                  <c:v>0</c:v>
                </c:pt>
                <c:pt idx="11">
                  <c:v>2</c:v>
                </c:pt>
                <c:pt idx="12">
                  <c:v>0</c:v>
                </c:pt>
                <c:pt idx="13">
                  <c:v>0</c:v>
                </c:pt>
                <c:pt idx="14">
                  <c:v>0</c:v>
                </c:pt>
                <c:pt idx="15">
                  <c:v>0</c:v>
                </c:pt>
                <c:pt idx="16">
                  <c:v>2</c:v>
                </c:pt>
                <c:pt idx="17">
                  <c:v>8</c:v>
                </c:pt>
                <c:pt idx="18">
                  <c:v>4</c:v>
                </c:pt>
                <c:pt idx="19">
                  <c:v>2</c:v>
                </c:pt>
                <c:pt idx="20">
                  <c:v>1</c:v>
                </c:pt>
                <c:pt idx="21">
                  <c:v>2</c:v>
                </c:pt>
                <c:pt idx="22">
                  <c:v>4</c:v>
                </c:pt>
                <c:pt idx="23">
                  <c:v>1</c:v>
                </c:pt>
                <c:pt idx="24">
                  <c:v>7</c:v>
                </c:pt>
              </c:numCache>
            </c:numRef>
          </c:val>
        </c:ser>
        <c:ser>
          <c:idx val="2"/>
          <c:order val="2"/>
          <c:tx>
            <c:strRef>
              <c:f>'3. CO- Start- ups'!$F$1413</c:f>
              <c:strCache>
                <c:ptCount val="1"/>
                <c:pt idx="0">
                  <c:v>2016</c:v>
                </c:pt>
              </c:strCache>
            </c:strRef>
          </c:tx>
          <c:spPr>
            <a:solidFill>
              <a:schemeClr val="accent4"/>
            </a:solidFill>
            <a:ln>
              <a:noFill/>
            </a:ln>
            <a:effectLst/>
          </c:spPr>
          <c:invertIfNegative val="0"/>
          <c:cat>
            <c:strRef>
              <c:f>'3. CO- Start- ups'!$C$1414:$C$1438</c:f>
              <c:strCache>
                <c:ptCount val="25"/>
                <c:pt idx="0">
                  <c:v>Curtin</c:v>
                </c:pt>
                <c:pt idx="1">
                  <c:v>Baker</c:v>
                </c:pt>
                <c:pt idx="2">
                  <c:v>Telethon Kids</c:v>
                </c:pt>
                <c:pt idx="3">
                  <c:v>WEHI</c:v>
                </c:pt>
                <c:pt idx="4">
                  <c:v>George</c:v>
                </c:pt>
                <c:pt idx="5">
                  <c:v>Canberra</c:v>
                </c:pt>
                <c:pt idx="6">
                  <c:v>UTS</c:v>
                </c:pt>
                <c:pt idx="7">
                  <c:v>Tasmania</c:v>
                </c:pt>
                <c:pt idx="8">
                  <c:v>Garvan</c:v>
                </c:pt>
                <c:pt idx="9">
                  <c:v>Centenary</c:v>
                </c:pt>
                <c:pt idx="10">
                  <c:v>MCRI</c:v>
                </c:pt>
                <c:pt idx="11">
                  <c:v>Flinders</c:v>
                </c:pt>
                <c:pt idx="12">
                  <c:v>Swinburne</c:v>
                </c:pt>
                <c:pt idx="13">
                  <c:v>Melbourne</c:v>
                </c:pt>
                <c:pt idx="14">
                  <c:v>Newcastle</c:v>
                </c:pt>
                <c:pt idx="15">
                  <c:v>Western Australia</c:v>
                </c:pt>
                <c:pt idx="16">
                  <c:v>South Australia</c:v>
                </c:pt>
                <c:pt idx="17">
                  <c:v>Sydney</c:v>
                </c:pt>
                <c:pt idx="18">
                  <c:v>Queensland</c:v>
                </c:pt>
                <c:pt idx="19">
                  <c:v>Deakin</c:v>
                </c:pt>
                <c:pt idx="20">
                  <c:v>CSIRO</c:v>
                </c:pt>
                <c:pt idx="21">
                  <c:v>Monash</c:v>
                </c:pt>
                <c:pt idx="22">
                  <c:v>Bionics</c:v>
                </c:pt>
                <c:pt idx="23">
                  <c:v>Burnet</c:v>
                </c:pt>
                <c:pt idx="24">
                  <c:v>New South Wales</c:v>
                </c:pt>
              </c:strCache>
            </c:strRef>
          </c:cat>
          <c:val>
            <c:numRef>
              <c:f>'3. CO- Start- ups'!$F$1414:$F$1438</c:f>
              <c:numCache>
                <c:formatCode>General</c:formatCode>
                <c:ptCount val="25"/>
                <c:pt idx="0">
                  <c:v>0</c:v>
                </c:pt>
                <c:pt idx="1">
                  <c:v>0</c:v>
                </c:pt>
                <c:pt idx="2">
                  <c:v>0</c:v>
                </c:pt>
                <c:pt idx="3">
                  <c:v>0</c:v>
                </c:pt>
                <c:pt idx="4">
                  <c:v>0</c:v>
                </c:pt>
                <c:pt idx="5">
                  <c:v>0</c:v>
                </c:pt>
                <c:pt idx="6">
                  <c:v>0</c:v>
                </c:pt>
                <c:pt idx="7">
                  <c:v>1</c:v>
                </c:pt>
                <c:pt idx="8">
                  <c:v>1</c:v>
                </c:pt>
                <c:pt idx="9">
                  <c:v>1</c:v>
                </c:pt>
                <c:pt idx="10">
                  <c:v>1</c:v>
                </c:pt>
                <c:pt idx="11">
                  <c:v>1</c:v>
                </c:pt>
                <c:pt idx="12">
                  <c:v>1</c:v>
                </c:pt>
                <c:pt idx="13">
                  <c:v>1</c:v>
                </c:pt>
                <c:pt idx="14">
                  <c:v>1</c:v>
                </c:pt>
                <c:pt idx="15">
                  <c:v>1</c:v>
                </c:pt>
                <c:pt idx="16">
                  <c:v>2</c:v>
                </c:pt>
                <c:pt idx="17">
                  <c:v>2</c:v>
                </c:pt>
                <c:pt idx="18">
                  <c:v>2</c:v>
                </c:pt>
                <c:pt idx="19">
                  <c:v>2</c:v>
                </c:pt>
                <c:pt idx="20">
                  <c:v>3</c:v>
                </c:pt>
                <c:pt idx="21">
                  <c:v>4</c:v>
                </c:pt>
                <c:pt idx="22">
                  <c:v>5</c:v>
                </c:pt>
                <c:pt idx="23">
                  <c:v>8</c:v>
                </c:pt>
                <c:pt idx="24">
                  <c:v>9</c:v>
                </c:pt>
              </c:numCache>
            </c:numRef>
          </c:val>
        </c:ser>
        <c:dLbls>
          <c:showLegendKey val="0"/>
          <c:showVal val="0"/>
          <c:showCatName val="0"/>
          <c:showSerName val="0"/>
          <c:showPercent val="0"/>
          <c:showBubbleSize val="0"/>
        </c:dLbls>
        <c:gapWidth val="182"/>
        <c:axId val="447864632"/>
        <c:axId val="447860712"/>
      </c:barChart>
      <c:catAx>
        <c:axId val="4478646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mn-lt"/>
                <a:ea typeface="+mn-ea"/>
                <a:cs typeface="+mn-cs"/>
              </a:defRPr>
            </a:pPr>
            <a:endParaRPr lang="en-US"/>
          </a:p>
        </c:txPr>
        <c:crossAx val="447860712"/>
        <c:crosses val="autoZero"/>
        <c:auto val="1"/>
        <c:lblAlgn val="ctr"/>
        <c:lblOffset val="100"/>
        <c:noMultiLvlLbl val="0"/>
      </c:catAx>
      <c:valAx>
        <c:axId val="4478607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47864632"/>
        <c:crosses val="autoZero"/>
        <c:crossBetween val="between"/>
      </c:valAx>
      <c:spPr>
        <a:noFill/>
        <a:ln>
          <a:noFill/>
        </a:ln>
        <a:effectLst/>
      </c:spPr>
    </c:plotArea>
    <c:legend>
      <c:legendPos val="b"/>
      <c:layout>
        <c:manualLayout>
          <c:xMode val="edge"/>
          <c:yMode val="edge"/>
          <c:x val="0.34629497718653141"/>
          <c:y val="0.9394614432506011"/>
          <c:w val="0.42558205338295746"/>
          <c:h val="3.8581089029323501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AU" sz="900" b="1" dirty="0" smtClean="0">
                <a:solidFill>
                  <a:sysClr val="windowText" lastClr="000000"/>
                </a:solidFill>
              </a:rPr>
              <a:t>Number of new </a:t>
            </a:r>
            <a:r>
              <a:rPr lang="en-AU" sz="900" b="1" dirty="0">
                <a:solidFill>
                  <a:sysClr val="windowText" lastClr="000000"/>
                </a:solidFill>
              </a:rPr>
              <a:t>Provisional applications </a:t>
            </a:r>
            <a:r>
              <a:rPr lang="en-AU" sz="900" b="1" dirty="0" smtClean="0">
                <a:solidFill>
                  <a:sysClr val="windowText" lastClr="000000"/>
                </a:solidFill>
              </a:rPr>
              <a:t>per surveyed</a:t>
            </a:r>
            <a:r>
              <a:rPr lang="en-AU" sz="900" b="1" baseline="0" dirty="0" smtClean="0">
                <a:solidFill>
                  <a:sysClr val="windowText" lastClr="000000"/>
                </a:solidFill>
              </a:rPr>
              <a:t> organisations, 2014-2016</a:t>
            </a:r>
            <a:endParaRPr lang="en-AU" sz="900" b="1" dirty="0">
              <a:solidFill>
                <a:sysClr val="windowText" lastClr="000000"/>
              </a:solidFill>
            </a:endParaRPr>
          </a:p>
        </c:rich>
      </c:tx>
      <c:layout>
        <c:manualLayout>
          <c:xMode val="edge"/>
          <c:yMode val="edge"/>
          <c:x val="0.1685922619881923"/>
          <c:y val="1.021052636681213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25927317692465346"/>
          <c:y val="0.10223423719028345"/>
          <c:w val="0.70280360976965106"/>
          <c:h val="0.78494986802456346"/>
        </c:manualLayout>
      </c:layout>
      <c:barChart>
        <c:barDir val="bar"/>
        <c:grouping val="clustered"/>
        <c:varyColors val="0"/>
        <c:ser>
          <c:idx val="0"/>
          <c:order val="0"/>
          <c:tx>
            <c:strRef>
              <c:f>'ProvApp&amp;PCT'!$B$1323</c:f>
              <c:strCache>
                <c:ptCount val="1"/>
                <c:pt idx="0">
                  <c:v>2014</c:v>
                </c:pt>
              </c:strCache>
            </c:strRef>
          </c:tx>
          <c:spPr>
            <a:solidFill>
              <a:schemeClr val="accent6"/>
            </a:solidFill>
            <a:ln>
              <a:noFill/>
            </a:ln>
            <a:effectLst/>
          </c:spPr>
          <c:invertIfNegative val="0"/>
          <c:cat>
            <c:strRef>
              <c:f>'ProvApp&amp;PCT'!$A$1324:$A$1338</c:f>
              <c:strCache>
                <c:ptCount val="15"/>
                <c:pt idx="0">
                  <c:v>QUT</c:v>
                </c:pt>
                <c:pt idx="1">
                  <c:v>Curtin</c:v>
                </c:pt>
                <c:pt idx="2">
                  <c:v>New South Wales</c:v>
                </c:pt>
                <c:pt idx="3">
                  <c:v>ANU</c:v>
                </c:pt>
                <c:pt idx="4">
                  <c:v>Adelaide</c:v>
                </c:pt>
                <c:pt idx="5">
                  <c:v>South Australia</c:v>
                </c:pt>
                <c:pt idx="6">
                  <c:v>Deakin</c:v>
                </c:pt>
                <c:pt idx="7">
                  <c:v>Melbourne</c:v>
                </c:pt>
                <c:pt idx="8">
                  <c:v>RMIT</c:v>
                </c:pt>
                <c:pt idx="9">
                  <c:v>Macquarie</c:v>
                </c:pt>
                <c:pt idx="10">
                  <c:v>Queensland</c:v>
                </c:pt>
                <c:pt idx="11">
                  <c:v>Sydney</c:v>
                </c:pt>
                <c:pt idx="12">
                  <c:v>Monash</c:v>
                </c:pt>
                <c:pt idx="13">
                  <c:v>New England</c:v>
                </c:pt>
                <c:pt idx="14">
                  <c:v>CSIRO</c:v>
                </c:pt>
              </c:strCache>
            </c:strRef>
          </c:cat>
          <c:val>
            <c:numRef>
              <c:f>'ProvApp&amp;PCT'!$B$1324:$B$1338</c:f>
              <c:numCache>
                <c:formatCode>General</c:formatCode>
                <c:ptCount val="15"/>
                <c:pt idx="0">
                  <c:v>5</c:v>
                </c:pt>
                <c:pt idx="1">
                  <c:v>11</c:v>
                </c:pt>
                <c:pt idx="2">
                  <c:v>0</c:v>
                </c:pt>
                <c:pt idx="3">
                  <c:v>10</c:v>
                </c:pt>
                <c:pt idx="4">
                  <c:v>4</c:v>
                </c:pt>
                <c:pt idx="5">
                  <c:v>36</c:v>
                </c:pt>
                <c:pt idx="6">
                  <c:v>15</c:v>
                </c:pt>
                <c:pt idx="7">
                  <c:v>24</c:v>
                </c:pt>
                <c:pt idx="8">
                  <c:v>12</c:v>
                </c:pt>
                <c:pt idx="9">
                  <c:v>13</c:v>
                </c:pt>
                <c:pt idx="10">
                  <c:v>24</c:v>
                </c:pt>
                <c:pt idx="11">
                  <c:v>21</c:v>
                </c:pt>
                <c:pt idx="12">
                  <c:v>33</c:v>
                </c:pt>
                <c:pt idx="13">
                  <c:v>31</c:v>
                </c:pt>
                <c:pt idx="14">
                  <c:v>61</c:v>
                </c:pt>
              </c:numCache>
            </c:numRef>
          </c:val>
        </c:ser>
        <c:ser>
          <c:idx val="1"/>
          <c:order val="1"/>
          <c:tx>
            <c:strRef>
              <c:f>'ProvApp&amp;PCT'!$C$1323</c:f>
              <c:strCache>
                <c:ptCount val="1"/>
                <c:pt idx="0">
                  <c:v>2015</c:v>
                </c:pt>
              </c:strCache>
            </c:strRef>
          </c:tx>
          <c:spPr>
            <a:solidFill>
              <a:schemeClr val="accent5"/>
            </a:solidFill>
            <a:ln>
              <a:noFill/>
            </a:ln>
            <a:effectLst/>
          </c:spPr>
          <c:invertIfNegative val="0"/>
          <c:cat>
            <c:strRef>
              <c:f>'ProvApp&amp;PCT'!$A$1324:$A$1338</c:f>
              <c:strCache>
                <c:ptCount val="15"/>
                <c:pt idx="0">
                  <c:v>QUT</c:v>
                </c:pt>
                <c:pt idx="1">
                  <c:v>Curtin</c:v>
                </c:pt>
                <c:pt idx="2">
                  <c:v>New South Wales</c:v>
                </c:pt>
                <c:pt idx="3">
                  <c:v>ANU</c:v>
                </c:pt>
                <c:pt idx="4">
                  <c:v>Adelaide</c:v>
                </c:pt>
                <c:pt idx="5">
                  <c:v>South Australia</c:v>
                </c:pt>
                <c:pt idx="6">
                  <c:v>Deakin</c:v>
                </c:pt>
                <c:pt idx="7">
                  <c:v>Melbourne</c:v>
                </c:pt>
                <c:pt idx="8">
                  <c:v>RMIT</c:v>
                </c:pt>
                <c:pt idx="9">
                  <c:v>Macquarie</c:v>
                </c:pt>
                <c:pt idx="10">
                  <c:v>Queensland</c:v>
                </c:pt>
                <c:pt idx="11">
                  <c:v>Sydney</c:v>
                </c:pt>
                <c:pt idx="12">
                  <c:v>Monash</c:v>
                </c:pt>
                <c:pt idx="13">
                  <c:v>New England</c:v>
                </c:pt>
                <c:pt idx="14">
                  <c:v>CSIRO</c:v>
                </c:pt>
              </c:strCache>
            </c:strRef>
          </c:cat>
          <c:val>
            <c:numRef>
              <c:f>'ProvApp&amp;PCT'!$C$1324:$C$1338</c:f>
              <c:numCache>
                <c:formatCode>General</c:formatCode>
                <c:ptCount val="15"/>
                <c:pt idx="0">
                  <c:v>6</c:v>
                </c:pt>
                <c:pt idx="1">
                  <c:v>5</c:v>
                </c:pt>
                <c:pt idx="2">
                  <c:v>2</c:v>
                </c:pt>
                <c:pt idx="3">
                  <c:v>12</c:v>
                </c:pt>
                <c:pt idx="4">
                  <c:v>12</c:v>
                </c:pt>
                <c:pt idx="5">
                  <c:v>25</c:v>
                </c:pt>
                <c:pt idx="6">
                  <c:v>10</c:v>
                </c:pt>
                <c:pt idx="7">
                  <c:v>17</c:v>
                </c:pt>
                <c:pt idx="8">
                  <c:v>17</c:v>
                </c:pt>
                <c:pt idx="9">
                  <c:v>10</c:v>
                </c:pt>
                <c:pt idx="10">
                  <c:v>41</c:v>
                </c:pt>
                <c:pt idx="11">
                  <c:v>44</c:v>
                </c:pt>
                <c:pt idx="12">
                  <c:v>47</c:v>
                </c:pt>
                <c:pt idx="13">
                  <c:v>32</c:v>
                </c:pt>
                <c:pt idx="14">
                  <c:v>66</c:v>
                </c:pt>
              </c:numCache>
            </c:numRef>
          </c:val>
        </c:ser>
        <c:ser>
          <c:idx val="2"/>
          <c:order val="2"/>
          <c:tx>
            <c:strRef>
              <c:f>'ProvApp&amp;PCT'!$D$1323</c:f>
              <c:strCache>
                <c:ptCount val="1"/>
                <c:pt idx="0">
                  <c:v>2016</c:v>
                </c:pt>
              </c:strCache>
            </c:strRef>
          </c:tx>
          <c:spPr>
            <a:solidFill>
              <a:schemeClr val="accent4"/>
            </a:solidFill>
            <a:ln>
              <a:noFill/>
            </a:ln>
            <a:effectLst/>
          </c:spPr>
          <c:invertIfNegative val="0"/>
          <c:cat>
            <c:strRef>
              <c:f>'ProvApp&amp;PCT'!$A$1324:$A$1338</c:f>
              <c:strCache>
                <c:ptCount val="15"/>
                <c:pt idx="0">
                  <c:v>QUT</c:v>
                </c:pt>
                <c:pt idx="1">
                  <c:v>Curtin</c:v>
                </c:pt>
                <c:pt idx="2">
                  <c:v>New South Wales</c:v>
                </c:pt>
                <c:pt idx="3">
                  <c:v>ANU</c:v>
                </c:pt>
                <c:pt idx="4">
                  <c:v>Adelaide</c:v>
                </c:pt>
                <c:pt idx="5">
                  <c:v>South Australia</c:v>
                </c:pt>
                <c:pt idx="6">
                  <c:v>Deakin</c:v>
                </c:pt>
                <c:pt idx="7">
                  <c:v>Melbourne</c:v>
                </c:pt>
                <c:pt idx="8">
                  <c:v>RMIT</c:v>
                </c:pt>
                <c:pt idx="9">
                  <c:v>Macquarie</c:v>
                </c:pt>
                <c:pt idx="10">
                  <c:v>Queensland</c:v>
                </c:pt>
                <c:pt idx="11">
                  <c:v>Sydney</c:v>
                </c:pt>
                <c:pt idx="12">
                  <c:v>Monash</c:v>
                </c:pt>
                <c:pt idx="13">
                  <c:v>New England</c:v>
                </c:pt>
                <c:pt idx="14">
                  <c:v>CSIRO</c:v>
                </c:pt>
              </c:strCache>
            </c:strRef>
          </c:cat>
          <c:val>
            <c:numRef>
              <c:f>'ProvApp&amp;PCT'!$D$1324:$D$1338</c:f>
              <c:numCache>
                <c:formatCode>General</c:formatCode>
                <c:ptCount val="15"/>
                <c:pt idx="0">
                  <c:v>8</c:v>
                </c:pt>
                <c:pt idx="1">
                  <c:v>9</c:v>
                </c:pt>
                <c:pt idx="2">
                  <c:v>9</c:v>
                </c:pt>
                <c:pt idx="3">
                  <c:v>12</c:v>
                </c:pt>
                <c:pt idx="4">
                  <c:v>13</c:v>
                </c:pt>
                <c:pt idx="5">
                  <c:v>14</c:v>
                </c:pt>
                <c:pt idx="6">
                  <c:v>15</c:v>
                </c:pt>
                <c:pt idx="7">
                  <c:v>15</c:v>
                </c:pt>
                <c:pt idx="8">
                  <c:v>15</c:v>
                </c:pt>
                <c:pt idx="9">
                  <c:v>20</c:v>
                </c:pt>
                <c:pt idx="10">
                  <c:v>32</c:v>
                </c:pt>
                <c:pt idx="11">
                  <c:v>32</c:v>
                </c:pt>
                <c:pt idx="12">
                  <c:v>41</c:v>
                </c:pt>
                <c:pt idx="13">
                  <c:v>50</c:v>
                </c:pt>
                <c:pt idx="14">
                  <c:v>68</c:v>
                </c:pt>
              </c:numCache>
            </c:numRef>
          </c:val>
        </c:ser>
        <c:dLbls>
          <c:showLegendKey val="0"/>
          <c:showVal val="0"/>
          <c:showCatName val="0"/>
          <c:showSerName val="0"/>
          <c:showPercent val="0"/>
          <c:showBubbleSize val="0"/>
        </c:dLbls>
        <c:gapWidth val="182"/>
        <c:axId val="447864240"/>
        <c:axId val="447861104"/>
      </c:barChart>
      <c:catAx>
        <c:axId val="4478642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mn-lt"/>
                <a:ea typeface="+mn-ea"/>
                <a:cs typeface="+mn-cs"/>
              </a:defRPr>
            </a:pPr>
            <a:endParaRPr lang="en-US"/>
          </a:p>
        </c:txPr>
        <c:crossAx val="447861104"/>
        <c:crosses val="autoZero"/>
        <c:auto val="1"/>
        <c:lblAlgn val="ctr"/>
        <c:lblOffset val="100"/>
        <c:noMultiLvlLbl val="0"/>
      </c:catAx>
      <c:valAx>
        <c:axId val="44786110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47864240"/>
        <c:crosses val="autoZero"/>
        <c:crossBetween val="between"/>
      </c:valAx>
      <c:spPr>
        <a:noFill/>
        <a:ln>
          <a:noFill/>
        </a:ln>
        <a:effectLst/>
      </c:spPr>
    </c:plotArea>
    <c:legend>
      <c:legendPos val="b"/>
      <c:layout>
        <c:manualLayout>
          <c:xMode val="edge"/>
          <c:yMode val="edge"/>
          <c:x val="0.41637332694028151"/>
          <c:y val="0.94453994463469493"/>
          <c:w val="0.33308249470092061"/>
          <c:h val="5.4146199274434433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r>
              <a:rPr lang="en-AU" sz="900" b="1" dirty="0" smtClean="0">
                <a:solidFill>
                  <a:sysClr val="windowText" lastClr="000000"/>
                </a:solidFill>
              </a:rPr>
              <a:t>Number of new PCT applications per surveyed organisations, 2014-2016</a:t>
            </a:r>
            <a:endParaRPr lang="en-AU" sz="900" b="1" dirty="0">
              <a:solidFill>
                <a:sysClr val="windowText" lastClr="000000"/>
              </a:solidFill>
            </a:endParaRPr>
          </a:p>
        </c:rich>
      </c:tx>
      <c:layout/>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23227602799650049"/>
          <c:y val="0.11447533646236425"/>
          <c:w val="0.72450174978127746"/>
          <c:h val="0.74332282087168777"/>
        </c:manualLayout>
      </c:layout>
      <c:barChart>
        <c:barDir val="bar"/>
        <c:grouping val="clustered"/>
        <c:varyColors val="0"/>
        <c:ser>
          <c:idx val="0"/>
          <c:order val="0"/>
          <c:tx>
            <c:strRef>
              <c:f>'ProvApp&amp;PCT'!$B$1235</c:f>
              <c:strCache>
                <c:ptCount val="1"/>
                <c:pt idx="0">
                  <c:v>2014</c:v>
                </c:pt>
              </c:strCache>
            </c:strRef>
          </c:tx>
          <c:spPr>
            <a:solidFill>
              <a:schemeClr val="accent6"/>
            </a:solidFill>
            <a:ln>
              <a:noFill/>
            </a:ln>
            <a:effectLst/>
          </c:spPr>
          <c:invertIfNegative val="0"/>
          <c:cat>
            <c:strRef>
              <c:f>'ProvApp&amp;PCT'!$A$1236:$A$1251</c:f>
              <c:strCache>
                <c:ptCount val="16"/>
                <c:pt idx="0">
                  <c:v>Griffith</c:v>
                </c:pt>
                <c:pt idx="1">
                  <c:v>Hudson</c:v>
                </c:pt>
                <c:pt idx="2">
                  <c:v>New South Wales</c:v>
                </c:pt>
                <c:pt idx="3">
                  <c:v>Macquarie</c:v>
                </c:pt>
                <c:pt idx="4">
                  <c:v>South Australia</c:v>
                </c:pt>
                <c:pt idx="5">
                  <c:v>Western Australia</c:v>
                </c:pt>
                <c:pt idx="6">
                  <c:v>Deakin</c:v>
                </c:pt>
                <c:pt idx="7">
                  <c:v>RMIT</c:v>
                </c:pt>
                <c:pt idx="8">
                  <c:v>Adelaide</c:v>
                </c:pt>
                <c:pt idx="9">
                  <c:v>ANU</c:v>
                </c:pt>
                <c:pt idx="10">
                  <c:v>Melbourne</c:v>
                </c:pt>
                <c:pt idx="11">
                  <c:v>New England</c:v>
                </c:pt>
                <c:pt idx="12">
                  <c:v>Queensland</c:v>
                </c:pt>
                <c:pt idx="13">
                  <c:v>Sydney</c:v>
                </c:pt>
                <c:pt idx="14">
                  <c:v>Monash</c:v>
                </c:pt>
                <c:pt idx="15">
                  <c:v>CSIRO</c:v>
                </c:pt>
              </c:strCache>
            </c:strRef>
          </c:cat>
          <c:val>
            <c:numRef>
              <c:f>'ProvApp&amp;PCT'!$B$1236:$B$1251</c:f>
              <c:numCache>
                <c:formatCode>General</c:formatCode>
                <c:ptCount val="16"/>
                <c:pt idx="0">
                  <c:v>5</c:v>
                </c:pt>
                <c:pt idx="1">
                  <c:v>3</c:v>
                </c:pt>
                <c:pt idx="2">
                  <c:v>4</c:v>
                </c:pt>
                <c:pt idx="3">
                  <c:v>2</c:v>
                </c:pt>
                <c:pt idx="4">
                  <c:v>15</c:v>
                </c:pt>
                <c:pt idx="5">
                  <c:v>3</c:v>
                </c:pt>
                <c:pt idx="6">
                  <c:v>5</c:v>
                </c:pt>
                <c:pt idx="7">
                  <c:v>4</c:v>
                </c:pt>
                <c:pt idx="8">
                  <c:v>9</c:v>
                </c:pt>
                <c:pt idx="9">
                  <c:v>2</c:v>
                </c:pt>
                <c:pt idx="10">
                  <c:v>23</c:v>
                </c:pt>
                <c:pt idx="11">
                  <c:v>19</c:v>
                </c:pt>
                <c:pt idx="12">
                  <c:v>27</c:v>
                </c:pt>
                <c:pt idx="13">
                  <c:v>31</c:v>
                </c:pt>
                <c:pt idx="14">
                  <c:v>20</c:v>
                </c:pt>
                <c:pt idx="15">
                  <c:v>43</c:v>
                </c:pt>
              </c:numCache>
            </c:numRef>
          </c:val>
        </c:ser>
        <c:ser>
          <c:idx val="1"/>
          <c:order val="1"/>
          <c:tx>
            <c:strRef>
              <c:f>'ProvApp&amp;PCT'!$C$1235</c:f>
              <c:strCache>
                <c:ptCount val="1"/>
                <c:pt idx="0">
                  <c:v>2015</c:v>
                </c:pt>
              </c:strCache>
            </c:strRef>
          </c:tx>
          <c:spPr>
            <a:solidFill>
              <a:schemeClr val="accent5"/>
            </a:solidFill>
            <a:ln>
              <a:noFill/>
            </a:ln>
            <a:effectLst/>
          </c:spPr>
          <c:invertIfNegative val="0"/>
          <c:cat>
            <c:strRef>
              <c:f>'ProvApp&amp;PCT'!$A$1236:$A$1251</c:f>
              <c:strCache>
                <c:ptCount val="16"/>
                <c:pt idx="0">
                  <c:v>Griffith</c:v>
                </c:pt>
                <c:pt idx="1">
                  <c:v>Hudson</c:v>
                </c:pt>
                <c:pt idx="2">
                  <c:v>New South Wales</c:v>
                </c:pt>
                <c:pt idx="3">
                  <c:v>Macquarie</c:v>
                </c:pt>
                <c:pt idx="4">
                  <c:v>South Australia</c:v>
                </c:pt>
                <c:pt idx="5">
                  <c:v>Western Australia</c:v>
                </c:pt>
                <c:pt idx="6">
                  <c:v>Deakin</c:v>
                </c:pt>
                <c:pt idx="7">
                  <c:v>RMIT</c:v>
                </c:pt>
                <c:pt idx="8">
                  <c:v>Adelaide</c:v>
                </c:pt>
                <c:pt idx="9">
                  <c:v>ANU</c:v>
                </c:pt>
                <c:pt idx="10">
                  <c:v>Melbourne</c:v>
                </c:pt>
                <c:pt idx="11">
                  <c:v>New England</c:v>
                </c:pt>
                <c:pt idx="12">
                  <c:v>Queensland</c:v>
                </c:pt>
                <c:pt idx="13">
                  <c:v>Sydney</c:v>
                </c:pt>
                <c:pt idx="14">
                  <c:v>Monash</c:v>
                </c:pt>
                <c:pt idx="15">
                  <c:v>CSIRO</c:v>
                </c:pt>
              </c:strCache>
            </c:strRef>
          </c:cat>
          <c:val>
            <c:numRef>
              <c:f>'ProvApp&amp;PCT'!$C$1236:$C$1251</c:f>
              <c:numCache>
                <c:formatCode>General</c:formatCode>
                <c:ptCount val="16"/>
                <c:pt idx="0">
                  <c:v>5</c:v>
                </c:pt>
                <c:pt idx="1">
                  <c:v>3</c:v>
                </c:pt>
                <c:pt idx="2">
                  <c:v>6</c:v>
                </c:pt>
                <c:pt idx="3">
                  <c:v>5</c:v>
                </c:pt>
                <c:pt idx="4">
                  <c:v>22</c:v>
                </c:pt>
                <c:pt idx="5">
                  <c:v>7</c:v>
                </c:pt>
                <c:pt idx="6">
                  <c:v>12</c:v>
                </c:pt>
                <c:pt idx="7">
                  <c:v>7</c:v>
                </c:pt>
                <c:pt idx="8">
                  <c:v>5</c:v>
                </c:pt>
                <c:pt idx="9">
                  <c:v>7</c:v>
                </c:pt>
                <c:pt idx="10">
                  <c:v>11</c:v>
                </c:pt>
                <c:pt idx="11">
                  <c:v>18</c:v>
                </c:pt>
                <c:pt idx="12">
                  <c:v>20</c:v>
                </c:pt>
                <c:pt idx="13">
                  <c:v>17</c:v>
                </c:pt>
                <c:pt idx="14">
                  <c:v>25</c:v>
                </c:pt>
                <c:pt idx="15">
                  <c:v>52</c:v>
                </c:pt>
              </c:numCache>
            </c:numRef>
          </c:val>
        </c:ser>
        <c:ser>
          <c:idx val="2"/>
          <c:order val="2"/>
          <c:tx>
            <c:strRef>
              <c:f>'ProvApp&amp;PCT'!$D$1235</c:f>
              <c:strCache>
                <c:ptCount val="1"/>
                <c:pt idx="0">
                  <c:v>2016</c:v>
                </c:pt>
              </c:strCache>
            </c:strRef>
          </c:tx>
          <c:spPr>
            <a:solidFill>
              <a:schemeClr val="accent4"/>
            </a:solidFill>
            <a:ln>
              <a:noFill/>
            </a:ln>
            <a:effectLst/>
          </c:spPr>
          <c:invertIfNegative val="0"/>
          <c:cat>
            <c:strRef>
              <c:f>'ProvApp&amp;PCT'!$A$1236:$A$1251</c:f>
              <c:strCache>
                <c:ptCount val="16"/>
                <c:pt idx="0">
                  <c:v>Griffith</c:v>
                </c:pt>
                <c:pt idx="1">
                  <c:v>Hudson</c:v>
                </c:pt>
                <c:pt idx="2">
                  <c:v>New South Wales</c:v>
                </c:pt>
                <c:pt idx="3">
                  <c:v>Macquarie</c:v>
                </c:pt>
                <c:pt idx="4">
                  <c:v>South Australia</c:v>
                </c:pt>
                <c:pt idx="5">
                  <c:v>Western Australia</c:v>
                </c:pt>
                <c:pt idx="6">
                  <c:v>Deakin</c:v>
                </c:pt>
                <c:pt idx="7">
                  <c:v>RMIT</c:v>
                </c:pt>
                <c:pt idx="8">
                  <c:v>Adelaide</c:v>
                </c:pt>
                <c:pt idx="9">
                  <c:v>ANU</c:v>
                </c:pt>
                <c:pt idx="10">
                  <c:v>Melbourne</c:v>
                </c:pt>
                <c:pt idx="11">
                  <c:v>New England</c:v>
                </c:pt>
                <c:pt idx="12">
                  <c:v>Queensland</c:v>
                </c:pt>
                <c:pt idx="13">
                  <c:v>Sydney</c:v>
                </c:pt>
                <c:pt idx="14">
                  <c:v>Monash</c:v>
                </c:pt>
                <c:pt idx="15">
                  <c:v>CSIRO</c:v>
                </c:pt>
              </c:strCache>
            </c:strRef>
          </c:cat>
          <c:val>
            <c:numRef>
              <c:f>'ProvApp&amp;PCT'!$D$1236:$D$1251</c:f>
              <c:numCache>
                <c:formatCode>General</c:formatCode>
                <c:ptCount val="16"/>
                <c:pt idx="0">
                  <c:v>5</c:v>
                </c:pt>
                <c:pt idx="1">
                  <c:v>5</c:v>
                </c:pt>
                <c:pt idx="2">
                  <c:v>5</c:v>
                </c:pt>
                <c:pt idx="3">
                  <c:v>7</c:v>
                </c:pt>
                <c:pt idx="4">
                  <c:v>8</c:v>
                </c:pt>
                <c:pt idx="5">
                  <c:v>8</c:v>
                </c:pt>
                <c:pt idx="6">
                  <c:v>9</c:v>
                </c:pt>
                <c:pt idx="7">
                  <c:v>9</c:v>
                </c:pt>
                <c:pt idx="8">
                  <c:v>11</c:v>
                </c:pt>
                <c:pt idx="9">
                  <c:v>12</c:v>
                </c:pt>
                <c:pt idx="10">
                  <c:v>12</c:v>
                </c:pt>
                <c:pt idx="11">
                  <c:v>24</c:v>
                </c:pt>
                <c:pt idx="12">
                  <c:v>27</c:v>
                </c:pt>
                <c:pt idx="13">
                  <c:v>31</c:v>
                </c:pt>
                <c:pt idx="14">
                  <c:v>34</c:v>
                </c:pt>
                <c:pt idx="15">
                  <c:v>50</c:v>
                </c:pt>
              </c:numCache>
            </c:numRef>
          </c:val>
        </c:ser>
        <c:dLbls>
          <c:showLegendKey val="0"/>
          <c:showVal val="0"/>
          <c:showCatName val="0"/>
          <c:showSerName val="0"/>
          <c:showPercent val="0"/>
          <c:showBubbleSize val="0"/>
        </c:dLbls>
        <c:gapWidth val="182"/>
        <c:axId val="447861888"/>
        <c:axId val="447862280"/>
      </c:barChart>
      <c:catAx>
        <c:axId val="4478618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mn-lt"/>
                <a:ea typeface="+mn-ea"/>
                <a:cs typeface="+mn-cs"/>
              </a:defRPr>
            </a:pPr>
            <a:endParaRPr lang="en-US"/>
          </a:p>
        </c:txPr>
        <c:crossAx val="447862280"/>
        <c:crosses val="autoZero"/>
        <c:auto val="1"/>
        <c:lblAlgn val="ctr"/>
        <c:lblOffset val="100"/>
        <c:noMultiLvlLbl val="0"/>
      </c:catAx>
      <c:valAx>
        <c:axId val="4478622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7861888"/>
        <c:crosses val="autoZero"/>
        <c:crossBetween val="between"/>
      </c:valAx>
      <c:spPr>
        <a:noFill/>
        <a:ln>
          <a:noFill/>
        </a:ln>
        <a:effectLst/>
      </c:spPr>
    </c:plotArea>
    <c:legend>
      <c:legendPos val="b"/>
      <c:layout>
        <c:manualLayout>
          <c:xMode val="edge"/>
          <c:yMode val="edge"/>
          <c:x val="0.34576453478297753"/>
          <c:y val="0.92568022902047453"/>
          <c:w val="0.37839682697122262"/>
          <c:h val="5.2083710528752443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900" b="1" dirty="0" smtClean="0">
                <a:solidFill>
                  <a:sysClr val="windowText" lastClr="000000"/>
                </a:solidFill>
                <a:latin typeface="Arial" panose="020B0604020202020204" pitchFamily="34" charset="0"/>
                <a:cs typeface="Arial" panose="020B0604020202020204" pitchFamily="34" charset="0"/>
              </a:rPr>
              <a:t>Average value of Consultancies</a:t>
            </a:r>
            <a:r>
              <a:rPr lang="en-US" sz="900" b="1" dirty="0">
                <a:solidFill>
                  <a:sysClr val="windowText" lastClr="000000"/>
                </a:solidFill>
                <a:latin typeface="Arial" panose="020B0604020202020204" pitchFamily="34" charset="0"/>
                <a:cs typeface="Arial" panose="020B0604020202020204" pitchFamily="34" charset="0"/>
              </a:rPr>
              <a:t>, Contracts and Collaborations </a:t>
            </a:r>
            <a:r>
              <a:rPr lang="en-US" sz="900" b="1" dirty="0" smtClean="0">
                <a:solidFill>
                  <a:sysClr val="windowText" lastClr="000000"/>
                </a:solidFill>
                <a:latin typeface="Arial" panose="020B0604020202020204" pitchFamily="34" charset="0"/>
                <a:cs typeface="Arial" panose="020B0604020202020204" pitchFamily="34" charset="0"/>
              </a:rPr>
              <a:t>by surveyed organisations, 2004–2016</a:t>
            </a:r>
            <a:endParaRPr lang="en-US" sz="900" b="1" dirty="0">
              <a:solidFill>
                <a:sysClr val="windowText" lastClr="000000"/>
              </a:solidFill>
              <a:latin typeface="Arial" panose="020B0604020202020204" pitchFamily="34" charset="0"/>
              <a:cs typeface="Arial" panose="020B0604020202020204" pitchFamily="34" charset="0"/>
            </a:endParaRPr>
          </a:p>
        </c:rich>
      </c:tx>
      <c:layout>
        <c:manualLayout>
          <c:xMode val="edge"/>
          <c:yMode val="edge"/>
          <c:x val="0.15670485739951701"/>
          <c:y val="2.70139852829996E-2"/>
        </c:manualLayout>
      </c:layout>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2081732619374901"/>
          <c:y val="0.174139162870107"/>
          <c:w val="0.84516463166769595"/>
          <c:h val="0.62649822312034009"/>
        </c:manualLayout>
      </c:layout>
      <c:lineChart>
        <c:grouping val="standard"/>
        <c:varyColors val="0"/>
        <c:ser>
          <c:idx val="0"/>
          <c:order val="0"/>
          <c:tx>
            <c:strRef>
              <c:f>'4. CR - CCC-Value'!$C$1295</c:f>
              <c:strCache>
                <c:ptCount val="1"/>
                <c:pt idx="0">
                  <c:v>Total Value of Consultancies, Contracts and Collaborations ($ Millions in 2016 Prices)</c:v>
                </c:pt>
              </c:strCache>
            </c:strRef>
          </c:tx>
          <c:spPr>
            <a:ln w="28575" cap="rnd">
              <a:solidFill>
                <a:schemeClr val="accent6"/>
              </a:solidFill>
              <a:round/>
            </a:ln>
            <a:effectLst/>
          </c:spPr>
          <c:marker>
            <c:symbol val="circle"/>
            <c:size val="6"/>
            <c:spPr>
              <a:solidFill>
                <a:schemeClr val="accent6"/>
              </a:solidFill>
              <a:ln w="9525">
                <a:solidFill>
                  <a:schemeClr val="accent6"/>
                </a:solidFill>
              </a:ln>
              <a:effectLst/>
            </c:spPr>
          </c:marker>
          <c:trendline>
            <c:spPr>
              <a:ln w="19050" cap="rnd">
                <a:solidFill>
                  <a:schemeClr val="accent6"/>
                </a:solidFill>
                <a:prstDash val="sysDot"/>
              </a:ln>
              <a:effectLst/>
            </c:spPr>
            <c:trendlineType val="linear"/>
            <c:dispRSqr val="0"/>
            <c:dispEq val="0"/>
          </c:trendline>
          <c:cat>
            <c:numRef>
              <c:f>'4. CR - CCC-Value'!$B$1296:$B$1308</c:f>
              <c:numCache>
                <c:formatCode>General</c:formatCode>
                <c:ptCount val="13"/>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numCache>
            </c:numRef>
          </c:cat>
          <c:val>
            <c:numRef>
              <c:f>'4. CR - CCC-Value'!$C$1296:$C$1308</c:f>
              <c:numCache>
                <c:formatCode>0.0</c:formatCode>
                <c:ptCount val="13"/>
                <c:pt idx="0">
                  <c:v>17.68074036088154</c:v>
                </c:pt>
                <c:pt idx="1">
                  <c:v>13.9768001992032</c:v>
                </c:pt>
                <c:pt idx="2">
                  <c:v>13.749403207070699</c:v>
                </c:pt>
                <c:pt idx="3">
                  <c:v>15.016983750902529</c:v>
                </c:pt>
                <c:pt idx="4">
                  <c:v>18.5354815037477</c:v>
                </c:pt>
                <c:pt idx="5">
                  <c:v>18.142239023678279</c:v>
                </c:pt>
                <c:pt idx="6">
                  <c:v>21.92408957445528</c:v>
                </c:pt>
                <c:pt idx="7">
                  <c:v>20.315575704638128</c:v>
                </c:pt>
                <c:pt idx="8">
                  <c:v>21.10553390056721</c:v>
                </c:pt>
                <c:pt idx="9">
                  <c:v>23.925814170006689</c:v>
                </c:pt>
                <c:pt idx="10">
                  <c:v>28.304902832780829</c:v>
                </c:pt>
                <c:pt idx="11">
                  <c:v>26.877962906527969</c:v>
                </c:pt>
                <c:pt idx="12">
                  <c:v>30.273858518095249</c:v>
                </c:pt>
              </c:numCache>
            </c:numRef>
          </c:val>
          <c:smooth val="0"/>
        </c:ser>
        <c:dLbls>
          <c:showLegendKey val="0"/>
          <c:showVal val="0"/>
          <c:showCatName val="0"/>
          <c:showSerName val="0"/>
          <c:showPercent val="0"/>
          <c:showBubbleSize val="0"/>
        </c:dLbls>
        <c:marker val="1"/>
        <c:smooth val="0"/>
        <c:axId val="447863456"/>
        <c:axId val="447865024"/>
      </c:lineChart>
      <c:catAx>
        <c:axId val="447863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crossAx val="447865024"/>
        <c:crosses val="autoZero"/>
        <c:auto val="1"/>
        <c:lblAlgn val="ctr"/>
        <c:lblOffset val="100"/>
        <c:noMultiLvlLbl val="0"/>
      </c:catAx>
      <c:valAx>
        <c:axId val="4478650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r>
                  <a:rPr lang="en-US" sz="800" b="0" dirty="0">
                    <a:solidFill>
                      <a:sysClr val="windowText" lastClr="000000"/>
                    </a:solidFill>
                  </a:rPr>
                  <a:t>Average value</a:t>
                </a:r>
                <a:r>
                  <a:rPr lang="en-US" sz="800" b="0" baseline="0" dirty="0">
                    <a:solidFill>
                      <a:sysClr val="windowText" lastClr="000000"/>
                    </a:solidFill>
                  </a:rPr>
                  <a:t> </a:t>
                </a:r>
                <a:r>
                  <a:rPr lang="en-US" sz="800" b="0" dirty="0">
                    <a:solidFill>
                      <a:sysClr val="windowText" lastClr="000000"/>
                    </a:solidFill>
                  </a:rPr>
                  <a:t>per </a:t>
                </a:r>
                <a:r>
                  <a:rPr lang="en-US" sz="800" b="0" dirty="0" err="1" smtClean="0">
                    <a:solidFill>
                      <a:sysClr val="windowText" lastClr="000000"/>
                    </a:solidFill>
                  </a:rPr>
                  <a:t>organisation</a:t>
                </a:r>
                <a:r>
                  <a:rPr lang="en-US" sz="800" b="0" dirty="0" smtClean="0">
                    <a:solidFill>
                      <a:sysClr val="windowText" lastClr="000000"/>
                    </a:solidFill>
                  </a:rPr>
                  <a:t>*</a:t>
                </a:r>
                <a:endParaRPr lang="en-US" sz="800" b="0" dirty="0">
                  <a:solidFill>
                    <a:sysClr val="windowText" lastClr="000000"/>
                  </a:solidFill>
                </a:endParaRPr>
              </a:p>
            </c:rich>
          </c:tx>
          <c:layout>
            <c:manualLayout>
              <c:xMode val="edge"/>
              <c:yMode val="edge"/>
              <c:x val="2.0395071993890401E-2"/>
              <c:y val="0.197859960004444"/>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4786345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AU" sz="900" b="1" dirty="0" smtClean="0">
                <a:solidFill>
                  <a:sysClr val="windowText" lastClr="000000"/>
                </a:solidFill>
                <a:latin typeface="Arial" panose="020B0604020202020204" pitchFamily="34" charset="0"/>
                <a:cs typeface="Arial" panose="020B0604020202020204" pitchFamily="34" charset="0"/>
              </a:rPr>
              <a:t>Value of Consultancies, Contracts</a:t>
            </a:r>
            <a:r>
              <a:rPr lang="en-AU" sz="900" b="1" baseline="0" dirty="0" smtClean="0">
                <a:solidFill>
                  <a:sysClr val="windowText" lastClr="000000"/>
                </a:solidFill>
                <a:latin typeface="Arial" panose="020B0604020202020204" pitchFamily="34" charset="0"/>
                <a:cs typeface="Arial" panose="020B0604020202020204" pitchFamily="34" charset="0"/>
              </a:rPr>
              <a:t> and Collaborations per surveyed organisations, 2014-2016</a:t>
            </a:r>
            <a:endParaRPr lang="en-AU" sz="900" b="1" dirty="0">
              <a:solidFill>
                <a:sysClr val="windowText" lastClr="000000"/>
              </a:solidFill>
              <a:latin typeface="Arial" panose="020B0604020202020204" pitchFamily="34" charset="0"/>
              <a:cs typeface="Arial" panose="020B0604020202020204" pitchFamily="34" charset="0"/>
            </a:endParaRPr>
          </a:p>
        </c:rich>
      </c:tx>
      <c:layout>
        <c:manualLayout>
          <c:xMode val="edge"/>
          <c:yMode val="edge"/>
          <c:x val="0.16357740415332001"/>
          <c:y val="2.3682652457075199E-2"/>
        </c:manualLayout>
      </c:layout>
      <c:overlay val="0"/>
      <c:spPr>
        <a:noFill/>
        <a:ln>
          <a:no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26736541744794795"/>
          <c:y val="9.2972305655133702E-2"/>
          <c:w val="0.67864398286811667"/>
          <c:h val="0.7768441936382583"/>
        </c:manualLayout>
      </c:layout>
      <c:barChart>
        <c:barDir val="bar"/>
        <c:grouping val="clustered"/>
        <c:varyColors val="0"/>
        <c:ser>
          <c:idx val="0"/>
          <c:order val="0"/>
          <c:tx>
            <c:strRef>
              <c:f>'4. CR - CCC-Value'!$D$1464</c:f>
              <c:strCache>
                <c:ptCount val="1"/>
                <c:pt idx="0">
                  <c:v>2014</c:v>
                </c:pt>
              </c:strCache>
            </c:strRef>
          </c:tx>
          <c:spPr>
            <a:solidFill>
              <a:schemeClr val="accent6"/>
            </a:solidFill>
            <a:ln>
              <a:noFill/>
            </a:ln>
            <a:effectLst/>
          </c:spPr>
          <c:invertIfNegative val="0"/>
          <c:cat>
            <c:strRef>
              <c:f>'4. CR - CCC-Value'!$C$1465:$C$1484</c:f>
              <c:strCache>
                <c:ptCount val="20"/>
                <c:pt idx="0">
                  <c:v>Yearly Average</c:v>
                </c:pt>
                <c:pt idx="1">
                  <c:v>CSU</c:v>
                </c:pt>
                <c:pt idx="2">
                  <c:v>Tasmania</c:v>
                </c:pt>
                <c:pt idx="3">
                  <c:v>Burnet</c:v>
                </c:pt>
                <c:pt idx="4">
                  <c:v>South Australia</c:v>
                </c:pt>
                <c:pt idx="5">
                  <c:v>Hudson</c:v>
                </c:pt>
                <c:pt idx="6">
                  <c:v>Griffith</c:v>
                </c:pt>
                <c:pt idx="7">
                  <c:v>Deakin</c:v>
                </c:pt>
                <c:pt idx="8">
                  <c:v>QUT</c:v>
                </c:pt>
                <c:pt idx="9">
                  <c:v>MCRI</c:v>
                </c:pt>
                <c:pt idx="10">
                  <c:v>Curtin</c:v>
                </c:pt>
                <c:pt idx="11">
                  <c:v>New South Wales</c:v>
                </c:pt>
                <c:pt idx="12">
                  <c:v>Melbourne</c:v>
                </c:pt>
                <c:pt idx="13">
                  <c:v>ANU</c:v>
                </c:pt>
                <c:pt idx="14">
                  <c:v>Adelaide</c:v>
                </c:pt>
                <c:pt idx="15">
                  <c:v>La Trobe</c:v>
                </c:pt>
                <c:pt idx="16">
                  <c:v>Sydney</c:v>
                </c:pt>
                <c:pt idx="17">
                  <c:v>Monash</c:v>
                </c:pt>
                <c:pt idx="18">
                  <c:v>Queensland</c:v>
                </c:pt>
                <c:pt idx="19">
                  <c:v>CSIRO</c:v>
                </c:pt>
              </c:strCache>
            </c:strRef>
          </c:cat>
          <c:val>
            <c:numRef>
              <c:f>'4. CR - CCC-Value'!$D$1465:$D$1484</c:f>
              <c:numCache>
                <c:formatCode>0.0</c:formatCode>
                <c:ptCount val="20"/>
                <c:pt idx="0">
                  <c:v>28.302947761379581</c:v>
                </c:pt>
                <c:pt idx="1">
                  <c:v>57.168577075098817</c:v>
                </c:pt>
                <c:pt idx="2">
                  <c:v>27.027387351778657</c:v>
                </c:pt>
                <c:pt idx="3">
                  <c:v>5.1883922924901187</c:v>
                </c:pt>
                <c:pt idx="4">
                  <c:v>31.866733201581024</c:v>
                </c:pt>
                <c:pt idx="5">
                  <c:v>30.355034584980238</c:v>
                </c:pt>
                <c:pt idx="6">
                  <c:v>13.878212450592887</c:v>
                </c:pt>
                <c:pt idx="7">
                  <c:v>17.737154150197629</c:v>
                </c:pt>
                <c:pt idx="8">
                  <c:v>48.025904347826085</c:v>
                </c:pt>
                <c:pt idx="9">
                  <c:v>8.2213438735177853</c:v>
                </c:pt>
                <c:pt idx="10">
                  <c:v>91.575249999999997</c:v>
                </c:pt>
                <c:pt idx="11">
                  <c:v>48.585829051383399</c:v>
                </c:pt>
                <c:pt idx="12">
                  <c:v>67.169361660079048</c:v>
                </c:pt>
                <c:pt idx="13">
                  <c:v>44.183937747035571</c:v>
                </c:pt>
                <c:pt idx="14">
                  <c:v>82.844353754940713</c:v>
                </c:pt>
                <c:pt idx="15">
                  <c:v>10.296145256916995</c:v>
                </c:pt>
                <c:pt idx="16">
                  <c:v>39.775447628458494</c:v>
                </c:pt>
                <c:pt idx="17">
                  <c:v>256.48611561264818</c:v>
                </c:pt>
                <c:pt idx="18">
                  <c:v>215.51258794466401</c:v>
                </c:pt>
                <c:pt idx="19">
                  <c:v>345.18208893280632</c:v>
                </c:pt>
              </c:numCache>
            </c:numRef>
          </c:val>
        </c:ser>
        <c:ser>
          <c:idx val="1"/>
          <c:order val="1"/>
          <c:tx>
            <c:strRef>
              <c:f>'4. CR - CCC-Value'!$E$1464</c:f>
              <c:strCache>
                <c:ptCount val="1"/>
                <c:pt idx="0">
                  <c:v>2015</c:v>
                </c:pt>
              </c:strCache>
            </c:strRef>
          </c:tx>
          <c:spPr>
            <a:solidFill>
              <a:schemeClr val="accent5"/>
            </a:solidFill>
            <a:ln>
              <a:noFill/>
            </a:ln>
            <a:effectLst/>
          </c:spPr>
          <c:invertIfNegative val="0"/>
          <c:cat>
            <c:strRef>
              <c:f>'4. CR - CCC-Value'!$C$1465:$C$1484</c:f>
              <c:strCache>
                <c:ptCount val="20"/>
                <c:pt idx="0">
                  <c:v>Yearly Average</c:v>
                </c:pt>
                <c:pt idx="1">
                  <c:v>CSU</c:v>
                </c:pt>
                <c:pt idx="2">
                  <c:v>Tasmania</c:v>
                </c:pt>
                <c:pt idx="3">
                  <c:v>Burnet</c:v>
                </c:pt>
                <c:pt idx="4">
                  <c:v>South Australia</c:v>
                </c:pt>
                <c:pt idx="5">
                  <c:v>Hudson</c:v>
                </c:pt>
                <c:pt idx="6">
                  <c:v>Griffith</c:v>
                </c:pt>
                <c:pt idx="7">
                  <c:v>Deakin</c:v>
                </c:pt>
                <c:pt idx="8">
                  <c:v>QUT</c:v>
                </c:pt>
                <c:pt idx="9">
                  <c:v>MCRI</c:v>
                </c:pt>
                <c:pt idx="10">
                  <c:v>Curtin</c:v>
                </c:pt>
                <c:pt idx="11">
                  <c:v>New South Wales</c:v>
                </c:pt>
                <c:pt idx="12">
                  <c:v>Melbourne</c:v>
                </c:pt>
                <c:pt idx="13">
                  <c:v>ANU</c:v>
                </c:pt>
                <c:pt idx="14">
                  <c:v>Adelaide</c:v>
                </c:pt>
                <c:pt idx="15">
                  <c:v>La Trobe</c:v>
                </c:pt>
                <c:pt idx="16">
                  <c:v>Sydney</c:v>
                </c:pt>
                <c:pt idx="17">
                  <c:v>Monash</c:v>
                </c:pt>
                <c:pt idx="18">
                  <c:v>Queensland</c:v>
                </c:pt>
                <c:pt idx="19">
                  <c:v>CSIRO</c:v>
                </c:pt>
              </c:strCache>
            </c:strRef>
          </c:cat>
          <c:val>
            <c:numRef>
              <c:f>'4. CR - CCC-Value'!$E$1465:$E$1484</c:f>
              <c:numCache>
                <c:formatCode>0.0</c:formatCode>
                <c:ptCount val="20"/>
                <c:pt idx="0">
                  <c:v>26.877962906527966</c:v>
                </c:pt>
                <c:pt idx="1">
                  <c:v>9.0469402985074634</c:v>
                </c:pt>
                <c:pt idx="2">
                  <c:v>15.153214925373133</c:v>
                </c:pt>
                <c:pt idx="3">
                  <c:v>23.705775124378111</c:v>
                </c:pt>
                <c:pt idx="4">
                  <c:v>38.938282587064677</c:v>
                </c:pt>
                <c:pt idx="5">
                  <c:v>31.636525373134326</c:v>
                </c:pt>
                <c:pt idx="6">
                  <c:v>15.556635820895524</c:v>
                </c:pt>
                <c:pt idx="7">
                  <c:v>15.413806208955222</c:v>
                </c:pt>
                <c:pt idx="8">
                  <c:v>55.2386352238806</c:v>
                </c:pt>
                <c:pt idx="9">
                  <c:v>31.926008955223882</c:v>
                </c:pt>
                <c:pt idx="10">
                  <c:v>66.77114577114429</c:v>
                </c:pt>
                <c:pt idx="11">
                  <c:v>49.935051741293535</c:v>
                </c:pt>
                <c:pt idx="12">
                  <c:v>58.185595024875624</c:v>
                </c:pt>
                <c:pt idx="13">
                  <c:v>44.303789054726366</c:v>
                </c:pt>
                <c:pt idx="14">
                  <c:v>83.327150248756212</c:v>
                </c:pt>
                <c:pt idx="15">
                  <c:v>29.728709452736318</c:v>
                </c:pt>
                <c:pt idx="16">
                  <c:v>74.261804975124377</c:v>
                </c:pt>
                <c:pt idx="17">
                  <c:v>132.32880995024877</c:v>
                </c:pt>
                <c:pt idx="18">
                  <c:v>244.41702288557212</c:v>
                </c:pt>
                <c:pt idx="19">
                  <c:v>400.85692238805967</c:v>
                </c:pt>
              </c:numCache>
            </c:numRef>
          </c:val>
        </c:ser>
        <c:ser>
          <c:idx val="2"/>
          <c:order val="2"/>
          <c:tx>
            <c:strRef>
              <c:f>'4. CR - CCC-Value'!$F$1464</c:f>
              <c:strCache>
                <c:ptCount val="1"/>
                <c:pt idx="0">
                  <c:v>2016</c:v>
                </c:pt>
              </c:strCache>
            </c:strRef>
          </c:tx>
          <c:spPr>
            <a:solidFill>
              <a:schemeClr val="accent4"/>
            </a:solidFill>
            <a:ln>
              <a:noFill/>
            </a:ln>
            <a:effectLst/>
          </c:spPr>
          <c:invertIfNegative val="0"/>
          <c:cat>
            <c:strRef>
              <c:f>'4. CR - CCC-Value'!$C$1465:$C$1484</c:f>
              <c:strCache>
                <c:ptCount val="20"/>
                <c:pt idx="0">
                  <c:v>Yearly Average</c:v>
                </c:pt>
                <c:pt idx="1">
                  <c:v>CSU</c:v>
                </c:pt>
                <c:pt idx="2">
                  <c:v>Tasmania</c:v>
                </c:pt>
                <c:pt idx="3">
                  <c:v>Burnet</c:v>
                </c:pt>
                <c:pt idx="4">
                  <c:v>South Australia</c:v>
                </c:pt>
                <c:pt idx="5">
                  <c:v>Hudson</c:v>
                </c:pt>
                <c:pt idx="6">
                  <c:v>Griffith</c:v>
                </c:pt>
                <c:pt idx="7">
                  <c:v>Deakin</c:v>
                </c:pt>
                <c:pt idx="8">
                  <c:v>QUT</c:v>
                </c:pt>
                <c:pt idx="9">
                  <c:v>MCRI</c:v>
                </c:pt>
                <c:pt idx="10">
                  <c:v>Curtin</c:v>
                </c:pt>
                <c:pt idx="11">
                  <c:v>New South Wales</c:v>
                </c:pt>
                <c:pt idx="12">
                  <c:v>Melbourne</c:v>
                </c:pt>
                <c:pt idx="13">
                  <c:v>ANU</c:v>
                </c:pt>
                <c:pt idx="14">
                  <c:v>Adelaide</c:v>
                </c:pt>
                <c:pt idx="15">
                  <c:v>La Trobe</c:v>
                </c:pt>
                <c:pt idx="16">
                  <c:v>Sydney</c:v>
                </c:pt>
                <c:pt idx="17">
                  <c:v>Monash</c:v>
                </c:pt>
                <c:pt idx="18">
                  <c:v>Queensland</c:v>
                </c:pt>
                <c:pt idx="19">
                  <c:v>CSIRO</c:v>
                </c:pt>
              </c:strCache>
            </c:strRef>
          </c:cat>
          <c:val>
            <c:numRef>
              <c:f>'4. CR - CCC-Value'!$F$1465:$F$1484</c:f>
              <c:numCache>
                <c:formatCode>0.0</c:formatCode>
                <c:ptCount val="20"/>
                <c:pt idx="0">
                  <c:v>30.273858518095249</c:v>
                </c:pt>
                <c:pt idx="1">
                  <c:v>10.306094</c:v>
                </c:pt>
                <c:pt idx="2">
                  <c:v>31.408102</c:v>
                </c:pt>
                <c:pt idx="3">
                  <c:v>32.482323999999998</c:v>
                </c:pt>
                <c:pt idx="4">
                  <c:v>32.941291</c:v>
                </c:pt>
                <c:pt idx="5">
                  <c:v>33.134999999999998</c:v>
                </c:pt>
                <c:pt idx="6">
                  <c:v>41.456274000000001</c:v>
                </c:pt>
                <c:pt idx="7">
                  <c:v>42.649355999999997</c:v>
                </c:pt>
                <c:pt idx="8">
                  <c:v>44.132036999999997</c:v>
                </c:pt>
                <c:pt idx="9">
                  <c:v>55.3</c:v>
                </c:pt>
                <c:pt idx="10">
                  <c:v>55.747939000000002</c:v>
                </c:pt>
                <c:pt idx="11">
                  <c:v>58.114471000000002</c:v>
                </c:pt>
                <c:pt idx="12">
                  <c:v>61.887073999999998</c:v>
                </c:pt>
                <c:pt idx="13">
                  <c:v>61.957897000000003</c:v>
                </c:pt>
                <c:pt idx="14">
                  <c:v>83.993281999999994</c:v>
                </c:pt>
                <c:pt idx="15">
                  <c:v>101.134474</c:v>
                </c:pt>
                <c:pt idx="16">
                  <c:v>102.832148</c:v>
                </c:pt>
                <c:pt idx="17">
                  <c:v>138.86487</c:v>
                </c:pt>
                <c:pt idx="18">
                  <c:v>185.19625500000001</c:v>
                </c:pt>
                <c:pt idx="19">
                  <c:v>426.07161600000001</c:v>
                </c:pt>
              </c:numCache>
            </c:numRef>
          </c:val>
        </c:ser>
        <c:dLbls>
          <c:showLegendKey val="0"/>
          <c:showVal val="0"/>
          <c:showCatName val="0"/>
          <c:showSerName val="0"/>
          <c:showPercent val="0"/>
          <c:showBubbleSize val="0"/>
        </c:dLbls>
        <c:gapWidth val="182"/>
        <c:axId val="454642968"/>
        <c:axId val="454642576"/>
      </c:barChart>
      <c:catAx>
        <c:axId val="4546429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mn-lt"/>
                <a:ea typeface="+mn-ea"/>
                <a:cs typeface="+mn-cs"/>
              </a:defRPr>
            </a:pPr>
            <a:endParaRPr lang="en-US"/>
          </a:p>
        </c:txPr>
        <c:crossAx val="454642576"/>
        <c:crosses val="autoZero"/>
        <c:auto val="1"/>
        <c:lblAlgn val="ctr"/>
        <c:lblOffset val="100"/>
        <c:noMultiLvlLbl val="0"/>
      </c:catAx>
      <c:valAx>
        <c:axId val="45464257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54642968"/>
        <c:crosses val="autoZero"/>
        <c:crossBetween val="between"/>
      </c:valAx>
      <c:spPr>
        <a:noFill/>
        <a:ln>
          <a:noFill/>
        </a:ln>
        <a:effectLst/>
      </c:spPr>
    </c:plotArea>
    <c:legend>
      <c:legendPos val="b"/>
      <c:layout>
        <c:manualLayout>
          <c:xMode val="edge"/>
          <c:yMode val="edge"/>
          <c:x val="0.45435397861357374"/>
          <c:y val="0.94193140264246633"/>
          <c:w val="0.360342895392463"/>
          <c:h val="4.0614002672048698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900" b="1" dirty="0" smtClean="0">
                <a:solidFill>
                  <a:sysClr val="windowText" lastClr="000000"/>
                </a:solidFill>
                <a:latin typeface="Arial" panose="020B0604020202020204" pitchFamily="34" charset="0"/>
                <a:cs typeface="Arial" panose="020B0604020202020204" pitchFamily="34" charset="0"/>
              </a:rPr>
              <a:t>Average R&amp;D expenditure by surveyed organisations,</a:t>
            </a:r>
            <a:r>
              <a:rPr lang="en-AU" sz="900" b="1" baseline="0" dirty="0" smtClean="0">
                <a:solidFill>
                  <a:sysClr val="windowText" lastClr="000000"/>
                </a:solidFill>
                <a:latin typeface="Arial" panose="020B0604020202020204" pitchFamily="34" charset="0"/>
                <a:cs typeface="Arial" panose="020B0604020202020204" pitchFamily="34" charset="0"/>
              </a:rPr>
              <a:t> </a:t>
            </a:r>
          </a:p>
          <a:p>
            <a:pPr>
              <a:defRPr sz="900" b="1">
                <a:solidFill>
                  <a:sysClr val="windowText" lastClr="000000"/>
                </a:solidFill>
                <a:latin typeface="Arial" panose="020B0604020202020204" pitchFamily="34" charset="0"/>
                <a:cs typeface="Arial" panose="020B0604020202020204" pitchFamily="34" charset="0"/>
              </a:defRPr>
            </a:pPr>
            <a:r>
              <a:rPr lang="en-AU" sz="900" b="1" dirty="0" smtClean="0">
                <a:solidFill>
                  <a:sysClr val="windowText" lastClr="000000"/>
                </a:solidFill>
                <a:latin typeface="Arial" panose="020B0604020202020204" pitchFamily="34" charset="0"/>
                <a:cs typeface="Arial" panose="020B0604020202020204" pitchFamily="34" charset="0"/>
              </a:rPr>
              <a:t>2004-2016</a:t>
            </a:r>
            <a:endParaRPr lang="en-AU" sz="900" b="1" dirty="0">
              <a:solidFill>
                <a:sysClr val="windowText" lastClr="000000"/>
              </a:solidFill>
              <a:latin typeface="Arial" panose="020B0604020202020204" pitchFamily="34" charset="0"/>
              <a:cs typeface="Arial" panose="020B0604020202020204" pitchFamily="34" charset="0"/>
            </a:endParaRPr>
          </a:p>
        </c:rich>
      </c:tx>
      <c:layout>
        <c:manualLayout>
          <c:xMode val="edge"/>
          <c:yMode val="edge"/>
          <c:x val="0.24272503757993832"/>
          <c:y val="3.4750437782045375E-2"/>
        </c:manualLayout>
      </c:layout>
      <c:overlay val="0"/>
      <c:spPr>
        <a:noFill/>
        <a:ln>
          <a:noFill/>
        </a:ln>
        <a:effectLst/>
      </c:spPr>
      <c:txPr>
        <a:bodyPr rot="0" spcFirstLastPara="1" vertOverflow="ellipsis" vert="horz" wrap="square" anchor="ctr" anchorCtr="1"/>
        <a:lstStyle/>
        <a:p>
          <a:pPr>
            <a:defRPr sz="9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3026420003512201"/>
          <c:y val="0.18713476054848899"/>
          <c:w val="0.85098026742548305"/>
          <c:h val="0.68873780887279201"/>
        </c:manualLayout>
      </c:layout>
      <c:lineChart>
        <c:grouping val="standard"/>
        <c:varyColors val="0"/>
        <c:ser>
          <c:idx val="1"/>
          <c:order val="0"/>
          <c:spPr>
            <a:ln w="28575" cap="rnd">
              <a:solidFill>
                <a:schemeClr val="accent5"/>
              </a:solidFill>
              <a:round/>
            </a:ln>
            <a:effectLst/>
          </c:spPr>
          <c:marker>
            <c:symbol val="square"/>
            <c:size val="6"/>
            <c:spPr>
              <a:solidFill>
                <a:schemeClr val="accent5"/>
              </a:solidFill>
              <a:ln w="9525">
                <a:solidFill>
                  <a:schemeClr val="accent5"/>
                </a:solidFill>
              </a:ln>
              <a:effectLst/>
            </c:spPr>
          </c:marker>
          <c:trendline>
            <c:spPr>
              <a:ln w="19050" cap="rnd">
                <a:solidFill>
                  <a:schemeClr val="accent5"/>
                </a:solidFill>
                <a:prstDash val="sysDot"/>
              </a:ln>
              <a:effectLst/>
            </c:spPr>
            <c:trendlineType val="linear"/>
            <c:dispRSqr val="0"/>
            <c:dispEq val="0"/>
          </c:trendline>
          <c:cat>
            <c:numRef>
              <c:f>'1. CI - Research expenditure'!$B$1277:$B$1289</c:f>
              <c:numCache>
                <c:formatCode>General</c:formatCode>
                <c:ptCount val="13"/>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numCache>
            </c:numRef>
          </c:cat>
          <c:val>
            <c:numRef>
              <c:f>'1. CI - Research expenditure'!$H$1277:$H$1289</c:f>
              <c:numCache>
                <c:formatCode>_(* #,##0.00_);_(* \(#,##0.00\);_(* "-"??_);_(@_)</c:formatCode>
                <c:ptCount val="13"/>
                <c:pt idx="0">
                  <c:v>97.723831107437945</c:v>
                </c:pt>
                <c:pt idx="1">
                  <c:v>73.096195207968137</c:v>
                </c:pt>
                <c:pt idx="2">
                  <c:v>75.167427112878741</c:v>
                </c:pt>
                <c:pt idx="3">
                  <c:v>81.474560226594448</c:v>
                </c:pt>
                <c:pt idx="4">
                  <c:v>117.4914266684291</c:v>
                </c:pt>
                <c:pt idx="5">
                  <c:v>116.7389416816323</c:v>
                </c:pt>
                <c:pt idx="6">
                  <c:v>130.88384677079571</c:v>
                </c:pt>
                <c:pt idx="7">
                  <c:v>90.075559511411214</c:v>
                </c:pt>
                <c:pt idx="8">
                  <c:v>152.08449254709259</c:v>
                </c:pt>
                <c:pt idx="9">
                  <c:v>147.36402542873631</c:v>
                </c:pt>
                <c:pt idx="10">
                  <c:v>162.56915016798419</c:v>
                </c:pt>
                <c:pt idx="11">
                  <c:v>157.1021717322478</c:v>
                </c:pt>
                <c:pt idx="12">
                  <c:v>188.06880476190469</c:v>
                </c:pt>
              </c:numCache>
            </c:numRef>
          </c:val>
          <c:smooth val="0"/>
        </c:ser>
        <c:dLbls>
          <c:showLegendKey val="0"/>
          <c:showVal val="0"/>
          <c:showCatName val="0"/>
          <c:showSerName val="0"/>
          <c:showPercent val="0"/>
          <c:showBubbleSize val="0"/>
        </c:dLbls>
        <c:marker val="1"/>
        <c:smooth val="0"/>
        <c:axId val="454645320"/>
        <c:axId val="454641008"/>
      </c:lineChart>
      <c:catAx>
        <c:axId val="454645320"/>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AU" sz="800">
                    <a:solidFill>
                      <a:sysClr val="windowText" lastClr="000000"/>
                    </a:solidFill>
                    <a:latin typeface="Arial" panose="020B0604020202020204" pitchFamily="34" charset="0"/>
                    <a:cs typeface="Arial" panose="020B0604020202020204" pitchFamily="34" charset="0"/>
                  </a:rPr>
                  <a:t>AUD Millions – 2016 prices</a:t>
                </a:r>
              </a:p>
            </c:rich>
          </c:tx>
          <c:layout>
            <c:manualLayout>
              <c:xMode val="edge"/>
              <c:yMode val="edge"/>
              <c:x val="0.35910554746340356"/>
              <c:y val="0.95138802704606995"/>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j-lt"/>
                <a:ea typeface="+mn-ea"/>
                <a:cs typeface="+mn-cs"/>
              </a:defRPr>
            </a:pPr>
            <a:endParaRPr lang="en-US"/>
          </a:p>
        </c:txPr>
        <c:crossAx val="454641008"/>
        <c:crosses val="autoZero"/>
        <c:auto val="1"/>
        <c:lblAlgn val="ctr"/>
        <c:lblOffset val="100"/>
        <c:noMultiLvlLbl val="0"/>
      </c:catAx>
      <c:valAx>
        <c:axId val="4546410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mn-lt"/>
                    <a:ea typeface="+mn-ea"/>
                    <a:cs typeface="+mn-cs"/>
                  </a:defRPr>
                </a:pPr>
                <a:r>
                  <a:rPr lang="en-US" sz="800" b="0" i="0" baseline="0">
                    <a:solidFill>
                      <a:sysClr val="windowText" lastClr="000000"/>
                    </a:solidFill>
                    <a:effectLst/>
                    <a:latin typeface="Arial" panose="020B0604020202020204" pitchFamily="34" charset="0"/>
                    <a:cs typeface="Arial" panose="020B0604020202020204" pitchFamily="34" charset="0"/>
                  </a:rPr>
                  <a:t>Average AUD Millions 2016*</a:t>
                </a:r>
                <a:endParaRPr lang="en-AU" sz="800">
                  <a:solidFill>
                    <a:sysClr val="windowText" lastClr="000000"/>
                  </a:solidFill>
                  <a:effectLst/>
                  <a:latin typeface="Arial" panose="020B0604020202020204" pitchFamily="34" charset="0"/>
                  <a:cs typeface="Arial" panose="020B0604020202020204" pitchFamily="34" charset="0"/>
                </a:endParaRPr>
              </a:p>
            </c:rich>
          </c:tx>
          <c:layout>
            <c:manualLayout>
              <c:xMode val="edge"/>
              <c:yMode val="edge"/>
              <c:x val="0"/>
              <c:y val="0.28794002398051893"/>
            </c:manualLayout>
          </c:layout>
          <c:overlay val="0"/>
          <c:spPr>
            <a:noFill/>
            <a:ln>
              <a:noFill/>
            </a:ln>
            <a:effectLst/>
          </c:spPr>
          <c:txPr>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800" b="0" i="0" u="none" strike="noStrike" kern="1200" baseline="0">
                  <a:solidFill>
                    <a:sysClr val="windowText" lastClr="000000"/>
                  </a:solidFill>
                  <a:latin typeface="+mn-lt"/>
                  <a:ea typeface="+mn-ea"/>
                  <a:cs typeface="+mn-cs"/>
                </a:defRPr>
              </a:pPr>
              <a:endParaRPr lang="en-US"/>
            </a:p>
          </c:txPr>
        </c:title>
        <c:numFmt formatCode="_(* #,##0_);_(* \(#,##0\);_(* &quot;-&quot;_);_(@_)"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45464532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900" b="1" dirty="0" smtClean="0">
                <a:solidFill>
                  <a:sysClr val="windowText" lastClr="000000"/>
                </a:solidFill>
                <a:latin typeface="Arial" panose="020B0604020202020204" pitchFamily="34" charset="0"/>
                <a:cs typeface="Arial" panose="020B0604020202020204" pitchFamily="34" charset="0"/>
              </a:rPr>
              <a:t>R&amp;D </a:t>
            </a:r>
            <a:r>
              <a:rPr lang="en-AU" sz="900" b="1" dirty="0">
                <a:solidFill>
                  <a:sysClr val="windowText" lastClr="000000"/>
                </a:solidFill>
                <a:latin typeface="Arial" panose="020B0604020202020204" pitchFamily="34" charset="0"/>
                <a:cs typeface="Arial" panose="020B0604020202020204" pitchFamily="34" charset="0"/>
              </a:rPr>
              <a:t>expenditure</a:t>
            </a:r>
            <a:r>
              <a:rPr lang="en-AU" sz="900" b="1" baseline="0" dirty="0">
                <a:solidFill>
                  <a:sysClr val="windowText" lastClr="000000"/>
                </a:solidFill>
                <a:latin typeface="Arial" panose="020B0604020202020204" pitchFamily="34" charset="0"/>
                <a:cs typeface="Arial" panose="020B0604020202020204" pitchFamily="34" charset="0"/>
              </a:rPr>
              <a:t> </a:t>
            </a:r>
            <a:r>
              <a:rPr lang="en-AU" sz="900" b="1" baseline="0" dirty="0" smtClean="0">
                <a:solidFill>
                  <a:sysClr val="windowText" lastClr="000000"/>
                </a:solidFill>
                <a:latin typeface="Arial" panose="020B0604020202020204" pitchFamily="34" charset="0"/>
                <a:cs typeface="Arial" panose="020B0604020202020204" pitchFamily="34" charset="0"/>
              </a:rPr>
              <a:t>per surveyed organisations, </a:t>
            </a:r>
          </a:p>
          <a:p>
            <a:pPr>
              <a:defRPr sz="900" b="1">
                <a:solidFill>
                  <a:sysClr val="windowText" lastClr="000000"/>
                </a:solidFill>
                <a:latin typeface="Arial" panose="020B0604020202020204" pitchFamily="34" charset="0"/>
                <a:cs typeface="Arial" panose="020B0604020202020204" pitchFamily="34" charset="0"/>
              </a:defRPr>
            </a:pPr>
            <a:r>
              <a:rPr lang="en-AU" sz="900" b="1" baseline="0" dirty="0" smtClean="0">
                <a:solidFill>
                  <a:sysClr val="windowText" lastClr="000000"/>
                </a:solidFill>
                <a:latin typeface="Arial" panose="020B0604020202020204" pitchFamily="34" charset="0"/>
                <a:cs typeface="Arial" panose="020B0604020202020204" pitchFamily="34" charset="0"/>
              </a:rPr>
              <a:t>2014-2016</a:t>
            </a:r>
            <a:endParaRPr lang="en-AU" sz="900" b="1" dirty="0">
              <a:solidFill>
                <a:sysClr val="windowText" lastClr="000000"/>
              </a:solidFill>
              <a:latin typeface="Arial" panose="020B0604020202020204" pitchFamily="34" charset="0"/>
              <a:cs typeface="Arial" panose="020B0604020202020204" pitchFamily="34" charset="0"/>
            </a:endParaRPr>
          </a:p>
        </c:rich>
      </c:tx>
      <c:layout>
        <c:manualLayout>
          <c:xMode val="edge"/>
          <c:yMode val="edge"/>
          <c:x val="0.2466598177565246"/>
          <c:y val="2.9800650345327993E-2"/>
        </c:manualLayout>
      </c:layout>
      <c:overlay val="0"/>
      <c:spPr>
        <a:noFill/>
        <a:ln>
          <a:noFill/>
        </a:ln>
        <a:effectLst/>
      </c:spPr>
      <c:txPr>
        <a:bodyPr rot="0" spcFirstLastPara="1" vertOverflow="ellipsis" vert="horz" wrap="square" anchor="ctr" anchorCtr="1"/>
        <a:lstStyle/>
        <a:p>
          <a:pPr>
            <a:defRPr sz="9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24535907574895308"/>
          <c:y val="9.4286619891405229E-2"/>
          <c:w val="0.65342654671022948"/>
          <c:h val="0.72429798913820176"/>
        </c:manualLayout>
      </c:layout>
      <c:barChart>
        <c:barDir val="bar"/>
        <c:grouping val="clustered"/>
        <c:varyColors val="0"/>
        <c:ser>
          <c:idx val="0"/>
          <c:order val="0"/>
          <c:tx>
            <c:strRef>
              <c:f>'1. CI - Research expenditure'!$E$1502</c:f>
              <c:strCache>
                <c:ptCount val="1"/>
                <c:pt idx="0">
                  <c:v>2014</c:v>
                </c:pt>
              </c:strCache>
            </c:strRef>
          </c:tx>
          <c:spPr>
            <a:solidFill>
              <a:schemeClr val="accent6"/>
            </a:solidFill>
            <a:ln>
              <a:noFill/>
            </a:ln>
            <a:effectLst/>
          </c:spPr>
          <c:invertIfNegative val="0"/>
          <c:cat>
            <c:strRef>
              <c:f>'1. CI - Research expenditure'!$D$1503:$D$1523</c:f>
              <c:strCache>
                <c:ptCount val="21"/>
                <c:pt idx="0">
                  <c:v>Yearly Average</c:v>
                </c:pt>
                <c:pt idx="1">
                  <c:v>UTS</c:v>
                </c:pt>
                <c:pt idx="2">
                  <c:v>Tasmania</c:v>
                </c:pt>
                <c:pt idx="3">
                  <c:v>Curtin</c:v>
                </c:pt>
                <c:pt idx="4">
                  <c:v>Macquarie</c:v>
                </c:pt>
                <c:pt idx="5">
                  <c:v>South Australia</c:v>
                </c:pt>
                <c:pt idx="6">
                  <c:v>Adelaide</c:v>
                </c:pt>
                <c:pt idx="7">
                  <c:v>Griffith</c:v>
                </c:pt>
                <c:pt idx="8">
                  <c:v>Deakin</c:v>
                </c:pt>
                <c:pt idx="9">
                  <c:v>La Trobe</c:v>
                </c:pt>
                <c:pt idx="10">
                  <c:v>QUT</c:v>
                </c:pt>
                <c:pt idx="11">
                  <c:v>RMIT</c:v>
                </c:pt>
                <c:pt idx="12">
                  <c:v>DST</c:v>
                </c:pt>
                <c:pt idx="13">
                  <c:v>Western Australia</c:v>
                </c:pt>
                <c:pt idx="14">
                  <c:v>ANU</c:v>
                </c:pt>
                <c:pt idx="15">
                  <c:v>Sydney</c:v>
                </c:pt>
                <c:pt idx="16">
                  <c:v>Queensland</c:v>
                </c:pt>
                <c:pt idx="17">
                  <c:v>CSIRO</c:v>
                </c:pt>
                <c:pt idx="18">
                  <c:v>Monash</c:v>
                </c:pt>
                <c:pt idx="19">
                  <c:v>New South Wales</c:v>
                </c:pt>
                <c:pt idx="20">
                  <c:v>Melbourne</c:v>
                </c:pt>
              </c:strCache>
            </c:strRef>
          </c:cat>
          <c:val>
            <c:numRef>
              <c:f>'1. CI - Research expenditure'!$E$1503:$E$1523</c:f>
              <c:numCache>
                <c:formatCode>0</c:formatCode>
                <c:ptCount val="21"/>
                <c:pt idx="0">
                  <c:v>147</c:v>
                </c:pt>
                <c:pt idx="1">
                  <c:v>194.56521739130429</c:v>
                </c:pt>
                <c:pt idx="2">
                  <c:v>165.83104776679841</c:v>
                </c:pt>
                <c:pt idx="3">
                  <c:v>192.7797727272725</c:v>
                </c:pt>
                <c:pt idx="4">
                  <c:v>208.71881126482211</c:v>
                </c:pt>
                <c:pt idx="5">
                  <c:v>214.51778656126481</c:v>
                </c:pt>
                <c:pt idx="6">
                  <c:v>253.91422529644251</c:v>
                </c:pt>
                <c:pt idx="7">
                  <c:v>246.58992094861659</c:v>
                </c:pt>
                <c:pt idx="8">
                  <c:v>148.03359683794471</c:v>
                </c:pt>
                <c:pt idx="9">
                  <c:v>123.3992750296442</c:v>
                </c:pt>
                <c:pt idx="10">
                  <c:v>192.29245849802371</c:v>
                </c:pt>
                <c:pt idx="11">
                  <c:v>251.80533596837941</c:v>
                </c:pt>
                <c:pt idx="12">
                  <c:v>383.06225296442699</c:v>
                </c:pt>
                <c:pt idx="13">
                  <c:v>376.45849802371538</c:v>
                </c:pt>
                <c:pt idx="14">
                  <c:v>395.19762845849772</c:v>
                </c:pt>
                <c:pt idx="15">
                  <c:v>737.57114624505925</c:v>
                </c:pt>
                <c:pt idx="16">
                  <c:v>674.17984189723325</c:v>
                </c:pt>
                <c:pt idx="17">
                  <c:v>826.12909090909102</c:v>
                </c:pt>
                <c:pt idx="18">
                  <c:v>878.52803853754983</c:v>
                </c:pt>
                <c:pt idx="19">
                  <c:v>725.296442687747</c:v>
                </c:pt>
                <c:pt idx="20">
                  <c:v>984.23814229249001</c:v>
                </c:pt>
              </c:numCache>
            </c:numRef>
          </c:val>
        </c:ser>
        <c:ser>
          <c:idx val="1"/>
          <c:order val="1"/>
          <c:tx>
            <c:strRef>
              <c:f>'1. CI - Research expenditure'!$F$1502</c:f>
              <c:strCache>
                <c:ptCount val="1"/>
                <c:pt idx="0">
                  <c:v>2015</c:v>
                </c:pt>
              </c:strCache>
            </c:strRef>
          </c:tx>
          <c:spPr>
            <a:solidFill>
              <a:schemeClr val="accent5"/>
            </a:solidFill>
            <a:ln>
              <a:noFill/>
            </a:ln>
            <a:effectLst/>
          </c:spPr>
          <c:invertIfNegative val="0"/>
          <c:cat>
            <c:strRef>
              <c:f>'1. CI - Research expenditure'!$D$1503:$D$1523</c:f>
              <c:strCache>
                <c:ptCount val="21"/>
                <c:pt idx="0">
                  <c:v>Yearly Average</c:v>
                </c:pt>
                <c:pt idx="1">
                  <c:v>UTS</c:v>
                </c:pt>
                <c:pt idx="2">
                  <c:v>Tasmania</c:v>
                </c:pt>
                <c:pt idx="3">
                  <c:v>Curtin</c:v>
                </c:pt>
                <c:pt idx="4">
                  <c:v>Macquarie</c:v>
                </c:pt>
                <c:pt idx="5">
                  <c:v>South Australia</c:v>
                </c:pt>
                <c:pt idx="6">
                  <c:v>Adelaide</c:v>
                </c:pt>
                <c:pt idx="7">
                  <c:v>Griffith</c:v>
                </c:pt>
                <c:pt idx="8">
                  <c:v>Deakin</c:v>
                </c:pt>
                <c:pt idx="9">
                  <c:v>La Trobe</c:v>
                </c:pt>
                <c:pt idx="10">
                  <c:v>QUT</c:v>
                </c:pt>
                <c:pt idx="11">
                  <c:v>RMIT</c:v>
                </c:pt>
                <c:pt idx="12">
                  <c:v>DST</c:v>
                </c:pt>
                <c:pt idx="13">
                  <c:v>Western Australia</c:v>
                </c:pt>
                <c:pt idx="14">
                  <c:v>ANU</c:v>
                </c:pt>
                <c:pt idx="15">
                  <c:v>Sydney</c:v>
                </c:pt>
                <c:pt idx="16">
                  <c:v>Queensland</c:v>
                </c:pt>
                <c:pt idx="17">
                  <c:v>CSIRO</c:v>
                </c:pt>
                <c:pt idx="18">
                  <c:v>Monash</c:v>
                </c:pt>
                <c:pt idx="19">
                  <c:v>New South Wales</c:v>
                </c:pt>
                <c:pt idx="20">
                  <c:v>Melbourne</c:v>
                </c:pt>
              </c:strCache>
            </c:strRef>
          </c:cat>
          <c:val>
            <c:numRef>
              <c:f>'1. CI - Research expenditure'!$F$1503:$F$1523</c:f>
              <c:numCache>
                <c:formatCode>0</c:formatCode>
                <c:ptCount val="21"/>
                <c:pt idx="0">
                  <c:v>148</c:v>
                </c:pt>
                <c:pt idx="1">
                  <c:v>195.9233830845771</c:v>
                </c:pt>
                <c:pt idx="2">
                  <c:v>177.65031243781101</c:v>
                </c:pt>
                <c:pt idx="3">
                  <c:v>206.44765174129361</c:v>
                </c:pt>
                <c:pt idx="4">
                  <c:v>109.406071641791</c:v>
                </c:pt>
                <c:pt idx="5">
                  <c:v>219.6841432835821</c:v>
                </c:pt>
                <c:pt idx="6">
                  <c:v>273.2405701492537</c:v>
                </c:pt>
                <c:pt idx="7">
                  <c:v>266.6822149253731</c:v>
                </c:pt>
                <c:pt idx="8">
                  <c:v>172.7363184079602</c:v>
                </c:pt>
                <c:pt idx="9">
                  <c:v>200.24677611940291</c:v>
                </c:pt>
                <c:pt idx="10">
                  <c:v>255.11542288557209</c:v>
                </c:pt>
                <c:pt idx="11">
                  <c:v>271.44278606965179</c:v>
                </c:pt>
                <c:pt idx="12">
                  <c:v>385.73034825870621</c:v>
                </c:pt>
                <c:pt idx="13">
                  <c:v>404.55820895522362</c:v>
                </c:pt>
                <c:pt idx="15">
                  <c:v>798.57014925373153</c:v>
                </c:pt>
                <c:pt idx="16">
                  <c:v>692.45273631840803</c:v>
                </c:pt>
                <c:pt idx="17">
                  <c:v>826.03005970149241</c:v>
                </c:pt>
                <c:pt idx="18">
                  <c:v>910.14153631840804</c:v>
                </c:pt>
                <c:pt idx="19">
                  <c:v>973.85174129353243</c:v>
                </c:pt>
                <c:pt idx="20">
                  <c:v>1042.685419900497</c:v>
                </c:pt>
              </c:numCache>
            </c:numRef>
          </c:val>
        </c:ser>
        <c:ser>
          <c:idx val="2"/>
          <c:order val="2"/>
          <c:tx>
            <c:strRef>
              <c:f>'1. CI - Research expenditure'!$G$1502</c:f>
              <c:strCache>
                <c:ptCount val="1"/>
                <c:pt idx="0">
                  <c:v>2016</c:v>
                </c:pt>
              </c:strCache>
            </c:strRef>
          </c:tx>
          <c:spPr>
            <a:solidFill>
              <a:schemeClr val="accent4"/>
            </a:solidFill>
            <a:ln>
              <a:noFill/>
            </a:ln>
            <a:effectLst/>
          </c:spPr>
          <c:invertIfNegative val="0"/>
          <c:cat>
            <c:strRef>
              <c:f>'1. CI - Research expenditure'!$D$1503:$D$1523</c:f>
              <c:strCache>
                <c:ptCount val="21"/>
                <c:pt idx="0">
                  <c:v>Yearly Average</c:v>
                </c:pt>
                <c:pt idx="1">
                  <c:v>UTS</c:v>
                </c:pt>
                <c:pt idx="2">
                  <c:v>Tasmania</c:v>
                </c:pt>
                <c:pt idx="3">
                  <c:v>Curtin</c:v>
                </c:pt>
                <c:pt idx="4">
                  <c:v>Macquarie</c:v>
                </c:pt>
                <c:pt idx="5">
                  <c:v>South Australia</c:v>
                </c:pt>
                <c:pt idx="6">
                  <c:v>Adelaide</c:v>
                </c:pt>
                <c:pt idx="7">
                  <c:v>Griffith</c:v>
                </c:pt>
                <c:pt idx="8">
                  <c:v>Deakin</c:v>
                </c:pt>
                <c:pt idx="9">
                  <c:v>La Trobe</c:v>
                </c:pt>
                <c:pt idx="10">
                  <c:v>QUT</c:v>
                </c:pt>
                <c:pt idx="11">
                  <c:v>RMIT</c:v>
                </c:pt>
                <c:pt idx="12">
                  <c:v>DST</c:v>
                </c:pt>
                <c:pt idx="13">
                  <c:v>Western Australia</c:v>
                </c:pt>
                <c:pt idx="14">
                  <c:v>ANU</c:v>
                </c:pt>
                <c:pt idx="15">
                  <c:v>Sydney</c:v>
                </c:pt>
                <c:pt idx="16">
                  <c:v>Queensland</c:v>
                </c:pt>
                <c:pt idx="17">
                  <c:v>CSIRO</c:v>
                </c:pt>
                <c:pt idx="18">
                  <c:v>Monash</c:v>
                </c:pt>
                <c:pt idx="19">
                  <c:v>New South Wales</c:v>
                </c:pt>
                <c:pt idx="20">
                  <c:v>Melbourne</c:v>
                </c:pt>
              </c:strCache>
            </c:strRef>
          </c:cat>
          <c:val>
            <c:numRef>
              <c:f>'1. CI - Research expenditure'!$G$1503:$G$1523</c:f>
              <c:numCache>
                <c:formatCode>0</c:formatCode>
                <c:ptCount val="21"/>
                <c:pt idx="0">
                  <c:v>168</c:v>
                </c:pt>
                <c:pt idx="1">
                  <c:v>184.11199999999999</c:v>
                </c:pt>
                <c:pt idx="2">
                  <c:v>194.94904099999999</c:v>
                </c:pt>
                <c:pt idx="3">
                  <c:v>198.63499999999999</c:v>
                </c:pt>
                <c:pt idx="4">
                  <c:v>222.55217300000001</c:v>
                </c:pt>
                <c:pt idx="5">
                  <c:v>226.267</c:v>
                </c:pt>
                <c:pt idx="6">
                  <c:v>258.64423799999997</c:v>
                </c:pt>
                <c:pt idx="7">
                  <c:v>261.61097999999993</c:v>
                </c:pt>
                <c:pt idx="8">
                  <c:v>288.60000000000002</c:v>
                </c:pt>
                <c:pt idx="9">
                  <c:v>297.99507199999971</c:v>
                </c:pt>
                <c:pt idx="10">
                  <c:v>349.548</c:v>
                </c:pt>
                <c:pt idx="11">
                  <c:v>357.98700000000002</c:v>
                </c:pt>
                <c:pt idx="12">
                  <c:v>368.68599999999992</c:v>
                </c:pt>
                <c:pt idx="13">
                  <c:v>410.98930000000001</c:v>
                </c:pt>
                <c:pt idx="14">
                  <c:v>683.164041</c:v>
                </c:pt>
                <c:pt idx="15">
                  <c:v>721.779</c:v>
                </c:pt>
                <c:pt idx="16">
                  <c:v>727.32699999999966</c:v>
                </c:pt>
                <c:pt idx="17">
                  <c:v>845.68967999999995</c:v>
                </c:pt>
                <c:pt idx="18">
                  <c:v>955.58237599999995</c:v>
                </c:pt>
                <c:pt idx="19">
                  <c:v>973.71299999999997</c:v>
                </c:pt>
                <c:pt idx="20">
                  <c:v>1097.3835790000001</c:v>
                </c:pt>
              </c:numCache>
            </c:numRef>
          </c:val>
        </c:ser>
        <c:dLbls>
          <c:showLegendKey val="0"/>
          <c:showVal val="0"/>
          <c:showCatName val="0"/>
          <c:showSerName val="0"/>
          <c:showPercent val="0"/>
          <c:showBubbleSize val="0"/>
        </c:dLbls>
        <c:gapWidth val="182"/>
        <c:axId val="454641792"/>
        <c:axId val="454643360"/>
      </c:barChart>
      <c:catAx>
        <c:axId val="4546417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54643360"/>
        <c:crosses val="autoZero"/>
        <c:auto val="1"/>
        <c:lblAlgn val="ctr"/>
        <c:lblOffset val="100"/>
        <c:noMultiLvlLbl val="0"/>
      </c:catAx>
      <c:valAx>
        <c:axId val="45464336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54641792"/>
        <c:crosses val="autoZero"/>
        <c:crossBetween val="between"/>
      </c:valAx>
      <c:spPr>
        <a:noFill/>
        <a:ln>
          <a:noFill/>
        </a:ln>
        <a:effectLst/>
      </c:spPr>
    </c:plotArea>
    <c:legend>
      <c:legendPos val="b"/>
      <c:layout>
        <c:manualLayout>
          <c:xMode val="edge"/>
          <c:yMode val="edge"/>
          <c:x val="0.4335712604560214"/>
          <c:y val="0.92776996049555238"/>
          <c:w val="0.30268411796052802"/>
          <c:h val="4.0770584090352197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900" b="1" dirty="0" smtClean="0">
                <a:solidFill>
                  <a:sysClr val="windowText" lastClr="000000"/>
                </a:solidFill>
                <a:latin typeface="Arial" panose="020B0604020202020204" pitchFamily="34" charset="0"/>
                <a:cs typeface="Arial" panose="020B0604020202020204" pitchFamily="34" charset="0"/>
              </a:rPr>
              <a:t>Average number of Invention </a:t>
            </a:r>
            <a:r>
              <a:rPr lang="en-AU" sz="900" b="1" dirty="0">
                <a:solidFill>
                  <a:sysClr val="windowText" lastClr="000000"/>
                </a:solidFill>
                <a:latin typeface="Arial" panose="020B0604020202020204" pitchFamily="34" charset="0"/>
                <a:cs typeface="Arial" panose="020B0604020202020204" pitchFamily="34" charset="0"/>
              </a:rPr>
              <a:t>d</a:t>
            </a:r>
            <a:r>
              <a:rPr lang="en-AU" sz="900" b="1" dirty="0" smtClean="0">
                <a:solidFill>
                  <a:sysClr val="windowText" lastClr="000000"/>
                </a:solidFill>
                <a:latin typeface="Arial" panose="020B0604020202020204" pitchFamily="34" charset="0"/>
                <a:cs typeface="Arial" panose="020B0604020202020204" pitchFamily="34" charset="0"/>
              </a:rPr>
              <a:t>isclosures by surveyed organisations and country, 2004-2016</a:t>
            </a:r>
            <a:endParaRPr lang="en-AU" sz="900" b="1" dirty="0">
              <a:solidFill>
                <a:sysClr val="windowText" lastClr="000000"/>
              </a:solidFill>
              <a:latin typeface="Arial" panose="020B0604020202020204" pitchFamily="34" charset="0"/>
              <a:cs typeface="Arial" panose="020B0604020202020204" pitchFamily="34" charset="0"/>
            </a:endParaRPr>
          </a:p>
        </c:rich>
      </c:tx>
      <c:layout/>
      <c:overlay val="0"/>
      <c:spPr>
        <a:noFill/>
        <a:ln>
          <a:noFill/>
        </a:ln>
        <a:effectLst/>
      </c:spPr>
      <c:txPr>
        <a:bodyPr rot="0" spcFirstLastPara="1" vertOverflow="ellipsis" vert="horz" wrap="square" anchor="ctr" anchorCtr="1"/>
        <a:lstStyle/>
        <a:p>
          <a:pPr>
            <a:defRPr sz="9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9.1325009903501175E-2"/>
          <c:y val="0.10440321878952538"/>
          <c:w val="0.88213052085121901"/>
          <c:h val="0.70507745148075096"/>
        </c:manualLayout>
      </c:layout>
      <c:lineChart>
        <c:grouping val="standard"/>
        <c:varyColors val="0"/>
        <c:ser>
          <c:idx val="0"/>
          <c:order val="0"/>
          <c:tx>
            <c:strRef>
              <c:f>'2. CP - Invention Disclosures'!$C$1320</c:f>
              <c:strCache>
                <c:ptCount val="1"/>
                <c:pt idx="0">
                  <c:v>Australia</c:v>
                </c:pt>
              </c:strCache>
            </c:strRef>
          </c:tx>
          <c:spPr>
            <a:ln w="28575" cap="rnd">
              <a:solidFill>
                <a:schemeClr val="accent6"/>
              </a:solidFill>
              <a:round/>
            </a:ln>
            <a:effectLst/>
          </c:spPr>
          <c:marker>
            <c:symbol val="square"/>
            <c:size val="6"/>
            <c:spPr>
              <a:solidFill>
                <a:schemeClr val="accent6"/>
              </a:solidFill>
              <a:ln w="9525">
                <a:solidFill>
                  <a:schemeClr val="accent6"/>
                </a:solidFill>
              </a:ln>
              <a:effectLst/>
            </c:spPr>
          </c:marker>
          <c:cat>
            <c:numRef>
              <c:f>'2. CP - Invention Disclosures'!$B$1321:$B$1333</c:f>
              <c:numCache>
                <c:formatCode>General</c:formatCode>
                <c:ptCount val="13"/>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numCache>
            </c:numRef>
          </c:cat>
          <c:val>
            <c:numRef>
              <c:f>'2. CP - Invention Disclosures'!$C$1321:$C$1333</c:f>
              <c:numCache>
                <c:formatCode>0.0</c:formatCode>
                <c:ptCount val="13"/>
                <c:pt idx="0">
                  <c:v>13.728571428571421</c:v>
                </c:pt>
                <c:pt idx="1">
                  <c:v>9.36</c:v>
                </c:pt>
                <c:pt idx="2">
                  <c:v>11.06</c:v>
                </c:pt>
                <c:pt idx="3">
                  <c:v>12.15</c:v>
                </c:pt>
                <c:pt idx="4">
                  <c:v>18.675675675675681</c:v>
                </c:pt>
                <c:pt idx="5">
                  <c:v>20.24324324324321</c:v>
                </c:pt>
                <c:pt idx="6">
                  <c:v>22.722222222222189</c:v>
                </c:pt>
                <c:pt idx="7">
                  <c:v>23.680555555555561</c:v>
                </c:pt>
                <c:pt idx="8">
                  <c:v>21.060606060606059</c:v>
                </c:pt>
                <c:pt idx="9">
                  <c:v>21.515151515151519</c:v>
                </c:pt>
                <c:pt idx="10">
                  <c:v>19.370967741935509</c:v>
                </c:pt>
                <c:pt idx="11">
                  <c:v>21.712121212121179</c:v>
                </c:pt>
                <c:pt idx="12">
                  <c:v>23.857142857142851</c:v>
                </c:pt>
              </c:numCache>
            </c:numRef>
          </c:val>
          <c:smooth val="0"/>
        </c:ser>
        <c:ser>
          <c:idx val="1"/>
          <c:order val="1"/>
          <c:tx>
            <c:strRef>
              <c:f>'2. CP - Invention Disclosures'!$D$1320</c:f>
              <c:strCache>
                <c:ptCount val="1"/>
                <c:pt idx="0">
                  <c:v>Canada</c:v>
                </c:pt>
              </c:strCache>
            </c:strRef>
          </c:tx>
          <c:spPr>
            <a:ln w="28575" cap="rnd">
              <a:solidFill>
                <a:schemeClr val="accent5"/>
              </a:solidFill>
              <a:round/>
            </a:ln>
            <a:effectLst/>
          </c:spPr>
          <c:marker>
            <c:symbol val="square"/>
            <c:size val="6"/>
            <c:spPr>
              <a:solidFill>
                <a:schemeClr val="accent5"/>
              </a:solidFill>
              <a:ln w="9525">
                <a:solidFill>
                  <a:schemeClr val="accent5"/>
                </a:solidFill>
              </a:ln>
              <a:effectLst/>
            </c:spPr>
          </c:marker>
          <c:cat>
            <c:numRef>
              <c:f>'2. CP - Invention Disclosures'!$B$1321:$B$1333</c:f>
              <c:numCache>
                <c:formatCode>General</c:formatCode>
                <c:ptCount val="13"/>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numCache>
            </c:numRef>
          </c:cat>
          <c:val>
            <c:numRef>
              <c:f>'2. CP - Invention Disclosures'!$D$1321:$D$1333</c:f>
              <c:numCache>
                <c:formatCode>0.0</c:formatCode>
                <c:ptCount val="13"/>
                <c:pt idx="0">
                  <c:v>38.441176470588211</c:v>
                </c:pt>
                <c:pt idx="1">
                  <c:v>39.805555555555557</c:v>
                </c:pt>
                <c:pt idx="2">
                  <c:v>38.375</c:v>
                </c:pt>
                <c:pt idx="3">
                  <c:v>46.1</c:v>
                </c:pt>
                <c:pt idx="4">
                  <c:v>49.1891891891892</c:v>
                </c:pt>
                <c:pt idx="5">
                  <c:v>51.918918918918941</c:v>
                </c:pt>
                <c:pt idx="6">
                  <c:v>43.3</c:v>
                </c:pt>
                <c:pt idx="7">
                  <c:v>46.692307692307701</c:v>
                </c:pt>
                <c:pt idx="8">
                  <c:v>50.257142857142853</c:v>
                </c:pt>
                <c:pt idx="9">
                  <c:v>53.02702702702701</c:v>
                </c:pt>
                <c:pt idx="10">
                  <c:v>49.282051282051299</c:v>
                </c:pt>
                <c:pt idx="11">
                  <c:v>50.361111111111107</c:v>
                </c:pt>
                <c:pt idx="12">
                  <c:v>48.485714285714273</c:v>
                </c:pt>
              </c:numCache>
            </c:numRef>
          </c:val>
          <c:smooth val="0"/>
        </c:ser>
        <c:ser>
          <c:idx val="2"/>
          <c:order val="2"/>
          <c:tx>
            <c:strRef>
              <c:f>'2. CP - Invention Disclosures'!$E$1320</c:f>
              <c:strCache>
                <c:ptCount val="1"/>
                <c:pt idx="0">
                  <c:v>Israel</c:v>
                </c:pt>
              </c:strCache>
            </c:strRef>
          </c:tx>
          <c:spPr>
            <a:ln w="28575" cap="rnd">
              <a:solidFill>
                <a:schemeClr val="accent4"/>
              </a:solidFill>
              <a:round/>
            </a:ln>
            <a:effectLst/>
          </c:spPr>
          <c:marker>
            <c:symbol val="square"/>
            <c:size val="6"/>
            <c:spPr>
              <a:solidFill>
                <a:schemeClr val="accent4"/>
              </a:solidFill>
              <a:ln w="9525">
                <a:solidFill>
                  <a:schemeClr val="accent4"/>
                </a:solidFill>
              </a:ln>
              <a:effectLst/>
            </c:spPr>
          </c:marker>
          <c:cat>
            <c:numRef>
              <c:f>'2. CP - Invention Disclosures'!$B$1321:$B$1333</c:f>
              <c:numCache>
                <c:formatCode>General</c:formatCode>
                <c:ptCount val="13"/>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numCache>
            </c:numRef>
          </c:cat>
          <c:val>
            <c:numRef>
              <c:f>'2. CP - Invention Disclosures'!$E$1321:$E$1333</c:f>
              <c:numCache>
                <c:formatCode>General</c:formatCode>
                <c:ptCount val="13"/>
                <c:pt idx="4" formatCode="0.0">
                  <c:v>65.285714285714306</c:v>
                </c:pt>
                <c:pt idx="5" formatCode="0.0">
                  <c:v>76.428571428571388</c:v>
                </c:pt>
                <c:pt idx="6" formatCode="0.0">
                  <c:v>45.615384615384578</c:v>
                </c:pt>
                <c:pt idx="7" formatCode="0.0">
                  <c:v>46.769230769230766</c:v>
                </c:pt>
                <c:pt idx="8" formatCode="0.0">
                  <c:v>40.166666666666629</c:v>
                </c:pt>
                <c:pt idx="9" formatCode="0.0">
                  <c:v>37.631578947368418</c:v>
                </c:pt>
                <c:pt idx="10" formatCode="0.0">
                  <c:v>45.052631578947341</c:v>
                </c:pt>
                <c:pt idx="11" formatCode="0.0">
                  <c:v>53.10526315789474</c:v>
                </c:pt>
                <c:pt idx="12" formatCode="0.0">
                  <c:v>69.894736842105232</c:v>
                </c:pt>
              </c:numCache>
            </c:numRef>
          </c:val>
          <c:smooth val="0"/>
        </c:ser>
        <c:ser>
          <c:idx val="3"/>
          <c:order val="3"/>
          <c:tx>
            <c:strRef>
              <c:f>'2. CP - Invention Disclosures'!$F$1320</c:f>
              <c:strCache>
                <c:ptCount val="1"/>
                <c:pt idx="0">
                  <c:v> US</c:v>
                </c:pt>
              </c:strCache>
            </c:strRef>
          </c:tx>
          <c:spPr>
            <a:ln w="28575" cap="rnd">
              <a:solidFill>
                <a:schemeClr val="accent6">
                  <a:lumMod val="60000"/>
                </a:schemeClr>
              </a:solidFill>
              <a:round/>
            </a:ln>
            <a:effectLst/>
          </c:spPr>
          <c:marker>
            <c:symbol val="square"/>
            <c:size val="6"/>
            <c:spPr>
              <a:solidFill>
                <a:schemeClr val="accent6">
                  <a:lumMod val="60000"/>
                </a:schemeClr>
              </a:solidFill>
              <a:ln w="9525">
                <a:solidFill>
                  <a:schemeClr val="accent6">
                    <a:lumMod val="60000"/>
                  </a:schemeClr>
                </a:solidFill>
              </a:ln>
              <a:effectLst/>
            </c:spPr>
          </c:marker>
          <c:cat>
            <c:numRef>
              <c:f>'2. CP - Invention Disclosures'!$B$1321:$B$1333</c:f>
              <c:numCache>
                <c:formatCode>General</c:formatCode>
                <c:ptCount val="13"/>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numCache>
            </c:numRef>
          </c:cat>
          <c:val>
            <c:numRef>
              <c:f>'2. CP - Invention Disclosures'!$F$1321:$F$1333</c:f>
              <c:numCache>
                <c:formatCode>0.0</c:formatCode>
                <c:ptCount val="13"/>
                <c:pt idx="0">
                  <c:v>84.904040404040401</c:v>
                </c:pt>
                <c:pt idx="1">
                  <c:v>91.005235602094203</c:v>
                </c:pt>
                <c:pt idx="2">
                  <c:v>99.336842105263131</c:v>
                </c:pt>
                <c:pt idx="3">
                  <c:v>102.20103092783511</c:v>
                </c:pt>
                <c:pt idx="4">
                  <c:v>105.3141361256544</c:v>
                </c:pt>
                <c:pt idx="5">
                  <c:v>112.2044198895028</c:v>
                </c:pt>
                <c:pt idx="6">
                  <c:v>112.7978142076503</c:v>
                </c:pt>
                <c:pt idx="7">
                  <c:v>117.505376344086</c:v>
                </c:pt>
                <c:pt idx="8">
                  <c:v>122.3762886597938</c:v>
                </c:pt>
                <c:pt idx="9">
                  <c:v>119.0693069306931</c:v>
                </c:pt>
                <c:pt idx="10">
                  <c:v>126.2670157068063</c:v>
                </c:pt>
                <c:pt idx="11">
                  <c:v>126.565</c:v>
                </c:pt>
                <c:pt idx="12">
                  <c:v>132.4358974358974</c:v>
                </c:pt>
              </c:numCache>
            </c:numRef>
          </c:val>
          <c:smooth val="0"/>
        </c:ser>
        <c:dLbls>
          <c:showLegendKey val="0"/>
          <c:showVal val="0"/>
          <c:showCatName val="0"/>
          <c:showSerName val="0"/>
          <c:showPercent val="0"/>
          <c:showBubbleSize val="0"/>
        </c:dLbls>
        <c:marker val="1"/>
        <c:smooth val="0"/>
        <c:axId val="454645712"/>
        <c:axId val="454646104"/>
      </c:lineChart>
      <c:catAx>
        <c:axId val="454645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54646104"/>
        <c:crosses val="autoZero"/>
        <c:auto val="1"/>
        <c:lblAlgn val="ctr"/>
        <c:lblOffset val="100"/>
        <c:noMultiLvlLbl val="0"/>
      </c:catAx>
      <c:valAx>
        <c:axId val="4546461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sz="800" b="0" dirty="0">
                    <a:solidFill>
                      <a:sysClr val="windowText" lastClr="000000"/>
                    </a:solidFill>
                    <a:latin typeface="Arial" panose="020B0604020202020204" pitchFamily="34" charset="0"/>
                    <a:cs typeface="Arial" panose="020B0604020202020204" pitchFamily="34" charset="0"/>
                  </a:rPr>
                  <a:t>Average</a:t>
                </a:r>
                <a:r>
                  <a:rPr lang="en-AU" sz="800" b="0" baseline="0" dirty="0">
                    <a:solidFill>
                      <a:sysClr val="windowText" lastClr="000000"/>
                    </a:solidFill>
                    <a:latin typeface="Arial" panose="020B0604020202020204" pitchFamily="34" charset="0"/>
                    <a:cs typeface="Arial" panose="020B0604020202020204" pitchFamily="34" charset="0"/>
                  </a:rPr>
                  <a:t> </a:t>
                </a:r>
                <a:r>
                  <a:rPr lang="en-AU" sz="800" b="0" baseline="0" dirty="0" smtClean="0">
                    <a:solidFill>
                      <a:sysClr val="windowText" lastClr="000000"/>
                    </a:solidFill>
                    <a:latin typeface="Arial" panose="020B0604020202020204" pitchFamily="34" charset="0"/>
                    <a:cs typeface="Arial" panose="020B0604020202020204" pitchFamily="34" charset="0"/>
                  </a:rPr>
                  <a:t>no. </a:t>
                </a:r>
                <a:r>
                  <a:rPr lang="en-AU" sz="800" b="0" baseline="0" dirty="0">
                    <a:solidFill>
                      <a:sysClr val="windowText" lastClr="000000"/>
                    </a:solidFill>
                    <a:latin typeface="Arial" panose="020B0604020202020204" pitchFamily="34" charset="0"/>
                    <a:cs typeface="Arial" panose="020B0604020202020204" pitchFamily="34" charset="0"/>
                  </a:rPr>
                  <a:t>per </a:t>
                </a:r>
                <a:r>
                  <a:rPr lang="en-AU" sz="800" b="0" baseline="0" dirty="0" smtClean="0">
                    <a:solidFill>
                      <a:sysClr val="windowText" lastClr="000000"/>
                    </a:solidFill>
                    <a:latin typeface="Arial" panose="020B0604020202020204" pitchFamily="34" charset="0"/>
                    <a:cs typeface="Arial" panose="020B0604020202020204" pitchFamily="34" charset="0"/>
                  </a:rPr>
                  <a:t>organisation*</a:t>
                </a:r>
                <a:endParaRPr lang="en-AU" sz="800" b="0" dirty="0">
                  <a:solidFill>
                    <a:sysClr val="windowText" lastClr="000000"/>
                  </a:solidFill>
                  <a:latin typeface="Arial" panose="020B0604020202020204" pitchFamily="34" charset="0"/>
                  <a:cs typeface="Arial" panose="020B0604020202020204" pitchFamily="34" charset="0"/>
                </a:endParaRPr>
              </a:p>
            </c:rich>
          </c:tx>
          <c:layout>
            <c:manualLayout>
              <c:xMode val="edge"/>
              <c:yMode val="edge"/>
              <c:x val="2.0753646420239E-2"/>
              <c:y val="0.25865085057706799"/>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54645712"/>
        <c:crosses val="autoZero"/>
        <c:crossBetween val="between"/>
      </c:valAx>
      <c:spPr>
        <a:noFill/>
        <a:ln>
          <a:noFill/>
        </a:ln>
        <a:effectLst/>
      </c:spPr>
    </c:plotArea>
    <c:legend>
      <c:legendPos val="b"/>
      <c:layout>
        <c:manualLayout>
          <c:xMode val="edge"/>
          <c:yMode val="edge"/>
          <c:x val="0.31982882818429098"/>
          <c:y val="0.91498714078855425"/>
          <c:w val="0.36034215895203597"/>
          <c:h val="5.2788883874997798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0.60799</cdr:x>
      <cdr:y>0.48258</cdr:y>
    </cdr:from>
    <cdr:to>
      <cdr:x>0.79181</cdr:x>
      <cdr:y>0.64821</cdr:y>
    </cdr:to>
    <cdr:sp macro="" textlink="">
      <cdr:nvSpPr>
        <cdr:cNvPr id="2" name="TextBox 1"/>
        <cdr:cNvSpPr txBox="1"/>
      </cdr:nvSpPr>
      <cdr:spPr>
        <a:xfrm xmlns:a="http://schemas.openxmlformats.org/drawingml/2006/main">
          <a:off x="3024336" y="2664297"/>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AU" sz="1100" dirty="0"/>
        </a:p>
      </cdr:txBody>
    </cdr:sp>
  </cdr:relSizeAnchor>
  <cdr:relSizeAnchor xmlns:cdr="http://schemas.openxmlformats.org/drawingml/2006/chartDrawing">
    <cdr:from>
      <cdr:x>0.38377</cdr:x>
      <cdr:y>0.86962</cdr:y>
    </cdr:from>
    <cdr:to>
      <cdr:x>0.80268</cdr:x>
      <cdr:y>0.91482</cdr:y>
    </cdr:to>
    <cdr:sp macro="" textlink="">
      <cdr:nvSpPr>
        <cdr:cNvPr id="5" name="Rectangle 4" descr="AUD Millions – 2016 prices&#10;"/>
        <cdr:cNvSpPr/>
      </cdr:nvSpPr>
      <cdr:spPr>
        <a:xfrm xmlns:a="http://schemas.openxmlformats.org/drawingml/2006/main">
          <a:off x="1720236" y="4044929"/>
          <a:ext cx="1877749" cy="210250"/>
        </a:xfrm>
        <a:prstGeom xmlns:a="http://schemas.openxmlformats.org/drawingml/2006/main" prst="rect">
          <a:avLst/>
        </a:prstGeom>
      </cdr:spPr>
      <cdr:txBody>
        <a:bodyPr xmlns:a="http://schemas.openxmlformats.org/drawingml/2006/main" wrap="square">
          <a:spAutoFit/>
        </a:bodyPr>
        <a:lstStyle xmlns:a="http://schemas.openxmlformats.org/drawingml/2006/main">
          <a:defPPr>
            <a:defRPr lang="en-US"/>
          </a:defPPr>
          <a:lvl1pPr algn="l" rtl="0" fontAlgn="base">
            <a:spcBef>
              <a:spcPct val="0"/>
            </a:spcBef>
            <a:spcAft>
              <a:spcPct val="0"/>
            </a:spcAft>
            <a:defRPr sz="2400" kern="1200">
              <a:solidFill>
                <a:schemeClr val="tx1"/>
              </a:solidFill>
              <a:latin typeface="Arial" charset="0"/>
              <a:ea typeface="ＭＳ Ｐゴシック" charset="0"/>
              <a:cs typeface="ＭＳ Ｐゴシック" charset="0"/>
            </a:defRPr>
          </a:lvl1pPr>
          <a:lvl2pPr marL="457200" algn="l" rtl="0" fontAlgn="base">
            <a:spcBef>
              <a:spcPct val="0"/>
            </a:spcBef>
            <a:spcAft>
              <a:spcPct val="0"/>
            </a:spcAft>
            <a:defRPr sz="2400" kern="1200">
              <a:solidFill>
                <a:schemeClr val="tx1"/>
              </a:solidFill>
              <a:latin typeface="Arial" charset="0"/>
              <a:ea typeface="ＭＳ Ｐゴシック" charset="0"/>
              <a:cs typeface="ＭＳ Ｐゴシック" charset="0"/>
            </a:defRPr>
          </a:lvl2pPr>
          <a:lvl3pPr marL="914400" algn="l" rtl="0" fontAlgn="base">
            <a:spcBef>
              <a:spcPct val="0"/>
            </a:spcBef>
            <a:spcAft>
              <a:spcPct val="0"/>
            </a:spcAft>
            <a:defRPr sz="2400" kern="1200">
              <a:solidFill>
                <a:schemeClr val="tx1"/>
              </a:solidFill>
              <a:latin typeface="Arial" charset="0"/>
              <a:ea typeface="ＭＳ Ｐゴシック" charset="0"/>
              <a:cs typeface="ＭＳ Ｐゴシック" charset="0"/>
            </a:defRPr>
          </a:lvl3pPr>
          <a:lvl4pPr marL="1371600" algn="l" rtl="0" fontAlgn="base">
            <a:spcBef>
              <a:spcPct val="0"/>
            </a:spcBef>
            <a:spcAft>
              <a:spcPct val="0"/>
            </a:spcAft>
            <a:defRPr sz="2400" kern="1200">
              <a:solidFill>
                <a:schemeClr val="tx1"/>
              </a:solidFill>
              <a:latin typeface="Arial" charset="0"/>
              <a:ea typeface="ＭＳ Ｐゴシック" charset="0"/>
              <a:cs typeface="ＭＳ Ｐゴシック" charset="0"/>
            </a:defRPr>
          </a:lvl4pPr>
          <a:lvl5pPr marL="1828800" algn="l" rtl="0" fontAlgn="base">
            <a:spcBef>
              <a:spcPct val="0"/>
            </a:spcBef>
            <a:spcAft>
              <a:spcPct val="0"/>
            </a:spcAft>
            <a:defRPr sz="2400" kern="1200">
              <a:solidFill>
                <a:schemeClr val="tx1"/>
              </a:solidFill>
              <a:latin typeface="Arial" charset="0"/>
              <a:ea typeface="ＭＳ Ｐゴシック" charset="0"/>
              <a:cs typeface="ＭＳ Ｐゴシック" charset="0"/>
            </a:defRPr>
          </a:lvl5pPr>
          <a:lvl6pPr marL="2286000" algn="l" defTabSz="457200" rtl="0" eaLnBrk="1" latinLnBrk="0" hangingPunct="1">
            <a:defRPr sz="2400" kern="1200">
              <a:solidFill>
                <a:schemeClr val="tx1"/>
              </a:solidFill>
              <a:latin typeface="Arial" charset="0"/>
              <a:ea typeface="ＭＳ Ｐゴシック" charset="0"/>
              <a:cs typeface="ＭＳ Ｐゴシック" charset="0"/>
            </a:defRPr>
          </a:lvl6pPr>
          <a:lvl7pPr marL="2743200" algn="l" defTabSz="457200" rtl="0" eaLnBrk="1" latinLnBrk="0" hangingPunct="1">
            <a:defRPr sz="2400" kern="1200">
              <a:solidFill>
                <a:schemeClr val="tx1"/>
              </a:solidFill>
              <a:latin typeface="Arial" charset="0"/>
              <a:ea typeface="ＭＳ Ｐゴシック" charset="0"/>
              <a:cs typeface="ＭＳ Ｐゴシック" charset="0"/>
            </a:defRPr>
          </a:lvl7pPr>
          <a:lvl8pPr marL="3200400" algn="l" defTabSz="457200" rtl="0" eaLnBrk="1" latinLnBrk="0" hangingPunct="1">
            <a:defRPr sz="2400" kern="1200">
              <a:solidFill>
                <a:schemeClr val="tx1"/>
              </a:solidFill>
              <a:latin typeface="Arial" charset="0"/>
              <a:ea typeface="ＭＳ Ｐゴシック" charset="0"/>
              <a:cs typeface="ＭＳ Ｐゴシック" charset="0"/>
            </a:defRPr>
          </a:lvl8pPr>
          <a:lvl9pPr marL="3657600" algn="l" defTabSz="457200" rtl="0" eaLnBrk="1" latinLnBrk="0" hangingPunct="1">
            <a:defRPr sz="2400" kern="1200">
              <a:solidFill>
                <a:schemeClr val="tx1"/>
              </a:solidFill>
              <a:latin typeface="Arial" charset="0"/>
              <a:ea typeface="ＭＳ Ｐゴシック" charset="0"/>
              <a:cs typeface="ＭＳ Ｐゴシック" charset="0"/>
            </a:defRPr>
          </a:lvl9pPr>
        </a:lstStyle>
        <a:p xmlns:a="http://schemas.openxmlformats.org/drawingml/2006/main">
          <a:pPr algn="ctr">
            <a:defRPr sz="600" b="0" i="0" u="none" strike="noStrike" kern="1200" baseline="0">
              <a:solidFill>
                <a:prstClr val="black">
                  <a:lumMod val="65000"/>
                  <a:lumOff val="35000"/>
                </a:prstClr>
              </a:solidFill>
              <a:latin typeface="+mn-lt"/>
              <a:ea typeface="+mn-ea"/>
              <a:cs typeface="+mn-cs"/>
            </a:defRPr>
          </a:pPr>
          <a:r>
            <a:rPr lang="en-US" sz="800" dirty="0" smtClean="0">
              <a:solidFill>
                <a:sysClr val="windowText" lastClr="000000"/>
              </a:solidFill>
            </a:rPr>
            <a:t>AUD Millions – 2016 prices</a:t>
          </a:r>
          <a:endParaRPr lang="en-US" sz="800" dirty="0">
            <a:solidFill>
              <a:sysClr val="windowText" lastClr="000000"/>
            </a:solidFill>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775952-3D6E-4F0B-8D35-6AA305C4C3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1148</Words>
  <Characters>6548</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2018-12-02T22:19:00Z</dcterms:created>
  <dcterms:modified xsi:type="dcterms:W3CDTF">2018-12-02T22:39:00Z</dcterms:modified>
</cp:coreProperties>
</file>