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10.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1.xml" ContentType="application/vnd.openxmlformats-officedocument.drawingml.chart+xml"/>
  <Override PartName="/word/charts/chart12.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3.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4.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5.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6.xml" ContentType="application/vnd.openxmlformats-officedocument.drawingml.chart+xml"/>
  <Override PartName="/word/charts/chart17.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8.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9.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20.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21.xml" ContentType="application/vnd.openxmlformats-officedocument.drawingml.chart+xml"/>
  <Override PartName="/word/charts/style16.xml" ContentType="application/vnd.ms-office.chartstyle+xml"/>
  <Override PartName="/word/charts/colors16.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Calibri" w:hAnsi="Arial" w:cs="Arial"/>
          <w:sz w:val="16"/>
          <w:szCs w:val="18"/>
          <w:lang w:val="en"/>
        </w:rPr>
        <w:id w:val="2056041559"/>
        <w:docPartObj>
          <w:docPartGallery w:val="Cover Pages"/>
          <w:docPartUnique/>
        </w:docPartObj>
      </w:sdtPr>
      <w:sdtContent>
        <w:tbl>
          <w:tblPr>
            <w:tblW w:w="0" w:type="auto"/>
            <w:tblInd w:w="-108" w:type="dxa"/>
            <w:tblLook w:val="04A0" w:firstRow="1" w:lastRow="0" w:firstColumn="1" w:lastColumn="0" w:noHBand="0" w:noVBand="1"/>
          </w:tblPr>
          <w:tblGrid>
            <w:gridCol w:w="9026"/>
          </w:tblGrid>
          <w:tr w:rsidR="00501A0C" w14:paraId="6DAE1C9C" w14:textId="77777777" w:rsidTr="0092649D">
            <w:trPr>
              <w:cantSplit/>
              <w:trHeight w:val="1418"/>
            </w:trPr>
            <w:tc>
              <w:tcPr>
                <w:tcW w:w="9026" w:type="dxa"/>
              </w:tcPr>
              <w:p w14:paraId="4D8B2242" w14:textId="41BDEE72" w:rsidR="00501A0C" w:rsidRDefault="00A91CA8" w:rsidP="00272659">
                <w:pPr>
                  <w:pStyle w:val="CoverNormal"/>
                </w:pPr>
                <w:r>
                  <w:rPr>
                    <w:noProof/>
                    <w:lang w:eastAsia="en-AU"/>
                  </w:rPr>
                  <w:drawing>
                    <wp:anchor distT="0" distB="0" distL="114300" distR="114300" simplePos="0" relativeHeight="251658249" behindDoc="0" locked="0" layoutInCell="1" allowOverlap="1" wp14:anchorId="32C4395B" wp14:editId="74D4BBAA">
                      <wp:simplePos x="0" y="0"/>
                      <wp:positionH relativeFrom="column">
                        <wp:posOffset>2763520</wp:posOffset>
                      </wp:positionH>
                      <wp:positionV relativeFrom="paragraph">
                        <wp:posOffset>0</wp:posOffset>
                      </wp:positionV>
                      <wp:extent cx="2892425" cy="454025"/>
                      <wp:effectExtent l="0" t="0" r="3175" b="3175"/>
                      <wp:wrapSquare wrapText="bothSides"/>
                      <wp:docPr id="14" name="Picture 14" title="Office of the Chief Econ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2425" cy="4540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8250" behindDoc="0" locked="0" layoutInCell="1" allowOverlap="1" wp14:anchorId="4F72ED2D" wp14:editId="1DF4B592">
                      <wp:simplePos x="0" y="0"/>
                      <wp:positionH relativeFrom="column">
                        <wp:posOffset>-29845</wp:posOffset>
                      </wp:positionH>
                      <wp:positionV relativeFrom="paragraph">
                        <wp:posOffset>0</wp:posOffset>
                      </wp:positionV>
                      <wp:extent cx="2610485" cy="678815"/>
                      <wp:effectExtent l="0" t="0" r="0" b="6985"/>
                      <wp:wrapSquare wrapText="bothSides"/>
                      <wp:docPr id="30" name="Picture 30" title="Economic Data and Analysis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D40949.9BC9991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610485" cy="678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01A0C" w14:paraId="66A4061F" w14:textId="77777777" w:rsidTr="0092649D">
            <w:trPr>
              <w:cantSplit/>
              <w:trHeight w:hRule="exact" w:val="1417"/>
            </w:trPr>
            <w:tc>
              <w:tcPr>
                <w:tcW w:w="9026" w:type="dxa"/>
                <w:vAlign w:val="bottom"/>
              </w:tcPr>
              <w:p w14:paraId="4B8C7652" w14:textId="4B37D5F7" w:rsidR="00501A0C" w:rsidRDefault="00501A0C" w:rsidP="00560F5C">
                <w:pPr>
                  <w:pStyle w:val="ResearchPaper"/>
                </w:pPr>
                <w:r>
                  <w:t xml:space="preserve">Research Paper </w:t>
                </w:r>
              </w:p>
            </w:tc>
          </w:tr>
          <w:tr w:rsidR="00501A0C" w:rsidRPr="00CF654B" w14:paraId="366D82BA" w14:textId="77777777" w:rsidTr="0092649D">
            <w:trPr>
              <w:cantSplit/>
            </w:trPr>
            <w:sdt>
              <w:sdtPr>
                <w:rPr>
                  <w:rStyle w:val="TitleHeadingChar"/>
                  <w:b/>
                </w:rPr>
                <w:alias w:val="Research Paper Title"/>
                <w:tag w:val="Research Paper Title"/>
                <w:id w:val="803742244"/>
                <w:placeholder>
                  <w:docPart w:val="9A3ABF86518E4B9E88FAD4A12C731797"/>
                </w:placeholder>
              </w:sdtPr>
              <w:sdtEndPr>
                <w:rPr>
                  <w:rStyle w:val="DefaultParagraphFont"/>
                  <w:b w:val="0"/>
                </w:rPr>
              </w:sdtEndPr>
              <w:sdtContent>
                <w:tc>
                  <w:tcPr>
                    <w:tcW w:w="9026" w:type="dxa"/>
                  </w:tcPr>
                  <w:p w14:paraId="3D8BC767" w14:textId="713A3CB5" w:rsidR="00501A0C" w:rsidRPr="00E018A4" w:rsidRDefault="00484581" w:rsidP="00613607">
                    <w:pPr>
                      <w:pStyle w:val="TitleHeading"/>
                      <w:rPr>
                        <w:b/>
                      </w:rPr>
                    </w:pPr>
                    <w:r>
                      <w:rPr>
                        <w:rStyle w:val="TitleHeadingChar"/>
                      </w:rPr>
                      <w:t>S</w:t>
                    </w:r>
                    <w:r w:rsidR="009255C6" w:rsidRPr="009255C6">
                      <w:rPr>
                        <w:rStyle w:val="TitleHeadingChar"/>
                      </w:rPr>
                      <w:t xml:space="preserve">trategic management </w:t>
                    </w:r>
                    <w:r w:rsidR="009255C6">
                      <w:rPr>
                        <w:rStyle w:val="TitleHeadingChar"/>
                      </w:rPr>
                      <w:t>in Australian firms</w:t>
                    </w:r>
                  </w:p>
                </w:tc>
              </w:sdtContent>
            </w:sdt>
          </w:tr>
          <w:tr w:rsidR="00501A0C" w14:paraId="1333E448" w14:textId="77777777" w:rsidTr="0092649D">
            <w:trPr>
              <w:cantSplit/>
            </w:trPr>
            <w:tc>
              <w:tcPr>
                <w:tcW w:w="9026" w:type="dxa"/>
                <w:vAlign w:val="center"/>
              </w:tcPr>
              <w:p w14:paraId="7595D865" w14:textId="238D21C6" w:rsidR="00501A0C" w:rsidRDefault="00E337E5" w:rsidP="00E337E5">
                <w:pPr>
                  <w:pStyle w:val="Author"/>
                  <w:spacing w:line="360" w:lineRule="exact"/>
                </w:pPr>
                <w:r w:rsidRPr="00E337E5">
                  <w:t>Ian Moran</w:t>
                </w:r>
                <w:r w:rsidR="006B08AB">
                  <w:t xml:space="preserve"> </w:t>
                </w:r>
                <w:r w:rsidR="006B08AB">
                  <w:rPr>
                    <w:vertAlign w:val="superscript"/>
                  </w:rPr>
                  <w:t>A</w:t>
                </w:r>
                <w:r w:rsidRPr="00E337E5">
                  <w:t>, Antonio Balaguer</w:t>
                </w:r>
                <w:r w:rsidR="006B08AB">
                  <w:t xml:space="preserve"> </w:t>
                </w:r>
                <w:r w:rsidR="006B08AB">
                  <w:rPr>
                    <w:vertAlign w:val="superscript"/>
                  </w:rPr>
                  <w:t>A</w:t>
                </w:r>
                <w:r w:rsidRPr="00E337E5">
                  <w:t>, Omer Majeed</w:t>
                </w:r>
                <w:r w:rsidR="006B08AB">
                  <w:t xml:space="preserve"> </w:t>
                </w:r>
                <w:r w:rsidR="006B08AB">
                  <w:rPr>
                    <w:vertAlign w:val="superscript"/>
                  </w:rPr>
                  <w:t>A</w:t>
                </w:r>
                <w:r w:rsidRPr="00E337E5">
                  <w:t>, Renu Agarwal</w:t>
                </w:r>
                <w:r w:rsidR="006B08AB">
                  <w:rPr>
                    <w:vertAlign w:val="superscript"/>
                  </w:rPr>
                  <w:t xml:space="preserve"> B</w:t>
                </w:r>
                <w:r w:rsidRPr="00E337E5">
                  <w:t>, Christopher Bajada</w:t>
                </w:r>
                <w:r>
                  <w:rPr>
                    <w:vertAlign w:val="superscript"/>
                  </w:rPr>
                  <w:t xml:space="preserve"> </w:t>
                </w:r>
                <w:r w:rsidR="006B08AB">
                  <w:rPr>
                    <w:vertAlign w:val="superscript"/>
                  </w:rPr>
                  <w:t>B</w:t>
                </w:r>
                <w:r w:rsidRPr="00E337E5">
                  <w:t xml:space="preserve"> and Paul James Brown</w:t>
                </w:r>
                <w:r w:rsidR="006B08AB">
                  <w:rPr>
                    <w:vertAlign w:val="superscript"/>
                  </w:rPr>
                  <w:t xml:space="preserve"> B</w:t>
                </w:r>
              </w:p>
              <w:p w14:paraId="64614CD2" w14:textId="77777777" w:rsidR="006B08AB" w:rsidRDefault="006B08AB" w:rsidP="00652796">
                <w:pPr>
                  <w:pStyle w:val="Author"/>
                  <w:spacing w:before="360" w:line="240" w:lineRule="auto"/>
                  <w:rPr>
                    <w:sz w:val="24"/>
                  </w:rPr>
                </w:pPr>
                <w:r w:rsidRPr="00D61636">
                  <w:rPr>
                    <w:sz w:val="24"/>
                    <w:vertAlign w:val="superscript"/>
                  </w:rPr>
                  <w:t>A</w:t>
                </w:r>
                <w:r>
                  <w:rPr>
                    <w:sz w:val="24"/>
                    <w:vertAlign w:val="superscript"/>
                  </w:rPr>
                  <w:t xml:space="preserve"> </w:t>
                </w:r>
                <w:r w:rsidRPr="00D61636">
                  <w:rPr>
                    <w:sz w:val="24"/>
                  </w:rPr>
                  <w:t>Department of I</w:t>
                </w:r>
                <w:r>
                  <w:rPr>
                    <w:sz w:val="24"/>
                  </w:rPr>
                  <w:t>ndustry, Innovation and Science</w:t>
                </w:r>
              </w:p>
              <w:p w14:paraId="223CD7EA" w14:textId="50B70E40" w:rsidR="00501A0C" w:rsidRDefault="006B08AB" w:rsidP="00B54FF9">
                <w:pPr>
                  <w:pStyle w:val="Author"/>
                  <w:spacing w:line="240" w:lineRule="auto"/>
                </w:pPr>
                <w:r w:rsidRPr="00D61636">
                  <w:rPr>
                    <w:sz w:val="24"/>
                    <w:vertAlign w:val="superscript"/>
                  </w:rPr>
                  <w:t>B</w:t>
                </w:r>
                <w:r>
                  <w:rPr>
                    <w:sz w:val="24"/>
                    <w:vertAlign w:val="superscript"/>
                  </w:rPr>
                  <w:t xml:space="preserve"> </w:t>
                </w:r>
                <w:r>
                  <w:rPr>
                    <w:sz w:val="24"/>
                  </w:rPr>
                  <w:t>University</w:t>
                </w:r>
                <w:r w:rsidR="002E57B1">
                  <w:rPr>
                    <w:sz w:val="24"/>
                  </w:rPr>
                  <w:t xml:space="preserve"> of</w:t>
                </w:r>
                <w:r>
                  <w:rPr>
                    <w:sz w:val="24"/>
                  </w:rPr>
                  <w:t xml:space="preserve"> Technology Sydney</w:t>
                </w:r>
              </w:p>
            </w:tc>
          </w:tr>
          <w:tr w:rsidR="00501A0C" w14:paraId="70AC0A3C" w14:textId="77777777" w:rsidTr="0092649D">
            <w:trPr>
              <w:cantSplit/>
            </w:trPr>
            <w:tc>
              <w:tcPr>
                <w:tcW w:w="9026" w:type="dxa"/>
                <w:vAlign w:val="center"/>
              </w:tcPr>
              <w:p w14:paraId="48C96171" w14:textId="03ECF28A" w:rsidR="00501A0C" w:rsidRDefault="00501A0C" w:rsidP="00847E2D">
                <w:pPr>
                  <w:pStyle w:val="MonthYear"/>
                  <w:spacing w:before="240"/>
                </w:pPr>
                <w:r>
                  <w:fldChar w:fldCharType="begin"/>
                </w:r>
                <w:r>
                  <w:instrText xml:space="preserve"> DATE  \@ "MMMM yyyy"  \* MERGEFORMAT </w:instrText>
                </w:r>
                <w:r>
                  <w:fldChar w:fldCharType="separate"/>
                </w:r>
                <w:r w:rsidR="0002247A">
                  <w:rPr>
                    <w:noProof/>
                  </w:rPr>
                  <w:t>December 2018</w:t>
                </w:r>
                <w:r>
                  <w:fldChar w:fldCharType="end"/>
                </w:r>
              </w:p>
            </w:tc>
          </w:tr>
          <w:tr w:rsidR="00501A0C" w14:paraId="224E7E8D" w14:textId="77777777" w:rsidTr="0092649D">
            <w:trPr>
              <w:cantSplit/>
              <w:trHeight w:val="765"/>
            </w:trPr>
            <w:tc>
              <w:tcPr>
                <w:tcW w:w="9026" w:type="dxa"/>
              </w:tcPr>
              <w:p w14:paraId="13118601" w14:textId="77777777" w:rsidR="00501A0C" w:rsidRDefault="00501A0C" w:rsidP="00B83E6D">
                <w:pPr>
                  <w:pStyle w:val="AbstractHeader"/>
                </w:pPr>
                <w:r w:rsidRPr="002054C2">
                  <w:t>Abstract</w:t>
                </w:r>
              </w:p>
            </w:tc>
          </w:tr>
          <w:tr w:rsidR="00501A0C" w14:paraId="6214A53D" w14:textId="77777777" w:rsidTr="0092649D">
            <w:trPr>
              <w:cantSplit/>
              <w:trHeight w:val="1125"/>
            </w:trPr>
            <w:tc>
              <w:tcPr>
                <w:tcW w:w="9026" w:type="dxa"/>
              </w:tcPr>
              <w:p w14:paraId="3859A4D1" w14:textId="3E410CB3" w:rsidR="00501A0C" w:rsidRPr="00C63547" w:rsidRDefault="0009665D">
                <w:pPr>
                  <w:pStyle w:val="AbstractText"/>
                  <w:spacing w:after="0"/>
                  <w:jc w:val="both"/>
                </w:pPr>
                <w:r>
                  <w:t>Management practices appear to be a key driver of firm outcomes, however evidence suggest</w:t>
                </w:r>
                <w:r w:rsidR="0075355B">
                  <w:t>s that</w:t>
                </w:r>
                <w:r>
                  <w:t xml:space="preserve"> firms have little awareness of how their management practices compare with</w:t>
                </w:r>
                <w:r w:rsidR="00C963B0">
                  <w:t xml:space="preserve"> </w:t>
                </w:r>
                <w:r w:rsidR="002E57B1">
                  <w:t>those of</w:t>
                </w:r>
                <w:r w:rsidR="00B54FF9">
                  <w:t xml:space="preserve"> other</w:t>
                </w:r>
                <w:r>
                  <w:t xml:space="preserve"> firms and best practice. To</w:t>
                </w:r>
                <w:r w:rsidR="00FA636A">
                  <w:t xml:space="preserve"> </w:t>
                </w:r>
                <w:r w:rsidR="00C963B0">
                  <w:t xml:space="preserve">improve </w:t>
                </w:r>
                <w:r w:rsidR="00FA636A">
                  <w:t>understand</w:t>
                </w:r>
                <w:r w:rsidR="00C963B0">
                  <w:t>ing</w:t>
                </w:r>
                <w:r w:rsidR="002E57B1">
                  <w:t xml:space="preserve"> of</w:t>
                </w:r>
                <w:r w:rsidR="00FA636A">
                  <w:t xml:space="preserve"> management capability in Australia and</w:t>
                </w:r>
                <w:r>
                  <w:t xml:space="preserve"> facilitate self</w:t>
                </w:r>
                <w:r w:rsidR="00C963B0">
                  <w:noBreakHyphen/>
                </w:r>
                <w:r>
                  <w:t xml:space="preserve">assessment, we develop a simple classification of strategic management using </w:t>
                </w:r>
                <w:r w:rsidR="00597463">
                  <w:t xml:space="preserve">a cross section of </w:t>
                </w:r>
                <w:r w:rsidR="003B4704">
                  <w:t xml:space="preserve">the Australian Bureau of Statistics' </w:t>
                </w:r>
                <w:r w:rsidR="004F5699" w:rsidRPr="004F5699">
                  <w:t>Management and Organisational Capabilities</w:t>
                </w:r>
                <w:r w:rsidR="000E284E">
                  <w:t xml:space="preserve"> Module</w:t>
                </w:r>
                <w:r w:rsidR="003B4704">
                  <w:t xml:space="preserve">. </w:t>
                </w:r>
                <w:r w:rsidR="0075355B">
                  <w:t>Our</w:t>
                </w:r>
                <w:r>
                  <w:t xml:space="preserve"> </w:t>
                </w:r>
                <w:r w:rsidR="00FA636A">
                  <w:t>measure</w:t>
                </w:r>
                <w:r w:rsidR="0075355B">
                  <w:t xml:space="preserve"> </w:t>
                </w:r>
                <w:r w:rsidR="004F5699">
                  <w:t xml:space="preserve">of </w:t>
                </w:r>
                <w:r w:rsidR="0075355B">
                  <w:t>strategic management correlate</w:t>
                </w:r>
                <w:r w:rsidR="004F5699">
                  <w:t>s</w:t>
                </w:r>
                <w:r>
                  <w:t xml:space="preserve"> strongly with </w:t>
                </w:r>
                <w:r w:rsidR="002B54D7">
                  <w:t>broader</w:t>
                </w:r>
                <w:r>
                  <w:t xml:space="preserve"> management practices and with a </w:t>
                </w:r>
                <w:r w:rsidR="002719FB">
                  <w:t>separately constructed</w:t>
                </w:r>
                <w:r w:rsidR="000E284E">
                  <w:t>,</w:t>
                </w:r>
                <w:r w:rsidR="002719FB">
                  <w:t xml:space="preserve"> </w:t>
                </w:r>
                <w:r>
                  <w:t xml:space="preserve">data-driven </w:t>
                </w:r>
                <w:r w:rsidR="002719FB">
                  <w:t>summary</w:t>
                </w:r>
                <w:r>
                  <w:t xml:space="preserve"> measure of management </w:t>
                </w:r>
                <w:r w:rsidR="002719FB">
                  <w:t>practices</w:t>
                </w:r>
                <w:r>
                  <w:t xml:space="preserve"> created using multiple correspondence analysis. The </w:t>
                </w:r>
                <w:r w:rsidR="000E284E">
                  <w:t xml:space="preserve">strategic management </w:t>
                </w:r>
                <w:r>
                  <w:t>classification is positively associated with: rates of innovation; search for collaborative opportunities; responsiveness to skill and supply chain issues; and labour productivity at the firm level. We</w:t>
                </w:r>
                <w:r w:rsidR="0075355B">
                  <w:t xml:space="preserve"> </w:t>
                </w:r>
                <w:r w:rsidR="00476464">
                  <w:t>examine</w:t>
                </w:r>
                <w:r>
                  <w:t xml:space="preserve"> several </w:t>
                </w:r>
                <w:r w:rsidR="000E284E">
                  <w:t>potential drivers of</w:t>
                </w:r>
                <w:r w:rsidR="0075355B">
                  <w:t xml:space="preserve"> strategic management capability</w:t>
                </w:r>
                <w:r w:rsidR="00A03E80">
                  <w:t xml:space="preserve"> and find that higher levels of education and fore</w:t>
                </w:r>
                <w:r w:rsidR="008964E5">
                  <w:t>ign ownership contribute to</w:t>
                </w:r>
                <w:r w:rsidR="00A03E80">
                  <w:t xml:space="preserve"> stronger strategic management capabilities. </w:t>
                </w:r>
              </w:p>
            </w:tc>
          </w:tr>
          <w:tr w:rsidR="00501A0C" w14:paraId="1C82E917" w14:textId="77777777" w:rsidTr="0092649D">
            <w:trPr>
              <w:cantSplit/>
              <w:trHeight w:val="1125"/>
            </w:trPr>
            <w:tc>
              <w:tcPr>
                <w:tcW w:w="9026" w:type="dxa"/>
              </w:tcPr>
              <w:p w14:paraId="4D1401A8" w14:textId="180AD7B6" w:rsidR="00501A0C" w:rsidRPr="00116A9D" w:rsidRDefault="00501A0C" w:rsidP="00EA6228">
                <w:pPr>
                  <w:pStyle w:val="JELCodeheader"/>
                  <w:spacing w:before="240"/>
                  <w:rPr>
                    <w:b w:val="0"/>
                  </w:rPr>
                </w:pPr>
                <w:r w:rsidRPr="000502F2">
                  <w:rPr>
                    <w:color w:val="005CAF"/>
                  </w:rPr>
                  <w:t>JEL Codes:</w:t>
                </w:r>
                <w:r w:rsidRPr="000502F2">
                  <w:rPr>
                    <w:b w:val="0"/>
                    <w:color w:val="005CAF"/>
                  </w:rPr>
                  <w:t xml:space="preserve"> </w:t>
                </w:r>
                <w:r w:rsidR="004552D4" w:rsidRPr="004552D4">
                  <w:rPr>
                    <w:b w:val="0"/>
                  </w:rPr>
                  <w:t>L2, M2</w:t>
                </w:r>
              </w:p>
              <w:p w14:paraId="256B32A7" w14:textId="6F478D51" w:rsidR="00501A0C" w:rsidRPr="002054C2" w:rsidRDefault="00501A0C" w:rsidP="00F36DF5">
                <w:pPr>
                  <w:pStyle w:val="JELCodeheader"/>
                </w:pPr>
                <w:r w:rsidRPr="000502F2">
                  <w:rPr>
                    <w:color w:val="005CAF"/>
                  </w:rPr>
                  <w:t>Keywords:</w:t>
                </w:r>
                <w:r w:rsidRPr="00116A9D">
                  <w:rPr>
                    <w:b w:val="0"/>
                  </w:rPr>
                  <w:t xml:space="preserve"> </w:t>
                </w:r>
                <w:r w:rsidR="00E337E5">
                  <w:rPr>
                    <w:b w:val="0"/>
                  </w:rPr>
                  <w:t xml:space="preserve">Management practices, management </w:t>
                </w:r>
                <w:r w:rsidR="00F36DF5">
                  <w:rPr>
                    <w:b w:val="0"/>
                  </w:rPr>
                  <w:t>categories</w:t>
                </w:r>
                <w:r w:rsidR="00E337E5">
                  <w:rPr>
                    <w:b w:val="0"/>
                  </w:rPr>
                  <w:t xml:space="preserve">, </w:t>
                </w:r>
                <w:r w:rsidR="00A03E80">
                  <w:rPr>
                    <w:b w:val="0"/>
                  </w:rPr>
                  <w:t>management capability,</w:t>
                </w:r>
                <w:r w:rsidR="00E337E5">
                  <w:rPr>
                    <w:b w:val="0"/>
                  </w:rPr>
                  <w:t xml:space="preserve"> strategic management, productivity, firm performance.</w:t>
                </w:r>
              </w:p>
            </w:tc>
          </w:tr>
        </w:tbl>
        <w:p w14:paraId="472445B5" w14:textId="03655475" w:rsidR="00501A0C" w:rsidRDefault="00501A0C" w:rsidP="00326704">
          <w:pPr>
            <w:ind w:left="-142" w:firstLine="142"/>
          </w:pPr>
          <w:r>
            <w:rPr>
              <w:noProof/>
              <w:lang w:eastAsia="en-AU"/>
            </w:rPr>
            <w:lastRenderedPageBreak/>
            <w:drawing>
              <wp:anchor distT="0" distB="0" distL="114300" distR="114300" simplePos="0" relativeHeight="251658241" behindDoc="0" locked="0" layoutInCell="1" allowOverlap="1" wp14:anchorId="164A3DF4" wp14:editId="5C458A85">
                <wp:simplePos x="0" y="0"/>
                <wp:positionH relativeFrom="column">
                  <wp:posOffset>1371600</wp:posOffset>
                </wp:positionH>
                <wp:positionV relativeFrom="paragraph">
                  <wp:posOffset>-66675</wp:posOffset>
                </wp:positionV>
                <wp:extent cx="3841040" cy="604800"/>
                <wp:effectExtent l="0" t="0" r="7620" b="5080"/>
                <wp:wrapSquare wrapText="bothSides"/>
                <wp:docPr id="15" name="Picture 15" title="Office of the Chief Ecom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41040" cy="604800"/>
                        </a:xfrm>
                        <a:prstGeom prst="rect">
                          <a:avLst/>
                        </a:prstGeom>
                      </pic:spPr>
                    </pic:pic>
                  </a:graphicData>
                </a:graphic>
                <wp14:sizeRelH relativeFrom="margin">
                  <wp14:pctWidth>0</wp14:pctWidth>
                </wp14:sizeRelH>
                <wp14:sizeRelV relativeFrom="margin">
                  <wp14:pctHeight>0</wp14:pctHeight>
                </wp14:sizeRelV>
              </wp:anchor>
            </w:drawing>
          </w:r>
        </w:p>
        <w:p w14:paraId="71E259E9" w14:textId="77777777" w:rsidR="00EA6228" w:rsidRDefault="00EA6228" w:rsidP="0092649D">
          <w:pPr>
            <w:ind w:left="0"/>
          </w:pPr>
        </w:p>
        <w:p w14:paraId="77FBEB73" w14:textId="77777777" w:rsidR="00EA6228" w:rsidRDefault="00EA6228" w:rsidP="0092649D">
          <w:pPr>
            <w:ind w:left="0"/>
          </w:pPr>
        </w:p>
        <w:p w14:paraId="02979716" w14:textId="77777777" w:rsidR="00501A0C" w:rsidRDefault="00501A0C" w:rsidP="0092649D">
          <w:pPr>
            <w:pStyle w:val="DisclaimerHeading"/>
            <w:keepNext/>
            <w:numPr>
              <w:ilvl w:val="7"/>
              <w:numId w:val="3"/>
            </w:numPr>
            <w:pBdr>
              <w:top w:val="single" w:sz="4" w:space="2" w:color="595A5B"/>
            </w:pBdr>
            <w:spacing w:before="240"/>
            <w:ind w:left="2052"/>
            <w:outlineLvl w:val="7"/>
          </w:pPr>
          <w:r w:rsidRPr="00CF654B">
            <w:t>For</w:t>
          </w:r>
          <w:r w:rsidRPr="00F12E30">
            <w:t xml:space="preserve"> further information on this research paper please </w:t>
          </w:r>
          <w:r w:rsidRPr="00B91524">
            <w:t xml:space="preserve">contact: </w:t>
          </w:r>
        </w:p>
        <w:p w14:paraId="0C8BEA0E" w14:textId="23FA36A0" w:rsidR="00501A0C" w:rsidRPr="00EC76AE" w:rsidRDefault="003B4704" w:rsidP="0092649D">
          <w:pPr>
            <w:pStyle w:val="DisclaimerandAcknowledgement"/>
            <w:ind w:left="2052"/>
          </w:pPr>
          <w:r>
            <w:t>Ian Moran</w:t>
          </w:r>
        </w:p>
        <w:p w14:paraId="6E9EE45E" w14:textId="145DFB43" w:rsidR="00501A0C" w:rsidRPr="00EC76AE" w:rsidRDefault="003B4704" w:rsidP="0092649D">
          <w:pPr>
            <w:pStyle w:val="DisclaimerandAcknowledgement"/>
            <w:ind w:left="2052"/>
          </w:pPr>
          <w:r>
            <w:t>Innovation Research</w:t>
          </w:r>
        </w:p>
        <w:p w14:paraId="60ABCD58" w14:textId="77777777" w:rsidR="00501A0C" w:rsidRPr="00B91524" w:rsidRDefault="00501A0C" w:rsidP="0092649D">
          <w:pPr>
            <w:pStyle w:val="DisclaimerandAcknowledgement"/>
            <w:ind w:left="2052"/>
          </w:pPr>
          <w:r w:rsidRPr="00B91524">
            <w:t>Department of Industry</w:t>
          </w:r>
          <w:r>
            <w:t>, Innovation and Science</w:t>
          </w:r>
        </w:p>
        <w:p w14:paraId="39F1868E" w14:textId="77777777" w:rsidR="00501A0C" w:rsidRPr="00EC76AE" w:rsidRDefault="00501A0C" w:rsidP="0092649D">
          <w:pPr>
            <w:pStyle w:val="DisclaimerandAcknowledgement"/>
            <w:ind w:left="2052"/>
          </w:pPr>
          <w:r w:rsidRPr="00EC76AE">
            <w:t>GPO Box 9839</w:t>
          </w:r>
        </w:p>
        <w:p w14:paraId="01C3CA69" w14:textId="77777777" w:rsidR="00501A0C" w:rsidRPr="00EC76AE" w:rsidRDefault="00501A0C" w:rsidP="0092649D">
          <w:pPr>
            <w:pStyle w:val="DisclaimerandAcknowledgement"/>
            <w:ind w:left="2052"/>
          </w:pPr>
          <w:r w:rsidRPr="00EC76AE">
            <w:t>Canberra ACT 2601</w:t>
          </w:r>
        </w:p>
        <w:p w14:paraId="4F38C2EF" w14:textId="6579B7AB" w:rsidR="00501A0C" w:rsidRPr="00EC76AE" w:rsidRDefault="00501A0C" w:rsidP="0092649D">
          <w:pPr>
            <w:pStyle w:val="DisclaimerandAcknowledgement"/>
            <w:ind w:left="2052"/>
          </w:pPr>
          <w:r w:rsidRPr="00EC76AE">
            <w:t>Phone :</w:t>
          </w:r>
          <w:r>
            <w:t xml:space="preserve"> +61 2 </w:t>
          </w:r>
          <w:r w:rsidR="00F30E1F">
            <w:t>62</w:t>
          </w:r>
          <w:r w:rsidR="003B4704">
            <w:t>43</w:t>
          </w:r>
          <w:r w:rsidR="00F30E1F">
            <w:t xml:space="preserve"> </w:t>
          </w:r>
          <w:r w:rsidR="003B4704">
            <w:t>7316</w:t>
          </w:r>
        </w:p>
        <w:p w14:paraId="4F9B2BC8" w14:textId="0C799985" w:rsidR="00501A0C" w:rsidRDefault="00501A0C" w:rsidP="0092649D">
          <w:pPr>
            <w:pStyle w:val="DisclaimerandAcknowledgement"/>
            <w:ind w:left="2052"/>
            <w:rPr>
              <w:rStyle w:val="HyperlinkStyleChar"/>
            </w:rPr>
          </w:pPr>
          <w:r w:rsidRPr="00EC76AE">
            <w:t xml:space="preserve">Email: </w:t>
          </w:r>
          <w:hyperlink r:id="rId16" w:history="1">
            <w:r w:rsidR="0022373F" w:rsidRPr="00E44025">
              <w:rPr>
                <w:rStyle w:val="Hyperlink"/>
              </w:rPr>
              <w:t>ian.moran@industry.gov.au</w:t>
            </w:r>
          </w:hyperlink>
        </w:p>
        <w:p w14:paraId="0EEB8A26" w14:textId="77777777" w:rsidR="00501A0C" w:rsidRPr="00EC76AE" w:rsidRDefault="00501A0C" w:rsidP="0092649D">
          <w:pPr>
            <w:pStyle w:val="DisclaimerHeading"/>
            <w:keepNext/>
            <w:numPr>
              <w:ilvl w:val="7"/>
              <w:numId w:val="3"/>
            </w:numPr>
            <w:spacing w:before="240"/>
            <w:ind w:left="2052"/>
            <w:outlineLvl w:val="7"/>
          </w:pPr>
          <w:r w:rsidRPr="00EC76AE">
            <w:t>Disclaimer</w:t>
          </w:r>
        </w:p>
        <w:p w14:paraId="7D1F9C42" w14:textId="0E74AA82" w:rsidR="00501A0C" w:rsidRDefault="00501A0C" w:rsidP="0092649D">
          <w:pPr>
            <w:pStyle w:val="DisclaimerandAcknowledgement"/>
            <w:spacing w:after="0"/>
            <w:ind w:left="2052"/>
          </w:pPr>
          <w:r>
            <w:t xml:space="preserve">The views expressed in this report are those of the author(s) and do not necessarily reflect those of the Australian Government or the Department of </w:t>
          </w:r>
          <w:r w:rsidRPr="00B91524">
            <w:t>Industry</w:t>
          </w:r>
          <w:r>
            <w:t>, Innovation and Science.</w:t>
          </w:r>
        </w:p>
        <w:p w14:paraId="6A731252" w14:textId="0820DBB9" w:rsidR="009255C6" w:rsidRPr="00EC76AE" w:rsidRDefault="009255C6" w:rsidP="0092649D">
          <w:pPr>
            <w:pStyle w:val="DisclaimerHeading"/>
            <w:keepNext/>
            <w:numPr>
              <w:ilvl w:val="7"/>
              <w:numId w:val="3"/>
            </w:numPr>
            <w:spacing w:before="240"/>
            <w:ind w:left="2052"/>
            <w:outlineLvl w:val="7"/>
          </w:pPr>
          <w:r>
            <w:t>The Australian Bureau of Statistics’ (ABS) Business Longitudinal Analysis Data Environment Disclaimer</w:t>
          </w:r>
        </w:p>
        <w:p w14:paraId="21260FE8" w14:textId="3B0E49A5" w:rsidR="009255C6" w:rsidRDefault="009255C6" w:rsidP="0092649D">
          <w:pPr>
            <w:pStyle w:val="DisclaimerandAcknowledgement"/>
            <w:ind w:left="2052"/>
          </w:pPr>
          <w:r>
            <w:t xml:space="preserve">The results of these studies are based, in part, on Australian Business Register (ABR) data supplied by the Registrar to the ABS under A New Tax System (Australian Business Number) Act 1999 and tax data supplied by the Australian Tax Office (ATO) to the ABS under the Taxation Administration Act 1953. These require that such data is only used for the purpose of carrying out functions of the ABS. No individual information collected under the Census and Statistics Act 1905 is provided back to the Registrar or ATO for administrative or regulatory purposes. Any discussion of data limitations or weaknesses is in the context of using the data for statistical purposes, and is not related to the ability of the data to support the ABR or ATO’s core operational requirements. Legislative requirements to ensure privacy and secrecy of this data have been followed. Only people authorised under the Australian Bureau of Statistics Act 1975 have been allowed to view data about any particular firm in conducting these analyses. In accordance with the Census and Statistics Act 1905, results have been confidentialised to ensure that they are not likely to enable identification of a particular person or organisation. </w:t>
          </w:r>
        </w:p>
        <w:p w14:paraId="4DCBF6E3" w14:textId="72CF6BB3" w:rsidR="009255C6" w:rsidRDefault="009255C6" w:rsidP="0092649D">
          <w:pPr>
            <w:pStyle w:val="DisclaimerandAcknowledgement"/>
            <w:ind w:left="2052"/>
          </w:pPr>
          <w:r>
            <w:t xml:space="preserve">The views expressed in this report are those of the author(s) and do not necessarily reflect those of the Australian Government or the Department of </w:t>
          </w:r>
          <w:r w:rsidRPr="00B91524">
            <w:t>Industry</w:t>
          </w:r>
          <w:r>
            <w:t>, Innovation and Science.</w:t>
          </w:r>
        </w:p>
        <w:p w14:paraId="40BA829E" w14:textId="77777777" w:rsidR="00501A0C" w:rsidRPr="00EC76AE" w:rsidRDefault="00501A0C" w:rsidP="0092649D">
          <w:pPr>
            <w:pStyle w:val="DisclaimerandAcknowledgement"/>
            <w:ind w:left="2052"/>
          </w:pPr>
          <w:r w:rsidRPr="00EC76AE">
            <w:sym w:font="Symbol" w:char="F0D3"/>
          </w:r>
          <w:r w:rsidRPr="00EC76AE">
            <w:t xml:space="preserve"> Commonwealth of Australia</w:t>
          </w:r>
          <w:r>
            <w:t xml:space="preserve"> </w:t>
          </w:r>
          <w:r>
            <w:fldChar w:fldCharType="begin"/>
          </w:r>
          <w:r>
            <w:instrText xml:space="preserve"> DATE  \@ "yyyy"  \* MERGEFORMAT </w:instrText>
          </w:r>
          <w:r>
            <w:fldChar w:fldCharType="separate"/>
          </w:r>
          <w:r w:rsidR="0002247A">
            <w:rPr>
              <w:noProof/>
            </w:rPr>
            <w:t>2018</w:t>
          </w:r>
          <w:r>
            <w:fldChar w:fldCharType="end"/>
          </w:r>
          <w:r>
            <w:t>.</w:t>
          </w:r>
          <w:r w:rsidRPr="00EC76AE">
            <w:t xml:space="preserve"> </w:t>
          </w:r>
        </w:p>
        <w:p w14:paraId="4E31BDF1" w14:textId="0592FB57" w:rsidR="00501A0C" w:rsidRDefault="00501A0C" w:rsidP="0092649D">
          <w:pPr>
            <w:pStyle w:val="DisclaimerandAcknowledgement"/>
            <w:ind w:left="2052"/>
            <w:rPr>
              <w:rStyle w:val="HyperlinkStyleChar"/>
              <w:sz w:val="18"/>
            </w:rPr>
          </w:pPr>
          <w:r w:rsidRPr="00EC76AE">
            <w:t xml:space="preserve">This work is copyright. Apart from use under Copyright Act 1968, no part may be reproduced or altered by any process without prior written permission from the Australian Government. </w:t>
          </w:r>
          <w:r w:rsidR="0022373F">
            <w:br/>
          </w:r>
          <w:r w:rsidRPr="00EC76AE">
            <w:t xml:space="preserve">Requests and inquiries concerning reproduction and rights should be addressed to </w:t>
          </w:r>
          <w:hyperlink r:id="rId17" w:history="1">
            <w:r w:rsidR="0022373F" w:rsidRPr="00E44025">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w:t>
          </w:r>
          <w:r w:rsidR="0022373F">
            <w:br/>
          </w:r>
          <w:r w:rsidRPr="00EC76AE">
            <w:t xml:space="preserve">research papers please access the Department’s website at: </w:t>
          </w:r>
          <w:hyperlink r:id="rId18" w:history="1">
            <w:r w:rsidRPr="001B6EF9">
              <w:rPr>
                <w:rStyle w:val="Hyperlink"/>
              </w:rPr>
              <w:t>www.industry.gov.au/OCE</w:t>
            </w:r>
          </w:hyperlink>
        </w:p>
        <w:p w14:paraId="4C46E0DF" w14:textId="25666DCC" w:rsidR="00501A0C" w:rsidRPr="004D7A11" w:rsidRDefault="004A386A" w:rsidP="0092649D">
          <w:pPr>
            <w:pStyle w:val="DisclaimerHeading"/>
            <w:keepNext/>
            <w:numPr>
              <w:ilvl w:val="7"/>
              <w:numId w:val="3"/>
            </w:numPr>
            <w:spacing w:before="600"/>
            <w:ind w:left="2052"/>
            <w:outlineLvl w:val="7"/>
            <w:rPr>
              <w:rFonts w:eastAsia="Calibri"/>
            </w:rPr>
          </w:pPr>
          <w:r>
            <w:rPr>
              <w:rFonts w:ascii="inherit" w:hAnsi="inherit"/>
              <w:noProof/>
              <w:sz w:val="20"/>
              <w:lang w:val="en-AU" w:eastAsia="en-AU"/>
            </w:rPr>
            <w:lastRenderedPageBreak/>
            <w:drawing>
              <wp:anchor distT="0" distB="0" distL="114300" distR="114300" simplePos="0" relativeHeight="251658240" behindDoc="0" locked="0" layoutInCell="1" allowOverlap="1" wp14:anchorId="1D81B3A9" wp14:editId="42868CD4">
                <wp:simplePos x="0" y="0"/>
                <wp:positionH relativeFrom="column">
                  <wp:posOffset>1323975</wp:posOffset>
                </wp:positionH>
                <wp:positionV relativeFrom="paragraph">
                  <wp:posOffset>323850</wp:posOffset>
                </wp:positionV>
                <wp:extent cx="1156970" cy="395605"/>
                <wp:effectExtent l="0" t="0" r="5080" b="4445"/>
                <wp:wrapTopAndBottom/>
                <wp:docPr id="16" name="Picture 16" title="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6970" cy="39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501A0C" w:rsidRPr="004D7A11">
            <w:t>Creative Commons Licence</w:t>
          </w:r>
        </w:p>
        <w:p w14:paraId="562D9843" w14:textId="6B3683AD" w:rsidR="00501A0C" w:rsidRPr="00A1774F" w:rsidRDefault="004A386A" w:rsidP="0092649D">
          <w:pPr>
            <w:pStyle w:val="DisclaimerandAcknowledgement"/>
            <w:ind w:left="2052"/>
          </w:pPr>
          <w:r>
            <w:br/>
          </w:r>
          <w:r w:rsidR="00501A0C" w:rsidRPr="00A1774F">
            <w:t>With the exception of the Coat of Arms, this publication is licensed under a Creative Commons Attribution 3.0 Australia Licence.</w:t>
          </w:r>
        </w:p>
        <w:p w14:paraId="2E372698" w14:textId="4A20BCFC" w:rsidR="00501A0C" w:rsidRPr="00A1774F" w:rsidRDefault="00501A0C" w:rsidP="0092649D">
          <w:pPr>
            <w:pStyle w:val="DisclaimerandAcknowledgement"/>
            <w:ind w:left="2052"/>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terms is available from http://</w:t>
          </w:r>
          <w:r w:rsidRPr="00A1774F">
            <w:t>creativecommons.org/licenses/by/3.0/au/deed.en. The full licence terms are available from http://creativecommons.org/lic</w:t>
          </w:r>
          <w:r>
            <w:t>enses/</w:t>
          </w:r>
          <w:r w:rsidRPr="00A1774F">
            <w:t>by/3.0/au/legalcode.</w:t>
          </w:r>
        </w:p>
        <w:p w14:paraId="14D07069" w14:textId="77777777" w:rsidR="00501A0C" w:rsidRPr="00A1774F" w:rsidRDefault="00501A0C" w:rsidP="0092649D">
          <w:pPr>
            <w:pStyle w:val="DisclaimerandAcknowledgement"/>
            <w:ind w:left="2052"/>
          </w:pPr>
          <w:r w:rsidRPr="00A1774F">
            <w:t>The Commonwealth’s preference is that you attribute this publication (and any material sourc</w:t>
          </w:r>
          <w:r>
            <w:t xml:space="preserve">ed from it) using the following </w:t>
          </w:r>
          <w:r w:rsidRPr="00A1774F">
            <w:t>wording:</w:t>
          </w:r>
        </w:p>
        <w:p w14:paraId="224B5AD1" w14:textId="77777777" w:rsidR="002A0C29" w:rsidRDefault="00501A0C" w:rsidP="0092649D">
          <w:pPr>
            <w:pStyle w:val="DisclaimerandAcknowledgement"/>
            <w:ind w:left="2052"/>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p w14:paraId="0EE6259A" w14:textId="77777777" w:rsidR="002A0C29" w:rsidRPr="00D61636" w:rsidRDefault="002A0C29" w:rsidP="0092649D">
          <w:pPr>
            <w:pStyle w:val="CreativeCommonsLicence"/>
            <w:ind w:left="2052"/>
            <w:rPr>
              <w:rFonts w:eastAsia="Calibri"/>
            </w:rPr>
          </w:pPr>
          <w:bookmarkStart w:id="0" w:name="TOC"/>
          <w:r w:rsidRPr="00D61636">
            <w:t>Acknowledgements</w:t>
          </w:r>
        </w:p>
        <w:p w14:paraId="63C18437" w14:textId="1704AA84" w:rsidR="002A0C29" w:rsidRPr="00D61636" w:rsidRDefault="002A0C29" w:rsidP="0092649D">
          <w:pPr>
            <w:pStyle w:val="DisclaimerandAcknowledgement"/>
            <w:ind w:left="2052"/>
          </w:pPr>
          <w:r>
            <w:t xml:space="preserve">We </w:t>
          </w:r>
          <w:r w:rsidR="000E284E">
            <w:t>are grateful to</w:t>
          </w:r>
          <w:r>
            <w:t xml:space="preserve"> </w:t>
          </w:r>
          <w:r w:rsidRPr="00A41E16">
            <w:rPr>
              <w:rFonts w:cstheme="minorBidi"/>
              <w:szCs w:val="22"/>
            </w:rPr>
            <w:t>David Lay</w:t>
          </w:r>
          <w:r>
            <w:t xml:space="preserve">, </w:t>
          </w:r>
          <w:r w:rsidRPr="00A41E16">
            <w:rPr>
              <w:rFonts w:cstheme="minorBidi"/>
              <w:szCs w:val="22"/>
            </w:rPr>
            <w:t>Victoria Savage</w:t>
          </w:r>
          <w:r>
            <w:t xml:space="preserve"> and </w:t>
          </w:r>
          <w:r w:rsidRPr="00A41E16">
            <w:rPr>
              <w:rFonts w:cstheme="minorBidi"/>
              <w:szCs w:val="22"/>
            </w:rPr>
            <w:t>Liza Tiy</w:t>
          </w:r>
          <w:r>
            <w:t xml:space="preserve"> from the Australian Bureau of Statistics for work in developing the original management capability modes</w:t>
          </w:r>
          <w:r w:rsidR="000E284E">
            <w:t xml:space="preserve">. We also thank </w:t>
          </w:r>
          <w:r>
            <w:t>Stephen Soco from the UTS Business Scho</w:t>
          </w:r>
          <w:r w:rsidR="000E284E">
            <w:t xml:space="preserve">ol for his research assistance and </w:t>
          </w:r>
          <w:r w:rsidR="002E74DD">
            <w:t>Professor Anthony Arundel from Maastricht University for his</w:t>
          </w:r>
          <w:r w:rsidR="002E74DD" w:rsidRPr="00D61636">
            <w:t xml:space="preserve"> insightful comments on the paper</w:t>
          </w:r>
          <w:r w:rsidR="002E74DD">
            <w:t>.</w:t>
          </w:r>
        </w:p>
        <w:bookmarkEnd w:id="0"/>
        <w:p w14:paraId="03F61292" w14:textId="77777777" w:rsidR="002A0C29" w:rsidRDefault="002A0C29" w:rsidP="0092649D">
          <w:pPr>
            <w:pStyle w:val="DisclaimerandAcknowledgement"/>
            <w:ind w:left="2052"/>
          </w:pPr>
        </w:p>
        <w:p w14:paraId="2FC060FB" w14:textId="77777777" w:rsidR="002A0C29" w:rsidRDefault="002A0C29" w:rsidP="0092649D">
          <w:pPr>
            <w:pStyle w:val="DisclaimerandAcknowledgement"/>
            <w:ind w:left="2052"/>
          </w:pPr>
        </w:p>
        <w:p w14:paraId="779E44AE" w14:textId="3733A6C7" w:rsidR="00501A0C" w:rsidRDefault="00A72A61" w:rsidP="0092649D">
          <w:pPr>
            <w:pStyle w:val="DisclaimerandAcknowledgement"/>
            <w:ind w:left="2052"/>
            <w:sectPr w:rsidR="00501A0C" w:rsidSect="00D744AA">
              <w:footerReference w:type="default" r:id="rId20"/>
              <w:pgSz w:w="11906" w:h="16838" w:code="9"/>
              <w:pgMar w:top="1440" w:right="1440" w:bottom="1440" w:left="1440" w:header="709" w:footer="709" w:gutter="0"/>
              <w:pgNumType w:start="0"/>
              <w:cols w:space="708"/>
              <w:titlePg/>
              <w:docGrid w:linePitch="360"/>
            </w:sectPr>
          </w:pPr>
        </w:p>
      </w:sdtContent>
    </w:sdt>
    <w:p w14:paraId="692FFD31" w14:textId="77777777" w:rsidR="0071736C" w:rsidRPr="001835DD" w:rsidRDefault="0071736C" w:rsidP="0071736C">
      <w:pPr>
        <w:pStyle w:val="Keypointsheader"/>
      </w:pPr>
      <w:r w:rsidRPr="00AC3DDE">
        <w:lastRenderedPageBreak/>
        <w:t>Key points</w:t>
      </w:r>
    </w:p>
    <w:p w14:paraId="7111279A" w14:textId="77777777" w:rsidR="0071736C" w:rsidRDefault="0071736C" w:rsidP="0071736C">
      <w:pPr>
        <w:pStyle w:val="Keypointsbullet"/>
      </w:pPr>
      <w:r>
        <w:t>This research project develops a simple classification of strategic management capability based on firms’ strategic planning and use of key performance indicators. The project makes use of data from the inaugural ABS Management Capability Survey.</w:t>
      </w:r>
    </w:p>
    <w:p w14:paraId="3A2920E1" w14:textId="77777777" w:rsidR="0071736C" w:rsidRDefault="0071736C" w:rsidP="0071736C">
      <w:pPr>
        <w:pStyle w:val="Keypointsbullet"/>
      </w:pPr>
      <w:r>
        <w:t xml:space="preserve">Around 58 per cent of firms are classed as having Low Engagement Management, with either no strategic plan or no monitoring of key performance indicators. At the other end of the spectrum, roughly 6 per cent of firms are classed as having Strategic Management, possessing a written strategic plan and monitoring three or more key performance indicators across two or more areas. The remaining 36 per cent of firms fall between these two extremes, classed as either Ad hoc (23 per cent) or Narrow Focus (13 per cent). </w:t>
      </w:r>
    </w:p>
    <w:p w14:paraId="56DF1ACC" w14:textId="77777777" w:rsidR="0071736C" w:rsidRDefault="0071736C" w:rsidP="0071736C">
      <w:pPr>
        <w:pStyle w:val="Keypointsbullet"/>
      </w:pPr>
      <w:r>
        <w:t xml:space="preserve">Strategic management practices are primarily driven by firm size. </w:t>
      </w:r>
      <w:r w:rsidRPr="00ED0589">
        <w:t>Firms employing more than 100</w:t>
      </w:r>
      <w:r>
        <w:t xml:space="preserve"> employees </w:t>
      </w:r>
      <w:r w:rsidRPr="00ED0589">
        <w:t>are over six times more likely to have high strategic management capability than firms employing 5</w:t>
      </w:r>
      <w:r>
        <w:t> </w:t>
      </w:r>
      <w:r w:rsidRPr="00ED0589">
        <w:t>to</w:t>
      </w:r>
      <w:r>
        <w:t> </w:t>
      </w:r>
      <w:r w:rsidRPr="00ED0589">
        <w:t>19</w:t>
      </w:r>
      <w:r>
        <w:t> </w:t>
      </w:r>
      <w:r w:rsidRPr="00ED0589">
        <w:t>employees</w:t>
      </w:r>
    </w:p>
    <w:p w14:paraId="232C32B5" w14:textId="77777777" w:rsidR="0071736C" w:rsidRDefault="0071736C" w:rsidP="0071736C">
      <w:pPr>
        <w:pStyle w:val="Keypointsbullet"/>
      </w:pPr>
      <w:r>
        <w:t>Strategic management capability is also positively associated with: innovation; search for collaborative opportunities; responsiveness to skill and supply chain issues; and labour productivity at the firm level.</w:t>
      </w:r>
    </w:p>
    <w:p w14:paraId="49A195D9" w14:textId="71A1FF06" w:rsidR="0071736C" w:rsidRDefault="0071736C" w:rsidP="0071736C">
      <w:pPr>
        <w:pStyle w:val="Keypointsbullet"/>
      </w:pPr>
      <w:r>
        <w:t>Education and foreign investment appear to be two drivers of management capability. More educated — particularly university educated — principal managers and foreign ownership are both associated with higher proportions (levels) of strategic management.</w:t>
      </w:r>
    </w:p>
    <w:p w14:paraId="3165F1BB" w14:textId="56FE945A" w:rsidR="00A44ED4" w:rsidRDefault="00A44ED4" w:rsidP="0071736C">
      <w:pPr>
        <w:spacing w:after="200" w:line="276" w:lineRule="auto"/>
        <w:ind w:left="0"/>
        <w:jc w:val="left"/>
        <w:rPr>
          <w:rFonts w:asciiTheme="majorHAnsi" w:eastAsia="Times New Roman" w:hAnsiTheme="majorHAnsi" w:cs="Arial"/>
          <w:b/>
          <w:bCs/>
          <w:color w:val="005CAF"/>
          <w:kern w:val="32"/>
          <w:sz w:val="32"/>
          <w:szCs w:val="32"/>
        </w:rPr>
      </w:pPr>
      <w:r>
        <w:br w:type="page"/>
      </w:r>
    </w:p>
    <w:p w14:paraId="125C19A0" w14:textId="627EB155" w:rsidR="0073211A" w:rsidRDefault="0073211A" w:rsidP="00E4321C">
      <w:pPr>
        <w:pStyle w:val="Heading1"/>
        <w:numPr>
          <w:ilvl w:val="0"/>
          <w:numId w:val="9"/>
        </w:numPr>
        <w:ind w:left="601" w:hanging="601"/>
      </w:pPr>
      <w:r>
        <w:lastRenderedPageBreak/>
        <w:t>Introduction</w:t>
      </w:r>
    </w:p>
    <w:p w14:paraId="54742F1E" w14:textId="4412275E" w:rsidR="007230BD" w:rsidRPr="00885453" w:rsidRDefault="00180994" w:rsidP="0092649D">
      <w:pPr>
        <w:pStyle w:val="BodyText"/>
        <w:rPr>
          <w:color w:val="00B050"/>
        </w:rPr>
      </w:pPr>
      <w:r w:rsidRPr="00885453">
        <w:t>Management practices play an important role in</w:t>
      </w:r>
      <w:r w:rsidR="00C95743" w:rsidRPr="00885453">
        <w:t xml:space="preserve"> firms’ success</w:t>
      </w:r>
      <w:r w:rsidR="00146B5B" w:rsidRPr="00885453">
        <w:t xml:space="preserve">. </w:t>
      </w:r>
      <w:r w:rsidR="00C95743" w:rsidRPr="00885453">
        <w:t xml:space="preserve">In recent years, </w:t>
      </w:r>
      <w:r w:rsidR="00C42400">
        <w:t xml:space="preserve">several </w:t>
      </w:r>
      <w:r w:rsidR="00C95743" w:rsidRPr="00885453">
        <w:t>large</w:t>
      </w:r>
      <w:r w:rsidR="000E5727">
        <w:noBreakHyphen/>
      </w:r>
      <w:r w:rsidR="00C95743" w:rsidRPr="00885453">
        <w:t>scale studies have found</w:t>
      </w:r>
      <w:r w:rsidR="007230BD" w:rsidRPr="00885453">
        <w:t xml:space="preserve"> structured</w:t>
      </w:r>
      <w:r w:rsidR="00C95743" w:rsidRPr="00885453">
        <w:t xml:space="preserve"> m</w:t>
      </w:r>
      <w:r w:rsidR="009A2E39" w:rsidRPr="00885453">
        <w:t xml:space="preserve">anagement practices </w:t>
      </w:r>
      <w:r w:rsidR="00C95743" w:rsidRPr="00885453">
        <w:t xml:space="preserve">to be </w:t>
      </w:r>
      <w:r w:rsidR="009A2E39" w:rsidRPr="00885453">
        <w:t xml:space="preserve">associated with </w:t>
      </w:r>
      <w:r w:rsidR="00C42400">
        <w:t xml:space="preserve">firm </w:t>
      </w:r>
      <w:r w:rsidR="00484581" w:rsidRPr="00885453">
        <w:t xml:space="preserve">performance </w:t>
      </w:r>
      <w:r w:rsidR="009A2E39" w:rsidRPr="00885453">
        <w:t>in manufacturing, health and education.</w:t>
      </w:r>
      <w:r w:rsidR="00CE6E18" w:rsidRPr="00885453">
        <w:rPr>
          <w:rStyle w:val="FootnoteReference"/>
        </w:rPr>
        <w:footnoteReference w:id="2"/>
      </w:r>
      <w:r w:rsidR="00CE6E18" w:rsidRPr="00885453">
        <w:rPr>
          <w:vertAlign w:val="superscript"/>
        </w:rPr>
        <w:t>,</w:t>
      </w:r>
      <w:r w:rsidR="00CE6E18" w:rsidRPr="00885453">
        <w:rPr>
          <w:rStyle w:val="FootnoteReference"/>
        </w:rPr>
        <w:footnoteReference w:id="3"/>
      </w:r>
      <w:r w:rsidR="00CE6E18" w:rsidRPr="00885453">
        <w:rPr>
          <w:vertAlign w:val="superscript"/>
        </w:rPr>
        <w:t>,</w:t>
      </w:r>
      <w:r w:rsidR="00CE6E18" w:rsidRPr="00885453">
        <w:rPr>
          <w:rStyle w:val="FootnoteReference"/>
        </w:rPr>
        <w:footnoteReference w:id="4"/>
      </w:r>
      <w:r w:rsidR="00CE6E18" w:rsidRPr="00885453">
        <w:t xml:space="preserve"> </w:t>
      </w:r>
      <w:r w:rsidR="008777C1" w:rsidRPr="00885453">
        <w:t>In</w:t>
      </w:r>
      <w:r w:rsidR="00FA6680" w:rsidRPr="00885453">
        <w:t> </w:t>
      </w:r>
      <w:r w:rsidR="008777C1" w:rsidRPr="00885453">
        <w:t xml:space="preserve">fact, </w:t>
      </w:r>
      <w:r w:rsidR="009F06EC" w:rsidRPr="00885453">
        <w:t>one estimate</w:t>
      </w:r>
      <w:r w:rsidR="008777C1" w:rsidRPr="00885453">
        <w:t xml:space="preserve"> suggest</w:t>
      </w:r>
      <w:r w:rsidR="00C42400">
        <w:t>s</w:t>
      </w:r>
      <w:r w:rsidR="008777C1" w:rsidRPr="00885453">
        <w:t xml:space="preserve"> that a </w:t>
      </w:r>
      <w:r w:rsidR="00C42400">
        <w:t>1</w:t>
      </w:r>
      <w:r w:rsidR="008777C1" w:rsidRPr="00885453">
        <w:t xml:space="preserve"> point increase in management practices </w:t>
      </w:r>
      <w:r w:rsidR="00C42400">
        <w:t xml:space="preserve">(on a scale </w:t>
      </w:r>
      <w:r w:rsidR="00343B2B">
        <w:t>of 1 to </w:t>
      </w:r>
      <w:r w:rsidR="00C42400">
        <w:t xml:space="preserve">4) </w:t>
      </w:r>
      <w:r w:rsidR="008777C1" w:rsidRPr="00885453">
        <w:t>has a</w:t>
      </w:r>
      <w:r w:rsidR="009F06EC" w:rsidRPr="00885453">
        <w:t>n</w:t>
      </w:r>
      <w:r w:rsidR="008777C1" w:rsidRPr="00885453">
        <w:t xml:space="preserve"> </w:t>
      </w:r>
      <w:r w:rsidR="009F06EC" w:rsidRPr="00885453">
        <w:t>equivalent</w:t>
      </w:r>
      <w:r w:rsidR="008777C1" w:rsidRPr="00885453">
        <w:t xml:space="preserve"> impact on output to a </w:t>
      </w:r>
      <w:r w:rsidR="0023703D" w:rsidRPr="00885453">
        <w:t>25</w:t>
      </w:r>
      <w:r w:rsidR="0023703D">
        <w:t> </w:t>
      </w:r>
      <w:r w:rsidR="0023703D" w:rsidRPr="00885453">
        <w:t>per</w:t>
      </w:r>
      <w:r w:rsidR="0023703D">
        <w:t> </w:t>
      </w:r>
      <w:r w:rsidR="008777C1" w:rsidRPr="00885453">
        <w:t>cent increase in</w:t>
      </w:r>
      <w:r w:rsidR="009F06EC" w:rsidRPr="00885453">
        <w:t xml:space="preserve"> the</w:t>
      </w:r>
      <w:r w:rsidR="008777C1" w:rsidRPr="00885453">
        <w:t xml:space="preserve"> labour</w:t>
      </w:r>
      <w:r w:rsidR="00C42400">
        <w:t xml:space="preserve"> force</w:t>
      </w:r>
      <w:r w:rsidR="008777C1" w:rsidRPr="00885453">
        <w:t xml:space="preserve"> and a </w:t>
      </w:r>
      <w:r w:rsidR="009F06EC" w:rsidRPr="00885453">
        <w:t>65 </w:t>
      </w:r>
      <w:r w:rsidR="008777C1" w:rsidRPr="00885453">
        <w:t>per cent increase in</w:t>
      </w:r>
      <w:r w:rsidR="009F06EC" w:rsidRPr="00885453">
        <w:t xml:space="preserve"> invested</w:t>
      </w:r>
      <w:r w:rsidR="008777C1" w:rsidRPr="00885453">
        <w:t xml:space="preserve"> capital.</w:t>
      </w:r>
      <w:r w:rsidR="009F06EC" w:rsidRPr="00885453">
        <w:rPr>
          <w:rStyle w:val="FootnoteReference"/>
        </w:rPr>
        <w:t xml:space="preserve"> </w:t>
      </w:r>
      <w:r w:rsidR="009F06EC" w:rsidRPr="00885453">
        <w:rPr>
          <w:rStyle w:val="FootnoteReference"/>
        </w:rPr>
        <w:footnoteReference w:id="5"/>
      </w:r>
      <w:r w:rsidR="008777C1" w:rsidRPr="00885453">
        <w:t xml:space="preserve"> </w:t>
      </w:r>
    </w:p>
    <w:p w14:paraId="0BA51484" w14:textId="449ABE35" w:rsidR="00B25344" w:rsidRDefault="009A2E39" w:rsidP="0092649D">
      <w:pPr>
        <w:pStyle w:val="BodyText"/>
        <w:rPr>
          <w:color w:val="373737" w:themeColor="text1"/>
        </w:rPr>
      </w:pPr>
      <w:r w:rsidRPr="00885453">
        <w:t>Moreover</w:t>
      </w:r>
      <w:r w:rsidR="00C95743" w:rsidRPr="00885453">
        <w:t>,</w:t>
      </w:r>
      <w:r w:rsidRPr="00885453">
        <w:t xml:space="preserve"> management practices appear to explain </w:t>
      </w:r>
      <w:r w:rsidR="00C95743" w:rsidRPr="00885453">
        <w:t>not only differences in performance across firms, but also across countries</w:t>
      </w:r>
      <w:r w:rsidR="00EA6708" w:rsidRPr="00885453">
        <w:t>.</w:t>
      </w:r>
      <w:r w:rsidR="0008270C">
        <w:t xml:space="preserve"> For example</w:t>
      </w:r>
      <w:r w:rsidR="00B25344">
        <w:t>, Agarwal</w:t>
      </w:r>
      <w:r w:rsidR="00B02DC4">
        <w:t> </w:t>
      </w:r>
      <w:r w:rsidR="00B25344">
        <w:t>et</w:t>
      </w:r>
      <w:r w:rsidR="00B02DC4">
        <w:t> </w:t>
      </w:r>
      <w:r w:rsidR="00B25344">
        <w:t>al.</w:t>
      </w:r>
      <w:r w:rsidR="00B02DC4">
        <w:rPr>
          <w:rStyle w:val="FootnoteReference"/>
        </w:rPr>
        <w:footnoteReference w:id="6"/>
      </w:r>
      <w:r w:rsidR="00B25344">
        <w:t xml:space="preserve"> find a positive association between labour productivity and average management score</w:t>
      </w:r>
      <w:r w:rsidR="00C42400">
        <w:t>s in manufacturing</w:t>
      </w:r>
      <w:r w:rsidR="00B25344">
        <w:t xml:space="preserve"> across 17</w:t>
      </w:r>
      <w:r w:rsidR="00FA7D3E">
        <w:t> </w:t>
      </w:r>
      <w:r w:rsidR="00B25344">
        <w:t xml:space="preserve">countries, and </w:t>
      </w:r>
      <w:r w:rsidR="00B25344" w:rsidRPr="00885453">
        <w:t>Bloom</w:t>
      </w:r>
      <w:r w:rsidR="00DA22F6" w:rsidRPr="00885453">
        <w:rPr>
          <w:color w:val="373737" w:themeColor="text1"/>
        </w:rPr>
        <w:t>,</w:t>
      </w:r>
      <w:r w:rsidR="00E26606" w:rsidRPr="00885453">
        <w:rPr>
          <w:color w:val="373737" w:themeColor="text1"/>
        </w:rPr>
        <w:t xml:space="preserve"> Sadun and Van Reenen</w:t>
      </w:r>
      <w:r w:rsidR="00DA22F6" w:rsidRPr="00885453">
        <w:rPr>
          <w:color w:val="373737" w:themeColor="text1"/>
        </w:rPr>
        <w:t xml:space="preserve"> </w:t>
      </w:r>
      <w:r w:rsidR="00B25344">
        <w:rPr>
          <w:color w:val="373737" w:themeColor="text1"/>
        </w:rPr>
        <w:t>estimate</w:t>
      </w:r>
      <w:r w:rsidR="00716894" w:rsidRPr="00885453">
        <w:rPr>
          <w:color w:val="373737" w:themeColor="text1"/>
        </w:rPr>
        <w:t xml:space="preserve"> that  </w:t>
      </w:r>
      <w:r w:rsidR="00DA22F6" w:rsidRPr="00885453">
        <w:rPr>
          <w:color w:val="373737" w:themeColor="text1"/>
        </w:rPr>
        <w:t>difference</w:t>
      </w:r>
      <w:r w:rsidR="000E5727">
        <w:rPr>
          <w:color w:val="373737" w:themeColor="text1"/>
        </w:rPr>
        <w:t>s</w:t>
      </w:r>
      <w:r w:rsidR="00DA22F6" w:rsidRPr="00885453">
        <w:rPr>
          <w:color w:val="373737" w:themeColor="text1"/>
        </w:rPr>
        <w:t xml:space="preserve"> in management capability account for about 30 per cent of </w:t>
      </w:r>
      <w:r w:rsidR="006839E9">
        <w:rPr>
          <w:color w:val="373737" w:themeColor="text1"/>
        </w:rPr>
        <w:t xml:space="preserve">the </w:t>
      </w:r>
      <w:r w:rsidR="00FA719C">
        <w:rPr>
          <w:color w:val="373737" w:themeColor="text1"/>
        </w:rPr>
        <w:t>difference</w:t>
      </w:r>
      <w:r w:rsidR="006839E9">
        <w:rPr>
          <w:color w:val="373737" w:themeColor="text1"/>
        </w:rPr>
        <w:t>s in</w:t>
      </w:r>
      <w:r w:rsidR="00FA719C">
        <w:rPr>
          <w:color w:val="373737" w:themeColor="text1"/>
        </w:rPr>
        <w:t xml:space="preserve"> </w:t>
      </w:r>
      <w:r w:rsidR="00DA22F6" w:rsidRPr="00885453">
        <w:rPr>
          <w:color w:val="373737" w:themeColor="text1"/>
        </w:rPr>
        <w:t xml:space="preserve">total factor productivity (TFP) between countries. </w:t>
      </w:r>
    </w:p>
    <w:p w14:paraId="129CD3F0" w14:textId="77777777" w:rsidR="0049310C" w:rsidRPr="00885453" w:rsidRDefault="0049310C" w:rsidP="0049310C">
      <w:pPr>
        <w:pStyle w:val="BodyText"/>
      </w:pPr>
      <w:r>
        <w:t>In this paper</w:t>
      </w:r>
      <w:r w:rsidRPr="00885453">
        <w:t>,</w:t>
      </w:r>
      <w:r>
        <w:t xml:space="preserve"> we use a novel cross-sectional dataset based on</w:t>
      </w:r>
      <w:r w:rsidRPr="0028490D">
        <w:t xml:space="preserve"> the Australian Bureau of Statistics' Management and Organisational Capabilities Module of the Business Characteristic Survey.</w:t>
      </w:r>
      <w:r>
        <w:t xml:space="preserve"> Using this data</w:t>
      </w:r>
      <w:r w:rsidRPr="00885453">
        <w:t>, we develop</w:t>
      </w:r>
      <w:r>
        <w:t xml:space="preserve"> a simple</w:t>
      </w:r>
      <w:r w:rsidRPr="00885453">
        <w:t>,</w:t>
      </w:r>
      <w:r>
        <w:t xml:space="preserve"> broadly</w:t>
      </w:r>
      <w:r>
        <w:noBreakHyphen/>
        <w:t xml:space="preserve">applicable </w:t>
      </w:r>
      <w:r w:rsidRPr="00885453">
        <w:t>classification of</w:t>
      </w:r>
      <w:r>
        <w:t xml:space="preserve"> strategic</w:t>
      </w:r>
      <w:r w:rsidRPr="00885453">
        <w:t xml:space="preserve"> management practices </w:t>
      </w:r>
      <w:r>
        <w:t>to</w:t>
      </w:r>
      <w:r w:rsidRPr="00885453">
        <w:t xml:space="preserve"> </w:t>
      </w:r>
      <w:r>
        <w:t>facilitate</w:t>
      </w:r>
      <w:r w:rsidRPr="00885453">
        <w:t xml:space="preserve"> </w:t>
      </w:r>
      <w:r>
        <w:t xml:space="preserve">self-assessment. This classification is </w:t>
      </w:r>
      <w:r w:rsidRPr="00885453">
        <w:t xml:space="preserve">based on three management practices: strategic planning; </w:t>
      </w:r>
      <w:r>
        <w:t xml:space="preserve">the </w:t>
      </w:r>
      <w:r w:rsidRPr="00885453">
        <w:t xml:space="preserve">number of key performance indicators (KPIs) used; and </w:t>
      </w:r>
      <w:r>
        <w:t xml:space="preserve">the </w:t>
      </w:r>
      <w:r w:rsidRPr="00885453">
        <w:t xml:space="preserve">number of focus areas monitored with KPIs. These </w:t>
      </w:r>
      <w:r>
        <w:t>practices broadly correspond to those emphasised in</w:t>
      </w:r>
      <w:r w:rsidRPr="00885453">
        <w:t xml:space="preserve"> the Balanced Scorecard (BSC) framework,</w:t>
      </w:r>
      <w:r w:rsidRPr="00885453">
        <w:rPr>
          <w:rStyle w:val="FootnoteReference"/>
        </w:rPr>
        <w:footnoteReference w:id="7"/>
      </w:r>
      <w:r w:rsidRPr="00885453">
        <w:t xml:space="preserve"> a widely adopted tool for guiding the implementation of management practices which has been linked to superior firm performance in several studies.</w:t>
      </w:r>
      <w:r w:rsidRPr="00885453">
        <w:rPr>
          <w:rStyle w:val="FootnoteReference"/>
        </w:rPr>
        <w:footnoteReference w:id="8"/>
      </w:r>
      <w:r w:rsidRPr="00C42400">
        <w:rPr>
          <w:vertAlign w:val="superscript"/>
        </w:rPr>
        <w:t>,</w:t>
      </w:r>
      <w:r w:rsidRPr="00885453">
        <w:rPr>
          <w:rStyle w:val="FootnoteReference"/>
        </w:rPr>
        <w:footnoteReference w:id="9"/>
      </w:r>
      <w:r w:rsidRPr="00885453">
        <w:t xml:space="preserve"> Our measure of strategic management correlates strongly with broader management practices and with a data-driven measure of structured management created using multiple correspondence analysis</w:t>
      </w:r>
      <w:r>
        <w:t xml:space="preserve"> (MCA)</w:t>
      </w:r>
      <w:r w:rsidRPr="00885453">
        <w:t xml:space="preserve">. </w:t>
      </w:r>
    </w:p>
    <w:p w14:paraId="05535C98" w14:textId="05787895" w:rsidR="0049310C" w:rsidRDefault="0049310C" w:rsidP="0092649D">
      <w:pPr>
        <w:pStyle w:val="BodyText"/>
        <w:rPr>
          <w:color w:val="373737" w:themeColor="text1"/>
        </w:rPr>
      </w:pPr>
      <w:r w:rsidRPr="00885453">
        <w:t xml:space="preserve">We find that firms with higher levels of strategic management </w:t>
      </w:r>
      <w:r>
        <w:t>have</w:t>
      </w:r>
      <w:r w:rsidRPr="00885453">
        <w:t xml:space="preserve"> higher levels of labour productivity, even after accounting for </w:t>
      </w:r>
      <w:r>
        <w:t>firm size. W</w:t>
      </w:r>
      <w:r w:rsidRPr="00885453">
        <w:t>e</w:t>
      </w:r>
      <w:r>
        <w:t xml:space="preserve"> also</w:t>
      </w:r>
      <w:r w:rsidRPr="00885453">
        <w:t xml:space="preserve"> identify </w:t>
      </w:r>
      <w:r w:rsidRPr="00885453">
        <w:lastRenderedPageBreak/>
        <w:t xml:space="preserve">several channels through which strategic management may influence firm outcomes, </w:t>
      </w:r>
      <w:r>
        <w:t>finding that</w:t>
      </w:r>
      <w:r w:rsidRPr="00885453">
        <w:t xml:space="preserve"> strategic management</w:t>
      </w:r>
      <w:r>
        <w:t xml:space="preserve"> is</w:t>
      </w:r>
      <w:r w:rsidRPr="00885453">
        <w:t xml:space="preserve"> associated with innovation, seeking out collaborative opportunities and responding to supply chain and skill shortage issues. </w:t>
      </w:r>
      <w:r>
        <w:rPr>
          <w:color w:val="373737" w:themeColor="text1"/>
        </w:rPr>
        <w:t>There is also evidence that there are information gaps relating to management capability, leading to market failures (see section</w:t>
      </w:r>
      <w:r w:rsidR="009F77E6">
        <w:rPr>
          <w:color w:val="373737" w:themeColor="text1"/>
        </w:rPr>
        <w:t> </w:t>
      </w:r>
      <w:r>
        <w:rPr>
          <w:color w:val="373737" w:themeColor="text1"/>
        </w:rPr>
        <w:t xml:space="preserve">2). Given this, and the importance of management capability to firm performance, there is scope for government intervention. </w:t>
      </w:r>
    </w:p>
    <w:p w14:paraId="3C48D3F2" w14:textId="17D3A6A2" w:rsidR="0049310C" w:rsidRDefault="0049310C" w:rsidP="0049310C">
      <w:pPr>
        <w:pStyle w:val="BodyText"/>
        <w:rPr>
          <w:color w:val="373737" w:themeColor="text1"/>
        </w:rPr>
      </w:pPr>
      <w:r w:rsidRPr="0097555C">
        <w:rPr>
          <w:color w:val="373737" w:themeColor="text1"/>
        </w:rPr>
        <w:t>The paper is structured as follows: Section</w:t>
      </w:r>
      <w:r w:rsidR="009F77E6">
        <w:rPr>
          <w:color w:val="373737" w:themeColor="text1"/>
        </w:rPr>
        <w:t> </w:t>
      </w:r>
      <w:r w:rsidRPr="0097555C">
        <w:rPr>
          <w:color w:val="373737" w:themeColor="text1"/>
        </w:rPr>
        <w:t>2 provides a stage-setting literature review. Data is discussed in Section</w:t>
      </w:r>
      <w:r w:rsidR="0004002A">
        <w:rPr>
          <w:color w:val="373737" w:themeColor="text1"/>
        </w:rPr>
        <w:t> </w:t>
      </w:r>
      <w:r w:rsidRPr="0097555C">
        <w:rPr>
          <w:color w:val="373737" w:themeColor="text1"/>
        </w:rPr>
        <w:t>3. Section</w:t>
      </w:r>
      <w:r w:rsidR="0004002A">
        <w:rPr>
          <w:color w:val="373737" w:themeColor="text1"/>
        </w:rPr>
        <w:t> </w:t>
      </w:r>
      <w:r w:rsidRPr="0097555C">
        <w:rPr>
          <w:color w:val="373737" w:themeColor="text1"/>
        </w:rPr>
        <w:t xml:space="preserve">4 </w:t>
      </w:r>
      <w:r w:rsidR="0004002A">
        <w:rPr>
          <w:color w:val="373737" w:themeColor="text1"/>
        </w:rPr>
        <w:t xml:space="preserve">outlines the </w:t>
      </w:r>
      <w:r w:rsidR="0097555C" w:rsidRPr="0097555C">
        <w:rPr>
          <w:color w:val="373737" w:themeColor="text1"/>
        </w:rPr>
        <w:t>methods used. Sections</w:t>
      </w:r>
      <w:r w:rsidR="0004002A">
        <w:rPr>
          <w:color w:val="373737" w:themeColor="text1"/>
        </w:rPr>
        <w:t> </w:t>
      </w:r>
      <w:r w:rsidR="0097555C" w:rsidRPr="0097555C">
        <w:rPr>
          <w:color w:val="373737" w:themeColor="text1"/>
        </w:rPr>
        <w:t xml:space="preserve">5, 6 </w:t>
      </w:r>
      <w:r w:rsidR="00231EB0">
        <w:rPr>
          <w:color w:val="373737" w:themeColor="text1"/>
        </w:rPr>
        <w:t xml:space="preserve">and </w:t>
      </w:r>
      <w:r w:rsidR="0097555C" w:rsidRPr="0097555C">
        <w:rPr>
          <w:color w:val="373737" w:themeColor="text1"/>
        </w:rPr>
        <w:t>7</w:t>
      </w:r>
      <w:r w:rsidR="00231EB0">
        <w:rPr>
          <w:color w:val="373737" w:themeColor="text1"/>
        </w:rPr>
        <w:t xml:space="preserve"> </w:t>
      </w:r>
      <w:r w:rsidR="0097555C" w:rsidRPr="0097555C">
        <w:rPr>
          <w:color w:val="373737" w:themeColor="text1"/>
        </w:rPr>
        <w:t>discuss the relationship between strategic management and firm characteristics and performance</w:t>
      </w:r>
      <w:r w:rsidRPr="0097555C">
        <w:rPr>
          <w:color w:val="373737" w:themeColor="text1"/>
        </w:rPr>
        <w:t>.</w:t>
      </w:r>
      <w:r w:rsidR="0097555C" w:rsidRPr="0097555C">
        <w:rPr>
          <w:color w:val="373737" w:themeColor="text1"/>
        </w:rPr>
        <w:t xml:space="preserve"> Section</w:t>
      </w:r>
      <w:r w:rsidR="0004002A">
        <w:rPr>
          <w:color w:val="373737" w:themeColor="text1"/>
        </w:rPr>
        <w:t> </w:t>
      </w:r>
      <w:r w:rsidR="0097555C" w:rsidRPr="0097555C">
        <w:rPr>
          <w:color w:val="373737" w:themeColor="text1"/>
        </w:rPr>
        <w:t>8 analyses some of the determinants of management capability.</w:t>
      </w:r>
      <w:r w:rsidRPr="0097555C">
        <w:rPr>
          <w:color w:val="373737" w:themeColor="text1"/>
        </w:rPr>
        <w:t xml:space="preserve"> Section</w:t>
      </w:r>
      <w:r w:rsidR="0004002A">
        <w:rPr>
          <w:color w:val="373737" w:themeColor="text1"/>
        </w:rPr>
        <w:t> </w:t>
      </w:r>
      <w:r w:rsidR="0097555C" w:rsidRPr="0097555C">
        <w:rPr>
          <w:color w:val="373737" w:themeColor="text1"/>
        </w:rPr>
        <w:t xml:space="preserve">9 </w:t>
      </w:r>
      <w:r w:rsidRPr="0097555C">
        <w:rPr>
          <w:color w:val="373737" w:themeColor="text1"/>
        </w:rPr>
        <w:t>summarises the key findings and draws policy inferences.</w:t>
      </w:r>
    </w:p>
    <w:p w14:paraId="79741DC2" w14:textId="61B9ECED" w:rsidR="00DC5EFA" w:rsidRDefault="00F77A04" w:rsidP="00EA5908">
      <w:pPr>
        <w:pStyle w:val="Heading1"/>
        <w:numPr>
          <w:ilvl w:val="0"/>
          <w:numId w:val="9"/>
        </w:numPr>
        <w:ind w:left="601" w:hanging="601"/>
      </w:pPr>
      <w:r>
        <w:t xml:space="preserve">Literature </w:t>
      </w:r>
      <w:r w:rsidR="000455E8">
        <w:t>r</w:t>
      </w:r>
      <w:r>
        <w:t>eview</w:t>
      </w:r>
    </w:p>
    <w:p w14:paraId="1E12EE77" w14:textId="263146FB" w:rsidR="0028182F" w:rsidRDefault="00EF3DB7" w:rsidP="0092649D">
      <w:pPr>
        <w:pStyle w:val="BodyText"/>
      </w:pPr>
      <w:r w:rsidRPr="00A53F0C">
        <w:t xml:space="preserve">Management has been an important concern for modern economists. </w:t>
      </w:r>
      <w:r w:rsidR="00A15DBB">
        <w:t xml:space="preserve">This concern is </w:t>
      </w:r>
      <w:r w:rsidR="00EF4D26">
        <w:t>evident</w:t>
      </w:r>
      <w:r w:rsidR="00A15DBB">
        <w:t xml:space="preserve"> in the definition of </w:t>
      </w:r>
      <w:r w:rsidR="00EF4D26">
        <w:t xml:space="preserve">the </w:t>
      </w:r>
      <w:r w:rsidRPr="00A53F0C">
        <w:t>firm</w:t>
      </w:r>
      <w:r w:rsidR="00A15DBB">
        <w:t xml:space="preserve"> and its link to manag</w:t>
      </w:r>
      <w:r w:rsidR="00F4599D">
        <w:t>ement. For example</w:t>
      </w:r>
      <w:r w:rsidR="00EF4D26">
        <w:t>,</w:t>
      </w:r>
      <w:r w:rsidR="00F4599D">
        <w:t xml:space="preserve"> Penrose</w:t>
      </w:r>
      <w:r w:rsidR="00824F64">
        <w:rPr>
          <w:rStyle w:val="FootnoteReference"/>
        </w:rPr>
        <w:footnoteReference w:id="10"/>
      </w:r>
      <w:r w:rsidR="00A15DBB">
        <w:t xml:space="preserve"> </w:t>
      </w:r>
      <w:r w:rsidRPr="00A53F0C">
        <w:t xml:space="preserve">defines a </w:t>
      </w:r>
      <w:r w:rsidR="00A15DBB">
        <w:t>firm</w:t>
      </w:r>
      <w:r w:rsidRPr="00A53F0C">
        <w:t xml:space="preserve"> as an administrative entity with the</w:t>
      </w:r>
      <w:r w:rsidR="0080614A">
        <w:t xml:space="preserve"> control</w:t>
      </w:r>
      <w:r w:rsidRPr="00A53F0C">
        <w:t xml:space="preserve"> over potentially valuable resources and </w:t>
      </w:r>
      <w:r w:rsidR="00B83E6D" w:rsidRPr="00A53F0C">
        <w:t>its</w:t>
      </w:r>
      <w:r w:rsidRPr="00A53F0C">
        <w:t xml:space="preserve"> managers as </w:t>
      </w:r>
      <w:r w:rsidR="00860CF7">
        <w:t xml:space="preserve">employees </w:t>
      </w:r>
      <w:r w:rsidRPr="00A53F0C">
        <w:t>who make decisions about how firm activities and resources are deployed.</w:t>
      </w:r>
      <w:r w:rsidR="00B83E6D" w:rsidRPr="00A53F0C">
        <w:t xml:space="preserve"> </w:t>
      </w:r>
      <w:r w:rsidR="00CF7BB2" w:rsidRPr="00A53F0C">
        <w:t xml:space="preserve">She identifies two </w:t>
      </w:r>
      <w:r w:rsidR="00FD2531" w:rsidRPr="00A53F0C">
        <w:t>types of capabilities in firms: entrepreneurial and managerial</w:t>
      </w:r>
      <w:r w:rsidR="00F77A04">
        <w:t xml:space="preserve"> capabilities</w:t>
      </w:r>
      <w:r w:rsidR="00FD2531" w:rsidRPr="00A53F0C">
        <w:t xml:space="preserve">. </w:t>
      </w:r>
      <w:r w:rsidR="0082578F" w:rsidRPr="00A53F0C">
        <w:t xml:space="preserve">While </w:t>
      </w:r>
      <w:r w:rsidR="00860CF7">
        <w:t>e</w:t>
      </w:r>
      <w:r w:rsidR="0082578F" w:rsidRPr="00A53F0C">
        <w:t>ntrepreneurial capabilities are a function of imagination, managerial capabilities are largely practical in orientation, and are associated with the execution of ideas.</w:t>
      </w:r>
      <w:r w:rsidR="00A53F0C" w:rsidRPr="00A53F0C">
        <w:t xml:space="preserve"> Entrepreneurial capabilities are not a sufficient condition for firm growth as they must be accompanied by managerial capabilities for growth to occur.</w:t>
      </w:r>
      <w:r w:rsidR="00EF4D26">
        <w:rPr>
          <w:rStyle w:val="FootnoteReference"/>
        </w:rPr>
        <w:footnoteReference w:id="11"/>
      </w:r>
      <w:r w:rsidR="00A53F0C" w:rsidRPr="00A53F0C">
        <w:t xml:space="preserve"> </w:t>
      </w:r>
    </w:p>
    <w:p w14:paraId="3ACDDF42" w14:textId="39423904" w:rsidR="00C8566D" w:rsidRDefault="0080614A" w:rsidP="0092649D">
      <w:pPr>
        <w:pStyle w:val="BodyText"/>
        <w:rPr>
          <w:lang w:val="en"/>
        </w:rPr>
      </w:pPr>
      <w:r>
        <w:t>M</w:t>
      </w:r>
      <w:r w:rsidR="000C271A" w:rsidRPr="0028182F">
        <w:t>anagement</w:t>
      </w:r>
      <w:r>
        <w:t xml:space="preserve"> </w:t>
      </w:r>
      <w:r w:rsidR="000C271A" w:rsidRPr="0028182F">
        <w:t>capabilities allow</w:t>
      </w:r>
      <w:r w:rsidR="00C5233C">
        <w:t xml:space="preserve"> for</w:t>
      </w:r>
      <w:r w:rsidR="000C271A" w:rsidRPr="0028182F">
        <w:t xml:space="preserve"> the </w:t>
      </w:r>
      <w:r w:rsidR="0028182F" w:rsidRPr="0028182F">
        <w:t>systemati</w:t>
      </w:r>
      <w:r w:rsidR="005013CF">
        <w:t>s</w:t>
      </w:r>
      <w:r w:rsidR="0028182F" w:rsidRPr="0028182F">
        <w:t>ation and routini</w:t>
      </w:r>
      <w:r w:rsidR="005013CF">
        <w:t>s</w:t>
      </w:r>
      <w:r w:rsidR="0028182F" w:rsidRPr="0028182F">
        <w:t>ation of activities that are critical for growth or survival in an organisation.</w:t>
      </w:r>
      <w:r w:rsidR="001B37AA" w:rsidRPr="001B37AA">
        <w:rPr>
          <w:rStyle w:val="FootnoteReference"/>
        </w:rPr>
        <w:t xml:space="preserve"> </w:t>
      </w:r>
      <w:r w:rsidR="001B37AA">
        <w:rPr>
          <w:rStyle w:val="FootnoteReference"/>
        </w:rPr>
        <w:footnoteReference w:id="12"/>
      </w:r>
      <w:r w:rsidR="001B37AA" w:rsidRPr="001B37AA">
        <w:rPr>
          <w:vertAlign w:val="superscript"/>
        </w:rPr>
        <w:t>,</w:t>
      </w:r>
      <w:r w:rsidR="00824F64">
        <w:rPr>
          <w:rStyle w:val="FootnoteReference"/>
        </w:rPr>
        <w:footnoteReference w:id="13"/>
      </w:r>
      <w:r w:rsidRPr="0080614A">
        <w:rPr>
          <w:vertAlign w:val="superscript"/>
        </w:rPr>
        <w:t>,</w:t>
      </w:r>
      <w:r>
        <w:rPr>
          <w:rStyle w:val="FootnoteReference"/>
        </w:rPr>
        <w:footnoteReference w:id="14"/>
      </w:r>
      <w:r w:rsidR="0028182F" w:rsidRPr="0028182F">
        <w:t xml:space="preserve"> Management capabilities are embedded in professional </w:t>
      </w:r>
      <w:r w:rsidR="00C5233C">
        <w:t>management,</w:t>
      </w:r>
      <w:r w:rsidR="00824F64">
        <w:t xml:space="preserve"> </w:t>
      </w:r>
      <w:r w:rsidR="00C5233C">
        <w:t xml:space="preserve">which </w:t>
      </w:r>
      <w:r w:rsidR="00824F64">
        <w:t>drive</w:t>
      </w:r>
      <w:r w:rsidR="00C5233C">
        <w:t>s</w:t>
      </w:r>
      <w:r w:rsidR="00824F64">
        <w:t xml:space="preserve"> the </w:t>
      </w:r>
      <w:r w:rsidR="0028182F" w:rsidRPr="0028182F">
        <w:t xml:space="preserve">structure of modern </w:t>
      </w:r>
      <w:r w:rsidR="00CA366C">
        <w:t>firms</w:t>
      </w:r>
      <w:r w:rsidR="0028182F" w:rsidRPr="0028182F">
        <w:t>.</w:t>
      </w:r>
      <w:r w:rsidR="00824F64" w:rsidRPr="007B5DF2">
        <w:rPr>
          <w:vertAlign w:val="superscript"/>
        </w:rPr>
        <w:footnoteReference w:id="15"/>
      </w:r>
      <w:r w:rsidR="007B5DF2">
        <w:t xml:space="preserve"> </w:t>
      </w:r>
      <w:r w:rsidR="00B53158">
        <w:t>M</w:t>
      </w:r>
      <w:r w:rsidR="002C6E12">
        <w:t>ore importantly</w:t>
      </w:r>
      <w:r w:rsidR="007B5DF2">
        <w:t xml:space="preserve">, management capabilities </w:t>
      </w:r>
      <w:r w:rsidR="007B5DF2" w:rsidRPr="007B5DF2">
        <w:t xml:space="preserve">are fundamental to support successful </w:t>
      </w:r>
      <w:hyperlink r:id="rId21" w:tooltip="Commercialization" w:history="1">
        <w:r w:rsidR="007B5DF2" w:rsidRPr="007B5DF2">
          <w:t>commercialisation</w:t>
        </w:r>
      </w:hyperlink>
      <w:r w:rsidR="007B5DF2" w:rsidRPr="007B5DF2">
        <w:t xml:space="preserve"> and </w:t>
      </w:r>
      <w:hyperlink r:id="rId22" w:tooltip="Marketing" w:history="1">
        <w:r w:rsidR="007B5DF2" w:rsidRPr="007B5DF2">
          <w:t>marketing</w:t>
        </w:r>
      </w:hyperlink>
      <w:r w:rsidR="007B5DF2" w:rsidRPr="007B5DF2">
        <w:t xml:space="preserve"> of </w:t>
      </w:r>
      <w:hyperlink r:id="rId23" w:tooltip="Innovation" w:history="1">
        <w:r w:rsidR="007B5DF2" w:rsidRPr="007B5DF2">
          <w:t>innovation</w:t>
        </w:r>
      </w:hyperlink>
      <w:r w:rsidR="00A01991">
        <w:t>s</w:t>
      </w:r>
      <w:r w:rsidR="007B5DF2">
        <w:t>.</w:t>
      </w:r>
      <w:r w:rsidR="007B5DF2">
        <w:rPr>
          <w:rStyle w:val="FootnoteReference"/>
        </w:rPr>
        <w:footnoteReference w:id="16"/>
      </w:r>
      <w:r w:rsidR="007B5DF2">
        <w:t xml:space="preserve"> </w:t>
      </w:r>
      <w:r>
        <w:t>I</w:t>
      </w:r>
      <w:r w:rsidR="007B5DF2">
        <w:rPr>
          <w:lang w:val="en"/>
        </w:rPr>
        <w:t xml:space="preserve">nnovative firms </w:t>
      </w:r>
      <w:r w:rsidR="004F4EE3">
        <w:rPr>
          <w:lang w:val="en"/>
        </w:rPr>
        <w:t xml:space="preserve">may </w:t>
      </w:r>
      <w:r w:rsidR="007B5DF2">
        <w:rPr>
          <w:lang w:val="en"/>
        </w:rPr>
        <w:t>fail to capture economi</w:t>
      </w:r>
      <w:r w:rsidR="00213463">
        <w:rPr>
          <w:lang w:val="en"/>
        </w:rPr>
        <w:t xml:space="preserve">c returns </w:t>
      </w:r>
      <w:r w:rsidR="004F4EE3">
        <w:rPr>
          <w:lang w:val="en"/>
        </w:rPr>
        <w:t xml:space="preserve">on </w:t>
      </w:r>
      <w:r w:rsidR="00213463">
        <w:rPr>
          <w:lang w:val="en"/>
        </w:rPr>
        <w:t>their invention</w:t>
      </w:r>
      <w:r>
        <w:rPr>
          <w:lang w:val="en"/>
        </w:rPr>
        <w:t>s</w:t>
      </w:r>
      <w:r w:rsidR="00213463">
        <w:rPr>
          <w:lang w:val="en"/>
        </w:rPr>
        <w:t xml:space="preserve"> </w:t>
      </w:r>
      <w:r w:rsidR="004F4EE3">
        <w:rPr>
          <w:lang w:val="en"/>
        </w:rPr>
        <w:t>if they</w:t>
      </w:r>
      <w:r w:rsidR="00213463">
        <w:rPr>
          <w:lang w:val="en"/>
        </w:rPr>
        <w:t xml:space="preserve"> </w:t>
      </w:r>
      <w:r w:rsidR="00A01991">
        <w:rPr>
          <w:lang w:val="en"/>
        </w:rPr>
        <w:t xml:space="preserve">do </w:t>
      </w:r>
      <w:r w:rsidR="00213463">
        <w:rPr>
          <w:lang w:val="en"/>
        </w:rPr>
        <w:t xml:space="preserve">not </w:t>
      </w:r>
      <w:r w:rsidR="00A01991">
        <w:rPr>
          <w:lang w:val="en"/>
        </w:rPr>
        <w:t>have</w:t>
      </w:r>
      <w:r w:rsidR="00213463">
        <w:rPr>
          <w:lang w:val="en"/>
        </w:rPr>
        <w:t xml:space="preserve"> enough</w:t>
      </w:r>
      <w:r w:rsidR="00B53158">
        <w:rPr>
          <w:lang w:val="en"/>
        </w:rPr>
        <w:t xml:space="preserve"> managerial capabilities </w:t>
      </w:r>
      <w:r w:rsidR="00213463">
        <w:rPr>
          <w:lang w:val="en"/>
        </w:rPr>
        <w:lastRenderedPageBreak/>
        <w:t xml:space="preserve">to </w:t>
      </w:r>
      <w:r w:rsidR="001E3962">
        <w:rPr>
          <w:lang w:val="en"/>
        </w:rPr>
        <w:t>organi</w:t>
      </w:r>
      <w:r w:rsidR="00860CF7">
        <w:rPr>
          <w:lang w:val="en"/>
        </w:rPr>
        <w:t>s</w:t>
      </w:r>
      <w:r w:rsidR="001E3962">
        <w:rPr>
          <w:lang w:val="en"/>
        </w:rPr>
        <w:t>e</w:t>
      </w:r>
      <w:r w:rsidR="00213463">
        <w:rPr>
          <w:lang w:val="en"/>
        </w:rPr>
        <w:t xml:space="preserve"> and successfully </w:t>
      </w:r>
      <w:r w:rsidR="00860CF7">
        <w:rPr>
          <w:lang w:val="en"/>
        </w:rPr>
        <w:t xml:space="preserve">execute </w:t>
      </w:r>
      <w:r w:rsidR="00213463">
        <w:rPr>
          <w:lang w:val="en"/>
        </w:rPr>
        <w:t>marketing</w:t>
      </w:r>
      <w:r w:rsidR="007B5DF2">
        <w:rPr>
          <w:lang w:val="en"/>
        </w:rPr>
        <w:t>,</w:t>
      </w:r>
      <w:r w:rsidR="00213463">
        <w:rPr>
          <w:lang w:val="en"/>
        </w:rPr>
        <w:t xml:space="preserve"> finance</w:t>
      </w:r>
      <w:r w:rsidR="00C8566D">
        <w:rPr>
          <w:lang w:val="en"/>
        </w:rPr>
        <w:t>, distribution or manufacturing operations.</w:t>
      </w:r>
      <w:r w:rsidR="006A1B28">
        <w:rPr>
          <w:lang w:val="en"/>
        </w:rPr>
        <w:t xml:space="preserve"> </w:t>
      </w:r>
    </w:p>
    <w:p w14:paraId="746DAAC1" w14:textId="1877B9F3" w:rsidR="00D67D26" w:rsidRDefault="00D67D26" w:rsidP="00D67D26">
      <w:pPr>
        <w:pStyle w:val="BodyText"/>
      </w:pPr>
      <w:r w:rsidRPr="00885453">
        <w:t>Bloom</w:t>
      </w:r>
      <w:r>
        <w:rPr>
          <w:color w:val="373737" w:themeColor="text1"/>
        </w:rPr>
        <w:t>, Sadun and Van Reenen</w:t>
      </w:r>
      <w:r w:rsidRPr="00885453">
        <w:rPr>
          <w:color w:val="373737" w:themeColor="text1"/>
        </w:rPr>
        <w:t xml:space="preserve"> </w:t>
      </w:r>
      <w:r>
        <w:rPr>
          <w:color w:val="373737" w:themeColor="text1"/>
        </w:rPr>
        <w:t>estimate</w:t>
      </w:r>
      <w:r w:rsidRPr="00885453">
        <w:rPr>
          <w:color w:val="373737" w:themeColor="text1"/>
        </w:rPr>
        <w:t xml:space="preserve"> what share of the gap between various countries’ TFP and that of the US is explained by management practices.</w:t>
      </w:r>
      <w:r>
        <w:rPr>
          <w:color w:val="373737" w:themeColor="text1"/>
        </w:rPr>
        <w:t xml:space="preserve"> </w:t>
      </w:r>
      <w:r w:rsidRPr="00885453">
        <w:rPr>
          <w:color w:val="373737" w:themeColor="text1"/>
        </w:rPr>
        <w:t xml:space="preserve">For Australia, management practices appear to explain a particularly </w:t>
      </w:r>
      <w:r>
        <w:rPr>
          <w:color w:val="373737" w:themeColor="text1"/>
        </w:rPr>
        <w:t xml:space="preserve">large </w:t>
      </w:r>
      <w:r w:rsidRPr="00885453">
        <w:rPr>
          <w:color w:val="373737" w:themeColor="text1"/>
        </w:rPr>
        <w:t>share</w:t>
      </w:r>
      <w:r>
        <w:rPr>
          <w:color w:val="373737" w:themeColor="text1"/>
        </w:rPr>
        <w:t xml:space="preserve"> </w:t>
      </w:r>
      <w:r w:rsidRPr="00885453">
        <w:rPr>
          <w:color w:val="373737" w:themeColor="text1"/>
        </w:rPr>
        <w:t xml:space="preserve">— around 50 per cent </w:t>
      </w:r>
      <w:r>
        <w:t>(F</w:t>
      </w:r>
      <w:r w:rsidRPr="00885453">
        <w:t>igure 1.1</w:t>
      </w:r>
      <w:r>
        <w:t>a</w:t>
      </w:r>
      <w:r w:rsidRPr="00885453">
        <w:t>)</w:t>
      </w:r>
      <w:r>
        <w:t xml:space="preserve"> — largely due </w:t>
      </w:r>
      <w:r w:rsidRPr="00885453">
        <w:t>Australian firms report</w:t>
      </w:r>
      <w:r>
        <w:t xml:space="preserve">ing </w:t>
      </w:r>
      <w:r w:rsidRPr="00885453">
        <w:t xml:space="preserve">less structured management practices. </w:t>
      </w:r>
      <w:r>
        <w:t xml:space="preserve">Indeed, </w:t>
      </w:r>
      <w:r w:rsidRPr="00885453">
        <w:t xml:space="preserve">Australian manufacturing firms interviewed in the World Management Survey received an average management score </w:t>
      </w:r>
      <w:r>
        <w:t xml:space="preserve">below many comparable countries, including </w:t>
      </w:r>
      <w:r w:rsidRPr="00885453">
        <w:t>Germany, Canada, the United Kingdom France, and Italy</w:t>
      </w:r>
      <w:r>
        <w:t xml:space="preserve"> </w:t>
      </w:r>
      <w:r w:rsidRPr="00885453">
        <w:t>(</w:t>
      </w:r>
      <w:r>
        <w:t>F</w:t>
      </w:r>
      <w:r w:rsidRPr="00885453">
        <w:t>igure</w:t>
      </w:r>
      <w:r w:rsidR="001B37AA">
        <w:t> </w:t>
      </w:r>
      <w:r w:rsidRPr="00885453">
        <w:t>1.1</w:t>
      </w:r>
      <w:r>
        <w:t>b</w:t>
      </w:r>
      <w:r w:rsidRPr="00885453">
        <w:t xml:space="preserve">). </w:t>
      </w:r>
    </w:p>
    <w:p w14:paraId="0811C1FC" w14:textId="7B19E80E" w:rsidR="00D67D26" w:rsidRPr="00806009" w:rsidRDefault="00D67D26" w:rsidP="00D67D26">
      <w:pPr>
        <w:pStyle w:val="BodyText"/>
        <w:rPr>
          <w:rFonts w:cstheme="minorHAnsi"/>
          <w:lang w:eastAsia="en-AU"/>
        </w:rPr>
      </w:pPr>
      <w:r>
        <w:t xml:space="preserve">The evidence that there is room for improvement in Australian management practices has not been limited to the World Management Survey. </w:t>
      </w:r>
      <w:r>
        <w:rPr>
          <w:rFonts w:cstheme="minorHAnsi"/>
          <w:color w:val="373737" w:themeColor="text1"/>
          <w:lang w:eastAsia="en-AU"/>
        </w:rPr>
        <w:t xml:space="preserve">As early as </w:t>
      </w:r>
      <w:r w:rsidRPr="006B0E85">
        <w:rPr>
          <w:rFonts w:cstheme="minorHAnsi"/>
          <w:lang w:eastAsia="en-AU"/>
        </w:rPr>
        <w:t>1995</w:t>
      </w:r>
      <w:r>
        <w:rPr>
          <w:rFonts w:cstheme="minorHAnsi"/>
          <w:lang w:eastAsia="en-AU"/>
        </w:rPr>
        <w:t xml:space="preserve">, the </w:t>
      </w:r>
      <w:r w:rsidRPr="006B0E85">
        <w:rPr>
          <w:rFonts w:cstheme="minorHAnsi"/>
          <w:lang w:eastAsia="en-AU"/>
        </w:rPr>
        <w:t>Karpin report</w:t>
      </w:r>
      <w:r>
        <w:rPr>
          <w:rFonts w:cstheme="minorHAnsi"/>
          <w:lang w:eastAsia="en-AU"/>
        </w:rPr>
        <w:t xml:space="preserve"> identified a need for Australian managers to improve in several areas, including strategic management.</w:t>
      </w:r>
      <w:r w:rsidR="00EE5D42" w:rsidRPr="00EE5D42">
        <w:rPr>
          <w:rStyle w:val="FootnoteReference"/>
          <w:rFonts w:cstheme="minorHAnsi"/>
          <w:lang w:eastAsia="en-AU"/>
        </w:rPr>
        <w:t xml:space="preserve"> </w:t>
      </w:r>
      <w:r w:rsidR="00EE5D42" w:rsidRPr="006B0E85">
        <w:rPr>
          <w:rStyle w:val="FootnoteReference"/>
          <w:rFonts w:cstheme="minorHAnsi"/>
          <w:lang w:eastAsia="en-AU"/>
        </w:rPr>
        <w:footnoteReference w:id="17"/>
      </w:r>
      <w:r>
        <w:rPr>
          <w:rFonts w:cstheme="minorHAnsi"/>
          <w:lang w:eastAsia="en-AU"/>
        </w:rPr>
        <w:t xml:space="preserve"> More recently, data from external administrators’ reports lodged with the Australian Securities and Investments Commission have revealed that a substantial share of firms</w:t>
      </w:r>
      <w:r w:rsidR="00FA7D3E">
        <w:rPr>
          <w:rFonts w:cstheme="minorHAnsi"/>
          <w:lang w:eastAsia="en-AU"/>
        </w:rPr>
        <w:t xml:space="preserve"> commonly</w:t>
      </w:r>
      <w:r>
        <w:rPr>
          <w:rFonts w:cstheme="minorHAnsi"/>
          <w:lang w:eastAsia="en-AU"/>
        </w:rPr>
        <w:t xml:space="preserve"> cite poor strategic management as a reason for their failure</w:t>
      </w:r>
      <w:r w:rsidR="00EE4B24">
        <w:rPr>
          <w:rFonts w:cstheme="minorHAnsi"/>
          <w:lang w:eastAsia="en-AU"/>
        </w:rPr>
        <w:t> </w:t>
      </w:r>
      <w:r w:rsidRPr="00885453">
        <w:t>(</w:t>
      </w:r>
      <w:r>
        <w:t>F</w:t>
      </w:r>
      <w:r w:rsidRPr="00885453">
        <w:t>igure</w:t>
      </w:r>
      <w:r w:rsidR="00110570">
        <w:t> </w:t>
      </w:r>
      <w:r w:rsidRPr="00885453">
        <w:t>1.1</w:t>
      </w:r>
      <w:r>
        <w:t>c</w:t>
      </w:r>
      <w:r w:rsidRPr="00885453">
        <w:t>)</w:t>
      </w:r>
      <w:r>
        <w:rPr>
          <w:rFonts w:cstheme="minorHAnsi"/>
          <w:lang w:eastAsia="en-AU"/>
        </w:rPr>
        <w:t xml:space="preserve">. </w:t>
      </w:r>
    </w:p>
    <w:p w14:paraId="2C4B9C91" w14:textId="669DC755" w:rsidR="00D67D26" w:rsidRDefault="00D67D26" w:rsidP="00D67D26">
      <w:pPr>
        <w:pStyle w:val="CaptionWide"/>
        <w:ind w:left="-2268"/>
      </w:pPr>
      <w:r>
        <w:lastRenderedPageBreak/>
        <w:t>Figure</w:t>
      </w:r>
      <w:r w:rsidRPr="000618FB">
        <w:t xml:space="preserve"> </w:t>
      </w:r>
      <w:r w:rsidR="00912644">
        <w:rPr>
          <w:noProof/>
        </w:rPr>
        <w:t>1</w:t>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1</w:t>
      </w:r>
      <w:r w:rsidRPr="000618FB">
        <w:fldChar w:fldCharType="end"/>
      </w:r>
      <w:r>
        <w:t>: Management capability in Australia and overseas</w:t>
      </w:r>
    </w:p>
    <w:tbl>
      <w:tblPr>
        <w:tblStyle w:val="OCETable"/>
        <w:tblW w:w="6889" w:type="pct"/>
        <w:tblInd w:w="-2410" w:type="dxa"/>
        <w:tblLayout w:type="fixed"/>
        <w:tblLook w:val="04A0" w:firstRow="1" w:lastRow="0" w:firstColumn="1" w:lastColumn="0" w:noHBand="0" w:noVBand="1"/>
        <w:tblCaption w:val="This table contains figures 1.1a, b, c and d"/>
      </w:tblPr>
      <w:tblGrid>
        <w:gridCol w:w="4678"/>
        <w:gridCol w:w="423"/>
        <w:gridCol w:w="3975"/>
        <w:gridCol w:w="423"/>
      </w:tblGrid>
      <w:tr w:rsidR="00D67D26" w14:paraId="003986E9" w14:textId="77777777" w:rsidTr="00912644">
        <w:trPr>
          <w:gridAfter w:val="1"/>
          <w:cnfStyle w:val="100000000000" w:firstRow="1" w:lastRow="0" w:firstColumn="0" w:lastColumn="0" w:oddVBand="0" w:evenVBand="0" w:oddHBand="0" w:evenHBand="0" w:firstRowFirstColumn="0" w:firstRowLastColumn="0" w:lastRowFirstColumn="0" w:lastRowLastColumn="0"/>
          <w:wAfter w:w="423" w:type="dxa"/>
          <w:trHeight w:val="621"/>
          <w:tblHeader/>
        </w:trPr>
        <w:tc>
          <w:tcPr>
            <w:tcW w:w="467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BC22D1B" w14:textId="77777777" w:rsidR="00D67D26" w:rsidRPr="001F16BB" w:rsidDel="00545E06" w:rsidRDefault="00D67D26" w:rsidP="00FA7D3E">
            <w:pPr>
              <w:pStyle w:val="PlaceholderWide"/>
              <w:numPr>
                <w:ilvl w:val="0"/>
                <w:numId w:val="43"/>
              </w:numPr>
              <w:ind w:left="742" w:right="-388" w:hanging="742"/>
              <w:jc w:val="left"/>
              <w:rPr>
                <w:b/>
                <w:color w:val="005CAF"/>
              </w:rPr>
            </w:pPr>
            <w:r w:rsidRPr="001F16BB">
              <w:rPr>
                <w:b/>
                <w:color w:val="005CAF"/>
              </w:rPr>
              <w:t xml:space="preserve">Share of TFP gap with </w:t>
            </w:r>
            <w:r>
              <w:rPr>
                <w:b/>
                <w:color w:val="005CAF"/>
              </w:rPr>
              <w:t xml:space="preserve">the </w:t>
            </w:r>
            <w:r w:rsidRPr="001F16BB">
              <w:rPr>
                <w:b/>
                <w:color w:val="005CAF"/>
              </w:rPr>
              <w:t>U</w:t>
            </w:r>
            <w:r>
              <w:rPr>
                <w:b/>
                <w:color w:val="005CAF"/>
              </w:rPr>
              <w:t>nited States</w:t>
            </w:r>
            <w:r w:rsidRPr="001F16BB">
              <w:rPr>
                <w:b/>
                <w:color w:val="005CAF"/>
              </w:rPr>
              <w:t xml:space="preserve"> explained by management</w:t>
            </w:r>
          </w:p>
        </w:tc>
        <w:tc>
          <w:tcPr>
            <w:tcW w:w="439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13495B20" w14:textId="77777777" w:rsidR="00D67D26" w:rsidRPr="001F16BB" w:rsidDel="00545E06" w:rsidRDefault="00D67D26" w:rsidP="00FA7D3E">
            <w:pPr>
              <w:pStyle w:val="PlaceholderWide"/>
              <w:numPr>
                <w:ilvl w:val="0"/>
                <w:numId w:val="43"/>
              </w:numPr>
              <w:ind w:left="601" w:hanging="425"/>
              <w:jc w:val="left"/>
              <w:rPr>
                <w:b/>
                <w:color w:val="005CAF"/>
              </w:rPr>
            </w:pPr>
            <w:r w:rsidRPr="001F16BB">
              <w:rPr>
                <w:b/>
                <w:color w:val="005CAF"/>
              </w:rPr>
              <w:t>Average management score of domestic firms by country</w:t>
            </w:r>
          </w:p>
        </w:tc>
      </w:tr>
      <w:tr w:rsidR="00D67D26" w14:paraId="69214D07" w14:textId="77777777" w:rsidTr="00912644">
        <w:trPr>
          <w:gridAfter w:val="1"/>
          <w:cnfStyle w:val="100000000000" w:firstRow="1" w:lastRow="0" w:firstColumn="0" w:lastColumn="0" w:oddVBand="0" w:evenVBand="0" w:oddHBand="0" w:evenHBand="0" w:firstRowFirstColumn="0" w:firstRowLastColumn="0" w:lastRowFirstColumn="0" w:lastRowLastColumn="0"/>
          <w:wAfter w:w="423" w:type="dxa"/>
          <w:trHeight w:val="621"/>
          <w:tblHeader/>
        </w:trPr>
        <w:tc>
          <w:tcPr>
            <w:tcW w:w="4678" w:type="dxa"/>
            <w:shd w:val="clear" w:color="auto" w:fill="auto"/>
          </w:tcPr>
          <w:p w14:paraId="39F95988" w14:textId="77777777" w:rsidR="00D67D26" w:rsidRDefault="00D67D26" w:rsidP="00FA7D3E">
            <w:pPr>
              <w:pStyle w:val="PlaceholderWide"/>
              <w:ind w:left="720"/>
              <w:jc w:val="both"/>
              <w:rPr>
                <w:b/>
              </w:rPr>
            </w:pPr>
            <w:r>
              <w:rPr>
                <w:noProof/>
                <w:lang w:eastAsia="en-AU"/>
              </w:rPr>
              <w:drawing>
                <wp:anchor distT="0" distB="0" distL="114300" distR="114300" simplePos="0" relativeHeight="251660302" behindDoc="1" locked="0" layoutInCell="1" allowOverlap="1" wp14:anchorId="604F7E10" wp14:editId="66C6D893">
                  <wp:simplePos x="0" y="0"/>
                  <wp:positionH relativeFrom="column">
                    <wp:posOffset>-68580</wp:posOffset>
                  </wp:positionH>
                  <wp:positionV relativeFrom="paragraph">
                    <wp:posOffset>16510</wp:posOffset>
                  </wp:positionV>
                  <wp:extent cx="3108960" cy="2880000"/>
                  <wp:effectExtent l="0" t="0" r="0" b="0"/>
                  <wp:wrapTight wrapText="bothSides">
                    <wp:wrapPolygon edited="0">
                      <wp:start x="0" y="0"/>
                      <wp:lineTo x="0" y="21433"/>
                      <wp:lineTo x="21441" y="21433"/>
                      <wp:lineTo x="21441" y="0"/>
                      <wp:lineTo x="0" y="0"/>
                    </wp:wrapPolygon>
                  </wp:wrapTight>
                  <wp:docPr id="3" name="Chart 3" descr="Figure 1.1a is a bar chart. It shows the share of the TFP gap with the US explained by management for various countries. Among the countries presented, Australia has the third highest share of the gap explained at around 52 per cent. The country with the largest share of the gap explained is Great Britain at 55 per cent, whilst the lowest is Portugal at 27 per cent. " title="Figure 1.1a"/>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tc>
        <w:tc>
          <w:tcPr>
            <w:tcW w:w="4398" w:type="dxa"/>
            <w:gridSpan w:val="2"/>
            <w:shd w:val="clear" w:color="auto" w:fill="auto"/>
          </w:tcPr>
          <w:p w14:paraId="2DEC9BCA" w14:textId="77777777" w:rsidR="00D67D26" w:rsidRDefault="00D67D26" w:rsidP="00FA7D3E">
            <w:pPr>
              <w:pStyle w:val="PlaceholderWide"/>
              <w:jc w:val="both"/>
              <w:rPr>
                <w:b/>
              </w:rPr>
            </w:pPr>
            <w:r>
              <w:rPr>
                <w:noProof/>
                <w:lang w:eastAsia="en-AU"/>
              </w:rPr>
              <w:drawing>
                <wp:anchor distT="0" distB="0" distL="114300" distR="114300" simplePos="0" relativeHeight="251661326" behindDoc="0" locked="0" layoutInCell="1" allowOverlap="1" wp14:anchorId="0750BD1D" wp14:editId="3E3AA584">
                  <wp:simplePos x="0" y="0"/>
                  <wp:positionH relativeFrom="column">
                    <wp:posOffset>-68580</wp:posOffset>
                  </wp:positionH>
                  <wp:positionV relativeFrom="paragraph">
                    <wp:posOffset>23495</wp:posOffset>
                  </wp:positionV>
                  <wp:extent cx="2903220" cy="2880000"/>
                  <wp:effectExtent l="0" t="0" r="0" b="0"/>
                  <wp:wrapSquare wrapText="bothSides"/>
                  <wp:docPr id="6" name="Chart 6" descr="Figure 1.1b is a bar chart showing average management score of domestic firms by country. Australia’s score ranks 8th among the 13 countries present. Its score is 2.9. The United States has the highest score (3.3) whilst China has the lowest (2.64)." title="Figure 1.1b"/>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tc>
      </w:tr>
      <w:tr w:rsidR="00D67D26" w14:paraId="51DD20E3" w14:textId="77777777" w:rsidTr="00912644">
        <w:trPr>
          <w:gridAfter w:val="1"/>
          <w:cnfStyle w:val="100000000000" w:firstRow="1" w:lastRow="0" w:firstColumn="0" w:lastColumn="0" w:oddVBand="0" w:evenVBand="0" w:oddHBand="0" w:evenHBand="0" w:firstRowFirstColumn="0" w:firstRowLastColumn="0" w:lastRowFirstColumn="0" w:lastRowLastColumn="0"/>
          <w:wAfter w:w="423" w:type="dxa"/>
          <w:trHeight w:val="622"/>
          <w:tblHeader/>
        </w:trPr>
        <w:tc>
          <w:tcPr>
            <w:tcW w:w="4678" w:type="dxa"/>
            <w:shd w:val="clear" w:color="auto" w:fill="auto"/>
          </w:tcPr>
          <w:p w14:paraId="3D94EBAC" w14:textId="77777777" w:rsidR="00D67D26" w:rsidRPr="001F16BB" w:rsidRDefault="00D67D26" w:rsidP="00FA7D3E">
            <w:pPr>
              <w:pStyle w:val="PlaceholderWide"/>
              <w:numPr>
                <w:ilvl w:val="0"/>
                <w:numId w:val="43"/>
              </w:numPr>
              <w:ind w:left="459" w:hanging="425"/>
              <w:jc w:val="left"/>
              <w:rPr>
                <w:b/>
                <w:color w:val="005CAF"/>
              </w:rPr>
            </w:pPr>
            <w:r w:rsidRPr="001F16BB">
              <w:rPr>
                <w:b/>
                <w:color w:val="005CAF"/>
              </w:rPr>
              <w:t>Poor strategic management of business as cause of business failure</w:t>
            </w:r>
          </w:p>
        </w:tc>
        <w:tc>
          <w:tcPr>
            <w:tcW w:w="4398" w:type="dxa"/>
            <w:gridSpan w:val="2"/>
            <w:shd w:val="clear" w:color="auto" w:fill="auto"/>
          </w:tcPr>
          <w:p w14:paraId="1521EF11" w14:textId="77777777" w:rsidR="00D67D26" w:rsidRPr="001F16BB" w:rsidRDefault="00D67D26" w:rsidP="00FA7D3E">
            <w:pPr>
              <w:pStyle w:val="PlaceholderWide"/>
              <w:numPr>
                <w:ilvl w:val="0"/>
                <w:numId w:val="43"/>
              </w:numPr>
              <w:ind w:left="601" w:hanging="425"/>
              <w:jc w:val="left"/>
              <w:rPr>
                <w:b/>
                <w:color w:val="005CAF"/>
              </w:rPr>
            </w:pPr>
            <w:r w:rsidRPr="001F16BB">
              <w:rPr>
                <w:b/>
                <w:color w:val="005CAF"/>
              </w:rPr>
              <w:t>Actual and self-assessed management scores by country</w:t>
            </w:r>
          </w:p>
        </w:tc>
      </w:tr>
      <w:tr w:rsidR="00D67D26" w14:paraId="4C599763" w14:textId="77777777" w:rsidTr="00912644">
        <w:trPr>
          <w:cnfStyle w:val="100000000000" w:firstRow="1" w:lastRow="0" w:firstColumn="0" w:lastColumn="0" w:oddVBand="0" w:evenVBand="0" w:oddHBand="0" w:evenHBand="0" w:firstRowFirstColumn="0" w:firstRowLastColumn="0" w:lastRowFirstColumn="0" w:lastRowLastColumn="0"/>
          <w:trHeight w:val="4529"/>
          <w:tblHeader/>
        </w:trPr>
        <w:tc>
          <w:tcPr>
            <w:tcW w:w="5101" w:type="dxa"/>
            <w:gridSpan w:val="2"/>
            <w:shd w:val="clear" w:color="auto" w:fill="auto"/>
          </w:tcPr>
          <w:p w14:paraId="2B4389C5" w14:textId="77777777" w:rsidR="00D67D26" w:rsidRDefault="00D67D26" w:rsidP="00FA7D3E">
            <w:pPr>
              <w:pStyle w:val="PlaceholderWide"/>
              <w:ind w:left="-1985"/>
              <w:jc w:val="left"/>
            </w:pPr>
            <w:r>
              <w:rPr>
                <w:noProof/>
                <w:lang w:eastAsia="en-AU"/>
              </w:rPr>
              <w:drawing>
                <wp:anchor distT="0" distB="0" distL="114300" distR="114300" simplePos="0" relativeHeight="251662350" behindDoc="1" locked="0" layoutInCell="1" allowOverlap="1" wp14:anchorId="5663F535" wp14:editId="22BB5A2E">
                  <wp:simplePos x="0" y="0"/>
                  <wp:positionH relativeFrom="column">
                    <wp:posOffset>-68214</wp:posOffset>
                  </wp:positionH>
                  <wp:positionV relativeFrom="paragraph">
                    <wp:posOffset>59539</wp:posOffset>
                  </wp:positionV>
                  <wp:extent cx="3030220" cy="2880000"/>
                  <wp:effectExtent l="0" t="0" r="0" b="0"/>
                  <wp:wrapTight wrapText="bothSides">
                    <wp:wrapPolygon edited="0">
                      <wp:start x="0" y="0"/>
                      <wp:lineTo x="0" y="21433"/>
                      <wp:lineTo x="21455" y="21433"/>
                      <wp:lineTo x="21455" y="0"/>
                      <wp:lineTo x="0" y="0"/>
                    </wp:wrapPolygon>
                  </wp:wrapTight>
                  <wp:docPr id="27" name="Chart 27" descr="Figure 1.1c is a column chart showing the per cent of firms that cite poor strategic management of business as a cause of business failure from 2009-10 to 2016-17. Over these years, this figure varies between around 17 and 19 per cent of firms and is approximately 18 per cent in the most recent year." title="Figure 1.1c"/>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p>
        </w:tc>
        <w:tc>
          <w:tcPr>
            <w:tcW w:w="4398" w:type="dxa"/>
            <w:gridSpan w:val="2"/>
            <w:shd w:val="clear" w:color="auto" w:fill="auto"/>
          </w:tcPr>
          <w:p w14:paraId="59091438" w14:textId="77777777" w:rsidR="00D67D26" w:rsidRDefault="00D67D26" w:rsidP="00FA7D3E">
            <w:pPr>
              <w:pStyle w:val="PlaceholderWide"/>
              <w:ind w:left="-1985"/>
              <w:jc w:val="left"/>
            </w:pPr>
            <w:r>
              <w:rPr>
                <w:noProof/>
                <w:lang w:eastAsia="en-AU"/>
              </w:rPr>
              <w:drawing>
                <wp:anchor distT="0" distB="0" distL="114300" distR="114300" simplePos="0" relativeHeight="251663374" behindDoc="0" locked="0" layoutInCell="1" allowOverlap="1" wp14:anchorId="747B369C" wp14:editId="7A3FE5E9">
                  <wp:simplePos x="0" y="0"/>
                  <wp:positionH relativeFrom="column">
                    <wp:posOffset>-68580</wp:posOffset>
                  </wp:positionH>
                  <wp:positionV relativeFrom="paragraph">
                    <wp:posOffset>0</wp:posOffset>
                  </wp:positionV>
                  <wp:extent cx="3056255" cy="2975610"/>
                  <wp:effectExtent l="0" t="0" r="0" b="0"/>
                  <wp:wrapSquare wrapText="bothSides"/>
                  <wp:docPr id="13" name="Chart 13" descr="Figure 1.1d is a scatter plot showing the average management self-score and average management practice score for a number of countries. The figure shows that all countries have higher self-scores than externally assessed scores. Generally, lower externally assessed scores correspond to higher-self scores. Australia’s average self-score is around 3.6, whilst is externally assessed score is 2.9." title="Figure 1.1d"/>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Del="004F6E0D">
              <w:rPr>
                <w:noProof/>
                <w:lang w:eastAsia="en-AU"/>
              </w:rPr>
              <w:t xml:space="preserve"> </w:t>
            </w:r>
          </w:p>
        </w:tc>
      </w:tr>
    </w:tbl>
    <w:p w14:paraId="24119226" w14:textId="591A2DFF" w:rsidR="00D67D26" w:rsidRPr="00C62F3A" w:rsidRDefault="00D67D26" w:rsidP="00D67D26">
      <w:pPr>
        <w:pStyle w:val="NoteWide"/>
        <w:spacing w:line="240" w:lineRule="auto"/>
        <w:ind w:left="-2268"/>
      </w:pPr>
      <w:r>
        <w:t xml:space="preserve">Notes: </w:t>
      </w:r>
      <w:r w:rsidR="00EA57B9">
        <w:t>(b) S</w:t>
      </w:r>
      <w:r>
        <w:t>cores represent u</w:t>
      </w:r>
      <w:r w:rsidRPr="009C05F5">
        <w:t xml:space="preserve">nweighted means of management scores </w:t>
      </w:r>
      <w:r w:rsidR="00EA57B9">
        <w:t xml:space="preserve">among </w:t>
      </w:r>
      <w:r w:rsidRPr="009C05F5">
        <w:t>domestic</w:t>
      </w:r>
      <w:r w:rsidR="00EA57B9">
        <w:t xml:space="preserve"> manufacturing</w:t>
      </w:r>
      <w:r w:rsidRPr="009C05F5">
        <w:t xml:space="preserve"> firms</w:t>
      </w:r>
      <w:r>
        <w:t>.</w:t>
      </w:r>
      <w:r w:rsidRPr="004F6E0D">
        <w:t xml:space="preserve"> </w:t>
      </w:r>
    </w:p>
    <w:p w14:paraId="512085D5" w14:textId="098AD855" w:rsidR="00D67D26" w:rsidRDefault="00D67D26" w:rsidP="00D67D26">
      <w:pPr>
        <w:pStyle w:val="SourceWide"/>
        <w:spacing w:after="120"/>
        <w:ind w:left="-2268"/>
      </w:pPr>
      <w:r>
        <w:t xml:space="preserve">Source: </w:t>
      </w:r>
      <w:r w:rsidR="00EA57B9">
        <w:t xml:space="preserve">(a,b) Data were digitally extracted from </w:t>
      </w:r>
      <w:r>
        <w:t>Bloom, Sadun and Van Reenen (2017);</w:t>
      </w:r>
      <w:r w:rsidR="00EA57B9">
        <w:t xml:space="preserve"> (c)</w:t>
      </w:r>
      <w:r>
        <w:t xml:space="preserve"> Data were digitally extracted from Maloney (2017, p.5); </w:t>
      </w:r>
      <w:r w:rsidR="00EA57B9">
        <w:t xml:space="preserve">(d) </w:t>
      </w:r>
      <w:r w:rsidR="000376C7">
        <w:t>ASIC</w:t>
      </w:r>
      <w:r w:rsidR="000376C7" w:rsidRPr="00850D58">
        <w:t xml:space="preserve"> </w:t>
      </w:r>
      <w:r w:rsidRPr="00850D58">
        <w:t>(201</w:t>
      </w:r>
      <w:r w:rsidR="000376C7">
        <w:t>7</w:t>
      </w:r>
      <w:r w:rsidRPr="00850D58">
        <w:t xml:space="preserve">) </w:t>
      </w:r>
      <w:r w:rsidR="000376C7">
        <w:t>Insolvency statistics: External administrators’ reports</w:t>
      </w:r>
      <w:r w:rsidRPr="00850D58">
        <w:t>.</w:t>
      </w:r>
      <w:r>
        <w:t xml:space="preserve"> </w:t>
      </w:r>
    </w:p>
    <w:p w14:paraId="67BB27E6" w14:textId="77777777" w:rsidR="00D67D26" w:rsidRDefault="00D67D26" w:rsidP="00D67D26">
      <w:pPr>
        <w:pStyle w:val="BodyText"/>
      </w:pPr>
    </w:p>
    <w:p w14:paraId="11F6957F" w14:textId="77777777" w:rsidR="00D67D26" w:rsidRDefault="00D67D26" w:rsidP="00D67D26">
      <w:pPr>
        <w:pStyle w:val="BodyText"/>
      </w:pPr>
    </w:p>
    <w:p w14:paraId="3BD1F50A" w14:textId="77777777" w:rsidR="00D67D26" w:rsidRDefault="00D67D26" w:rsidP="00D67D26">
      <w:pPr>
        <w:pStyle w:val="BodyText"/>
      </w:pPr>
    </w:p>
    <w:p w14:paraId="00B25A8D" w14:textId="77777777" w:rsidR="00D67D26" w:rsidRDefault="00D67D26" w:rsidP="00D67D26">
      <w:pPr>
        <w:pStyle w:val="BodyText"/>
      </w:pPr>
      <w:r w:rsidRPr="00885453">
        <w:lastRenderedPageBreak/>
        <w:t>It is unclear what accounts for differences in management capability</w:t>
      </w:r>
      <w:r>
        <w:t xml:space="preserve"> between firms and countries,</w:t>
      </w:r>
      <w:r w:rsidRPr="00885453">
        <w:t xml:space="preserve"> and </w:t>
      </w:r>
      <w:r>
        <w:t xml:space="preserve">what the </w:t>
      </w:r>
      <w:r w:rsidRPr="00885453">
        <w:t xml:space="preserve">role for government </w:t>
      </w:r>
      <w:r>
        <w:t>is in</w:t>
      </w:r>
      <w:r w:rsidRPr="00885453">
        <w:t xml:space="preserve"> promot</w:t>
      </w:r>
      <w:r>
        <w:t>ing</w:t>
      </w:r>
      <w:r w:rsidRPr="00885453">
        <w:t xml:space="preserve"> the adoption of </w:t>
      </w:r>
      <w:r>
        <w:t>structured</w:t>
      </w:r>
      <w:r w:rsidRPr="00885453">
        <w:t xml:space="preserve"> management practices. </w:t>
      </w:r>
      <w:r>
        <w:t>Indeed, some f</w:t>
      </w:r>
      <w:r w:rsidRPr="00885453">
        <w:t xml:space="preserve">irms may opt for less structured management to </w:t>
      </w:r>
      <w:r w:rsidRPr="00885453">
        <w:rPr>
          <w:i/>
        </w:rPr>
        <w:t xml:space="preserve">promote </w:t>
      </w:r>
      <w:r w:rsidRPr="00885453">
        <w:t>performance. In some cases, the costs associated with introducing structured management practices — such as the monitoring of key performance indicators</w:t>
      </w:r>
      <w:r>
        <w:t xml:space="preserve"> (KPIs)</w:t>
      </w:r>
      <w:r w:rsidRPr="00885453">
        <w:t xml:space="preserve"> or development of a strategic plan</w:t>
      </w:r>
      <w:r>
        <w:t> </w:t>
      </w:r>
      <w:r w:rsidRPr="00885453">
        <w:t>—</w:t>
      </w:r>
      <w:r>
        <w:t> </w:t>
      </w:r>
      <w:r w:rsidRPr="00885453">
        <w:t xml:space="preserve">may exceed any </w:t>
      </w:r>
      <w:r>
        <w:t>associated</w:t>
      </w:r>
      <w:r w:rsidRPr="00885453">
        <w:t xml:space="preserve"> benefits</w:t>
      </w:r>
      <w:r>
        <w:t>. This may be especially true for smaller firms.</w:t>
      </w:r>
    </w:p>
    <w:p w14:paraId="55488580" w14:textId="312D6BFA" w:rsidR="00D67D26" w:rsidRDefault="00D67D26" w:rsidP="00D67D26">
      <w:pPr>
        <w:pStyle w:val="BodyText"/>
      </w:pPr>
      <w:r>
        <w:t xml:space="preserve">However, it also possible that </w:t>
      </w:r>
      <w:r w:rsidRPr="00885453">
        <w:t xml:space="preserve">firms </w:t>
      </w:r>
      <w:r>
        <w:t>lack information on</w:t>
      </w:r>
      <w:r w:rsidRPr="00885453">
        <w:t xml:space="preserve"> </w:t>
      </w:r>
      <w:r w:rsidR="00EA57B9">
        <w:t xml:space="preserve">optimal </w:t>
      </w:r>
      <w:r w:rsidRPr="00885453">
        <w:t xml:space="preserve">management practices </w:t>
      </w:r>
      <w:r>
        <w:t>and forgo implementing more structured management practices despite net benefits</w:t>
      </w:r>
      <w:r w:rsidRPr="00885453">
        <w:t>.</w:t>
      </w:r>
      <w:r>
        <w:t xml:space="preserve"> Indeed, there is evidence that firms systematically lack information on how structured their management practices are with respect to others, with </w:t>
      </w:r>
      <w:r w:rsidRPr="00885453">
        <w:t>firms’ self</w:t>
      </w:r>
      <w:r>
        <w:noBreakHyphen/>
      </w:r>
      <w:r w:rsidRPr="00885453">
        <w:t>assessed management score</w:t>
      </w:r>
      <w:r>
        <w:t xml:space="preserve">s </w:t>
      </w:r>
      <w:r w:rsidRPr="00885453">
        <w:t xml:space="preserve">poorly </w:t>
      </w:r>
      <w:r>
        <w:t>predicting</w:t>
      </w:r>
      <w:r w:rsidRPr="00885453">
        <w:t xml:space="preserve"> externally assessed management scores and </w:t>
      </w:r>
      <w:r>
        <w:t>firm</w:t>
      </w:r>
      <w:r w:rsidRPr="00885453">
        <w:t xml:space="preserve"> performance.</w:t>
      </w:r>
      <w:r w:rsidRPr="00885453">
        <w:rPr>
          <w:rStyle w:val="FootnoteReference"/>
        </w:rPr>
        <w:footnoteReference w:id="18"/>
      </w:r>
      <w:r w:rsidRPr="00885453">
        <w:t xml:space="preserve"> </w:t>
      </w:r>
      <w:r>
        <w:t xml:space="preserve">Moreover, </w:t>
      </w:r>
      <w:r w:rsidRPr="00885453">
        <w:t xml:space="preserve">at a national level, self–assessment of management capability is </w:t>
      </w:r>
      <w:r w:rsidRPr="00885453">
        <w:rPr>
          <w:i/>
        </w:rPr>
        <w:t>negatively</w:t>
      </w:r>
      <w:r w:rsidRPr="00885453">
        <w:t xml:space="preserve"> related to external assessments (</w:t>
      </w:r>
      <w:r>
        <w:t>F</w:t>
      </w:r>
      <w:r w:rsidRPr="00885453">
        <w:t>igure</w:t>
      </w:r>
      <w:r>
        <w:t> </w:t>
      </w:r>
      <w:r>
        <w:rPr>
          <w:noProof/>
        </w:rPr>
        <w:fldChar w:fldCharType="begin"/>
      </w:r>
      <w:r>
        <w:rPr>
          <w:noProof/>
        </w:rPr>
        <w:instrText xml:space="preserve"> STYLEREF 1 \s </w:instrText>
      </w:r>
      <w:r>
        <w:rPr>
          <w:noProof/>
        </w:rPr>
        <w:fldChar w:fldCharType="separate"/>
      </w:r>
      <w:r w:rsidR="0001154F">
        <w:rPr>
          <w:noProof/>
        </w:rPr>
        <w:t>2</w:t>
      </w:r>
      <w:r>
        <w:rPr>
          <w:noProof/>
        </w:rPr>
        <w:fldChar w:fldCharType="end"/>
      </w:r>
      <w:r>
        <w:t xml:space="preserve">.1d). Supporting the notion that this may translate to poor outcomes, there is evidence that some firms </w:t>
      </w:r>
      <w:r w:rsidR="00EA57B9">
        <w:t xml:space="preserve">systematically </w:t>
      </w:r>
      <w:r>
        <w:t>introduce management practices</w:t>
      </w:r>
      <w:r w:rsidR="00EA57B9" w:rsidRPr="00885453">
        <w:t xml:space="preserve"> — </w:t>
      </w:r>
      <w:r w:rsidR="00EA57B9">
        <w:t>for example, compensation schemes</w:t>
      </w:r>
      <w:r w:rsidR="00EA57B9" w:rsidRPr="00885453">
        <w:t xml:space="preserve"> — </w:t>
      </w:r>
      <w:r>
        <w:t>that are not value</w:t>
      </w:r>
      <w:r>
        <w:noBreakHyphen/>
        <w:t>maximising</w:t>
      </w:r>
      <w:r>
        <w:rPr>
          <w:rFonts w:cstheme="minorHAnsi"/>
        </w:rPr>
        <w:t>.</w:t>
      </w:r>
      <w:r w:rsidRPr="006B0E85">
        <w:rPr>
          <w:rStyle w:val="FootnoteReference"/>
          <w:rFonts w:cstheme="minorHAnsi"/>
        </w:rPr>
        <w:footnoteReference w:id="19"/>
      </w:r>
      <w:r w:rsidRPr="00DF6C89">
        <w:rPr>
          <w:vertAlign w:val="superscript"/>
        </w:rPr>
        <w:t>,</w:t>
      </w:r>
      <w:r w:rsidRPr="006B0E85">
        <w:rPr>
          <w:rStyle w:val="FootnoteReference"/>
          <w:rFonts w:cstheme="minorHAnsi"/>
        </w:rPr>
        <w:footnoteReference w:id="20"/>
      </w:r>
    </w:p>
    <w:p w14:paraId="201E57C0" w14:textId="45DA1FEB" w:rsidR="00624C61" w:rsidRDefault="00D67D26" w:rsidP="00D67D26">
      <w:pPr>
        <w:pStyle w:val="BodyText"/>
      </w:pPr>
      <w:r>
        <w:t>Given these informational issues, policies aimed at increasing firms’ awareness of their management capability and financial performance with respect to others and best practice are likely to be beneficial. The Inland Revenue Department in New Zealand currently allows firms to compare their fina</w:t>
      </w:r>
      <w:r w:rsidR="00C93959">
        <w:t>ncial performance with industry</w:t>
      </w:r>
      <w:r w:rsidR="00EE1123">
        <w:noBreakHyphen/>
      </w:r>
      <w:r>
        <w:t>level benchmarks</w:t>
      </w:r>
      <w:r w:rsidR="00C93959">
        <w:t xml:space="preserve"> (box</w:t>
      </w:r>
      <w:r w:rsidR="00B5012B">
        <w:t> </w:t>
      </w:r>
      <w:r w:rsidR="00C93959">
        <w:t>2.1)</w:t>
      </w:r>
      <w:r>
        <w:t xml:space="preserve">. </w:t>
      </w:r>
      <w:r w:rsidR="00B5012B">
        <w:t>A similar tool for management practices is one potential policy response.</w:t>
      </w:r>
    </w:p>
    <w:p w14:paraId="23EE8DC7" w14:textId="77777777" w:rsidR="009F6D66" w:rsidRDefault="009F6D66" w:rsidP="009F6D66">
      <w:pPr>
        <w:pStyle w:val="Caption"/>
      </w:pPr>
      <w:r w:rsidRPr="00091209">
        <w:t xml:space="preserve">Box </w:t>
      </w:r>
      <w:r>
        <w:rPr>
          <w:noProof/>
        </w:rPr>
        <w:fldChar w:fldCharType="begin"/>
      </w:r>
      <w:r>
        <w:rPr>
          <w:noProof/>
        </w:rPr>
        <w:instrText xml:space="preserve"> STYLEREF 1 \s </w:instrText>
      </w:r>
      <w:r>
        <w:rPr>
          <w:noProof/>
        </w:rPr>
        <w:fldChar w:fldCharType="separate"/>
      </w:r>
      <w:r w:rsidR="0001154F">
        <w:rPr>
          <w:noProof/>
        </w:rPr>
        <w:t>2</w:t>
      </w:r>
      <w:r>
        <w:rPr>
          <w:noProof/>
        </w:rPr>
        <w:fldChar w:fldCharType="end"/>
      </w:r>
      <w:r w:rsidRPr="00091209">
        <w:t>.</w:t>
      </w:r>
      <w:r>
        <w:rPr>
          <w:noProof/>
        </w:rPr>
        <w:fldChar w:fldCharType="begin"/>
      </w:r>
      <w:r>
        <w:rPr>
          <w:noProof/>
        </w:rPr>
        <w:instrText xml:space="preserve"> SEQ Box \* ARABIC \s 1  </w:instrText>
      </w:r>
      <w:r>
        <w:rPr>
          <w:noProof/>
        </w:rPr>
        <w:fldChar w:fldCharType="separate"/>
      </w:r>
      <w:r w:rsidR="0001154F">
        <w:rPr>
          <w:noProof/>
        </w:rPr>
        <w:t>1</w:t>
      </w:r>
      <w:r>
        <w:rPr>
          <w:noProof/>
        </w:rPr>
        <w:fldChar w:fldCharType="end"/>
      </w:r>
      <w:r w:rsidRPr="00091209">
        <w:t xml:space="preserve">: </w:t>
      </w:r>
      <w:r>
        <w:t>The New Zealand Inland Revenue Department’s financial benchmarking</w:t>
      </w:r>
    </w:p>
    <w:p w14:paraId="3E30CD88" w14:textId="3EA8AC28" w:rsidR="008038B6" w:rsidRPr="008038B6" w:rsidRDefault="008038B6" w:rsidP="008038B6">
      <w:pPr>
        <w:pStyle w:val="Placeholder"/>
        <w:jc w:val="left"/>
      </w:pPr>
      <w:r w:rsidRPr="008038B6">
        <w:t>The Industry Benchmarking Tool developed by the New Zealand Inland Revenue Department and Statistics NZ enables small to medium enterprises to compare their financial performances with industry benchmarks. The benchmarks are based on data from firms’ financial statements and tax returns and cover 45 industries grouped by the Australia and NZ Standard Classification (ANZSIC). Statistics NZ treats that data to ensure no individual of business can be identified from information provided by the tool. The benchmarking information provided includes: gross profit ratio; stock turnover per annum; salary and wages as a share of turnover; return on total assets; and return equity.</w:t>
      </w:r>
    </w:p>
    <w:p w14:paraId="163408DA" w14:textId="77777777" w:rsidR="009F6D66" w:rsidRPr="00091209" w:rsidRDefault="009F6D66" w:rsidP="009F6D66">
      <w:pPr>
        <w:pStyle w:val="Source"/>
        <w:pBdr>
          <w:bottom w:val="single" w:sz="4" w:space="0" w:color="595A5B"/>
        </w:pBdr>
        <w:rPr>
          <w:lang w:val="en-AU"/>
        </w:rPr>
      </w:pPr>
      <w:r w:rsidRPr="00091209">
        <w:rPr>
          <w:lang w:val="en-AU"/>
        </w:rPr>
        <w:t xml:space="preserve">Source: </w:t>
      </w:r>
      <w:r>
        <w:rPr>
          <w:lang w:val="en-AU"/>
        </w:rPr>
        <w:t>New Zealand Department of Inland Revenue</w:t>
      </w:r>
      <w:r w:rsidRPr="00091209">
        <w:rPr>
          <w:lang w:val="en-AU"/>
        </w:rPr>
        <w:t xml:space="preserve"> (201</w:t>
      </w:r>
      <w:r>
        <w:rPr>
          <w:lang w:val="en-AU"/>
        </w:rPr>
        <w:t>7</w:t>
      </w:r>
      <w:r w:rsidRPr="00091209">
        <w:rPr>
          <w:lang w:val="en-AU"/>
        </w:rPr>
        <w:t>)</w:t>
      </w:r>
      <w:r>
        <w:rPr>
          <w:lang w:val="en-AU"/>
        </w:rPr>
        <w:t xml:space="preserve">. </w:t>
      </w:r>
    </w:p>
    <w:p w14:paraId="5A3654C5" w14:textId="6C24D616" w:rsidR="00D67D26" w:rsidRDefault="00D67D26" w:rsidP="00D67D26">
      <w:pPr>
        <w:pStyle w:val="BodyText"/>
      </w:pPr>
      <w:r>
        <w:t xml:space="preserve">A more tailored approach to providing firms with information and advice on management practices and strategy is currently implemented by the Department of Industry, Innovation and Science’s Entrepreneur’s </w:t>
      </w:r>
      <w:r w:rsidR="008B6BC8">
        <w:t>P</w:t>
      </w:r>
      <w:r>
        <w:t>rogram</w:t>
      </w:r>
      <w:r w:rsidR="008B6BC8">
        <w:t>me</w:t>
      </w:r>
      <w:r>
        <w:t>, which includes a</w:t>
      </w:r>
      <w:r w:rsidRPr="00C023FF">
        <w:t xml:space="preserve"> Business Management element</w:t>
      </w:r>
      <w:r>
        <w:t xml:space="preserve"> that </w:t>
      </w:r>
      <w:r w:rsidRPr="00C023FF">
        <w:t>pairs</w:t>
      </w:r>
      <w:r>
        <w:t xml:space="preserve"> firms with</w:t>
      </w:r>
      <w:r w:rsidRPr="00C023FF">
        <w:t xml:space="preserve"> </w:t>
      </w:r>
      <w:r w:rsidRPr="00C023FF">
        <w:lastRenderedPageBreak/>
        <w:t>experienced Business Advisers and Facilitators</w:t>
      </w:r>
      <w:r>
        <w:t xml:space="preserve"> </w:t>
      </w:r>
      <w:r w:rsidR="004F4EE3">
        <w:t xml:space="preserve">and includes access to benchmarking information </w:t>
      </w:r>
      <w:r>
        <w:t xml:space="preserve">(see section 8). </w:t>
      </w:r>
    </w:p>
    <w:p w14:paraId="715EE3A1" w14:textId="1E1751CF" w:rsidR="00D67D26" w:rsidRPr="00885453" w:rsidRDefault="00B5012B" w:rsidP="00D67D26">
      <w:pPr>
        <w:pStyle w:val="BodyText"/>
      </w:pPr>
      <w:r>
        <w:t>This paper develops a classification of strategic management to facilitate self</w:t>
      </w:r>
      <w:r>
        <w:noBreakHyphen/>
        <w:t xml:space="preserve">assessment. </w:t>
      </w:r>
      <w:r w:rsidR="00D67D26">
        <w:t>Large</w:t>
      </w:r>
      <w:r w:rsidR="00D67D26">
        <w:noBreakHyphen/>
        <w:t>scale studies of management practices to date typically</w:t>
      </w:r>
      <w:r w:rsidR="00D67D26" w:rsidRPr="00885453">
        <w:t xml:space="preserve"> produce management </w:t>
      </w:r>
      <w:r w:rsidR="00D67D26" w:rsidRPr="00C24CEA">
        <w:rPr>
          <w:i/>
        </w:rPr>
        <w:t>scores</w:t>
      </w:r>
      <w:r w:rsidR="00D67D26" w:rsidRPr="00885453">
        <w:t xml:space="preserve">, aggregating information </w:t>
      </w:r>
      <w:r w:rsidR="00D67D26">
        <w:t xml:space="preserve">from interviews </w:t>
      </w:r>
      <w:r w:rsidR="00D67D26" w:rsidRPr="00885453">
        <w:t xml:space="preserve">on a large number of management practices to produce </w:t>
      </w:r>
      <w:r w:rsidR="00D67D26" w:rsidRPr="00C24CEA">
        <w:rPr>
          <w:i/>
        </w:rPr>
        <w:t>continuous</w:t>
      </w:r>
      <w:r w:rsidR="00D67D26" w:rsidRPr="00885453">
        <w:t xml:space="preserve"> representations of management capability.</w:t>
      </w:r>
      <w:r w:rsidR="00D67D26">
        <w:t xml:space="preserve"> These measures do not lend themselves to self</w:t>
      </w:r>
      <w:r w:rsidR="00D67D26">
        <w:noBreakHyphen/>
        <w:t>assessment as providing information on the full range of management practices can be burdensome. Moreover many existing scores of management capability are dated or focus on a single sector such as manufacturing and do not generalise.</w:t>
      </w:r>
      <w:r w:rsidR="00D67D26" w:rsidRPr="00885453">
        <w:t xml:space="preserve"> </w:t>
      </w:r>
    </w:p>
    <w:p w14:paraId="4EB73448" w14:textId="3A70EDD8" w:rsidR="003B6155" w:rsidRDefault="00C8566D" w:rsidP="0092649D">
      <w:pPr>
        <w:pStyle w:val="BodyText"/>
        <w:rPr>
          <w:lang w:val="en"/>
        </w:rPr>
      </w:pPr>
      <w:r>
        <w:rPr>
          <w:lang w:val="en"/>
        </w:rPr>
        <w:t xml:space="preserve">The </w:t>
      </w:r>
      <w:r w:rsidR="004203E6">
        <w:rPr>
          <w:lang w:val="en"/>
        </w:rPr>
        <w:t>management</w:t>
      </w:r>
      <w:r w:rsidR="006A1B28">
        <w:rPr>
          <w:lang w:val="en"/>
        </w:rPr>
        <w:t xml:space="preserve"> </w:t>
      </w:r>
      <w:r w:rsidR="004203E6">
        <w:rPr>
          <w:lang w:val="en"/>
        </w:rPr>
        <w:t>c</w:t>
      </w:r>
      <w:r w:rsidR="007354DF">
        <w:rPr>
          <w:lang w:val="en"/>
        </w:rPr>
        <w:t xml:space="preserve">apabilities data </w:t>
      </w:r>
      <w:r w:rsidR="004203E6">
        <w:rPr>
          <w:lang w:val="en"/>
        </w:rPr>
        <w:t>collected by</w:t>
      </w:r>
      <w:r w:rsidR="00C5233C">
        <w:rPr>
          <w:lang w:val="en"/>
        </w:rPr>
        <w:t xml:space="preserve"> the</w:t>
      </w:r>
      <w:r w:rsidR="004203E6">
        <w:rPr>
          <w:lang w:val="en"/>
        </w:rPr>
        <w:t xml:space="preserve"> Australian Bureau of Statistics </w:t>
      </w:r>
      <w:r w:rsidR="007354DF">
        <w:rPr>
          <w:lang w:val="en"/>
        </w:rPr>
        <w:t>(describe</w:t>
      </w:r>
      <w:r w:rsidR="004203E6">
        <w:rPr>
          <w:lang w:val="en"/>
        </w:rPr>
        <w:t>d</w:t>
      </w:r>
      <w:r w:rsidR="007354DF">
        <w:rPr>
          <w:lang w:val="en"/>
        </w:rPr>
        <w:t xml:space="preserve"> in section</w:t>
      </w:r>
      <w:r w:rsidR="00EE1123">
        <w:rPr>
          <w:lang w:val="en"/>
        </w:rPr>
        <w:t> </w:t>
      </w:r>
      <w:r w:rsidR="00D67D26">
        <w:rPr>
          <w:lang w:val="en"/>
        </w:rPr>
        <w:t>3</w:t>
      </w:r>
      <w:r w:rsidR="007354DF">
        <w:rPr>
          <w:lang w:val="en"/>
        </w:rPr>
        <w:t>) capture</w:t>
      </w:r>
      <w:r w:rsidR="00F31A98">
        <w:rPr>
          <w:lang w:val="en"/>
        </w:rPr>
        <w:t>s</w:t>
      </w:r>
      <w:r w:rsidR="007354DF">
        <w:rPr>
          <w:lang w:val="en"/>
        </w:rPr>
        <w:t xml:space="preserve"> Australian business capabilities in a number of key areas of management including the use of key performance indicators, use </w:t>
      </w:r>
      <w:r w:rsidR="00860CF7">
        <w:rPr>
          <w:lang w:val="en"/>
        </w:rPr>
        <w:t xml:space="preserve">of </w:t>
      </w:r>
      <w:r w:rsidR="007354DF">
        <w:rPr>
          <w:lang w:val="en"/>
        </w:rPr>
        <w:t xml:space="preserve">data in decision making, presence of strategic plans, management </w:t>
      </w:r>
      <w:r w:rsidR="00070C82">
        <w:rPr>
          <w:lang w:val="en"/>
        </w:rPr>
        <w:t xml:space="preserve">of supply chain </w:t>
      </w:r>
      <w:r w:rsidR="004203E6">
        <w:rPr>
          <w:lang w:val="en"/>
        </w:rPr>
        <w:t>and</w:t>
      </w:r>
      <w:r w:rsidR="00070C82">
        <w:rPr>
          <w:lang w:val="en"/>
        </w:rPr>
        <w:t xml:space="preserve"> </w:t>
      </w:r>
      <w:r w:rsidR="009134EA">
        <w:rPr>
          <w:lang w:val="en"/>
        </w:rPr>
        <w:t xml:space="preserve">management of </w:t>
      </w:r>
      <w:r w:rsidR="00070C82">
        <w:rPr>
          <w:lang w:val="en"/>
        </w:rPr>
        <w:t xml:space="preserve">digital </w:t>
      </w:r>
      <w:r w:rsidR="009134EA">
        <w:rPr>
          <w:lang w:val="en"/>
        </w:rPr>
        <w:t>technologies</w:t>
      </w:r>
      <w:r w:rsidR="00070C82">
        <w:rPr>
          <w:lang w:val="en"/>
        </w:rPr>
        <w:t xml:space="preserve">. </w:t>
      </w:r>
      <w:r w:rsidR="00E0066D">
        <w:rPr>
          <w:lang w:val="en"/>
        </w:rPr>
        <w:t xml:space="preserve">The analysis of this </w:t>
      </w:r>
      <w:r w:rsidR="00033A8B">
        <w:rPr>
          <w:lang w:val="en"/>
        </w:rPr>
        <w:t>novel</w:t>
      </w:r>
      <w:r w:rsidR="00E0066D">
        <w:rPr>
          <w:lang w:val="en"/>
        </w:rPr>
        <w:t xml:space="preserve"> data </w:t>
      </w:r>
      <w:r w:rsidR="00A01991">
        <w:rPr>
          <w:lang w:val="en"/>
        </w:rPr>
        <w:t xml:space="preserve">enables </w:t>
      </w:r>
      <w:r w:rsidR="00860CF7">
        <w:rPr>
          <w:lang w:val="en"/>
        </w:rPr>
        <w:t xml:space="preserve">investigation </w:t>
      </w:r>
      <w:r w:rsidR="00A01991">
        <w:rPr>
          <w:lang w:val="en"/>
        </w:rPr>
        <w:t xml:space="preserve">of </w:t>
      </w:r>
      <w:r w:rsidR="00F31A98">
        <w:rPr>
          <w:lang w:val="en"/>
        </w:rPr>
        <w:t>several important hypotheses</w:t>
      </w:r>
      <w:r w:rsidR="00EE1123">
        <w:rPr>
          <w:lang w:val="en"/>
        </w:rPr>
        <w:t xml:space="preserve"> in the management literature.</w:t>
      </w:r>
    </w:p>
    <w:p w14:paraId="32ED67E0" w14:textId="176F84D3" w:rsidR="009A6AD5" w:rsidRDefault="00387724" w:rsidP="00EA5908">
      <w:pPr>
        <w:pStyle w:val="Heading1"/>
        <w:numPr>
          <w:ilvl w:val="0"/>
          <w:numId w:val="9"/>
        </w:numPr>
        <w:ind w:left="601" w:hanging="601"/>
      </w:pPr>
      <w:r>
        <w:t>Data</w:t>
      </w:r>
    </w:p>
    <w:p w14:paraId="5648F14D" w14:textId="7C100B13" w:rsidR="00E5401D" w:rsidRDefault="002D60F4" w:rsidP="0092649D">
      <w:pPr>
        <w:pStyle w:val="BodyText"/>
      </w:pPr>
      <w:r>
        <w:t>We use data from the Australian Bureau of Statistics</w:t>
      </w:r>
      <w:r w:rsidR="0000511C">
        <w:t>’</w:t>
      </w:r>
      <w:r w:rsidR="004658DA">
        <w:t xml:space="preserve"> Management </w:t>
      </w:r>
      <w:r w:rsidR="00021E6F">
        <w:t xml:space="preserve">and Organisational Capabilities (MOC) </w:t>
      </w:r>
      <w:r w:rsidR="003E72DE">
        <w:t>module</w:t>
      </w:r>
      <w:r w:rsidR="00FE7A96">
        <w:t xml:space="preserve">, collected as part of the </w:t>
      </w:r>
      <w:r w:rsidR="00CF3BE0">
        <w:t>Business Characteristics Survey</w:t>
      </w:r>
      <w:r w:rsidR="003E72DE">
        <w:t xml:space="preserve"> (BCS)</w:t>
      </w:r>
      <w:r>
        <w:t>. This dataset represents</w:t>
      </w:r>
      <w:r w:rsidR="002B637A">
        <w:t xml:space="preserve"> </w:t>
      </w:r>
      <w:r w:rsidR="00CF3BE0">
        <w:t xml:space="preserve">a significant contribution to </w:t>
      </w:r>
      <w:r w:rsidR="002B637A">
        <w:t xml:space="preserve">data on </w:t>
      </w:r>
      <w:r w:rsidR="00F55079">
        <w:t xml:space="preserve">Australian </w:t>
      </w:r>
      <w:r w:rsidR="0000511C">
        <w:t xml:space="preserve">firms’ </w:t>
      </w:r>
      <w:r w:rsidR="002B637A">
        <w:t>management practices</w:t>
      </w:r>
      <w:r w:rsidR="00CF3BE0">
        <w:t xml:space="preserve">. </w:t>
      </w:r>
      <w:r w:rsidR="002B637A">
        <w:t>I</w:t>
      </w:r>
      <w:r w:rsidR="00CF3BE0">
        <w:t>t is the first</w:t>
      </w:r>
      <w:r w:rsidR="002B637A">
        <w:t xml:space="preserve"> collection </w:t>
      </w:r>
      <w:r w:rsidR="00CF3BE0">
        <w:t>to me</w:t>
      </w:r>
      <w:r w:rsidR="00FE7A96">
        <w:t>asure management practices on a near</w:t>
      </w:r>
      <w:r w:rsidR="003E19D1">
        <w:t xml:space="preserve"> </w:t>
      </w:r>
      <w:r w:rsidR="00CF3BE0">
        <w:t>economy</w:t>
      </w:r>
      <w:r w:rsidR="003E19D1">
        <w:noBreakHyphen/>
      </w:r>
      <w:r w:rsidR="00CF3BE0">
        <w:t xml:space="preserve">wide basis, omitting only </w:t>
      </w:r>
      <w:r w:rsidR="00F31A98">
        <w:t xml:space="preserve">a </w:t>
      </w:r>
      <w:r w:rsidR="0000511C">
        <w:t>few sectors (see appendix A</w:t>
      </w:r>
      <w:r w:rsidR="007C654C">
        <w:t>).</w:t>
      </w:r>
    </w:p>
    <w:p w14:paraId="39D053D0" w14:textId="623719E7" w:rsidR="00E5401D" w:rsidRPr="003E7263" w:rsidRDefault="0002764E" w:rsidP="0092649D">
      <w:pPr>
        <w:pStyle w:val="BodyText"/>
      </w:pPr>
      <w:r>
        <w:t xml:space="preserve">The </w:t>
      </w:r>
      <w:r w:rsidR="00307C0C">
        <w:t>BCS</w:t>
      </w:r>
      <w:r>
        <w:t xml:space="preserve"> </w:t>
      </w:r>
      <w:r w:rsidR="00EE2127">
        <w:t>is an annual survey of Australian firms. It collect</w:t>
      </w:r>
      <w:r w:rsidR="00307C0C">
        <w:t>s</w:t>
      </w:r>
      <w:r w:rsidR="00EE2127">
        <w:t xml:space="preserve"> data relating to a wide range of firm characteristics and activities</w:t>
      </w:r>
      <w:r w:rsidR="00F30E1F">
        <w:t>, including structure, access to finance, use of information technology and innovation.</w:t>
      </w:r>
      <w:r w:rsidR="004F4952">
        <w:t xml:space="preserve"> </w:t>
      </w:r>
      <w:r w:rsidR="00021E6F">
        <w:t>The MOC</w:t>
      </w:r>
      <w:r w:rsidR="008C6FCF">
        <w:t xml:space="preserve"> module </w:t>
      </w:r>
      <w:r w:rsidR="00307C0C">
        <w:t>was introduced to the BC</w:t>
      </w:r>
      <w:r w:rsidR="00F41924">
        <w:t>S</w:t>
      </w:r>
      <w:r w:rsidR="00307C0C">
        <w:t xml:space="preserve"> in 2015-16.</w:t>
      </w:r>
      <w:r w:rsidR="00F41556">
        <w:rPr>
          <w:rStyle w:val="FootnoteReference"/>
        </w:rPr>
        <w:footnoteReference w:id="21"/>
      </w:r>
    </w:p>
    <w:p w14:paraId="1039CA0C" w14:textId="1A165173" w:rsidR="001A5943" w:rsidRPr="00597463" w:rsidRDefault="00E5401D" w:rsidP="0092649D">
      <w:pPr>
        <w:pStyle w:val="BodyText"/>
      </w:pPr>
      <w:r w:rsidRPr="003E7263">
        <w:t xml:space="preserve">As a module </w:t>
      </w:r>
      <w:r w:rsidR="00B7657C">
        <w:t>of</w:t>
      </w:r>
      <w:r w:rsidR="00945E21">
        <w:t xml:space="preserve"> the BCS, the MO</w:t>
      </w:r>
      <w:r w:rsidR="00021E6F">
        <w:t>C</w:t>
      </w:r>
      <w:r w:rsidR="00B7657C">
        <w:t xml:space="preserve"> collects management practice</w:t>
      </w:r>
      <w:r w:rsidR="00506EFA">
        <w:t>s</w:t>
      </w:r>
      <w:r w:rsidR="00B7657C">
        <w:t xml:space="preserve"> </w:t>
      </w:r>
      <w:r w:rsidR="00F55079">
        <w:t xml:space="preserve">data </w:t>
      </w:r>
      <w:r w:rsidR="00B7657C">
        <w:t xml:space="preserve">from </w:t>
      </w:r>
      <w:r w:rsidRPr="003E7263">
        <w:t>over 1</w:t>
      </w:r>
      <w:r w:rsidR="008B07EF">
        <w:t>4</w:t>
      </w:r>
      <w:r w:rsidR="00BE748E">
        <w:t>5</w:t>
      </w:r>
      <w:r w:rsidRPr="003E7263">
        <w:t xml:space="preserve">00 </w:t>
      </w:r>
      <w:r w:rsidR="0000511C" w:rsidRPr="00597463">
        <w:t>firms</w:t>
      </w:r>
      <w:r w:rsidR="003E19D1">
        <w:t xml:space="preserve"> to produce a</w:t>
      </w:r>
      <w:r w:rsidRPr="00597463">
        <w:t xml:space="preserve"> </w:t>
      </w:r>
      <w:r w:rsidR="00506EFA" w:rsidRPr="00597463">
        <w:t xml:space="preserve">representative </w:t>
      </w:r>
      <w:r w:rsidR="003E19D1">
        <w:t xml:space="preserve">sample </w:t>
      </w:r>
      <w:r w:rsidR="00506EFA" w:rsidRPr="00597463">
        <w:t xml:space="preserve">of the population of Australian </w:t>
      </w:r>
      <w:r w:rsidR="003E19D1">
        <w:t>businesses</w:t>
      </w:r>
      <w:r w:rsidRPr="00597463">
        <w:t>.</w:t>
      </w:r>
      <w:r w:rsidR="00BE748E" w:rsidRPr="00597463">
        <w:rPr>
          <w:rStyle w:val="FootnoteReference"/>
        </w:rPr>
        <w:footnoteReference w:id="22"/>
      </w:r>
      <w:r w:rsidRPr="00597463">
        <w:t xml:space="preserve"> </w:t>
      </w:r>
      <w:r w:rsidR="003F1017" w:rsidRPr="00597463">
        <w:t>The</w:t>
      </w:r>
      <w:r w:rsidR="00B7657C" w:rsidRPr="00597463">
        <w:t xml:space="preserve"> questions </w:t>
      </w:r>
      <w:r w:rsidR="003E19D1">
        <w:t xml:space="preserve">of the MOC </w:t>
      </w:r>
      <w:r w:rsidR="005E5FB3">
        <w:t>were</w:t>
      </w:r>
      <w:r w:rsidR="00B7657C" w:rsidRPr="00597463">
        <w:t xml:space="preserve"> designed with a view to consistency with </w:t>
      </w:r>
      <w:r w:rsidR="008B07EF" w:rsidRPr="00597463">
        <w:t>the US</w:t>
      </w:r>
      <w:r w:rsidR="00A92C1D" w:rsidRPr="00597463">
        <w:t xml:space="preserve"> Census Bureau’s</w:t>
      </w:r>
      <w:r w:rsidR="008B07EF" w:rsidRPr="00597463">
        <w:t xml:space="preserve"> </w:t>
      </w:r>
      <w:r w:rsidR="00A92C1D" w:rsidRPr="00597463">
        <w:t>Management of Operational Practices survey</w:t>
      </w:r>
      <w:r w:rsidR="00487524" w:rsidRPr="00597463">
        <w:t xml:space="preserve"> (MOPS).</w:t>
      </w:r>
      <w:r w:rsidR="008B07EF" w:rsidRPr="00597463">
        <w:rPr>
          <w:rStyle w:val="FootnoteReference"/>
        </w:rPr>
        <w:footnoteReference w:id="23"/>
      </w:r>
      <w:r w:rsidR="00A92C1D" w:rsidRPr="00597463">
        <w:t xml:space="preserve"> </w:t>
      </w:r>
      <w:r w:rsidR="005509F0" w:rsidRPr="00597463">
        <w:t xml:space="preserve">This enables </w:t>
      </w:r>
      <w:r w:rsidR="008263F6" w:rsidRPr="00597463">
        <w:t xml:space="preserve">international comparisons. </w:t>
      </w:r>
      <w:r w:rsidR="00487524" w:rsidRPr="00597463">
        <w:t xml:space="preserve">However, the US MOPS only surveys </w:t>
      </w:r>
      <w:r w:rsidR="00B61D4B" w:rsidRPr="00597463">
        <w:t xml:space="preserve">large </w:t>
      </w:r>
      <w:r w:rsidR="00487524" w:rsidRPr="00597463">
        <w:t>firms in the manufacturing sector</w:t>
      </w:r>
      <w:r w:rsidR="00B61D4B" w:rsidRPr="00597463">
        <w:t xml:space="preserve">, </w:t>
      </w:r>
      <w:r w:rsidR="00597463" w:rsidRPr="00597463">
        <w:t>excluding</w:t>
      </w:r>
      <w:r w:rsidR="00B61D4B" w:rsidRPr="00597463">
        <w:t xml:space="preserve"> small and m</w:t>
      </w:r>
      <w:r w:rsidR="00597463" w:rsidRPr="00597463">
        <w:t>edium sized firms.</w:t>
      </w:r>
    </w:p>
    <w:p w14:paraId="58814DCE" w14:textId="4C2B53EE" w:rsidR="004F0343" w:rsidRDefault="00CB24B7" w:rsidP="0092649D">
      <w:pPr>
        <w:pStyle w:val="BodyText"/>
      </w:pPr>
      <w:r w:rsidRPr="00597463">
        <w:lastRenderedPageBreak/>
        <w:t>Th</w:t>
      </w:r>
      <w:r w:rsidR="00EC010F" w:rsidRPr="00597463">
        <w:t>e cross-sectional analysis undertaken</w:t>
      </w:r>
      <w:r w:rsidR="00EC010F">
        <w:t xml:space="preserve"> in this paper</w:t>
      </w:r>
      <w:r w:rsidR="004A3270">
        <w:t xml:space="preserve"> uses two separate </w:t>
      </w:r>
      <w:r w:rsidR="00CE0D47">
        <w:t>derivations of M</w:t>
      </w:r>
      <w:r w:rsidR="00FF543A">
        <w:t>OC</w:t>
      </w:r>
      <w:r w:rsidR="009F4181">
        <w:t xml:space="preserve"> data</w:t>
      </w:r>
      <w:r w:rsidR="004A3270">
        <w:t xml:space="preserve">: The Management and Organisational Capabilities of Australian Businesses Microdata (referred to as the </w:t>
      </w:r>
      <w:r w:rsidR="00762951" w:rsidRPr="00FF543A">
        <w:rPr>
          <w:i/>
        </w:rPr>
        <w:t>M</w:t>
      </w:r>
      <w:r w:rsidR="00AD4C04" w:rsidRPr="00FF543A">
        <w:rPr>
          <w:i/>
        </w:rPr>
        <w:t>O</w:t>
      </w:r>
      <w:r w:rsidR="00762951" w:rsidRPr="00FF543A">
        <w:rPr>
          <w:i/>
        </w:rPr>
        <w:t>C</w:t>
      </w:r>
      <w:r w:rsidR="00AD4C04" w:rsidRPr="00FF543A">
        <w:rPr>
          <w:i/>
        </w:rPr>
        <w:t xml:space="preserve"> </w:t>
      </w:r>
      <w:r w:rsidR="003E72DE" w:rsidRPr="00FF543A">
        <w:rPr>
          <w:i/>
        </w:rPr>
        <w:t>microdata</w:t>
      </w:r>
      <w:r w:rsidR="00762951">
        <w:t xml:space="preserve"> </w:t>
      </w:r>
      <w:r w:rsidR="004A3270">
        <w:t>hereafter), and a dataset</w:t>
      </w:r>
      <w:r w:rsidR="00E22F89">
        <w:t xml:space="preserve"> linking the M</w:t>
      </w:r>
      <w:r w:rsidR="003E72DE">
        <w:t>OC</w:t>
      </w:r>
      <w:r w:rsidR="00E22F89">
        <w:t xml:space="preserve"> </w:t>
      </w:r>
      <w:r w:rsidR="003E72DE">
        <w:t>microdata</w:t>
      </w:r>
      <w:r w:rsidR="00762951">
        <w:t xml:space="preserve"> with </w:t>
      </w:r>
      <w:r w:rsidR="004A3270">
        <w:t>administrative data collected for tax purposes</w:t>
      </w:r>
      <w:r w:rsidR="009D18CC">
        <w:t xml:space="preserve"> </w:t>
      </w:r>
      <w:r w:rsidR="00F31A98">
        <w:t>via the</w:t>
      </w:r>
      <w:r w:rsidR="009D18CC">
        <w:t xml:space="preserve"> Business Longitudinal Analysis Data Environment</w:t>
      </w:r>
      <w:r w:rsidR="00772EA8">
        <w:t xml:space="preserve"> </w:t>
      </w:r>
      <w:r w:rsidR="00E22F89">
        <w:t>(</w:t>
      </w:r>
      <w:r w:rsidR="00762951">
        <w:t xml:space="preserve">referred to hereafter as </w:t>
      </w:r>
      <w:r w:rsidR="004F0343">
        <w:t>BLADE</w:t>
      </w:r>
      <w:r w:rsidR="00762951">
        <w:t xml:space="preserve"> — see </w:t>
      </w:r>
      <w:r w:rsidR="008D2F8B">
        <w:t>B</w:t>
      </w:r>
      <w:r w:rsidR="00762951">
        <w:t xml:space="preserve">ox </w:t>
      </w:r>
      <w:r w:rsidR="00E40827">
        <w:t>3</w:t>
      </w:r>
      <w:r w:rsidR="009F4181">
        <w:rPr>
          <w:noProof/>
        </w:rPr>
        <w:t>.</w:t>
      </w:r>
      <w:r w:rsidR="009D18CC">
        <w:rPr>
          <w:noProof/>
        </w:rPr>
        <w:t>1</w:t>
      </w:r>
      <w:r w:rsidR="00BB395C">
        <w:rPr>
          <w:noProof/>
        </w:rPr>
        <w:t> </w:t>
      </w:r>
      <w:r w:rsidR="009D18CC">
        <w:rPr>
          <w:noProof/>
        </w:rPr>
        <w:t>for an outline of BLADE</w:t>
      </w:r>
      <w:r w:rsidR="004F0343">
        <w:t>).</w:t>
      </w:r>
    </w:p>
    <w:p w14:paraId="58F6D868" w14:textId="02A1559E" w:rsidR="00762951" w:rsidRDefault="00762951" w:rsidP="0092649D">
      <w:pPr>
        <w:pStyle w:val="Caption"/>
      </w:pPr>
      <w:r w:rsidRPr="00D26202">
        <w:t>Box</w:t>
      </w:r>
      <w:r>
        <w:t xml:space="preserve"> </w:t>
      </w:r>
      <w:r w:rsidR="00E40827">
        <w:t>3</w:t>
      </w:r>
      <w:r w:rsidR="00D32F5C">
        <w:rPr>
          <w:noProof/>
        </w:rPr>
        <w:t>.</w:t>
      </w:r>
      <w:r w:rsidR="00C5233C">
        <w:rPr>
          <w:noProof/>
        </w:rPr>
        <w:fldChar w:fldCharType="begin"/>
      </w:r>
      <w:r w:rsidR="00C5233C">
        <w:rPr>
          <w:noProof/>
        </w:rPr>
        <w:instrText xml:space="preserve"> SEQ Box \* ARABIC \s 1  </w:instrText>
      </w:r>
      <w:r w:rsidR="00C5233C">
        <w:rPr>
          <w:noProof/>
        </w:rPr>
        <w:fldChar w:fldCharType="separate"/>
      </w:r>
      <w:r w:rsidR="0001154F">
        <w:rPr>
          <w:noProof/>
        </w:rPr>
        <w:t>1</w:t>
      </w:r>
      <w:r w:rsidR="00C5233C">
        <w:rPr>
          <w:noProof/>
        </w:rPr>
        <w:fldChar w:fldCharType="end"/>
      </w:r>
      <w:r>
        <w:t xml:space="preserve">: The Business Longitudinal Analysis Data Environment </w:t>
      </w:r>
    </w:p>
    <w:p w14:paraId="1F6BD7A4" w14:textId="77777777" w:rsidR="00D1409A" w:rsidRDefault="00D1409A" w:rsidP="00D1409A">
      <w:pPr>
        <w:pStyle w:val="Placeholder"/>
        <w:jc w:val="left"/>
      </w:pPr>
      <w:r>
        <w:t xml:space="preserve">BLADE is a series of integrated, linked longitudinal datasets over the period 2001 02 to 2015 16. It is based on retrospectively reconciling the different reporting structures in ATO and ABS data to facilitate linking survey and administrative data for businesses.  </w:t>
      </w:r>
    </w:p>
    <w:p w14:paraId="3F201CFF" w14:textId="77777777" w:rsidR="00D1409A" w:rsidRDefault="00D1409A" w:rsidP="00D1409A">
      <w:pPr>
        <w:pStyle w:val="Placeholder"/>
        <w:jc w:val="left"/>
      </w:pPr>
    </w:p>
    <w:p w14:paraId="582546EC" w14:textId="073C735E" w:rsidR="00D1409A" w:rsidRPr="00D1409A" w:rsidRDefault="00D1409A" w:rsidP="00D1409A">
      <w:pPr>
        <w:pStyle w:val="Placeholder"/>
        <w:jc w:val="left"/>
      </w:pPr>
      <w:r>
        <w:t>The BLADE data used in this project is from two main sources: the MOC microdata collected as part of the Business Characteristics Survey (BCS) and Business Activity Statements (BAS) collected by the Australian Tax Office. In addition, demographic information (such as firm age or industry classification) is derived by a combination of data from the ABS Business Register and historical ATO reporting patterns.</w:t>
      </w:r>
    </w:p>
    <w:p w14:paraId="25A760C9" w14:textId="7DD8E2DF" w:rsidR="00762951" w:rsidRDefault="00762951" w:rsidP="0092649D">
      <w:pPr>
        <w:pStyle w:val="Source"/>
      </w:pPr>
    </w:p>
    <w:p w14:paraId="4DD529AD" w14:textId="20939E68" w:rsidR="004A3270" w:rsidRDefault="00B01D15" w:rsidP="0092649D">
      <w:pPr>
        <w:pStyle w:val="BodyText"/>
      </w:pPr>
      <w:r>
        <w:t xml:space="preserve">The </w:t>
      </w:r>
      <w:r w:rsidR="004A3270">
        <w:t>BLADE</w:t>
      </w:r>
      <w:r w:rsidR="001714DA">
        <w:t xml:space="preserve"> data</w:t>
      </w:r>
      <w:r w:rsidR="004A3270">
        <w:t xml:space="preserve"> is subje</w:t>
      </w:r>
      <w:r w:rsidR="00CE0D47">
        <w:t>ct to less confidentiali</w:t>
      </w:r>
      <w:r w:rsidR="00BE2A46">
        <w:t>ty</w:t>
      </w:r>
      <w:r w:rsidR="008D2F8B">
        <w:t xml:space="preserve"> than the MOC microdata</w:t>
      </w:r>
      <w:r w:rsidR="00CE0D47">
        <w:t>, allowing for more in–depth analysis</w:t>
      </w:r>
      <w:r w:rsidR="00F31A98">
        <w:t>.</w:t>
      </w:r>
      <w:r w:rsidR="00CE0D47">
        <w:t xml:space="preserve"> </w:t>
      </w:r>
      <w:r w:rsidR="00F31A98">
        <w:t>H</w:t>
      </w:r>
      <w:r w:rsidR="009F4181">
        <w:t xml:space="preserve">owever, </w:t>
      </w:r>
      <w:r w:rsidR="004A3270">
        <w:t xml:space="preserve">it does not contain population </w:t>
      </w:r>
      <w:r w:rsidR="00CE0D47">
        <w:t xml:space="preserve">weights </w:t>
      </w:r>
      <w:r w:rsidR="004A3270">
        <w:t xml:space="preserve">and therefore </w:t>
      </w:r>
      <w:r w:rsidR="003F1017">
        <w:t xml:space="preserve">sample estimates </w:t>
      </w:r>
      <w:r w:rsidR="009D18CC">
        <w:t>are</w:t>
      </w:r>
      <w:r w:rsidR="003F1017">
        <w:t xml:space="preserve"> biased </w:t>
      </w:r>
      <w:r w:rsidR="00CE0D47">
        <w:t>by the overrepresentation of larger firms</w:t>
      </w:r>
      <w:r w:rsidR="003F1017">
        <w:t xml:space="preserve">, which have higher probability of inclusion in the </w:t>
      </w:r>
      <w:r w:rsidR="008D2F8B">
        <w:t>BCS</w:t>
      </w:r>
      <w:r w:rsidR="001648FC">
        <w:t>.</w:t>
      </w:r>
      <w:r w:rsidR="004A3270">
        <w:t xml:space="preserve"> </w:t>
      </w:r>
      <w:r w:rsidR="003F1017">
        <w:t xml:space="preserve">As such, for estimates where national representativeness is </w:t>
      </w:r>
      <w:r w:rsidR="00A30A6A">
        <w:t>important</w:t>
      </w:r>
      <w:r w:rsidR="003F1017">
        <w:t xml:space="preserve">, the MOC microdata </w:t>
      </w:r>
      <w:r w:rsidR="009D18CC">
        <w:t xml:space="preserve">is </w:t>
      </w:r>
      <w:r w:rsidR="003F1017">
        <w:t xml:space="preserve">used. </w:t>
      </w:r>
      <w:r w:rsidR="00CE0D47">
        <w:t xml:space="preserve">For estimates requiring more detail than </w:t>
      </w:r>
      <w:r w:rsidR="009D18CC">
        <w:t xml:space="preserve">what is </w:t>
      </w:r>
      <w:r w:rsidR="00CE0D47">
        <w:t xml:space="preserve">present in MOC microdata, BLADE will be used. </w:t>
      </w:r>
    </w:p>
    <w:p w14:paraId="6DEF4B27" w14:textId="38099BF6" w:rsidR="009A6AD5" w:rsidRDefault="00387724" w:rsidP="00E356E6">
      <w:pPr>
        <w:pStyle w:val="Heading2"/>
        <w:ind w:left="601" w:hanging="601"/>
      </w:pPr>
      <w:r>
        <w:t xml:space="preserve">Sample construction </w:t>
      </w:r>
    </w:p>
    <w:p w14:paraId="2EA0FE52" w14:textId="57905331" w:rsidR="00965FF7" w:rsidRDefault="00965FF7" w:rsidP="0092649D">
      <w:pPr>
        <w:pStyle w:val="BodyText"/>
      </w:pPr>
      <w:r>
        <w:t>The analysis presented in this paper use</w:t>
      </w:r>
      <w:r w:rsidR="00B56354">
        <w:t>s</w:t>
      </w:r>
      <w:r>
        <w:t xml:space="preserve"> a subsample of the firms for which information on management practices is </w:t>
      </w:r>
      <w:r w:rsidRPr="00CE0D47">
        <w:rPr>
          <w:color w:val="373737" w:themeColor="text1"/>
        </w:rPr>
        <w:t>available</w:t>
      </w:r>
      <w:r w:rsidR="00CE0D47" w:rsidRPr="00CE0D47">
        <w:rPr>
          <w:color w:val="373737" w:themeColor="text1"/>
        </w:rPr>
        <w:t xml:space="preserve">. </w:t>
      </w:r>
      <w:r w:rsidR="00CE0D47">
        <w:rPr>
          <w:color w:val="373737" w:themeColor="text1"/>
        </w:rPr>
        <w:t>For analysis using the MOC microdata, a sample of 12,</w:t>
      </w:r>
      <w:r w:rsidR="00A874E5">
        <w:rPr>
          <w:color w:val="373737" w:themeColor="text1"/>
        </w:rPr>
        <w:t>539</w:t>
      </w:r>
      <w:r w:rsidR="00CE0D47">
        <w:rPr>
          <w:color w:val="373737" w:themeColor="text1"/>
        </w:rPr>
        <w:t xml:space="preserve"> firms is used. For analysis usi</w:t>
      </w:r>
      <w:r w:rsidR="00F31A98">
        <w:rPr>
          <w:color w:val="373737" w:themeColor="text1"/>
        </w:rPr>
        <w:t>ng the BLADE data, a sample of 10</w:t>
      </w:r>
      <w:r w:rsidR="00CE0D47">
        <w:rPr>
          <w:color w:val="373737" w:themeColor="text1"/>
        </w:rPr>
        <w:t>,</w:t>
      </w:r>
      <w:r w:rsidR="00F31A98">
        <w:rPr>
          <w:color w:val="373737" w:themeColor="text1"/>
        </w:rPr>
        <w:t>626</w:t>
      </w:r>
      <w:r w:rsidR="00CE0D47" w:rsidRPr="004A6EE4">
        <w:rPr>
          <w:color w:val="373737" w:themeColor="text1"/>
        </w:rPr>
        <w:t xml:space="preserve"> firms </w:t>
      </w:r>
      <w:r w:rsidR="009D18CC" w:rsidRPr="004A6EE4">
        <w:rPr>
          <w:color w:val="373737" w:themeColor="text1"/>
        </w:rPr>
        <w:t xml:space="preserve">is </w:t>
      </w:r>
      <w:r w:rsidR="00CE0D47" w:rsidRPr="004A6EE4">
        <w:rPr>
          <w:color w:val="373737" w:themeColor="text1"/>
        </w:rPr>
        <w:t>used. The criteri</w:t>
      </w:r>
      <w:r w:rsidR="00B01D15">
        <w:rPr>
          <w:color w:val="373737" w:themeColor="text1"/>
        </w:rPr>
        <w:t>on</w:t>
      </w:r>
      <w:r w:rsidR="00CE0D47" w:rsidRPr="004A6EE4">
        <w:rPr>
          <w:color w:val="373737" w:themeColor="text1"/>
        </w:rPr>
        <w:t xml:space="preserve"> for excluding firms</w:t>
      </w:r>
      <w:r w:rsidR="00F31A98">
        <w:rPr>
          <w:color w:val="373737" w:themeColor="text1"/>
        </w:rPr>
        <w:t xml:space="preserve"> in the BLADE data</w:t>
      </w:r>
      <w:r w:rsidR="00CE0D47" w:rsidRPr="004A6EE4">
        <w:rPr>
          <w:color w:val="373737" w:themeColor="text1"/>
        </w:rPr>
        <w:t xml:space="preserve">, and how many firms are excluded by each criteria </w:t>
      </w:r>
      <w:r w:rsidR="008D2F8B" w:rsidRPr="004A6EE4">
        <w:rPr>
          <w:color w:val="373737" w:themeColor="text1"/>
        </w:rPr>
        <w:t>is presented in T</w:t>
      </w:r>
      <w:r w:rsidR="000429D0" w:rsidRPr="004A6EE4">
        <w:rPr>
          <w:color w:val="373737" w:themeColor="text1"/>
        </w:rPr>
        <w:t xml:space="preserve">able </w:t>
      </w:r>
      <w:r w:rsidR="00F31A98">
        <w:t>1</w:t>
      </w:r>
      <w:r w:rsidR="00CA47F3" w:rsidRPr="004A6EE4">
        <w:t>.</w:t>
      </w:r>
      <w:r w:rsidR="00D32F5C" w:rsidRPr="004A6EE4">
        <w:t>1.</w:t>
      </w:r>
      <w:r w:rsidR="00934B14" w:rsidRPr="004A6EE4">
        <w:rPr>
          <w:color w:val="373737" w:themeColor="text1"/>
        </w:rPr>
        <w:t xml:space="preserve"> Most notably, we remove </w:t>
      </w:r>
      <w:r w:rsidR="00891510" w:rsidRPr="004A6EE4">
        <w:rPr>
          <w:color w:val="373737" w:themeColor="text1"/>
        </w:rPr>
        <w:t xml:space="preserve">non-employing </w:t>
      </w:r>
      <w:r w:rsidR="00275235" w:rsidRPr="004A6EE4">
        <w:rPr>
          <w:color w:val="373737" w:themeColor="text1"/>
        </w:rPr>
        <w:t>firms</w:t>
      </w:r>
      <w:r w:rsidR="00275235">
        <w:rPr>
          <w:color w:val="373737" w:themeColor="text1"/>
        </w:rPr>
        <w:t xml:space="preserve"> </w:t>
      </w:r>
      <w:r w:rsidR="009D18CC">
        <w:rPr>
          <w:color w:val="373737" w:themeColor="text1"/>
        </w:rPr>
        <w:t xml:space="preserve">as we </w:t>
      </w:r>
      <w:r w:rsidR="00934B14">
        <w:rPr>
          <w:color w:val="373737" w:themeColor="text1"/>
        </w:rPr>
        <w:t>consider our strategic management</w:t>
      </w:r>
      <w:r w:rsidR="0054032F">
        <w:rPr>
          <w:color w:val="373737" w:themeColor="text1"/>
        </w:rPr>
        <w:t xml:space="preserve"> classification</w:t>
      </w:r>
      <w:r w:rsidR="00934B14">
        <w:rPr>
          <w:color w:val="373737" w:themeColor="text1"/>
        </w:rPr>
        <w:t xml:space="preserve"> to be </w:t>
      </w:r>
      <w:r w:rsidR="004A6EE4">
        <w:rPr>
          <w:color w:val="373737" w:themeColor="text1"/>
        </w:rPr>
        <w:t xml:space="preserve">less </w:t>
      </w:r>
      <w:r w:rsidR="00934B14">
        <w:rPr>
          <w:color w:val="373737" w:themeColor="text1"/>
        </w:rPr>
        <w:t xml:space="preserve">appropriate </w:t>
      </w:r>
      <w:r w:rsidR="0054032F">
        <w:rPr>
          <w:color w:val="373737" w:themeColor="text1"/>
        </w:rPr>
        <w:t>for</w:t>
      </w:r>
      <w:r w:rsidR="00934B14">
        <w:rPr>
          <w:color w:val="373737" w:themeColor="text1"/>
        </w:rPr>
        <w:t xml:space="preserve"> these</w:t>
      </w:r>
      <w:r w:rsidR="00275235">
        <w:rPr>
          <w:color w:val="373737" w:themeColor="text1"/>
        </w:rPr>
        <w:t xml:space="preserve"> firms.</w:t>
      </w:r>
      <w:r w:rsidR="00934B14">
        <w:rPr>
          <w:color w:val="373737" w:themeColor="text1"/>
        </w:rPr>
        <w:t xml:space="preserve"> </w:t>
      </w:r>
    </w:p>
    <w:p w14:paraId="32BFAFA2" w14:textId="72E73902" w:rsidR="000429D0" w:rsidRDefault="000429D0" w:rsidP="0092649D">
      <w:pPr>
        <w:pStyle w:val="Caption"/>
      </w:pPr>
      <w:r w:rsidRPr="000618FB">
        <w:lastRenderedPageBreak/>
        <w:t xml:space="preserve">Table </w:t>
      </w:r>
      <w:r w:rsidR="00E40827">
        <w:t>3</w:t>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1</w:t>
      </w:r>
      <w:r w:rsidR="00C5233C">
        <w:rPr>
          <w:noProof/>
        </w:rPr>
        <w:fldChar w:fldCharType="end"/>
      </w:r>
      <w:r w:rsidRPr="000618FB">
        <w:t xml:space="preserve">: </w:t>
      </w:r>
      <w:r>
        <w:t>Sample construction</w:t>
      </w:r>
      <w:r w:rsidR="00E732F1">
        <w:t xml:space="preserve"> for</w:t>
      </w:r>
      <w:r>
        <w:t xml:space="preserve"> BLADE </w:t>
      </w:r>
      <w:r w:rsidR="00E732F1">
        <w:t>analysis</w:t>
      </w:r>
    </w:p>
    <w:tbl>
      <w:tblPr>
        <w:tblStyle w:val="OCETable"/>
        <w:tblW w:w="5000" w:type="pct"/>
        <w:tblInd w:w="-51" w:type="dxa"/>
        <w:tblLayout w:type="fixed"/>
        <w:tblLook w:val="04A0" w:firstRow="1" w:lastRow="0" w:firstColumn="1" w:lastColumn="0" w:noHBand="0" w:noVBand="1"/>
        <w:tblCaption w:val="Table 3.1: Sample construction for BLADE analysis"/>
        <w:tblDescription w:val="Table 3.1 lists 8 criterion."/>
      </w:tblPr>
      <w:tblGrid>
        <w:gridCol w:w="5330"/>
        <w:gridCol w:w="1564"/>
      </w:tblGrid>
      <w:tr w:rsidR="000429D0" w14:paraId="643EE174" w14:textId="77777777" w:rsidTr="00D1409A">
        <w:trPr>
          <w:cnfStyle w:val="100000000000" w:firstRow="1" w:lastRow="0" w:firstColumn="0" w:lastColumn="0" w:oddVBand="0" w:evenVBand="0" w:oddHBand="0" w:evenHBand="0" w:firstRowFirstColumn="0" w:firstRowLastColumn="0" w:lastRowFirstColumn="0" w:lastRowLastColumn="0"/>
          <w:tblHeader/>
        </w:trPr>
        <w:tc>
          <w:tcPr>
            <w:tcW w:w="5330" w:type="dxa"/>
          </w:tcPr>
          <w:p w14:paraId="7EC19B56" w14:textId="1D0FFB2E" w:rsidR="000429D0" w:rsidRDefault="00562D00" w:rsidP="0028182F">
            <w:pPr>
              <w:pStyle w:val="Tableheadertext"/>
            </w:pPr>
            <w:r>
              <w:t>Criterion</w:t>
            </w:r>
          </w:p>
        </w:tc>
        <w:tc>
          <w:tcPr>
            <w:tcW w:w="1564" w:type="dxa"/>
          </w:tcPr>
          <w:p w14:paraId="64712900" w14:textId="77777777" w:rsidR="000429D0" w:rsidRDefault="000429D0" w:rsidP="0028182F">
            <w:pPr>
              <w:pStyle w:val="Tableheadertext"/>
            </w:pPr>
            <w:r>
              <w:t xml:space="preserve">Observations Removed </w:t>
            </w:r>
          </w:p>
        </w:tc>
      </w:tr>
      <w:tr w:rsidR="00562D00" w14:paraId="7A5E8465" w14:textId="77777777" w:rsidTr="0092649D">
        <w:trPr>
          <w:cnfStyle w:val="000000100000" w:firstRow="0" w:lastRow="0" w:firstColumn="0" w:lastColumn="0" w:oddVBand="0" w:evenVBand="0" w:oddHBand="1" w:evenHBand="0" w:firstRowFirstColumn="0" w:firstRowLastColumn="0" w:lastRowFirstColumn="0" w:lastRowLastColumn="0"/>
        </w:trPr>
        <w:tc>
          <w:tcPr>
            <w:tcW w:w="5330" w:type="dxa"/>
          </w:tcPr>
          <w:p w14:paraId="0C2C2EB9" w14:textId="73B69829" w:rsidR="00562D00" w:rsidRDefault="00562D00" w:rsidP="00562D00">
            <w:pPr>
              <w:pStyle w:val="Tablebodytext"/>
            </w:pPr>
            <w:r>
              <w:t>Initial Sample</w:t>
            </w:r>
          </w:p>
        </w:tc>
        <w:tc>
          <w:tcPr>
            <w:tcW w:w="1564" w:type="dxa"/>
          </w:tcPr>
          <w:p w14:paraId="160935B8" w14:textId="733C8594" w:rsidR="00562D00" w:rsidRDefault="00562D00" w:rsidP="00562D00">
            <w:pPr>
              <w:pStyle w:val="Tablebodytext"/>
              <w:jc w:val="right"/>
            </w:pPr>
            <w:r>
              <w:t>12</w:t>
            </w:r>
            <w:r w:rsidR="0078250F">
              <w:t>,</w:t>
            </w:r>
            <w:r>
              <w:t>539</w:t>
            </w:r>
          </w:p>
        </w:tc>
      </w:tr>
      <w:tr w:rsidR="000429D0" w14:paraId="236CAB7B" w14:textId="77777777" w:rsidTr="0092649D">
        <w:trPr>
          <w:cnfStyle w:val="000000010000" w:firstRow="0" w:lastRow="0" w:firstColumn="0" w:lastColumn="0" w:oddVBand="0" w:evenVBand="0" w:oddHBand="0" w:evenHBand="1" w:firstRowFirstColumn="0" w:firstRowLastColumn="0" w:lastRowFirstColumn="0" w:lastRowLastColumn="0"/>
        </w:trPr>
        <w:tc>
          <w:tcPr>
            <w:tcW w:w="5330" w:type="dxa"/>
          </w:tcPr>
          <w:p w14:paraId="5B5C1407" w14:textId="03CF44C3" w:rsidR="000429D0" w:rsidRDefault="00562D00" w:rsidP="0028182F">
            <w:pPr>
              <w:pStyle w:val="Tablebodytext"/>
            </w:pPr>
            <w:r>
              <w:t>Z</w:t>
            </w:r>
            <w:r w:rsidRPr="00562D00">
              <w:t>ero or missing turnover</w:t>
            </w:r>
          </w:p>
        </w:tc>
        <w:tc>
          <w:tcPr>
            <w:tcW w:w="1564" w:type="dxa"/>
          </w:tcPr>
          <w:p w14:paraId="7679382A" w14:textId="54205CF8" w:rsidR="000429D0" w:rsidRDefault="00562D00" w:rsidP="00562D00">
            <w:pPr>
              <w:pStyle w:val="Tablebodytext"/>
              <w:jc w:val="right"/>
            </w:pPr>
            <w:r w:rsidRPr="00562D00">
              <w:t>712</w:t>
            </w:r>
          </w:p>
        </w:tc>
      </w:tr>
      <w:tr w:rsidR="000429D0" w14:paraId="66B4F661" w14:textId="77777777" w:rsidTr="0092649D">
        <w:trPr>
          <w:cnfStyle w:val="000000100000" w:firstRow="0" w:lastRow="0" w:firstColumn="0" w:lastColumn="0" w:oddVBand="0" w:evenVBand="0" w:oddHBand="1" w:evenHBand="0" w:firstRowFirstColumn="0" w:firstRowLastColumn="0" w:lastRowFirstColumn="0" w:lastRowLastColumn="0"/>
        </w:trPr>
        <w:tc>
          <w:tcPr>
            <w:tcW w:w="5330" w:type="dxa"/>
          </w:tcPr>
          <w:p w14:paraId="1AFB49DB" w14:textId="0D4B960D" w:rsidR="000429D0" w:rsidRPr="004A6EE4" w:rsidRDefault="00562D00" w:rsidP="0028182F">
            <w:pPr>
              <w:pStyle w:val="Tablebodytext"/>
            </w:pPr>
            <w:r w:rsidRPr="004A6EE4">
              <w:t>Zero or missing wages</w:t>
            </w:r>
          </w:p>
        </w:tc>
        <w:tc>
          <w:tcPr>
            <w:tcW w:w="1564" w:type="dxa"/>
          </w:tcPr>
          <w:p w14:paraId="354D0491" w14:textId="2D3440FE" w:rsidR="000429D0" w:rsidRDefault="00562D00" w:rsidP="00562D00">
            <w:pPr>
              <w:pStyle w:val="Tablebodytext"/>
              <w:jc w:val="right"/>
            </w:pPr>
            <w:r>
              <w:t>667</w:t>
            </w:r>
          </w:p>
        </w:tc>
      </w:tr>
      <w:tr w:rsidR="00562D00" w14:paraId="13AFA2A6" w14:textId="77777777" w:rsidTr="0092649D">
        <w:trPr>
          <w:cnfStyle w:val="000000010000" w:firstRow="0" w:lastRow="0" w:firstColumn="0" w:lastColumn="0" w:oddVBand="0" w:evenVBand="0" w:oddHBand="0" w:evenHBand="1" w:firstRowFirstColumn="0" w:firstRowLastColumn="0" w:lastRowFirstColumn="0" w:lastRowLastColumn="0"/>
        </w:trPr>
        <w:tc>
          <w:tcPr>
            <w:tcW w:w="5330" w:type="dxa"/>
          </w:tcPr>
          <w:p w14:paraId="4067416D" w14:textId="2FF7B3D4" w:rsidR="00562D00" w:rsidRPr="004A6EE4" w:rsidRDefault="00562D00" w:rsidP="00562D00">
            <w:pPr>
              <w:pStyle w:val="Tablebodytext"/>
            </w:pPr>
            <w:r w:rsidRPr="004A6EE4">
              <w:t>Zero or missing operational expenditure</w:t>
            </w:r>
          </w:p>
        </w:tc>
        <w:tc>
          <w:tcPr>
            <w:tcW w:w="1564" w:type="dxa"/>
          </w:tcPr>
          <w:p w14:paraId="5445C551" w14:textId="48AE0F96" w:rsidR="00562D00" w:rsidRDefault="00562D00" w:rsidP="00562D00">
            <w:pPr>
              <w:pStyle w:val="Tablebodytext"/>
              <w:jc w:val="right"/>
            </w:pPr>
            <w:r>
              <w:t>353</w:t>
            </w:r>
          </w:p>
        </w:tc>
      </w:tr>
      <w:tr w:rsidR="00562D00" w14:paraId="52E15A14" w14:textId="77777777" w:rsidTr="0092649D">
        <w:trPr>
          <w:cnfStyle w:val="000000100000" w:firstRow="0" w:lastRow="0" w:firstColumn="0" w:lastColumn="0" w:oddVBand="0" w:evenVBand="0" w:oddHBand="1" w:evenHBand="0" w:firstRowFirstColumn="0" w:firstRowLastColumn="0" w:lastRowFirstColumn="0" w:lastRowLastColumn="0"/>
        </w:trPr>
        <w:tc>
          <w:tcPr>
            <w:tcW w:w="5330" w:type="dxa"/>
          </w:tcPr>
          <w:p w14:paraId="53FF7533" w14:textId="30B443E7" w:rsidR="00562D00" w:rsidRPr="004A6EE4" w:rsidRDefault="00326C47" w:rsidP="00891510">
            <w:pPr>
              <w:pStyle w:val="Tablebodytext"/>
            </w:pPr>
            <w:r w:rsidRPr="004A6EE4">
              <w:t>Non-</w:t>
            </w:r>
            <w:r w:rsidR="00891510" w:rsidRPr="004A6EE4">
              <w:t>e</w:t>
            </w:r>
            <w:r w:rsidR="00562D00" w:rsidRPr="004A6EE4">
              <w:t xml:space="preserve">mploying </w:t>
            </w:r>
          </w:p>
        </w:tc>
        <w:tc>
          <w:tcPr>
            <w:tcW w:w="1564" w:type="dxa"/>
          </w:tcPr>
          <w:p w14:paraId="0A3FF687" w14:textId="1351256C" w:rsidR="00562D00" w:rsidRDefault="00DA09A1" w:rsidP="00562D00">
            <w:pPr>
              <w:pStyle w:val="Tablebodytext"/>
              <w:jc w:val="right"/>
            </w:pPr>
            <w:r>
              <w:t>131</w:t>
            </w:r>
          </w:p>
        </w:tc>
      </w:tr>
      <w:tr w:rsidR="000429D0" w14:paraId="5D05B51B" w14:textId="77777777" w:rsidTr="0092649D">
        <w:trPr>
          <w:cnfStyle w:val="000000010000" w:firstRow="0" w:lastRow="0" w:firstColumn="0" w:lastColumn="0" w:oddVBand="0" w:evenVBand="0" w:oddHBand="0" w:evenHBand="1" w:firstRowFirstColumn="0" w:firstRowLastColumn="0" w:lastRowFirstColumn="0" w:lastRowLastColumn="0"/>
        </w:trPr>
        <w:tc>
          <w:tcPr>
            <w:tcW w:w="5330" w:type="dxa"/>
          </w:tcPr>
          <w:p w14:paraId="475CE0EC" w14:textId="50057194" w:rsidR="000429D0" w:rsidRPr="004A6EE4" w:rsidRDefault="00562D00" w:rsidP="0028182F">
            <w:pPr>
              <w:pStyle w:val="Tablebodytext"/>
            </w:pPr>
            <w:r w:rsidRPr="004A6EE4">
              <w:t>More than 50 salaried directors</w:t>
            </w:r>
          </w:p>
        </w:tc>
        <w:tc>
          <w:tcPr>
            <w:tcW w:w="1564" w:type="dxa"/>
          </w:tcPr>
          <w:p w14:paraId="512D96F9" w14:textId="6DF8D22E" w:rsidR="000429D0" w:rsidRDefault="00562D00" w:rsidP="00562D00">
            <w:pPr>
              <w:pStyle w:val="Tablebodytext"/>
              <w:jc w:val="right"/>
            </w:pPr>
            <w:r>
              <w:t>19</w:t>
            </w:r>
          </w:p>
        </w:tc>
      </w:tr>
      <w:tr w:rsidR="000429D0" w14:paraId="0D6277C3" w14:textId="77777777" w:rsidTr="0092649D">
        <w:trPr>
          <w:cnfStyle w:val="000000100000" w:firstRow="0" w:lastRow="0" w:firstColumn="0" w:lastColumn="0" w:oddVBand="0" w:evenVBand="0" w:oddHBand="1" w:evenHBand="0" w:firstRowFirstColumn="0" w:firstRowLastColumn="0" w:lastRowFirstColumn="0" w:lastRowLastColumn="0"/>
        </w:trPr>
        <w:tc>
          <w:tcPr>
            <w:tcW w:w="5330" w:type="dxa"/>
          </w:tcPr>
          <w:p w14:paraId="3F01C72B" w14:textId="6D994BF6" w:rsidR="000429D0" w:rsidRDefault="00562D00" w:rsidP="0028182F">
            <w:pPr>
              <w:pStyle w:val="Tablebodytext"/>
            </w:pPr>
            <w:r w:rsidRPr="00562D00">
              <w:t>More than 10 working proprietors and partners</w:t>
            </w:r>
          </w:p>
        </w:tc>
        <w:tc>
          <w:tcPr>
            <w:tcW w:w="1564" w:type="dxa"/>
          </w:tcPr>
          <w:p w14:paraId="424287D9" w14:textId="053F398B" w:rsidR="000429D0" w:rsidRDefault="00562D00" w:rsidP="00562D00">
            <w:pPr>
              <w:pStyle w:val="Tablebodytext"/>
              <w:jc w:val="right"/>
            </w:pPr>
            <w:r>
              <w:t>31</w:t>
            </w:r>
          </w:p>
        </w:tc>
      </w:tr>
      <w:tr w:rsidR="000429D0" w14:paraId="10769215" w14:textId="77777777" w:rsidTr="0092649D">
        <w:trPr>
          <w:cnfStyle w:val="000000010000" w:firstRow="0" w:lastRow="0" w:firstColumn="0" w:lastColumn="0" w:oddVBand="0" w:evenVBand="0" w:oddHBand="0" w:evenHBand="1" w:firstRowFirstColumn="0" w:firstRowLastColumn="0" w:lastRowFirstColumn="0" w:lastRowLastColumn="0"/>
        </w:trPr>
        <w:tc>
          <w:tcPr>
            <w:tcW w:w="5330" w:type="dxa"/>
          </w:tcPr>
          <w:p w14:paraId="159924D9" w14:textId="6D8C3748" w:rsidR="000429D0" w:rsidRPr="00562D00" w:rsidRDefault="00562D00" w:rsidP="0028182F">
            <w:pPr>
              <w:pStyle w:val="Tablebodytext"/>
              <w:rPr>
                <w:b/>
              </w:rPr>
            </w:pPr>
            <w:r w:rsidRPr="00562D00">
              <w:rPr>
                <w:b/>
              </w:rPr>
              <w:t>Remaining sample</w:t>
            </w:r>
          </w:p>
        </w:tc>
        <w:tc>
          <w:tcPr>
            <w:tcW w:w="1564" w:type="dxa"/>
          </w:tcPr>
          <w:p w14:paraId="2F27445E" w14:textId="02E98814" w:rsidR="000429D0" w:rsidRPr="00562D00" w:rsidRDefault="005E61CA" w:rsidP="00562D00">
            <w:pPr>
              <w:pStyle w:val="Tablebodytext"/>
              <w:jc w:val="right"/>
              <w:rPr>
                <w:b/>
              </w:rPr>
            </w:pPr>
            <w:r w:rsidRPr="00120299">
              <w:rPr>
                <w:rFonts w:eastAsia="Times New Roman"/>
                <w:b/>
                <w:bCs/>
                <w:lang w:eastAsia="en-AU"/>
              </w:rPr>
              <w:t>10</w:t>
            </w:r>
            <w:r>
              <w:rPr>
                <w:rFonts w:eastAsia="Times New Roman"/>
                <w:b/>
                <w:bCs/>
                <w:lang w:eastAsia="en-AU"/>
              </w:rPr>
              <w:t xml:space="preserve"> </w:t>
            </w:r>
            <w:r w:rsidRPr="00120299">
              <w:rPr>
                <w:rFonts w:eastAsia="Times New Roman"/>
                <w:b/>
                <w:bCs/>
                <w:lang w:eastAsia="en-AU"/>
              </w:rPr>
              <w:t>626</w:t>
            </w:r>
          </w:p>
        </w:tc>
      </w:tr>
    </w:tbl>
    <w:p w14:paraId="0393BEBD" w14:textId="095E568B" w:rsidR="009A6AD5" w:rsidRDefault="000429D0" w:rsidP="0092649D">
      <w:pPr>
        <w:pStyle w:val="Source"/>
      </w:pPr>
      <w:r>
        <w:t xml:space="preserve">Source: </w:t>
      </w:r>
      <w:r w:rsidR="005B0ECC">
        <w:t xml:space="preserve">ABS (2018) </w:t>
      </w:r>
      <w:r w:rsidR="00EE5EAE">
        <w:t>Business Longitudinal Analysis Data Environment</w:t>
      </w:r>
      <w:r w:rsidR="005B0ECC">
        <w:t>.</w:t>
      </w:r>
    </w:p>
    <w:p w14:paraId="3573A005" w14:textId="03B6B365" w:rsidR="00B726B4" w:rsidRDefault="00B726B4" w:rsidP="00326704">
      <w:pPr>
        <w:pStyle w:val="Heading1"/>
        <w:numPr>
          <w:ilvl w:val="0"/>
          <w:numId w:val="9"/>
        </w:numPr>
        <w:ind w:left="601" w:hanging="601"/>
      </w:pPr>
      <w:r>
        <w:t>Method</w:t>
      </w:r>
    </w:p>
    <w:p w14:paraId="39F872D9" w14:textId="1E98041A" w:rsidR="009A6AD5" w:rsidRDefault="00E57CFF" w:rsidP="00E4321C">
      <w:pPr>
        <w:pStyle w:val="Heading2"/>
        <w:ind w:left="601" w:hanging="601"/>
      </w:pPr>
      <w:r>
        <w:t>The r</w:t>
      </w:r>
      <w:r w:rsidR="00387724">
        <w:t xml:space="preserve">ationale behind </w:t>
      </w:r>
      <w:r w:rsidR="0054032F">
        <w:t>a categorical approach</w:t>
      </w:r>
    </w:p>
    <w:p w14:paraId="73B138C0" w14:textId="13D15E09" w:rsidR="00E57CFF" w:rsidRDefault="00F30E1F" w:rsidP="0092649D">
      <w:pPr>
        <w:pStyle w:val="BodyText"/>
      </w:pPr>
      <w:r>
        <w:t>Previous</w:t>
      </w:r>
      <w:r w:rsidRPr="00F30E1F">
        <w:t xml:space="preserve"> studies have </w:t>
      </w:r>
      <w:r w:rsidR="0008606E">
        <w:t>use</w:t>
      </w:r>
      <w:r w:rsidR="00C80090">
        <w:t>d</w:t>
      </w:r>
      <w:r w:rsidR="0008606E">
        <w:t xml:space="preserve"> data on management practices to </w:t>
      </w:r>
      <w:r w:rsidR="006A0030">
        <w:t>construct</w:t>
      </w:r>
      <w:r w:rsidR="006A0030" w:rsidRPr="00F30E1F">
        <w:t xml:space="preserve"> </w:t>
      </w:r>
      <w:r w:rsidR="006A0030">
        <w:t xml:space="preserve">continuous </w:t>
      </w:r>
      <w:r w:rsidR="0008606E">
        <w:t xml:space="preserve">management </w:t>
      </w:r>
      <w:r w:rsidRPr="006A0030">
        <w:t>scores</w:t>
      </w:r>
      <w:r w:rsidR="006A0030">
        <w:rPr>
          <w:i/>
        </w:rPr>
        <w:t xml:space="preserve"> </w:t>
      </w:r>
      <w:r w:rsidR="006A0030" w:rsidRPr="006A0030">
        <w:t>ranging from</w:t>
      </w:r>
      <w:r w:rsidR="006A0030">
        <w:rPr>
          <w:i/>
        </w:rPr>
        <w:t xml:space="preserve"> </w:t>
      </w:r>
      <w:r w:rsidR="006A0030" w:rsidRPr="006A0030">
        <w:t>‘best’ to ‘worst’</w:t>
      </w:r>
      <w:r w:rsidR="0008606E">
        <w:t>.</w:t>
      </w:r>
      <w:r w:rsidRPr="00F30E1F">
        <w:t xml:space="preserve"> </w:t>
      </w:r>
      <w:r w:rsidR="0008606E">
        <w:t>H</w:t>
      </w:r>
      <w:r w:rsidRPr="00F30E1F">
        <w:t>owever</w:t>
      </w:r>
      <w:r w:rsidR="0008606E">
        <w:t>,</w:t>
      </w:r>
      <w:r w:rsidRPr="00F30E1F">
        <w:t xml:space="preserve"> management categories or </w:t>
      </w:r>
      <w:r w:rsidR="00524D34">
        <w:rPr>
          <w:i/>
        </w:rPr>
        <w:t>modes</w:t>
      </w:r>
      <w:r w:rsidR="00524D34" w:rsidRPr="00F30E1F">
        <w:t xml:space="preserve"> </w:t>
      </w:r>
      <w:r w:rsidRPr="00F30E1F">
        <w:t>are another</w:t>
      </w:r>
      <w:r w:rsidR="00E62087">
        <w:t> </w:t>
      </w:r>
      <w:r w:rsidR="000429D0">
        <w:t>—</w:t>
      </w:r>
      <w:r w:rsidR="00E62087">
        <w:t> </w:t>
      </w:r>
      <w:r w:rsidRPr="00F30E1F">
        <w:t>potential</w:t>
      </w:r>
      <w:r w:rsidR="00E57CFF">
        <w:t>ly more interpretable</w:t>
      </w:r>
      <w:r w:rsidR="00E62087">
        <w:t> </w:t>
      </w:r>
      <w:r w:rsidR="000429D0">
        <w:t>—</w:t>
      </w:r>
      <w:r w:rsidR="00E62087">
        <w:t> </w:t>
      </w:r>
      <w:r w:rsidR="00E57CFF">
        <w:t>approach</w:t>
      </w:r>
      <w:r>
        <w:t xml:space="preserve"> to</w:t>
      </w:r>
      <w:r w:rsidR="00E57CFF">
        <w:t xml:space="preserve"> capturing</w:t>
      </w:r>
      <w:r w:rsidRPr="00F30E1F">
        <w:t xml:space="preserve"> differences in management</w:t>
      </w:r>
      <w:r w:rsidR="00094782">
        <w:t xml:space="preserve">. </w:t>
      </w:r>
      <w:r w:rsidR="00EE7D20">
        <w:t>As we use</w:t>
      </w:r>
      <w:r w:rsidR="00094782">
        <w:t xml:space="preserve"> information on </w:t>
      </w:r>
      <w:r w:rsidR="00EE7D20">
        <w:t xml:space="preserve">only three management practices, </w:t>
      </w:r>
      <w:r w:rsidR="00094782">
        <w:t xml:space="preserve">the drivers of differences in </w:t>
      </w:r>
      <w:r w:rsidR="00450E95">
        <w:t xml:space="preserve">assessed </w:t>
      </w:r>
      <w:r w:rsidR="00094782">
        <w:t>firms</w:t>
      </w:r>
      <w:r w:rsidR="00E732F1">
        <w:t>’</w:t>
      </w:r>
      <w:r w:rsidR="00094782">
        <w:t xml:space="preserve"> </w:t>
      </w:r>
      <w:r w:rsidR="0079400B">
        <w:t>man</w:t>
      </w:r>
      <w:r w:rsidR="00E732F1">
        <w:t xml:space="preserve">agement </w:t>
      </w:r>
      <w:r w:rsidR="00450E95">
        <w:t xml:space="preserve">is </w:t>
      </w:r>
      <w:r w:rsidR="00F31A98">
        <w:t>clear</w:t>
      </w:r>
      <w:r w:rsidR="00254AF1">
        <w:t xml:space="preserve"> and transparent</w:t>
      </w:r>
      <w:r w:rsidR="00254AF1">
        <w:rPr>
          <w:rStyle w:val="FootnoteReference"/>
        </w:rPr>
        <w:footnoteReference w:id="24"/>
      </w:r>
      <w:r w:rsidR="0079400B">
        <w:t xml:space="preserve"> </w:t>
      </w:r>
      <w:r w:rsidR="00450E95">
        <w:t xml:space="preserve">compared </w:t>
      </w:r>
      <w:r w:rsidR="00EE7D20">
        <w:t>with</w:t>
      </w:r>
      <w:r w:rsidR="00E732F1">
        <w:t xml:space="preserve"> </w:t>
      </w:r>
      <w:r w:rsidR="0079400B">
        <w:t>score</w:t>
      </w:r>
      <w:r w:rsidR="00E62087">
        <w:noBreakHyphen/>
      </w:r>
      <w:r w:rsidR="0079400B">
        <w:t>based approaches</w:t>
      </w:r>
      <w:r w:rsidR="004C7814">
        <w:t>, which typically aggregate</w:t>
      </w:r>
      <w:r w:rsidR="0079400B">
        <w:t xml:space="preserve"> information on </w:t>
      </w:r>
      <w:r w:rsidR="004C7814">
        <w:t>a larger range of management practices.</w:t>
      </w:r>
      <w:r w:rsidR="004C7814">
        <w:rPr>
          <w:rStyle w:val="FootnoteReference"/>
        </w:rPr>
        <w:footnoteReference w:id="25"/>
      </w:r>
    </w:p>
    <w:p w14:paraId="073475AA" w14:textId="1F631D02" w:rsidR="00387724" w:rsidRDefault="008777EF" w:rsidP="00E356E6">
      <w:pPr>
        <w:pStyle w:val="Heading2"/>
        <w:ind w:left="601" w:hanging="601"/>
      </w:pPr>
      <w:r>
        <w:t>Creating levels of strategic management</w:t>
      </w:r>
    </w:p>
    <w:p w14:paraId="11BDC165" w14:textId="0B3D6ABC" w:rsidR="00094782" w:rsidRDefault="00094782" w:rsidP="0092649D">
      <w:pPr>
        <w:pStyle w:val="BodyText"/>
      </w:pPr>
      <w:r>
        <w:t>A firm’s management approach is a complex combination of management practices</w:t>
      </w:r>
      <w:r w:rsidR="00450E95">
        <w:t xml:space="preserve"> which can </w:t>
      </w:r>
      <w:r>
        <w:t xml:space="preserve">differ along </w:t>
      </w:r>
      <w:r w:rsidR="00F31A98">
        <w:t>many</w:t>
      </w:r>
      <w:r>
        <w:t xml:space="preserve"> dimensions. </w:t>
      </w:r>
      <w:r w:rsidR="00450E95">
        <w:t>This is reflected in the</w:t>
      </w:r>
      <w:r>
        <w:t xml:space="preserve"> wide array of taxonomies presented in</w:t>
      </w:r>
      <w:r w:rsidR="004A570F">
        <w:t xml:space="preserve"> the</w:t>
      </w:r>
      <w:r>
        <w:t xml:space="preserve"> management literature. For example, management practices have been conceptualised as contributing to task, relations </w:t>
      </w:r>
      <w:r w:rsidR="00450E95">
        <w:t>and/</w:t>
      </w:r>
      <w:r>
        <w:t>or change behaviour.</w:t>
      </w:r>
      <w:r w:rsidR="00BE121B">
        <w:rPr>
          <w:rStyle w:val="FootnoteReference"/>
        </w:rPr>
        <w:footnoteReference w:id="26"/>
      </w:r>
      <w:r>
        <w:t xml:space="preserve"> Other studies have been more comprehensive — for example, Tett et al.</w:t>
      </w:r>
      <w:r w:rsidR="00F352E4">
        <w:rPr>
          <w:rStyle w:val="FootnoteReference"/>
        </w:rPr>
        <w:footnoteReference w:id="27"/>
      </w:r>
      <w:r>
        <w:t xml:space="preserve"> identif</w:t>
      </w:r>
      <w:r w:rsidR="00450E95">
        <w:t>ied</w:t>
      </w:r>
      <w:r>
        <w:t xml:space="preserve"> 47 distinct managerial competencies, associating them with nine general categories</w:t>
      </w:r>
      <w:r w:rsidR="00450E95">
        <w:t xml:space="preserve"> including </w:t>
      </w:r>
      <w:r>
        <w:t>traditi</w:t>
      </w:r>
      <w:r w:rsidR="001A10E8">
        <w:t>onal functions (decision making and</w:t>
      </w:r>
      <w:r>
        <w:t xml:space="preserve"> directing), communication (listening skills</w:t>
      </w:r>
      <w:r w:rsidR="001A10E8">
        <w:t xml:space="preserve"> and</w:t>
      </w:r>
      <w:r>
        <w:t xml:space="preserve"> oral communication) and developing self and others (developmental </w:t>
      </w:r>
      <w:r>
        <w:lastRenderedPageBreak/>
        <w:t>goal setting</w:t>
      </w:r>
      <w:r w:rsidR="001A10E8">
        <w:t xml:space="preserve"> and</w:t>
      </w:r>
      <w:r>
        <w:t xml:space="preserve"> self</w:t>
      </w:r>
      <w:r w:rsidR="001A10E8">
        <w:noBreakHyphen/>
      </w:r>
      <w:r>
        <w:t xml:space="preserve">development). Overall, there is little consensus </w:t>
      </w:r>
      <w:r w:rsidR="00450E95">
        <w:t>underpinning</w:t>
      </w:r>
      <w:r>
        <w:t xml:space="preserve"> a taxonomy and classification of management approaches. </w:t>
      </w:r>
    </w:p>
    <w:p w14:paraId="10EF73E8" w14:textId="35BD477B" w:rsidR="008710A4" w:rsidRDefault="00094782" w:rsidP="0092649D">
      <w:pPr>
        <w:pStyle w:val="BodyText"/>
      </w:pPr>
      <w:r>
        <w:t>This paper does</w:t>
      </w:r>
      <w:r w:rsidR="00E732F1">
        <w:t xml:space="preserve"> not</w:t>
      </w:r>
      <w:r>
        <w:t xml:space="preserve"> aim to create </w:t>
      </w:r>
      <w:r w:rsidR="00450E95">
        <w:t xml:space="preserve">a </w:t>
      </w:r>
      <w:r>
        <w:t>holistic classification of manageme</w:t>
      </w:r>
      <w:r w:rsidR="008777EF">
        <w:t>nt approaches. Rather, we focus on strategic management, identifying</w:t>
      </w:r>
      <w:r w:rsidR="00450E95">
        <w:t xml:space="preserve"> different</w:t>
      </w:r>
      <w:r w:rsidR="008777EF">
        <w:t xml:space="preserve"> levels of engagement with strategic management practices. </w:t>
      </w:r>
      <w:r w:rsidR="00574DF2">
        <w:t xml:space="preserve">The management taxonomy presented in this paper classifies firms </w:t>
      </w:r>
      <w:r w:rsidR="00AD1C5C">
        <w:t>according to</w:t>
      </w:r>
      <w:r w:rsidR="00574DF2">
        <w:t xml:space="preserve"> four </w:t>
      </w:r>
      <w:r w:rsidR="008777EF">
        <w:t>levels</w:t>
      </w:r>
      <w:r w:rsidR="00574DF2">
        <w:t xml:space="preserve">: </w:t>
      </w:r>
      <w:r w:rsidR="00FE68CD">
        <w:t>Low Engagement</w:t>
      </w:r>
      <w:r w:rsidR="00086868">
        <w:t>, Ad hoc, Narrow-Focus and Strategic</w:t>
      </w:r>
      <w:r w:rsidR="00574DF2">
        <w:t xml:space="preserve">. Firms are assigned to these categories based on </w:t>
      </w:r>
      <w:r w:rsidR="008710A4">
        <w:t>th</w:t>
      </w:r>
      <w:r w:rsidR="005C1F52">
        <w:t>ree aspects of their management</w:t>
      </w:r>
      <w:r w:rsidR="00450E95">
        <w:t>:</w:t>
      </w:r>
      <w:r w:rsidR="00C123C4">
        <w:rPr>
          <w:rStyle w:val="FootnoteReference"/>
        </w:rPr>
        <w:footnoteReference w:id="28"/>
      </w:r>
    </w:p>
    <w:p w14:paraId="72844404" w14:textId="013E378E" w:rsidR="008710A4" w:rsidRDefault="005C1F52" w:rsidP="00E23100">
      <w:pPr>
        <w:pStyle w:val="ListBullet2"/>
        <w:numPr>
          <w:ilvl w:val="0"/>
          <w:numId w:val="14"/>
        </w:numPr>
        <w:ind w:left="426" w:hanging="426"/>
      </w:pPr>
      <w:r>
        <w:rPr>
          <w:b/>
        </w:rPr>
        <w:t xml:space="preserve">Possession of a strategic plan </w:t>
      </w:r>
      <w:r w:rsidR="008710A4">
        <w:t>—</w:t>
      </w:r>
      <w:r>
        <w:t xml:space="preserve"> firms may indicate whether they have a written, unwritten or no strategic plan</w:t>
      </w:r>
      <w:r w:rsidR="00AC32F3">
        <w:t>.</w:t>
      </w:r>
    </w:p>
    <w:p w14:paraId="5D3B3C86" w14:textId="52AB3DAA" w:rsidR="00AC32F3" w:rsidRDefault="005C1F52" w:rsidP="00E23100">
      <w:pPr>
        <w:pStyle w:val="ListBullet2"/>
        <w:numPr>
          <w:ilvl w:val="0"/>
          <w:numId w:val="14"/>
        </w:numPr>
        <w:ind w:left="426" w:hanging="426"/>
      </w:pPr>
      <w:r w:rsidRPr="005C1F52">
        <w:rPr>
          <w:b/>
        </w:rPr>
        <w:t>Number of KPIs monitored</w:t>
      </w:r>
      <w:r>
        <w:rPr>
          <w:b/>
        </w:rPr>
        <w:t> </w:t>
      </w:r>
      <w:r w:rsidR="00AC32F3">
        <w:t>—</w:t>
      </w:r>
      <w:r>
        <w:t> firms indicate whether they monitor: 1 or 2; 3 to 5; 6 to 9; 10 or more; or no KPIs</w:t>
      </w:r>
      <w:r w:rsidR="002E7828">
        <w:t>.</w:t>
      </w:r>
    </w:p>
    <w:p w14:paraId="558F4B88" w14:textId="7A5C7A66" w:rsidR="00AC32F3" w:rsidRDefault="005C1F52" w:rsidP="00E23100">
      <w:pPr>
        <w:pStyle w:val="ListBullet2"/>
        <w:numPr>
          <w:ilvl w:val="0"/>
          <w:numId w:val="14"/>
        </w:numPr>
        <w:ind w:left="426" w:hanging="426"/>
      </w:pPr>
      <w:r w:rsidRPr="005C1F52">
        <w:rPr>
          <w:b/>
        </w:rPr>
        <w:t xml:space="preserve">Number of topics </w:t>
      </w:r>
      <w:r w:rsidR="00CE229A">
        <w:rPr>
          <w:b/>
        </w:rPr>
        <w:t>covered by</w:t>
      </w:r>
      <w:r w:rsidRPr="005C1F52">
        <w:rPr>
          <w:b/>
        </w:rPr>
        <w:t xml:space="preserve"> KPIs </w:t>
      </w:r>
      <w:r w:rsidR="00AC32F3">
        <w:t xml:space="preserve">— </w:t>
      </w:r>
      <w:r>
        <w:t>firms indicate whether they monitor financial, operational, quality, innovation, human resource</w:t>
      </w:r>
      <w:r w:rsidR="00450E95">
        <w:t>s</w:t>
      </w:r>
      <w:r>
        <w:t xml:space="preserve">, environmental, social </w:t>
      </w:r>
      <w:r w:rsidR="00450E95">
        <w:t>and</w:t>
      </w:r>
      <w:r>
        <w:t xml:space="preserve"> health and safety measures</w:t>
      </w:r>
      <w:r w:rsidR="00574DF2">
        <w:t xml:space="preserve">. </w:t>
      </w:r>
    </w:p>
    <w:p w14:paraId="5A5B2C1B" w14:textId="1D297E2C" w:rsidR="005C1F52" w:rsidRPr="005C1F52" w:rsidRDefault="008777EF" w:rsidP="0092649D">
      <w:pPr>
        <w:pStyle w:val="BodyText"/>
      </w:pPr>
      <w:r>
        <w:t>T</w:t>
      </w:r>
      <w:r w:rsidR="00936F0E">
        <w:t>hese thre</w:t>
      </w:r>
      <w:r w:rsidR="007B00AF">
        <w:t xml:space="preserve">e facets of management </w:t>
      </w:r>
      <w:r w:rsidR="002A04A3">
        <w:t>broadly</w:t>
      </w:r>
      <w:r w:rsidR="007B00AF">
        <w:t xml:space="preserve"> </w:t>
      </w:r>
      <w:r>
        <w:t xml:space="preserve">correspond </w:t>
      </w:r>
      <w:r w:rsidR="007B00AF">
        <w:t>to the Business Scorecard (BSC) frame</w:t>
      </w:r>
      <w:r w:rsidR="005C1F52">
        <w:t>work</w:t>
      </w:r>
      <w:r w:rsidR="0038179E">
        <w:t xml:space="preserve">, </w:t>
      </w:r>
      <w:r w:rsidR="00E37D17">
        <w:t xml:space="preserve">which focusses on </w:t>
      </w:r>
      <w:r w:rsidR="005C1F52">
        <w:t>align</w:t>
      </w:r>
      <w:r w:rsidR="00E37D17">
        <w:t>ing</w:t>
      </w:r>
      <w:r w:rsidR="005C1F52">
        <w:t xml:space="preserve"> </w:t>
      </w:r>
      <w:r w:rsidR="00CA366C">
        <w:t xml:space="preserve">firms </w:t>
      </w:r>
      <w:r w:rsidR="005C1F52">
        <w:t xml:space="preserve">operations with overall strategy. </w:t>
      </w:r>
      <w:r w:rsidR="00E37D17">
        <w:t>The framework was developed by Kaplan and Norton</w:t>
      </w:r>
      <w:r w:rsidR="00F352E4">
        <w:rPr>
          <w:rStyle w:val="FootnoteReference"/>
        </w:rPr>
        <w:footnoteReference w:id="29"/>
      </w:r>
      <w:r w:rsidR="00E37D17">
        <w:t xml:space="preserve"> and</w:t>
      </w:r>
      <w:r w:rsidR="00FC7969">
        <w:t> </w:t>
      </w:r>
      <w:r w:rsidR="00E37D17">
        <w:t>—</w:t>
      </w:r>
      <w:r w:rsidR="00FC7969">
        <w:t> </w:t>
      </w:r>
      <w:r w:rsidR="00E37D17">
        <w:t xml:space="preserve">in addition to focussing on </w:t>
      </w:r>
      <w:r w:rsidR="00450E95">
        <w:t xml:space="preserve">the </w:t>
      </w:r>
      <w:r w:rsidR="00E37D17">
        <w:t>development of strategic plans and corresponding KPIs —</w:t>
      </w:r>
      <w:r w:rsidR="005C1F52">
        <w:t xml:space="preserve"> </w:t>
      </w:r>
      <w:r w:rsidR="00E37D17">
        <w:t xml:space="preserve">emphasises the </w:t>
      </w:r>
      <w:r w:rsidR="005C1F52">
        <w:t xml:space="preserve">importance </w:t>
      </w:r>
      <w:r w:rsidR="00BD6E20">
        <w:t xml:space="preserve">of </w:t>
      </w:r>
      <w:r w:rsidR="005C1F52">
        <w:t xml:space="preserve">monitoring a </w:t>
      </w:r>
      <w:r w:rsidR="005C1F52" w:rsidRPr="006703F6">
        <w:rPr>
          <w:i/>
        </w:rPr>
        <w:t>variety</w:t>
      </w:r>
      <w:r w:rsidR="005C1F52">
        <w:t xml:space="preserve"> of indicators</w:t>
      </w:r>
      <w:r w:rsidR="00E37D17">
        <w:t xml:space="preserve"> to</w:t>
      </w:r>
      <w:r w:rsidR="005C1F52">
        <w:t xml:space="preserve"> counter overreliance on financial measures</w:t>
      </w:r>
      <w:r w:rsidR="00E37D17">
        <w:t>. This</w:t>
      </w:r>
      <w:r w:rsidR="005C1F52">
        <w:t xml:space="preserve"> </w:t>
      </w:r>
      <w:r w:rsidR="00E37D17">
        <w:t xml:space="preserve">prompts firms to not only consider </w:t>
      </w:r>
      <w:r w:rsidR="005C1F52">
        <w:t>indicators of previous performance</w:t>
      </w:r>
      <w:r w:rsidR="00E37D17">
        <w:t xml:space="preserve"> (financial measures) but also </w:t>
      </w:r>
      <w:r w:rsidR="005C1F52">
        <w:t>drivers of future performance</w:t>
      </w:r>
    </w:p>
    <w:p w14:paraId="234011D5" w14:textId="62E29472" w:rsidR="00E01D29" w:rsidRDefault="004A23AF" w:rsidP="0092649D">
      <w:pPr>
        <w:pStyle w:val="BodyText"/>
      </w:pPr>
      <w:r>
        <w:t xml:space="preserve">The BSC </w:t>
      </w:r>
      <w:r w:rsidR="0091782F">
        <w:t>framework</w:t>
      </w:r>
      <w:r>
        <w:t xml:space="preserve"> is widely used by management consultants</w:t>
      </w:r>
      <w:r w:rsidR="00E37D17">
        <w:t>.</w:t>
      </w:r>
      <w:r>
        <w:t xml:space="preserve"> Bain and Company</w:t>
      </w:r>
      <w:r w:rsidR="00EA47E3">
        <w:t xml:space="preserve"> (2015)</w:t>
      </w:r>
      <w:r>
        <w:t xml:space="preserve"> list the BSC approach as one of 25 popular tools included in its survey of Management Tools and Trends. </w:t>
      </w:r>
      <w:r w:rsidR="008C6930">
        <w:t xml:space="preserve">The most recent international survey of around 14,000 executives found </w:t>
      </w:r>
      <w:r w:rsidR="00D84778">
        <w:t xml:space="preserve">that </w:t>
      </w:r>
      <w:r w:rsidR="008C6930">
        <w:t xml:space="preserve">approximately 30 per cent of firms </w:t>
      </w:r>
      <w:r w:rsidR="00450E95">
        <w:t>were</w:t>
      </w:r>
      <w:r w:rsidR="008C6930">
        <w:t xml:space="preserve"> using this tool.</w:t>
      </w:r>
      <w:r w:rsidR="00EA47E3">
        <w:t xml:space="preserve"> </w:t>
      </w:r>
      <w:r w:rsidR="008C6930">
        <w:t>In addition, several studies have found this tool to be associated</w:t>
      </w:r>
      <w:r w:rsidR="00F31A98">
        <w:t xml:space="preserve"> with</w:t>
      </w:r>
      <w:r w:rsidR="008C6930">
        <w:t xml:space="preserve"> improved firm outcomes. For example, a survey </w:t>
      </w:r>
      <w:r w:rsidR="00450E95">
        <w:t xml:space="preserve">of </w:t>
      </w:r>
      <w:r w:rsidR="008C6930">
        <w:t>76 business units</w:t>
      </w:r>
      <w:r w:rsidR="009D11DA">
        <w:t xml:space="preserve"> found BSC </w:t>
      </w:r>
      <w:r w:rsidR="00F31A98">
        <w:t>to have</w:t>
      </w:r>
      <w:r w:rsidR="009D11DA">
        <w:t xml:space="preserve"> a positive impact on firm performance </w:t>
      </w:r>
      <w:r w:rsidR="00CD5250">
        <w:t>through increased transla</w:t>
      </w:r>
      <w:r w:rsidR="00F31A98">
        <w:t>tion of strategy into operations</w:t>
      </w:r>
      <w:r w:rsidR="00EA47E3">
        <w:t>.</w:t>
      </w:r>
      <w:r w:rsidR="00F31A98">
        <w:rPr>
          <w:rStyle w:val="FootnoteReference"/>
        </w:rPr>
        <w:footnoteReference w:id="30"/>
      </w:r>
      <w:r w:rsidR="00EA47E3">
        <w:t xml:space="preserve"> </w:t>
      </w:r>
      <w:r w:rsidR="00CD5250">
        <w:t>A quasi-e</w:t>
      </w:r>
      <w:r w:rsidR="007E05FF">
        <w:t>xperimental study found superior financial performance among bank branches implementing the BSC approach compared with other branches within the same organisation.</w:t>
      </w:r>
      <w:r w:rsidR="00224A6C" w:rsidRPr="00224A6C">
        <w:rPr>
          <w:rStyle w:val="FootnoteReference"/>
        </w:rPr>
        <w:t xml:space="preserve"> </w:t>
      </w:r>
      <w:r w:rsidR="00224A6C">
        <w:rPr>
          <w:rStyle w:val="FootnoteReference"/>
        </w:rPr>
        <w:footnoteReference w:id="31"/>
      </w:r>
      <w:r w:rsidR="007E05FF">
        <w:t xml:space="preserve"> </w:t>
      </w:r>
    </w:p>
    <w:p w14:paraId="5527669F" w14:textId="404019D3" w:rsidR="00180994" w:rsidRDefault="00EA47E3" w:rsidP="0092649D">
      <w:pPr>
        <w:pStyle w:val="BodyText"/>
      </w:pPr>
      <w:r>
        <w:t>T</w:t>
      </w:r>
      <w:r w:rsidR="007E05FF">
        <w:t>he questions within the Management Capabilities Modul</w:t>
      </w:r>
      <w:r>
        <w:t>e were not designed to detect</w:t>
      </w:r>
      <w:r w:rsidR="007E05FF">
        <w:t xml:space="preserve"> firms</w:t>
      </w:r>
      <w:r>
        <w:t>’</w:t>
      </w:r>
      <w:r w:rsidR="007E05FF">
        <w:t xml:space="preserve"> implementation of </w:t>
      </w:r>
      <w:r>
        <w:t>the BSC approach (</w:t>
      </w:r>
      <w:r w:rsidR="007E05FF">
        <w:t xml:space="preserve">which requires more than the creation of a strategic </w:t>
      </w:r>
      <w:r>
        <w:t xml:space="preserve">plan </w:t>
      </w:r>
      <w:r w:rsidR="007016A1">
        <w:t xml:space="preserve">and </w:t>
      </w:r>
      <w:r w:rsidR="00E84484">
        <w:t>monitoring</w:t>
      </w:r>
      <w:r>
        <w:t xml:space="preserve"> of KPIs). </w:t>
      </w:r>
      <w:r w:rsidR="00E732F1">
        <w:t>Nonetheless</w:t>
      </w:r>
      <w:r>
        <w:t xml:space="preserve">, </w:t>
      </w:r>
      <w:r w:rsidR="00FF24F2">
        <w:t xml:space="preserve">the </w:t>
      </w:r>
      <w:r w:rsidR="007016A1">
        <w:t xml:space="preserve">levels </w:t>
      </w:r>
      <w:r w:rsidR="007E05FF">
        <w:t xml:space="preserve">of strategic management </w:t>
      </w:r>
      <w:r w:rsidR="00FF24F2">
        <w:t xml:space="preserve">do </w:t>
      </w:r>
      <w:r w:rsidR="007E05FF">
        <w:t xml:space="preserve">reflect the degree to which firms </w:t>
      </w:r>
      <w:r w:rsidR="00FF24F2">
        <w:t xml:space="preserve">have </w:t>
      </w:r>
      <w:r w:rsidR="007E05FF">
        <w:t>implement</w:t>
      </w:r>
      <w:r w:rsidR="00FF24F2">
        <w:t>ed</w:t>
      </w:r>
      <w:r w:rsidR="007E05FF">
        <w:t xml:space="preserve"> practices </w:t>
      </w:r>
      <w:r w:rsidR="007E05FF" w:rsidRPr="00EA47E3">
        <w:t>closely associated</w:t>
      </w:r>
      <w:r w:rsidR="007E05FF">
        <w:t xml:space="preserve"> with</w:t>
      </w:r>
      <w:r w:rsidR="006A0030">
        <w:t xml:space="preserve"> essential elements of the</w:t>
      </w:r>
      <w:r w:rsidR="007E05FF">
        <w:t xml:space="preserve"> </w:t>
      </w:r>
      <w:r>
        <w:t>BSC</w:t>
      </w:r>
      <w:r w:rsidR="007E05FF">
        <w:t xml:space="preserve"> </w:t>
      </w:r>
      <w:r w:rsidR="007E05FF">
        <w:lastRenderedPageBreak/>
        <w:t>framework</w:t>
      </w:r>
      <w:r w:rsidR="006A0030">
        <w:t xml:space="preserve"> which are critical to strategic </w:t>
      </w:r>
      <w:r w:rsidR="009D2D91">
        <w:t>management</w:t>
      </w:r>
      <w:r w:rsidR="007E05FF">
        <w:t>.</w:t>
      </w:r>
      <w:r>
        <w:t xml:space="preserve"> </w:t>
      </w:r>
      <w:r w:rsidR="00224A6C">
        <w:t>Our</w:t>
      </w:r>
      <w:r w:rsidR="007E05FF">
        <w:t xml:space="preserve"> four </w:t>
      </w:r>
      <w:r w:rsidR="007016A1">
        <w:t xml:space="preserve">levels </w:t>
      </w:r>
      <w:r w:rsidR="007E05FF">
        <w:t>of strategic management, each reflect</w:t>
      </w:r>
      <w:r w:rsidR="00FF24F2">
        <w:t>ing</w:t>
      </w:r>
      <w:r w:rsidR="007E05FF">
        <w:t xml:space="preserve"> </w:t>
      </w:r>
      <w:r>
        <w:t>practices within the BSC framework</w:t>
      </w:r>
      <w:r w:rsidR="00224A6C">
        <w:t>,</w:t>
      </w:r>
      <w:r>
        <w:t xml:space="preserve"> </w:t>
      </w:r>
      <w:r w:rsidR="00180994">
        <w:t xml:space="preserve">are </w:t>
      </w:r>
      <w:r>
        <w:t xml:space="preserve">described in </w:t>
      </w:r>
      <w:r w:rsidR="008D2F8B">
        <w:t>T</w:t>
      </w:r>
      <w:r w:rsidR="00F70B98">
        <w:t xml:space="preserve">able </w:t>
      </w:r>
      <w:r w:rsidR="00E40827">
        <w:t>4</w:t>
      </w:r>
      <w:r w:rsidR="00D32A54" w:rsidRPr="000618FB">
        <w:t>.</w:t>
      </w:r>
      <w:r w:rsidR="009A1863">
        <w:t>1</w:t>
      </w:r>
      <w:r w:rsidR="00180994">
        <w:t xml:space="preserve">. </w:t>
      </w:r>
    </w:p>
    <w:p w14:paraId="03278E48" w14:textId="33DDD923" w:rsidR="00180994" w:rsidRDefault="00180994" w:rsidP="0092649D">
      <w:pPr>
        <w:pStyle w:val="Caption"/>
      </w:pPr>
      <w:r>
        <w:t>T</w:t>
      </w:r>
      <w:r w:rsidRPr="000618FB">
        <w:t xml:space="preserve">able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1</w:t>
      </w:r>
      <w:r w:rsidR="00C5233C">
        <w:rPr>
          <w:noProof/>
        </w:rPr>
        <w:fldChar w:fldCharType="end"/>
      </w:r>
      <w:r w:rsidRPr="000618FB">
        <w:t xml:space="preserve">: </w:t>
      </w:r>
      <w:r w:rsidR="00EA47E3">
        <w:t>Categories of strategic management</w:t>
      </w:r>
    </w:p>
    <w:tbl>
      <w:tblPr>
        <w:tblStyle w:val="OCETable"/>
        <w:tblW w:w="4996" w:type="pct"/>
        <w:tblInd w:w="-51" w:type="dxa"/>
        <w:tblLayout w:type="fixed"/>
        <w:tblLook w:val="04A0" w:firstRow="1" w:lastRow="0" w:firstColumn="1" w:lastColumn="0" w:noHBand="0" w:noVBand="1"/>
        <w:tblCaption w:val="Table 4.1: Categories of strategic management"/>
        <w:tblDescription w:val="Table 4.1 describes the four levels."/>
      </w:tblPr>
      <w:tblGrid>
        <w:gridCol w:w="2778"/>
        <w:gridCol w:w="4110"/>
      </w:tblGrid>
      <w:tr w:rsidR="00180994" w14:paraId="04E79EC4" w14:textId="77777777" w:rsidTr="00D1409A">
        <w:trPr>
          <w:cnfStyle w:val="100000000000" w:firstRow="1" w:lastRow="0" w:firstColumn="0" w:lastColumn="0" w:oddVBand="0" w:evenVBand="0" w:oddHBand="0" w:evenHBand="0" w:firstRowFirstColumn="0" w:firstRowLastColumn="0" w:lastRowFirstColumn="0" w:lastRowLastColumn="0"/>
          <w:tblHeader/>
        </w:trPr>
        <w:tc>
          <w:tcPr>
            <w:tcW w:w="2778" w:type="dxa"/>
          </w:tcPr>
          <w:p w14:paraId="1F8A1489" w14:textId="77777777" w:rsidR="00180994" w:rsidRDefault="00180994" w:rsidP="009C05F5">
            <w:pPr>
              <w:pStyle w:val="Tableheader"/>
              <w:rPr>
                <w:lang w:eastAsia="en-AU"/>
              </w:rPr>
            </w:pPr>
            <w:r>
              <w:rPr>
                <w:lang w:eastAsia="en-AU"/>
              </w:rPr>
              <w:t>Level of strategic management</w:t>
            </w:r>
          </w:p>
        </w:tc>
        <w:tc>
          <w:tcPr>
            <w:tcW w:w="4110" w:type="dxa"/>
          </w:tcPr>
          <w:p w14:paraId="0F427DFA" w14:textId="77777777" w:rsidR="00180994" w:rsidRDefault="00180994" w:rsidP="009C05F5">
            <w:pPr>
              <w:pStyle w:val="Tableheader"/>
              <w:rPr>
                <w:lang w:eastAsia="en-AU"/>
              </w:rPr>
            </w:pPr>
            <w:r>
              <w:rPr>
                <w:lang w:eastAsia="en-AU"/>
              </w:rPr>
              <w:t>Description</w:t>
            </w:r>
          </w:p>
        </w:tc>
      </w:tr>
      <w:tr w:rsidR="00180994" w14:paraId="4A066B1C" w14:textId="77777777" w:rsidTr="0092649D">
        <w:trPr>
          <w:cnfStyle w:val="000000100000" w:firstRow="0" w:lastRow="0" w:firstColumn="0" w:lastColumn="0" w:oddVBand="0" w:evenVBand="0" w:oddHBand="1" w:evenHBand="0" w:firstRowFirstColumn="0" w:firstRowLastColumn="0" w:lastRowFirstColumn="0" w:lastRowLastColumn="0"/>
        </w:trPr>
        <w:tc>
          <w:tcPr>
            <w:tcW w:w="2778" w:type="dxa"/>
          </w:tcPr>
          <w:p w14:paraId="44C2687F" w14:textId="77777777" w:rsidR="00180994" w:rsidRDefault="00180994" w:rsidP="009C05F5">
            <w:pPr>
              <w:pStyle w:val="Tabletext"/>
              <w:rPr>
                <w:lang w:eastAsia="en-AU"/>
              </w:rPr>
            </w:pPr>
            <w:r w:rsidRPr="00043BA7">
              <w:rPr>
                <w:lang w:eastAsia="en-AU"/>
              </w:rPr>
              <w:t>Strategic</w:t>
            </w:r>
          </w:p>
        </w:tc>
        <w:tc>
          <w:tcPr>
            <w:tcW w:w="4110" w:type="dxa"/>
          </w:tcPr>
          <w:p w14:paraId="712F98D1" w14:textId="142BBF15" w:rsidR="00180994" w:rsidRDefault="00180994" w:rsidP="00083C38">
            <w:pPr>
              <w:pStyle w:val="Tabletext"/>
              <w:rPr>
                <w:lang w:eastAsia="en-AU"/>
              </w:rPr>
            </w:pPr>
            <w:r w:rsidRPr="00043BA7">
              <w:rPr>
                <w:lang w:eastAsia="en-AU"/>
              </w:rPr>
              <w:t xml:space="preserve">The firm has </w:t>
            </w:r>
            <w:r w:rsidR="00083C38">
              <w:rPr>
                <w:lang w:eastAsia="en-AU"/>
              </w:rPr>
              <w:t xml:space="preserve">active </w:t>
            </w:r>
            <w:r w:rsidRPr="00043BA7">
              <w:rPr>
                <w:lang w:eastAsia="en-AU"/>
              </w:rPr>
              <w:t>management practices</w:t>
            </w:r>
            <w:r w:rsidR="006A0030">
              <w:rPr>
                <w:lang w:eastAsia="en-AU"/>
              </w:rPr>
              <w:t xml:space="preserve">, </w:t>
            </w:r>
            <w:r w:rsidR="00083C38">
              <w:rPr>
                <w:lang w:eastAsia="en-AU"/>
              </w:rPr>
              <w:t xml:space="preserve">reporting </w:t>
            </w:r>
            <w:r w:rsidR="006A0030">
              <w:rPr>
                <w:lang w:eastAsia="en-AU"/>
              </w:rPr>
              <w:t>structured planning,</w:t>
            </w:r>
            <w:r w:rsidRPr="00043BA7">
              <w:rPr>
                <w:lang w:eastAsia="en-AU"/>
              </w:rPr>
              <w:t xml:space="preserve"> </w:t>
            </w:r>
            <w:r w:rsidR="00083C38">
              <w:rPr>
                <w:lang w:eastAsia="en-AU"/>
              </w:rPr>
              <w:t>monitoring of</w:t>
            </w:r>
            <w:r w:rsidRPr="00043BA7">
              <w:rPr>
                <w:lang w:eastAsia="en-AU"/>
              </w:rPr>
              <w:t xml:space="preserve"> performance </w:t>
            </w:r>
            <w:r w:rsidR="006A0030">
              <w:rPr>
                <w:lang w:eastAsia="en-AU"/>
              </w:rPr>
              <w:t>across a range of indicators.</w:t>
            </w:r>
          </w:p>
        </w:tc>
      </w:tr>
      <w:tr w:rsidR="00180994" w14:paraId="62476C30" w14:textId="77777777" w:rsidTr="0092649D">
        <w:trPr>
          <w:cnfStyle w:val="000000010000" w:firstRow="0" w:lastRow="0" w:firstColumn="0" w:lastColumn="0" w:oddVBand="0" w:evenVBand="0" w:oddHBand="0" w:evenHBand="1" w:firstRowFirstColumn="0" w:firstRowLastColumn="0" w:lastRowFirstColumn="0" w:lastRowLastColumn="0"/>
        </w:trPr>
        <w:tc>
          <w:tcPr>
            <w:tcW w:w="2778" w:type="dxa"/>
          </w:tcPr>
          <w:p w14:paraId="7347DB46" w14:textId="77777777" w:rsidR="00180994" w:rsidRDefault="00180994" w:rsidP="009C05F5">
            <w:pPr>
              <w:pStyle w:val="Tabletext"/>
              <w:rPr>
                <w:lang w:eastAsia="en-AU"/>
              </w:rPr>
            </w:pPr>
            <w:r w:rsidRPr="00043BA7">
              <w:rPr>
                <w:lang w:eastAsia="en-AU"/>
              </w:rPr>
              <w:t>Narrow-Focus</w:t>
            </w:r>
          </w:p>
        </w:tc>
        <w:tc>
          <w:tcPr>
            <w:tcW w:w="4110" w:type="dxa"/>
          </w:tcPr>
          <w:p w14:paraId="26B3FEEC" w14:textId="51ACBC59" w:rsidR="00180994" w:rsidRDefault="00180994" w:rsidP="005332B4">
            <w:pPr>
              <w:pStyle w:val="Tabletext"/>
              <w:rPr>
                <w:lang w:eastAsia="en-AU"/>
              </w:rPr>
            </w:pPr>
            <w:r w:rsidRPr="00043BA7">
              <w:rPr>
                <w:lang w:eastAsia="en-AU"/>
              </w:rPr>
              <w:t xml:space="preserve">The firm </w:t>
            </w:r>
            <w:r w:rsidR="005332B4">
              <w:rPr>
                <w:lang w:eastAsia="en-AU"/>
              </w:rPr>
              <w:t>may demonstrate</w:t>
            </w:r>
            <w:r w:rsidRPr="00043BA7">
              <w:rPr>
                <w:lang w:eastAsia="en-AU"/>
              </w:rPr>
              <w:t xml:space="preserve"> </w:t>
            </w:r>
            <w:r w:rsidR="006A0030">
              <w:rPr>
                <w:lang w:eastAsia="en-AU"/>
              </w:rPr>
              <w:t>active</w:t>
            </w:r>
            <w:r w:rsidRPr="00043BA7">
              <w:rPr>
                <w:lang w:eastAsia="en-AU"/>
              </w:rPr>
              <w:t xml:space="preserve"> man</w:t>
            </w:r>
            <w:r w:rsidR="006A0030">
              <w:rPr>
                <w:lang w:eastAsia="en-AU"/>
              </w:rPr>
              <w:t xml:space="preserve">agement </w:t>
            </w:r>
            <w:r w:rsidR="005332B4">
              <w:rPr>
                <w:lang w:eastAsia="en-AU"/>
              </w:rPr>
              <w:t xml:space="preserve">in one area </w:t>
            </w:r>
            <w:r w:rsidR="006A0030">
              <w:rPr>
                <w:lang w:eastAsia="en-AU"/>
              </w:rPr>
              <w:t xml:space="preserve">but </w:t>
            </w:r>
            <w:r w:rsidR="005332B4">
              <w:rPr>
                <w:lang w:eastAsia="en-AU"/>
              </w:rPr>
              <w:t>lack either</w:t>
            </w:r>
            <w:r w:rsidR="006A0030">
              <w:rPr>
                <w:lang w:eastAsia="en-AU"/>
              </w:rPr>
              <w:t xml:space="preserve"> </w:t>
            </w:r>
            <w:r w:rsidR="008B1123">
              <w:rPr>
                <w:lang w:eastAsia="en-AU"/>
              </w:rPr>
              <w:t xml:space="preserve">formal </w:t>
            </w:r>
            <w:r w:rsidR="006A0030">
              <w:rPr>
                <w:lang w:eastAsia="en-AU"/>
              </w:rPr>
              <w:t xml:space="preserve">strategic planning </w:t>
            </w:r>
            <w:r w:rsidR="008B1123">
              <w:rPr>
                <w:lang w:eastAsia="en-AU"/>
              </w:rPr>
              <w:t xml:space="preserve">or </w:t>
            </w:r>
            <w:r w:rsidR="005332B4">
              <w:rPr>
                <w:lang w:eastAsia="en-AU"/>
              </w:rPr>
              <w:t xml:space="preserve">comprehensive </w:t>
            </w:r>
            <w:r w:rsidR="006A0030">
              <w:rPr>
                <w:lang w:eastAsia="en-AU"/>
              </w:rPr>
              <w:t>monitoring</w:t>
            </w:r>
            <w:r w:rsidRPr="00043BA7">
              <w:rPr>
                <w:lang w:eastAsia="en-AU"/>
              </w:rPr>
              <w:t>.</w:t>
            </w:r>
          </w:p>
        </w:tc>
      </w:tr>
      <w:tr w:rsidR="00180994" w14:paraId="02ADD86F" w14:textId="77777777" w:rsidTr="0092649D">
        <w:trPr>
          <w:cnfStyle w:val="000000100000" w:firstRow="0" w:lastRow="0" w:firstColumn="0" w:lastColumn="0" w:oddVBand="0" w:evenVBand="0" w:oddHBand="1" w:evenHBand="0" w:firstRowFirstColumn="0" w:firstRowLastColumn="0" w:lastRowFirstColumn="0" w:lastRowLastColumn="0"/>
        </w:trPr>
        <w:tc>
          <w:tcPr>
            <w:tcW w:w="2778" w:type="dxa"/>
          </w:tcPr>
          <w:p w14:paraId="690E6013" w14:textId="77777777" w:rsidR="00180994" w:rsidRDefault="00180994" w:rsidP="009C05F5">
            <w:pPr>
              <w:pStyle w:val="Tabletext"/>
              <w:rPr>
                <w:lang w:eastAsia="en-AU"/>
              </w:rPr>
            </w:pPr>
            <w:r>
              <w:rPr>
                <w:lang w:eastAsia="en-AU"/>
              </w:rPr>
              <w:t>Ad hoc</w:t>
            </w:r>
          </w:p>
        </w:tc>
        <w:tc>
          <w:tcPr>
            <w:tcW w:w="4110" w:type="dxa"/>
          </w:tcPr>
          <w:p w14:paraId="6788B5A8" w14:textId="3AFEF075" w:rsidR="00180994" w:rsidRDefault="00180994" w:rsidP="008B1123">
            <w:pPr>
              <w:pStyle w:val="Tabletext"/>
              <w:rPr>
                <w:lang w:eastAsia="en-AU"/>
              </w:rPr>
            </w:pPr>
            <w:r w:rsidRPr="00043BA7">
              <w:rPr>
                <w:lang w:eastAsia="en-AU"/>
              </w:rPr>
              <w:t>The firm has a reactive approach to management with</w:t>
            </w:r>
            <w:r w:rsidR="005332B4">
              <w:rPr>
                <w:lang w:eastAsia="en-AU"/>
              </w:rPr>
              <w:t xml:space="preserve"> limited strategic planning and</w:t>
            </w:r>
            <w:r w:rsidRPr="00043BA7">
              <w:rPr>
                <w:lang w:eastAsia="en-AU"/>
              </w:rPr>
              <w:t xml:space="preserve"> managerial practices occurring on ad hoc basis</w:t>
            </w:r>
            <w:r w:rsidR="006A0030">
              <w:rPr>
                <w:lang w:eastAsia="en-AU"/>
              </w:rPr>
              <w:t>.</w:t>
            </w:r>
          </w:p>
        </w:tc>
      </w:tr>
      <w:tr w:rsidR="00180994" w14:paraId="3166AEC5" w14:textId="77777777" w:rsidTr="0092649D">
        <w:trPr>
          <w:cnfStyle w:val="000000010000" w:firstRow="0" w:lastRow="0" w:firstColumn="0" w:lastColumn="0" w:oddVBand="0" w:evenVBand="0" w:oddHBand="0" w:evenHBand="1" w:firstRowFirstColumn="0" w:firstRowLastColumn="0" w:lastRowFirstColumn="0" w:lastRowLastColumn="0"/>
        </w:trPr>
        <w:tc>
          <w:tcPr>
            <w:tcW w:w="2778" w:type="dxa"/>
          </w:tcPr>
          <w:p w14:paraId="6254CB1A" w14:textId="77777777" w:rsidR="00180994" w:rsidRDefault="00180994" w:rsidP="009C05F5">
            <w:pPr>
              <w:pStyle w:val="Tabletext"/>
              <w:rPr>
                <w:lang w:eastAsia="en-AU"/>
              </w:rPr>
            </w:pPr>
            <w:r w:rsidRPr="00043BA7">
              <w:rPr>
                <w:lang w:eastAsia="en-AU"/>
              </w:rPr>
              <w:t>Low Engagement</w:t>
            </w:r>
          </w:p>
        </w:tc>
        <w:tc>
          <w:tcPr>
            <w:tcW w:w="4110" w:type="dxa"/>
          </w:tcPr>
          <w:p w14:paraId="6A0087CD" w14:textId="5ECF936B" w:rsidR="00180994" w:rsidRDefault="00180994" w:rsidP="00D63884">
            <w:pPr>
              <w:pStyle w:val="Tabletext"/>
              <w:rPr>
                <w:lang w:eastAsia="en-AU"/>
              </w:rPr>
            </w:pPr>
            <w:r w:rsidRPr="00043BA7">
              <w:rPr>
                <w:lang w:eastAsia="en-AU"/>
              </w:rPr>
              <w:t xml:space="preserve">The firm </w:t>
            </w:r>
            <w:r w:rsidR="00D63884">
              <w:rPr>
                <w:lang w:eastAsia="en-AU"/>
              </w:rPr>
              <w:t>does not undertake strategic planning</w:t>
            </w:r>
            <w:r w:rsidRPr="00043BA7">
              <w:rPr>
                <w:lang w:eastAsia="en-AU"/>
              </w:rPr>
              <w:t xml:space="preserve"> and does not monitor its performance.</w:t>
            </w:r>
          </w:p>
        </w:tc>
      </w:tr>
    </w:tbl>
    <w:p w14:paraId="2E508136" w14:textId="4E911BF9" w:rsidR="00180994" w:rsidRDefault="00180994" w:rsidP="0092649D">
      <w:pPr>
        <w:pStyle w:val="Source"/>
        <w:rPr>
          <w:lang w:eastAsia="en-AU"/>
        </w:rPr>
      </w:pPr>
    </w:p>
    <w:p w14:paraId="588B8B09" w14:textId="3E0F9FB6" w:rsidR="00180994" w:rsidRDefault="00EA47E3" w:rsidP="0092649D">
      <w:pPr>
        <w:pStyle w:val="BodyText"/>
      </w:pPr>
      <w:r>
        <w:t xml:space="preserve">The criteria associated with each </w:t>
      </w:r>
      <w:r w:rsidR="000811A3">
        <w:t>category</w:t>
      </w:r>
      <w:r>
        <w:t xml:space="preserve"> </w:t>
      </w:r>
      <w:r w:rsidR="00083C38">
        <w:t>are</w:t>
      </w:r>
      <w:r>
        <w:t xml:space="preserve"> presented in </w:t>
      </w:r>
      <w:r w:rsidR="008D2F8B">
        <w:t>F</w:t>
      </w:r>
      <w:r>
        <w:t xml:space="preserve">igure </w:t>
      </w:r>
      <w:r w:rsidR="00E40827">
        <w:t>4</w:t>
      </w:r>
      <w:r w:rsidR="00E732F1" w:rsidRPr="000618FB">
        <w:t>.</w:t>
      </w:r>
      <w:r w:rsidR="00E600B7">
        <w:t>1</w:t>
      </w:r>
      <w:r>
        <w:t>. T</w:t>
      </w:r>
      <w:r w:rsidR="00180994">
        <w:t>he category representing the most active management behaviour</w:t>
      </w:r>
      <w:r w:rsidR="000811A3">
        <w:t>, Strategic Management,</w:t>
      </w:r>
      <w:r w:rsidR="00180994">
        <w:t xml:space="preserve"> includes firms that have a written strategic plan</w:t>
      </w:r>
      <w:r w:rsidR="00FF24F2">
        <w:t xml:space="preserve"> and</w:t>
      </w:r>
      <w:r w:rsidR="00180994">
        <w:t xml:space="preserve"> monitor more than one KPI across more than one topic. </w:t>
      </w:r>
    </w:p>
    <w:p w14:paraId="01903CED" w14:textId="53982FB4" w:rsidR="00EA47E3" w:rsidRDefault="00EA47E3" w:rsidP="0092649D">
      <w:pPr>
        <w:pStyle w:val="Caption"/>
      </w:pPr>
      <w:r>
        <w:lastRenderedPageBreak/>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1</w:t>
      </w:r>
      <w:r w:rsidRPr="000618FB">
        <w:fldChar w:fldCharType="end"/>
      </w:r>
      <w:r>
        <w:t>: Criteria for management categories</w:t>
      </w:r>
    </w:p>
    <w:tbl>
      <w:tblPr>
        <w:tblStyle w:val="OCETable"/>
        <w:tblW w:w="5000" w:type="pct"/>
        <w:tblInd w:w="-142" w:type="dxa"/>
        <w:tblLook w:val="04A0" w:firstRow="1" w:lastRow="0" w:firstColumn="1" w:lastColumn="0" w:noHBand="0" w:noVBand="1"/>
        <w:tblCaption w:val="This table contains Figure 4.1"/>
      </w:tblPr>
      <w:tblGrid>
        <w:gridCol w:w="7036"/>
      </w:tblGrid>
      <w:tr w:rsidR="00EA47E3" w14:paraId="54CFD326" w14:textId="77777777" w:rsidTr="00DE5F71">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auto"/>
          </w:tcPr>
          <w:p w14:paraId="157DF591" w14:textId="73A00852" w:rsidR="00EA47E3" w:rsidRDefault="00EA47E3" w:rsidP="009D42E6">
            <w:pPr>
              <w:pStyle w:val="PlaceholderWide"/>
            </w:pPr>
          </w:p>
          <w:p w14:paraId="6FD3CCCD" w14:textId="3646D417" w:rsidR="00EA47E3" w:rsidRDefault="009D6167" w:rsidP="00012B65">
            <w:pPr>
              <w:pStyle w:val="PlaceholderWide"/>
              <w:tabs>
                <w:tab w:val="left" w:pos="2084"/>
              </w:tabs>
              <w:jc w:val="both"/>
            </w:pPr>
            <w:r>
              <w:rPr>
                <w:noProof/>
                <w:lang w:eastAsia="en-AU"/>
              </w:rPr>
              <w:drawing>
                <wp:inline distT="0" distB="0" distL="0" distR="0" wp14:anchorId="52BEE081" wp14:editId="4BD8897C">
                  <wp:extent cx="4377690" cy="7140172"/>
                  <wp:effectExtent l="0" t="0" r="0" b="3810"/>
                  <wp:docPr id="19" name="Picture 19" descr="This figure presents the criteria used to classify firms. It shows that if a firm does not monitor any KPIs or reports “Zero or don’t know” for its number of KPI topics, it is classified as a Low Engagement firm. A firm is classified as Ad Hoc if it has no strategic plan but monitors at least one KPI or has an unwritten strategic plan and monitors one or two KPIs for one topic. A firm is classified as Narrow-Focus if it has an unwritten strategic plan and monitors more than two KPIs or has a written strategic plan and monitors at least one KPI. A firm has Strategic Management if it has a written strategic plan and monitors at least three KPIs across more than one topic. " title="Figure 4.1: Criteria for management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nagement Capability - Figure 4.1.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77690" cy="7140172"/>
                          </a:xfrm>
                          <a:prstGeom prst="rect">
                            <a:avLst/>
                          </a:prstGeom>
                        </pic:spPr>
                      </pic:pic>
                    </a:graphicData>
                  </a:graphic>
                </wp:inline>
              </w:drawing>
            </w:r>
          </w:p>
          <w:p w14:paraId="2B64CB16" w14:textId="77777777" w:rsidR="00EA47E3" w:rsidRDefault="00EA47E3" w:rsidP="009D42E6">
            <w:pPr>
              <w:pStyle w:val="PlaceholderWide"/>
            </w:pPr>
          </w:p>
        </w:tc>
      </w:tr>
      <w:tr w:rsidR="00EA47E3" w14:paraId="76382BE8" w14:textId="77777777" w:rsidTr="00DE5F71">
        <w:trPr>
          <w:cnfStyle w:val="100000000000" w:firstRow="1" w:lastRow="0" w:firstColumn="0" w:lastColumn="0" w:oddVBand="0" w:evenVBand="0" w:oddHBand="0" w:evenHBand="0" w:firstRowFirstColumn="0" w:firstRowLastColumn="0" w:lastRowFirstColumn="0" w:lastRowLastColumn="0"/>
          <w:tblHeader/>
        </w:trPr>
        <w:tc>
          <w:tcPr>
            <w:tcW w:w="5000" w:type="pct"/>
            <w:shd w:val="clear" w:color="auto" w:fill="auto"/>
          </w:tcPr>
          <w:p w14:paraId="43E42F92" w14:textId="77777777" w:rsidR="00EA47E3" w:rsidRDefault="00EA47E3" w:rsidP="009D42E6">
            <w:pPr>
              <w:pStyle w:val="PlaceholderWide"/>
              <w:rPr>
                <w:noProof/>
                <w:lang w:eastAsia="en-AU"/>
              </w:rPr>
            </w:pPr>
          </w:p>
          <w:p w14:paraId="2401DAEB" w14:textId="7E5E75A1" w:rsidR="00EA47E3" w:rsidRDefault="000811A3" w:rsidP="009D42E6">
            <w:pPr>
              <w:pStyle w:val="PlaceholderWide"/>
              <w:rPr>
                <w:noProof/>
                <w:lang w:eastAsia="en-AU"/>
              </w:rPr>
            </w:pPr>
            <w:r>
              <w:rPr>
                <w:noProof/>
                <w:lang w:eastAsia="en-AU"/>
              </w:rPr>
              <w:drawing>
                <wp:inline distT="0" distB="0" distL="0" distR="0" wp14:anchorId="08D3A2E5" wp14:editId="1EB65794">
                  <wp:extent cx="4187825" cy="186690"/>
                  <wp:effectExtent l="0" t="0" r="3175" b="3810"/>
                  <wp:docPr id="17" name="Picture 17" title="Figure 4.1 colour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4187825" cy="186690"/>
                          </a:xfrm>
                          <a:prstGeom prst="rect">
                            <a:avLst/>
                          </a:prstGeom>
                        </pic:spPr>
                      </pic:pic>
                    </a:graphicData>
                  </a:graphic>
                </wp:inline>
              </w:drawing>
            </w:r>
          </w:p>
        </w:tc>
      </w:tr>
    </w:tbl>
    <w:p w14:paraId="63F94882" w14:textId="77777777" w:rsidR="00EA47E3" w:rsidRDefault="00EA47E3" w:rsidP="0092649D">
      <w:pPr>
        <w:pStyle w:val="Source"/>
      </w:pPr>
    </w:p>
    <w:p w14:paraId="49318E52" w14:textId="77777777" w:rsidR="006C1528" w:rsidRDefault="006C1528" w:rsidP="0092649D">
      <w:pPr>
        <w:pStyle w:val="BodyText"/>
      </w:pPr>
    </w:p>
    <w:p w14:paraId="59F1B968" w14:textId="7923D2F1" w:rsidR="00AB0A60" w:rsidRDefault="00E732F1" w:rsidP="0092649D">
      <w:pPr>
        <w:pStyle w:val="BodyText"/>
      </w:pPr>
      <w:r>
        <w:lastRenderedPageBreak/>
        <w:t xml:space="preserve">While this appears a modest requirement, only 10 and 24 per cent of firms have written strategic plans and monitor more than two KPIs, respectively. </w:t>
      </w:r>
      <w:r w:rsidR="00AB0A60">
        <w:t xml:space="preserve">Only 6 per cent of </w:t>
      </w:r>
      <w:r w:rsidR="008D2F8B">
        <w:t>firms meet all three criteria (F</w:t>
      </w:r>
      <w:r w:rsidR="00AB0A60">
        <w:t>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00D32A54" w:rsidRPr="000618FB">
        <w:t>.</w:t>
      </w:r>
      <w:r w:rsidR="00E600B7">
        <w:t>2</w:t>
      </w:r>
      <w:r w:rsidR="00AB0A60">
        <w:t xml:space="preserve">). At the other end of the spectrum, firms in the bottom category, Low Engagement Management, do not track any KPIs and do not have a written or unwritten strategic plan.  A surprisingly large share of Australian firms — 58 per cent — fit within this category. Our </w:t>
      </w:r>
      <w:r w:rsidR="00AB0A60" w:rsidRPr="000811A3">
        <w:t>Narrow-Focus</w:t>
      </w:r>
      <w:r w:rsidR="00E40827">
        <w:t xml:space="preserve"> and</w:t>
      </w:r>
      <w:r w:rsidR="00AB0A60">
        <w:t xml:space="preserve"> </w:t>
      </w:r>
      <w:r w:rsidR="00AB0A60" w:rsidRPr="000811A3">
        <w:t>Ad hoc</w:t>
      </w:r>
      <w:r w:rsidR="00AB0A60">
        <w:t xml:space="preserve"> categories include 23 and 12 per cent of firms, respectively. Supporting the notion that these levels of management reflect firms’ general engagement with management practices, we demonstrate </w:t>
      </w:r>
      <w:r w:rsidR="00FF24F2">
        <w:t xml:space="preserve">below </w:t>
      </w:r>
      <w:r w:rsidR="00E40827">
        <w:t>a</w:t>
      </w:r>
      <w:r w:rsidR="00FF24F2">
        <w:t xml:space="preserve"> </w:t>
      </w:r>
      <w:r w:rsidR="00AB0A60">
        <w:t xml:space="preserve">strong relationship between our categories, other structured management practices and a data-driven score of active management. </w:t>
      </w:r>
    </w:p>
    <w:p w14:paraId="33727C38" w14:textId="344E285B" w:rsidR="00EA47E3" w:rsidRDefault="00EA47E3" w:rsidP="0092649D">
      <w:pPr>
        <w:pStyle w:val="Caption"/>
      </w:pPr>
      <w:r>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2</w:t>
      </w:r>
      <w:r w:rsidRPr="000618FB">
        <w:fldChar w:fldCharType="end"/>
      </w:r>
      <w:r>
        <w:t>: Distributions of the management capability taxonomy</w:t>
      </w:r>
    </w:p>
    <w:tbl>
      <w:tblPr>
        <w:tblStyle w:val="OCETable"/>
        <w:tblW w:w="4940" w:type="pct"/>
        <w:tblLayout w:type="fixed"/>
        <w:tblLook w:val="04A0" w:firstRow="1" w:lastRow="0" w:firstColumn="1" w:lastColumn="0" w:noHBand="0" w:noVBand="1"/>
        <w:tblCaption w:val="This table contains figure 4.2"/>
      </w:tblPr>
      <w:tblGrid>
        <w:gridCol w:w="6811"/>
      </w:tblGrid>
      <w:tr w:rsidR="00EA47E3" w14:paraId="0310910F" w14:textId="77777777" w:rsidTr="00581B20">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4A142D09" w14:textId="77777777" w:rsidR="00EA47E3" w:rsidRDefault="00EA47E3" w:rsidP="00F723DD">
            <w:pPr>
              <w:pStyle w:val="PlaceholderWide"/>
              <w:ind w:left="-250"/>
            </w:pPr>
            <w:r>
              <w:rPr>
                <w:noProof/>
                <w:lang w:eastAsia="en-AU"/>
              </w:rPr>
              <w:drawing>
                <wp:inline distT="0" distB="0" distL="0" distR="0" wp14:anchorId="77B69C88" wp14:editId="31C3E9B4">
                  <wp:extent cx="4347713" cy="2553419"/>
                  <wp:effectExtent l="0" t="0" r="0" b="0"/>
                  <wp:docPr id="21" name="Chart 21" descr="This figure is a column chart showing the number of firms in each of the strategic management classifications. It shows that around 58 per cent of firms have Low Engagement management, 23 per cent have Ad Hoc management, 13 per cent have Narrow-Focus management and 6  per cent have Strategic Management. " title="Figure 4.2: Distributions of the management capability taxonomy"/>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2D99974F" w14:textId="5B593D2B" w:rsidR="00EA47E3" w:rsidRPr="00C62F3A" w:rsidRDefault="00EA47E3" w:rsidP="0092649D">
      <w:pPr>
        <w:pStyle w:val="Note"/>
      </w:pPr>
      <w:r>
        <w:t>Notes: Weights have been applied to provide nationally representative estimates.</w:t>
      </w:r>
    </w:p>
    <w:p w14:paraId="784E87A4" w14:textId="7B3EE9B6" w:rsidR="00EA47E3" w:rsidRDefault="00EA47E3" w:rsidP="0092649D">
      <w:pPr>
        <w:pStyle w:val="Source"/>
      </w:pPr>
      <w:r>
        <w:t xml:space="preserve">Source: </w:t>
      </w:r>
      <w:r w:rsidR="002D60F4" w:rsidRPr="002D60F4">
        <w:t>ABS Management and Organisational Capabilities of Australian Business Microdata, 2015-16 Cat. No. 8172.0.55.001</w:t>
      </w:r>
    </w:p>
    <w:p w14:paraId="1CE316CA" w14:textId="70D452FE" w:rsidR="009C0978" w:rsidRDefault="00C66048" w:rsidP="00F723DD">
      <w:pPr>
        <w:pStyle w:val="Heading2"/>
        <w:ind w:left="0" w:firstLine="0"/>
      </w:pPr>
      <w:r>
        <w:t>The strategic management classification and other facets of management</w:t>
      </w:r>
    </w:p>
    <w:p w14:paraId="18022266" w14:textId="77777777" w:rsidR="00465C36" w:rsidRDefault="00120C40" w:rsidP="0092649D">
      <w:pPr>
        <w:pStyle w:val="BodyText"/>
      </w:pPr>
      <w:r>
        <w:t xml:space="preserve">The development of the criteria presented above was based on </w:t>
      </w:r>
      <w:r w:rsidRPr="009B2EEE">
        <w:rPr>
          <w:i/>
        </w:rPr>
        <w:t>a priori</w:t>
      </w:r>
      <w:r>
        <w:t xml:space="preserve"> judgement</w:t>
      </w:r>
      <w:r w:rsidR="00132756">
        <w:t>s</w:t>
      </w:r>
      <w:r>
        <w:t xml:space="preserve"> </w:t>
      </w:r>
      <w:r w:rsidR="00A2132A">
        <w:t>of</w:t>
      </w:r>
      <w:r>
        <w:t xml:space="preserve"> the importance of several strategic management behaviours. </w:t>
      </w:r>
      <w:r w:rsidR="00132756">
        <w:t xml:space="preserve">One test of this criteria’s validity is whether our levels of strategic management are associated with other </w:t>
      </w:r>
      <w:r w:rsidR="008E74F5">
        <w:t xml:space="preserve">strategic </w:t>
      </w:r>
      <w:r w:rsidR="00132756">
        <w:t>management</w:t>
      </w:r>
      <w:r w:rsidR="00A2132A">
        <w:t xml:space="preserve"> behaviours</w:t>
      </w:r>
      <w:r w:rsidR="008E74F5">
        <w:t xml:space="preserve">. </w:t>
      </w:r>
    </w:p>
    <w:p w14:paraId="12592B23" w14:textId="7C87EC86" w:rsidR="00E335DE" w:rsidRDefault="00465C36" w:rsidP="0092649D">
      <w:pPr>
        <w:pStyle w:val="BodyText"/>
      </w:pPr>
      <w:r>
        <w:t>W</w:t>
      </w:r>
      <w:r w:rsidR="00E335DE">
        <w:t xml:space="preserve">e find strong relationships between </w:t>
      </w:r>
      <w:r w:rsidR="008E74F5">
        <w:t xml:space="preserve">our levels </w:t>
      </w:r>
      <w:r w:rsidR="00F409B7">
        <w:t>of</w:t>
      </w:r>
      <w:r w:rsidR="008E74F5">
        <w:t xml:space="preserve"> strategic management and the number of contributors to strategic plan</w:t>
      </w:r>
      <w:r w:rsidR="00A2132A">
        <w:t>s</w:t>
      </w:r>
      <w:r w:rsidR="008E74F5">
        <w:t>, number of employees listed as having responsibility for strategic plan implementation and the number of areas covered in the strategic plan</w:t>
      </w:r>
      <w:r>
        <w:t>, among other management practices</w:t>
      </w:r>
      <w:r w:rsidR="008E74F5">
        <w:t xml:space="preserve"> </w:t>
      </w:r>
      <w:r w:rsidR="008D2F8B">
        <w:t>(T</w:t>
      </w:r>
      <w:r w:rsidR="00F70B98">
        <w:t>able</w:t>
      </w:r>
      <w:r w:rsidR="00644D7A">
        <w:t>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00D32A54" w:rsidRPr="000618FB">
        <w:t>.</w:t>
      </w:r>
      <w:r w:rsidR="009A1863">
        <w:t>3</w:t>
      </w:r>
      <w:r w:rsidR="0053289C">
        <w:t>)</w:t>
      </w:r>
      <w:r w:rsidR="00644D7A">
        <w:t>.</w:t>
      </w:r>
      <w:r w:rsidR="008E74F5">
        <w:t xml:space="preserve"> Moreover, the more closely </w:t>
      </w:r>
      <w:r>
        <w:t>the</w:t>
      </w:r>
      <w:r w:rsidR="008E74F5">
        <w:t xml:space="preserve"> behaviour </w:t>
      </w:r>
      <w:r w:rsidR="00A2132A">
        <w:t xml:space="preserve">in Table 4.3 </w:t>
      </w:r>
      <w:r w:rsidR="008E74F5">
        <w:t xml:space="preserve">is associated with strategic planning, </w:t>
      </w:r>
      <w:r w:rsidR="00A2132A">
        <w:t>the</w:t>
      </w:r>
      <w:r w:rsidR="008E74F5">
        <w:t xml:space="preserve"> stronger its association with our levels of strategic management capability. </w:t>
      </w:r>
    </w:p>
    <w:p w14:paraId="328EAF5E" w14:textId="4083ADE5" w:rsidR="00E378BF" w:rsidRDefault="00E378BF" w:rsidP="0092649D">
      <w:pPr>
        <w:pStyle w:val="Caption"/>
      </w:pPr>
      <w:r w:rsidRPr="000618FB">
        <w:lastRenderedPageBreak/>
        <w:t xml:space="preserve">Table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2</w:t>
      </w:r>
      <w:r w:rsidR="00C5233C">
        <w:rPr>
          <w:noProof/>
        </w:rPr>
        <w:fldChar w:fldCharType="end"/>
      </w:r>
      <w:r w:rsidRPr="000618FB">
        <w:t xml:space="preserve">: </w:t>
      </w:r>
      <w:r>
        <w:t xml:space="preserve">Correlations between </w:t>
      </w:r>
      <w:r w:rsidR="002C062E">
        <w:t>s</w:t>
      </w:r>
      <w:r>
        <w:t xml:space="preserve">trategic management categories </w:t>
      </w:r>
    </w:p>
    <w:tbl>
      <w:tblPr>
        <w:tblStyle w:val="OCETable"/>
        <w:tblW w:w="5000" w:type="pct"/>
        <w:tblInd w:w="-51" w:type="dxa"/>
        <w:tblLayout w:type="fixed"/>
        <w:tblLook w:val="04A0" w:firstRow="1" w:lastRow="0" w:firstColumn="1" w:lastColumn="0" w:noHBand="0" w:noVBand="1"/>
        <w:tblCaption w:val="Table 4.2 lists managment practices and correlation coefficient"/>
      </w:tblPr>
      <w:tblGrid>
        <w:gridCol w:w="5613"/>
        <w:gridCol w:w="1281"/>
      </w:tblGrid>
      <w:tr w:rsidR="00E378BF" w14:paraId="0AA1A776" w14:textId="77777777" w:rsidTr="001E7444">
        <w:trPr>
          <w:cnfStyle w:val="100000000000" w:firstRow="1" w:lastRow="0" w:firstColumn="0" w:lastColumn="0" w:oddVBand="0" w:evenVBand="0" w:oddHBand="0" w:evenHBand="0" w:firstRowFirstColumn="0" w:firstRowLastColumn="0" w:lastRowFirstColumn="0" w:lastRowLastColumn="0"/>
          <w:tblHeader/>
        </w:trPr>
        <w:tc>
          <w:tcPr>
            <w:tcW w:w="5613" w:type="dxa"/>
          </w:tcPr>
          <w:p w14:paraId="31856742" w14:textId="1FD914B7" w:rsidR="00E378BF" w:rsidRDefault="009E6C31" w:rsidP="00E378BF">
            <w:pPr>
              <w:pStyle w:val="Tableheadertext"/>
            </w:pPr>
            <w:r>
              <w:t xml:space="preserve">Management practices </w:t>
            </w:r>
          </w:p>
        </w:tc>
        <w:tc>
          <w:tcPr>
            <w:tcW w:w="1281" w:type="dxa"/>
          </w:tcPr>
          <w:p w14:paraId="65D72B36" w14:textId="5119D246" w:rsidR="00E378BF" w:rsidRDefault="0053289C" w:rsidP="00F732E9">
            <w:pPr>
              <w:pStyle w:val="Tableheadertext"/>
            </w:pPr>
            <w:r>
              <w:t>C</w:t>
            </w:r>
            <w:r w:rsidR="00F732E9">
              <w:t>orrelation coefficient</w:t>
            </w:r>
          </w:p>
        </w:tc>
      </w:tr>
      <w:tr w:rsidR="00E378BF" w14:paraId="4523A422" w14:textId="77777777" w:rsidTr="0092649D">
        <w:trPr>
          <w:cnfStyle w:val="000000100000" w:firstRow="0" w:lastRow="0" w:firstColumn="0" w:lastColumn="0" w:oddVBand="0" w:evenVBand="0" w:oddHBand="1" w:evenHBand="0" w:firstRowFirstColumn="0" w:firstRowLastColumn="0" w:lastRowFirstColumn="0" w:lastRowLastColumn="0"/>
        </w:trPr>
        <w:tc>
          <w:tcPr>
            <w:tcW w:w="5613" w:type="dxa"/>
          </w:tcPr>
          <w:p w14:paraId="76A22278" w14:textId="20B2E4C8" w:rsidR="00E378BF" w:rsidRDefault="00F732E9" w:rsidP="00E378BF">
            <w:pPr>
              <w:pStyle w:val="Tablebodytext"/>
            </w:pPr>
            <w:r w:rsidRPr="00F732E9">
              <w:t>Number of contributors to strategic plan</w:t>
            </w:r>
          </w:p>
        </w:tc>
        <w:tc>
          <w:tcPr>
            <w:tcW w:w="1281" w:type="dxa"/>
          </w:tcPr>
          <w:p w14:paraId="4511562C" w14:textId="70F1E04E" w:rsidR="00E378BF" w:rsidRDefault="00F732E9" w:rsidP="0078250F">
            <w:pPr>
              <w:pStyle w:val="Tablebodytext"/>
              <w:ind w:right="72"/>
              <w:jc w:val="right"/>
            </w:pPr>
            <w:r w:rsidRPr="00F732E9">
              <w:t>0.74</w:t>
            </w:r>
          </w:p>
        </w:tc>
      </w:tr>
      <w:tr w:rsidR="00E378BF" w14:paraId="5DA4A317" w14:textId="77777777" w:rsidTr="0092649D">
        <w:trPr>
          <w:cnfStyle w:val="000000010000" w:firstRow="0" w:lastRow="0" w:firstColumn="0" w:lastColumn="0" w:oddVBand="0" w:evenVBand="0" w:oddHBand="0" w:evenHBand="1" w:firstRowFirstColumn="0" w:firstRowLastColumn="0" w:lastRowFirstColumn="0" w:lastRowLastColumn="0"/>
        </w:trPr>
        <w:tc>
          <w:tcPr>
            <w:tcW w:w="5613" w:type="dxa"/>
          </w:tcPr>
          <w:p w14:paraId="035C9781" w14:textId="74BCC446" w:rsidR="00E378BF" w:rsidRDefault="00F732E9" w:rsidP="00E378BF">
            <w:pPr>
              <w:pStyle w:val="Tablebodytext"/>
            </w:pPr>
            <w:r w:rsidRPr="00F732E9">
              <w:t xml:space="preserve">Number of employees listed as having responsibility for </w:t>
            </w:r>
            <w:r>
              <w:t xml:space="preserve">strategic plan </w:t>
            </w:r>
            <w:r w:rsidRPr="00F732E9">
              <w:t>implementation</w:t>
            </w:r>
          </w:p>
        </w:tc>
        <w:tc>
          <w:tcPr>
            <w:tcW w:w="1281" w:type="dxa"/>
          </w:tcPr>
          <w:p w14:paraId="122CD99A" w14:textId="59CD5B9A" w:rsidR="00E378BF" w:rsidRDefault="00F732E9" w:rsidP="0078250F">
            <w:pPr>
              <w:pStyle w:val="Tablebodytext"/>
              <w:ind w:right="72"/>
              <w:jc w:val="right"/>
            </w:pPr>
            <w:r w:rsidRPr="00F732E9">
              <w:t>0.73</w:t>
            </w:r>
          </w:p>
        </w:tc>
      </w:tr>
      <w:tr w:rsidR="00E378BF" w14:paraId="67248BC1" w14:textId="77777777" w:rsidTr="0092649D">
        <w:trPr>
          <w:cnfStyle w:val="000000100000" w:firstRow="0" w:lastRow="0" w:firstColumn="0" w:lastColumn="0" w:oddVBand="0" w:evenVBand="0" w:oddHBand="1" w:evenHBand="0" w:firstRowFirstColumn="0" w:firstRowLastColumn="0" w:lastRowFirstColumn="0" w:lastRowLastColumn="0"/>
        </w:trPr>
        <w:tc>
          <w:tcPr>
            <w:tcW w:w="5613" w:type="dxa"/>
          </w:tcPr>
          <w:p w14:paraId="10118166" w14:textId="552A15EC" w:rsidR="00E378BF" w:rsidRDefault="00F732E9" w:rsidP="00E378BF">
            <w:pPr>
              <w:pStyle w:val="Tablebodytext"/>
            </w:pPr>
            <w:r w:rsidRPr="00F732E9">
              <w:t>Number of areas covered in the strategic plan</w:t>
            </w:r>
          </w:p>
        </w:tc>
        <w:tc>
          <w:tcPr>
            <w:tcW w:w="1281" w:type="dxa"/>
          </w:tcPr>
          <w:p w14:paraId="0A9DE9F1" w14:textId="4BBA5D56" w:rsidR="00E378BF" w:rsidRDefault="00F732E9" w:rsidP="0078250F">
            <w:pPr>
              <w:pStyle w:val="Tablebodytext"/>
              <w:ind w:right="72"/>
              <w:jc w:val="right"/>
            </w:pPr>
            <w:r w:rsidRPr="00F732E9">
              <w:t>0.73</w:t>
            </w:r>
          </w:p>
        </w:tc>
      </w:tr>
      <w:tr w:rsidR="00E378BF" w14:paraId="75D6F156" w14:textId="77777777" w:rsidTr="0092649D">
        <w:trPr>
          <w:cnfStyle w:val="000000010000" w:firstRow="0" w:lastRow="0" w:firstColumn="0" w:lastColumn="0" w:oddVBand="0" w:evenVBand="0" w:oddHBand="0" w:evenHBand="1" w:firstRowFirstColumn="0" w:firstRowLastColumn="0" w:lastRowFirstColumn="0" w:lastRowLastColumn="0"/>
        </w:trPr>
        <w:tc>
          <w:tcPr>
            <w:tcW w:w="5613" w:type="dxa"/>
          </w:tcPr>
          <w:p w14:paraId="12E2AD54" w14:textId="07C3403E" w:rsidR="00E378BF" w:rsidRDefault="00F732E9" w:rsidP="00E378BF">
            <w:pPr>
              <w:pStyle w:val="Tablebodytext"/>
            </w:pPr>
            <w:r w:rsidRPr="00F732E9">
              <w:t>Number of information sources accessed for management practices</w:t>
            </w:r>
          </w:p>
        </w:tc>
        <w:tc>
          <w:tcPr>
            <w:tcW w:w="1281" w:type="dxa"/>
          </w:tcPr>
          <w:p w14:paraId="1D202923" w14:textId="17904615" w:rsidR="00E378BF" w:rsidRDefault="00F732E9" w:rsidP="0078250F">
            <w:pPr>
              <w:pStyle w:val="Tablebodytext"/>
              <w:ind w:right="72"/>
              <w:jc w:val="right"/>
            </w:pPr>
            <w:r w:rsidRPr="00F732E9">
              <w:t>0.61</w:t>
            </w:r>
          </w:p>
        </w:tc>
      </w:tr>
      <w:tr w:rsidR="00E378BF" w14:paraId="23ECEE32" w14:textId="77777777" w:rsidTr="0092649D">
        <w:trPr>
          <w:cnfStyle w:val="000000100000" w:firstRow="0" w:lastRow="0" w:firstColumn="0" w:lastColumn="0" w:oddVBand="0" w:evenVBand="0" w:oddHBand="1" w:evenHBand="0" w:firstRowFirstColumn="0" w:firstRowLastColumn="0" w:lastRowFirstColumn="0" w:lastRowLastColumn="0"/>
        </w:trPr>
        <w:tc>
          <w:tcPr>
            <w:tcW w:w="5613" w:type="dxa"/>
          </w:tcPr>
          <w:p w14:paraId="51F57756" w14:textId="0407D50B" w:rsidR="00E378BF" w:rsidRDefault="0053289C" w:rsidP="0053289C">
            <w:pPr>
              <w:pStyle w:val="Tablebodytext"/>
            </w:pPr>
            <w:r>
              <w:t>Use of KPIs</w:t>
            </w:r>
            <w:r w:rsidR="00F732E9" w:rsidRPr="00F732E9">
              <w:t xml:space="preserve"> for promoting non-managers</w:t>
            </w:r>
          </w:p>
        </w:tc>
        <w:tc>
          <w:tcPr>
            <w:tcW w:w="1281" w:type="dxa"/>
          </w:tcPr>
          <w:p w14:paraId="50F00B43" w14:textId="084FFA52" w:rsidR="00E378BF" w:rsidRDefault="00F732E9" w:rsidP="0078250F">
            <w:pPr>
              <w:pStyle w:val="Tablebodytext"/>
              <w:ind w:right="72"/>
              <w:jc w:val="right"/>
            </w:pPr>
            <w:r w:rsidRPr="00F732E9">
              <w:t>0.56</w:t>
            </w:r>
          </w:p>
        </w:tc>
      </w:tr>
      <w:tr w:rsidR="0053289C" w14:paraId="6705A94E" w14:textId="77777777" w:rsidTr="0092649D">
        <w:trPr>
          <w:cnfStyle w:val="000000010000" w:firstRow="0" w:lastRow="0" w:firstColumn="0" w:lastColumn="0" w:oddVBand="0" w:evenVBand="0" w:oddHBand="0" w:evenHBand="1" w:firstRowFirstColumn="0" w:firstRowLastColumn="0" w:lastRowFirstColumn="0" w:lastRowLastColumn="0"/>
        </w:trPr>
        <w:tc>
          <w:tcPr>
            <w:tcW w:w="5613" w:type="dxa"/>
          </w:tcPr>
          <w:p w14:paraId="537ABA5F" w14:textId="1A5F8863" w:rsidR="0053289C" w:rsidRDefault="0053289C" w:rsidP="0053289C">
            <w:pPr>
              <w:pStyle w:val="Tablebodytext"/>
            </w:pPr>
            <w:r>
              <w:t>Use of KPIs</w:t>
            </w:r>
            <w:r w:rsidRPr="00F732E9">
              <w:t xml:space="preserve"> for promoting managers</w:t>
            </w:r>
          </w:p>
        </w:tc>
        <w:tc>
          <w:tcPr>
            <w:tcW w:w="1281" w:type="dxa"/>
          </w:tcPr>
          <w:p w14:paraId="264CAFEC" w14:textId="58879E09" w:rsidR="0053289C" w:rsidRDefault="0053289C" w:rsidP="0078250F">
            <w:pPr>
              <w:pStyle w:val="Tablebodytext"/>
              <w:ind w:right="72"/>
              <w:jc w:val="right"/>
            </w:pPr>
            <w:r w:rsidRPr="00F732E9">
              <w:t>0.55</w:t>
            </w:r>
          </w:p>
        </w:tc>
      </w:tr>
    </w:tbl>
    <w:p w14:paraId="44727D5D" w14:textId="47566EC7" w:rsidR="00E335DE" w:rsidRDefault="00E378BF" w:rsidP="0092649D">
      <w:pPr>
        <w:pStyle w:val="Note"/>
      </w:pPr>
      <w:r>
        <w:t>Notes:</w:t>
      </w:r>
      <w:r w:rsidR="0053289C" w:rsidRPr="0053289C">
        <w:t xml:space="preserve"> </w:t>
      </w:r>
      <w:r w:rsidR="0053289C">
        <w:t>Correlation coefficients reported in the table are Spearman rank correlation coefficients.</w:t>
      </w:r>
    </w:p>
    <w:p w14:paraId="169C4390" w14:textId="5B8AF00A" w:rsidR="00E378BF" w:rsidRDefault="00E378BF" w:rsidP="0092649D">
      <w:pPr>
        <w:pStyle w:val="Source"/>
      </w:pPr>
      <w:r>
        <w:t xml:space="preserve">Source: </w:t>
      </w:r>
      <w:r w:rsidR="00F518FB">
        <w:t>OCE estimates based on Business Longitudinal Analysis Data Environment (2018)</w:t>
      </w:r>
    </w:p>
    <w:p w14:paraId="648A72DD" w14:textId="661F2388" w:rsidR="00F47376" w:rsidRDefault="00E732F1" w:rsidP="0092649D">
      <w:pPr>
        <w:pStyle w:val="BodyText"/>
      </w:pPr>
      <w:r>
        <w:t>Our</w:t>
      </w:r>
      <w:r w:rsidR="00E335DE">
        <w:t xml:space="preserve"> </w:t>
      </w:r>
      <w:r>
        <w:t xml:space="preserve">levels </w:t>
      </w:r>
      <w:r w:rsidR="00E335DE">
        <w:t>of strategic management</w:t>
      </w:r>
      <w:r w:rsidR="00FE3F4E">
        <w:t xml:space="preserve"> also</w:t>
      </w:r>
      <w:r w:rsidR="00E335DE">
        <w:t xml:space="preserve"> </w:t>
      </w:r>
      <w:r w:rsidR="00F62752">
        <w:t xml:space="preserve">have a </w:t>
      </w:r>
      <w:r w:rsidR="00FE3F4E">
        <w:t>strong</w:t>
      </w:r>
      <w:r w:rsidR="00F62752">
        <w:t xml:space="preserve"> relationship</w:t>
      </w:r>
      <w:r w:rsidR="00E335DE">
        <w:t xml:space="preserve"> with </w:t>
      </w:r>
      <w:r w:rsidR="00A0522A">
        <w:t>a</w:t>
      </w:r>
      <w:r w:rsidR="00E335DE">
        <w:t xml:space="preserve"> </w:t>
      </w:r>
      <w:r w:rsidR="00F75129">
        <w:t xml:space="preserve">separately constructed summary </w:t>
      </w:r>
      <w:r w:rsidR="00E335DE">
        <w:t xml:space="preserve">measure of </w:t>
      </w:r>
      <w:r w:rsidR="0053289C">
        <w:t>management</w:t>
      </w:r>
      <w:r w:rsidR="00F75129">
        <w:t xml:space="preserve"> practices</w:t>
      </w:r>
      <w:r w:rsidR="00FE34E6">
        <w:t xml:space="preserve"> developed </w:t>
      </w:r>
      <w:r w:rsidR="00A2132A">
        <w:t>using</w:t>
      </w:r>
      <w:r w:rsidR="00FE34E6">
        <w:t xml:space="preserve"> a data-driven approach</w:t>
      </w:r>
      <w:r w:rsidR="00F62752">
        <w:t>.</w:t>
      </w:r>
      <w:r w:rsidR="00E335DE">
        <w:t xml:space="preserve"> </w:t>
      </w:r>
      <w:r w:rsidR="00936B96">
        <w:t xml:space="preserve">Specifically, we use </w:t>
      </w:r>
      <w:r w:rsidR="0048705D">
        <w:t>multiple correspondence analysis</w:t>
      </w:r>
      <w:r w:rsidR="00CD1D49">
        <w:t xml:space="preserve"> (MCA</w:t>
      </w:r>
      <w:r w:rsidR="00265A53">
        <w:t>)</w:t>
      </w:r>
      <w:r>
        <w:t xml:space="preserve"> — </w:t>
      </w:r>
      <w:r w:rsidR="0048705D">
        <w:t xml:space="preserve">an analogue </w:t>
      </w:r>
      <w:r w:rsidR="00CD1D49">
        <w:t>to</w:t>
      </w:r>
      <w:r w:rsidR="0048705D">
        <w:t xml:space="preserve"> principle component analysis</w:t>
      </w:r>
      <w:r w:rsidR="00265A53">
        <w:t xml:space="preserve"> —</w:t>
      </w:r>
      <w:r w:rsidR="00936B96">
        <w:t xml:space="preserve"> to</w:t>
      </w:r>
      <w:r w:rsidR="00167253">
        <w:t xml:space="preserve"> </w:t>
      </w:r>
      <w:r w:rsidR="00936B96" w:rsidRPr="00936B96">
        <w:t xml:space="preserve">detect and represent underlying structures </w:t>
      </w:r>
      <w:r w:rsidR="00936B96">
        <w:t>in MCM data on management practices.</w:t>
      </w:r>
      <w:r w:rsidR="003E72DE">
        <w:t xml:space="preserve"> MCA reduces</w:t>
      </w:r>
      <w:r w:rsidR="002F6C30">
        <w:t xml:space="preserve"> datasets with large numbers of categorical variables to a </w:t>
      </w:r>
      <w:r w:rsidR="00374FDA">
        <w:t>smaller</w:t>
      </w:r>
      <w:r w:rsidR="002F6C30">
        <w:t xml:space="preserve"> number of dimensions. These dimensions are constructed</w:t>
      </w:r>
      <w:r w:rsidR="005324B4">
        <w:t xml:space="preserve"> as combinations of correlated variables, </w:t>
      </w:r>
      <w:r w:rsidR="002F6C30">
        <w:t xml:space="preserve">independent of one another and explain the largest amount of variance possible. </w:t>
      </w:r>
      <w:r w:rsidR="00936B96">
        <w:t>The first dime</w:t>
      </w:r>
      <w:r w:rsidR="00977843">
        <w:t>nsion</w:t>
      </w:r>
      <w:r w:rsidR="00936B96">
        <w:t xml:space="preserve"> of MCA analysis </w:t>
      </w:r>
      <w:r w:rsidR="00977843">
        <w:t>captures the most variation</w:t>
      </w:r>
      <w:r w:rsidR="002F6C30">
        <w:t xml:space="preserve">. </w:t>
      </w:r>
    </w:p>
    <w:p w14:paraId="327DA0A1" w14:textId="502D1625" w:rsidR="00A2132A" w:rsidRDefault="00FE34E6" w:rsidP="0092649D">
      <w:pPr>
        <w:pStyle w:val="BodyText"/>
      </w:pPr>
      <w:r>
        <w:t xml:space="preserve">Our </w:t>
      </w:r>
      <w:r w:rsidR="00A2132A">
        <w:t>MCA</w:t>
      </w:r>
      <w:r>
        <w:t xml:space="preserve"> analysis used a wide array of variables</w:t>
      </w:r>
      <w:r w:rsidR="00F47376">
        <w:t>, including those</w:t>
      </w:r>
      <w:r>
        <w:t xml:space="preserve"> relating to: use of data;</w:t>
      </w:r>
      <w:r w:rsidR="00F47376">
        <w:t xml:space="preserve"> search for management practice information; promotion practices; environmental management practices and the variables used to construct our levels of strategic management capability (see </w:t>
      </w:r>
      <w:r w:rsidR="00465C36">
        <w:t>Table</w:t>
      </w:r>
      <w:r w:rsidR="00F47376">
        <w:t xml:space="preserve"> </w:t>
      </w:r>
      <w:r w:rsidR="00644285">
        <w:t>E</w:t>
      </w:r>
      <w:r w:rsidR="00465C36">
        <w:t>.2</w:t>
      </w:r>
      <w:r w:rsidR="00F47376">
        <w:t xml:space="preserve"> for a complete list of variables used</w:t>
      </w:r>
      <w:r w:rsidR="00A2132A">
        <w:t>)</w:t>
      </w:r>
      <w:r w:rsidR="00F47376">
        <w:t xml:space="preserve">. The first </w:t>
      </w:r>
      <w:r w:rsidR="002F6C30">
        <w:t>dimension</w:t>
      </w:r>
      <w:r w:rsidR="00F47376">
        <w:t xml:space="preserve"> produced </w:t>
      </w:r>
      <w:r w:rsidR="00801DC6">
        <w:t>by</w:t>
      </w:r>
      <w:r w:rsidR="00F47376">
        <w:t xml:space="preserve"> our </w:t>
      </w:r>
      <w:r w:rsidR="00A2132A">
        <w:t xml:space="preserve">MCA </w:t>
      </w:r>
      <w:r w:rsidR="00F47376">
        <w:t>analysis</w:t>
      </w:r>
      <w:r w:rsidR="002F6C30">
        <w:t xml:space="preserve"> </w:t>
      </w:r>
      <w:r w:rsidR="00465C36">
        <w:t xml:space="preserve">has loadings from </w:t>
      </w:r>
      <w:r w:rsidR="006C1528">
        <w:t>a wide range</w:t>
      </w:r>
      <w:r w:rsidR="00465C36">
        <w:t xml:space="preserve"> </w:t>
      </w:r>
      <w:r w:rsidR="00801DC6">
        <w:t>variables</w:t>
      </w:r>
      <w:r w:rsidR="00465C36">
        <w:t xml:space="preserve"> used</w:t>
      </w:r>
      <w:r w:rsidR="00801DC6">
        <w:t xml:space="preserve"> and </w:t>
      </w:r>
      <w:r w:rsidR="00977843">
        <w:t xml:space="preserve">appears to </w:t>
      </w:r>
      <w:r w:rsidR="00801DC6">
        <w:t xml:space="preserve">broadly represent active </w:t>
      </w:r>
      <w:r w:rsidR="00977843">
        <w:t>management</w:t>
      </w:r>
      <w:r w:rsidR="00A2132A">
        <w:t xml:space="preserve">, with </w:t>
      </w:r>
      <w:r w:rsidR="00801DC6">
        <w:t>firms that score higher in this dimension engaging in a larger number of</w:t>
      </w:r>
      <w:r w:rsidR="00A2132A">
        <w:t xml:space="preserve"> active management </w:t>
      </w:r>
      <w:r w:rsidR="00801DC6">
        <w:t>practices.</w:t>
      </w:r>
      <w:r w:rsidR="005324B4">
        <w:t xml:space="preserve"> </w:t>
      </w:r>
    </w:p>
    <w:p w14:paraId="6D88CBCD" w14:textId="03D913BA" w:rsidR="00F47376" w:rsidRDefault="00CD1D49" w:rsidP="0092649D">
      <w:pPr>
        <w:pStyle w:val="BodyText"/>
      </w:pPr>
      <w:r>
        <w:t>O</w:t>
      </w:r>
      <w:r w:rsidR="0053289C">
        <w:t xml:space="preserve">ur </w:t>
      </w:r>
      <w:r w:rsidR="007E4136">
        <w:t xml:space="preserve">levels </w:t>
      </w:r>
      <w:r w:rsidR="0053289C">
        <w:t xml:space="preserve">of strategic </w:t>
      </w:r>
      <w:r w:rsidR="00146B5B">
        <w:t>management</w:t>
      </w:r>
      <w:r w:rsidR="0053289C">
        <w:t xml:space="preserve"> have a</w:t>
      </w:r>
      <w:r w:rsidR="00167253">
        <w:t xml:space="preserve"> </w:t>
      </w:r>
      <w:r w:rsidR="00FE3F4E">
        <w:t xml:space="preserve">strong </w:t>
      </w:r>
      <w:r w:rsidR="00374FDA">
        <w:t>association</w:t>
      </w:r>
      <w:r w:rsidR="00167253">
        <w:t xml:space="preserve"> with this dimension</w:t>
      </w:r>
      <w:r>
        <w:t>. F</w:t>
      </w:r>
      <w:r w:rsidR="00146B5B">
        <w:t>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00D32A54" w:rsidRPr="000618FB">
        <w:t>.</w:t>
      </w:r>
      <w:r w:rsidR="00E600B7">
        <w:t>3</w:t>
      </w:r>
      <w:r>
        <w:t xml:space="preserve"> illustrates how the levels of strategic management constructed in this paper correspond to </w:t>
      </w:r>
      <w:r w:rsidR="00E732F1">
        <w:t>the</w:t>
      </w:r>
      <w:r>
        <w:t xml:space="preserve"> 1</w:t>
      </w:r>
      <w:r w:rsidRPr="00FF0A0C">
        <w:rPr>
          <w:vertAlign w:val="superscript"/>
        </w:rPr>
        <w:t>st</w:t>
      </w:r>
      <w:r>
        <w:t xml:space="preserve"> dimension </w:t>
      </w:r>
      <w:r w:rsidR="0066111A">
        <w:t xml:space="preserve">produced by MCA — </w:t>
      </w:r>
      <w:r>
        <w:t xml:space="preserve">higher levels of strategic management </w:t>
      </w:r>
      <w:r w:rsidR="0066111A">
        <w:t xml:space="preserve">are </w:t>
      </w:r>
      <w:r>
        <w:t xml:space="preserve">associated with </w:t>
      </w:r>
      <w:r w:rsidR="002F6C30">
        <w:t>higher scores of the first dimension</w:t>
      </w:r>
      <w:r w:rsidR="00167253">
        <w:t>.</w:t>
      </w:r>
      <w:r w:rsidR="00E732F1">
        <w:t xml:space="preserve"> </w:t>
      </w:r>
      <w:r w:rsidR="00A339A5">
        <w:t xml:space="preserve">In fact, our classifications are roughly linearly associated with the first dimension MCA analysis. </w:t>
      </w:r>
      <w:r w:rsidR="00E732F1">
        <w:t>The chart also shows little</w:t>
      </w:r>
      <w:r w:rsidR="00792884">
        <w:t xml:space="preserve"> overlap o</w:t>
      </w:r>
      <w:r w:rsidR="00A2132A">
        <w:t>f</w:t>
      </w:r>
      <w:r w:rsidR="00792884">
        <w:t xml:space="preserve"> scores for the middle 50</w:t>
      </w:r>
      <w:r w:rsidR="00E732F1">
        <w:t> </w:t>
      </w:r>
      <w:r w:rsidR="00792884">
        <w:t>per</w:t>
      </w:r>
      <w:r w:rsidR="00E732F1">
        <w:t> </w:t>
      </w:r>
      <w:r w:rsidR="00792884">
        <w:t>cent of firms in each level of strategic management</w:t>
      </w:r>
      <w:r w:rsidR="002F6C30">
        <w:t>.</w:t>
      </w:r>
      <w:r w:rsidR="00A339A5">
        <w:t xml:space="preserve"> </w:t>
      </w:r>
      <w:r w:rsidR="00F47376">
        <w:t xml:space="preserve">This suggests that our levels of management capability reflect not only broader strategic behaviours, but also </w:t>
      </w:r>
      <w:r w:rsidR="00A339A5">
        <w:t xml:space="preserve">underlying structures in the MOC microdata that appear to represent active management. </w:t>
      </w:r>
    </w:p>
    <w:p w14:paraId="2556B038" w14:textId="3AFDFAAB" w:rsidR="00167253" w:rsidRDefault="00E335DE" w:rsidP="0092649D">
      <w:pPr>
        <w:pStyle w:val="Caption"/>
      </w:pPr>
      <w:r>
        <w:lastRenderedPageBreak/>
        <w:t xml:space="preserve"> </w:t>
      </w:r>
      <w:r w:rsidR="00167253">
        <w:t>Figure</w:t>
      </w:r>
      <w:r w:rsidR="00167253"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4</w:t>
      </w:r>
      <w:r w:rsidR="00C5233C">
        <w:rPr>
          <w:noProof/>
        </w:rPr>
        <w:fldChar w:fldCharType="end"/>
      </w:r>
      <w:r w:rsidR="00167253" w:rsidRPr="000618FB">
        <w:t>.</w:t>
      </w:r>
      <w:r w:rsidR="00167253" w:rsidRPr="000618FB">
        <w:fldChar w:fldCharType="begin"/>
      </w:r>
      <w:r w:rsidR="00167253" w:rsidRPr="000618FB">
        <w:instrText xml:space="preserve"> SEQ </w:instrText>
      </w:r>
      <w:r w:rsidR="00167253">
        <w:instrText>Figure</w:instrText>
      </w:r>
      <w:r w:rsidR="00167253" w:rsidRPr="000618FB">
        <w:instrText xml:space="preserve"> \* ARABIC \s 1 </w:instrText>
      </w:r>
      <w:r w:rsidR="00167253" w:rsidRPr="000618FB">
        <w:fldChar w:fldCharType="separate"/>
      </w:r>
      <w:r w:rsidR="0001154F">
        <w:rPr>
          <w:noProof/>
        </w:rPr>
        <w:t>3</w:t>
      </w:r>
      <w:r w:rsidR="00167253" w:rsidRPr="000618FB">
        <w:fldChar w:fldCharType="end"/>
      </w:r>
      <w:r w:rsidR="00167253">
        <w:t xml:space="preserve">: </w:t>
      </w:r>
      <w:r w:rsidR="00C7300D">
        <w:t>Strategic m</w:t>
      </w:r>
      <w:r w:rsidR="005B5914">
        <w:t xml:space="preserve">anagement </w:t>
      </w:r>
      <w:r w:rsidR="00C7300D">
        <w:t>c</w:t>
      </w:r>
      <w:r w:rsidR="005B5914">
        <w:t xml:space="preserve">apability and </w:t>
      </w:r>
      <w:r w:rsidR="00C7300D">
        <w:t>the first d</w:t>
      </w:r>
      <w:r w:rsidR="005B5914">
        <w:t xml:space="preserve">imension of </w:t>
      </w:r>
      <w:r w:rsidR="00C7300D">
        <w:t>MCA</w:t>
      </w:r>
    </w:p>
    <w:tbl>
      <w:tblPr>
        <w:tblStyle w:val="OCETable"/>
        <w:tblW w:w="4940" w:type="pct"/>
        <w:tblLayout w:type="fixed"/>
        <w:tblLook w:val="04A0" w:firstRow="1" w:lastRow="0" w:firstColumn="1" w:lastColumn="0" w:noHBand="0" w:noVBand="1"/>
        <w:tblCaption w:val="This table contains Figure 4.3"/>
      </w:tblPr>
      <w:tblGrid>
        <w:gridCol w:w="6811"/>
      </w:tblGrid>
      <w:tr w:rsidR="00167253" w14:paraId="3895630B" w14:textId="77777777" w:rsidTr="00581B20">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09B324BF" w14:textId="68FBDA37" w:rsidR="00167253" w:rsidRDefault="00AA6182" w:rsidP="00F723DD">
            <w:pPr>
              <w:pStyle w:val="PlaceholderWide"/>
              <w:ind w:left="-108" w:hanging="250"/>
              <w:jc w:val="both"/>
            </w:pPr>
            <w:r>
              <w:rPr>
                <w:noProof/>
                <w:lang w:eastAsia="en-AU"/>
              </w:rPr>
              <w:drawing>
                <wp:inline distT="0" distB="0" distL="0" distR="0" wp14:anchorId="1AA7EDC2" wp14:editId="297A6B78">
                  <wp:extent cx="4187825" cy="2289976"/>
                  <wp:effectExtent l="0" t="0" r="3175" b="0"/>
                  <wp:docPr id="2" name="Chart 2" descr="This figure is a dot plot that shows the average score on the first dimension of MCA analysis for each management category. It shows that high levels of strategic management are associated with higher scores on the first dimension of MCA. The Low Engagement category has a median score of around  0.5, Ad Hoc firms have a median score of around 0.3, Narrow-Focus forms have a median score of around 1.0 and Strategic Management firms have a median score of around 1.3." title="Figure 4.3: Strategic management capability and the first dimension of MCA"/>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bl>
    <w:p w14:paraId="5605648D" w14:textId="2C6F1521" w:rsidR="00167253" w:rsidRPr="00C62F3A" w:rsidRDefault="00167253" w:rsidP="0092649D">
      <w:pPr>
        <w:pStyle w:val="Note"/>
      </w:pPr>
      <w:r>
        <w:t xml:space="preserve">Notes: </w:t>
      </w:r>
      <w:r w:rsidR="00B57B78">
        <w:t xml:space="preserve">Dots </w:t>
      </w:r>
      <w:r w:rsidR="00FE3F4E">
        <w:t xml:space="preserve">represent median values and </w:t>
      </w:r>
      <w:r w:rsidR="00B57B78">
        <w:t xml:space="preserve">bars </w:t>
      </w:r>
      <w:r w:rsidR="00FE3F4E">
        <w:t>represent 25</w:t>
      </w:r>
      <w:r w:rsidR="00FE3F4E" w:rsidRPr="00FE3F4E">
        <w:rPr>
          <w:vertAlign w:val="superscript"/>
        </w:rPr>
        <w:t>th</w:t>
      </w:r>
      <w:r w:rsidR="00FE3F4E">
        <w:t xml:space="preserve"> and 75</w:t>
      </w:r>
      <w:r w:rsidR="00FE3F4E" w:rsidRPr="00FE3F4E">
        <w:rPr>
          <w:vertAlign w:val="superscript"/>
        </w:rPr>
        <w:t>th</w:t>
      </w:r>
      <w:r w:rsidR="00FE3F4E">
        <w:t xml:space="preserve"> percentiles</w:t>
      </w:r>
      <w:r w:rsidR="006C1528">
        <w:t>.</w:t>
      </w:r>
    </w:p>
    <w:p w14:paraId="6790015B" w14:textId="7A74E40E" w:rsidR="00BA757C" w:rsidRDefault="00167253" w:rsidP="0092649D">
      <w:pPr>
        <w:pStyle w:val="Source"/>
      </w:pPr>
      <w:r>
        <w:t xml:space="preserve">Source: </w:t>
      </w:r>
      <w:r w:rsidR="00F518FB">
        <w:t xml:space="preserve">OCE estimates based on ABS </w:t>
      </w:r>
      <w:r w:rsidR="00F518FB" w:rsidRPr="00F518FB">
        <w:t>Management and Organisational Capabilities of Australian Business</w:t>
      </w:r>
      <w:r w:rsidR="00F518FB">
        <w:t xml:space="preserve"> </w:t>
      </w:r>
      <w:r w:rsidR="00F518FB" w:rsidRPr="00F518FB">
        <w:t>Microdata, 2015-16</w:t>
      </w:r>
      <w:r w:rsidR="00F518FB">
        <w:t xml:space="preserve"> Cat. No. </w:t>
      </w:r>
      <w:r w:rsidR="00F518FB" w:rsidRPr="00F518FB">
        <w:t>8172.0.55.001</w:t>
      </w:r>
    </w:p>
    <w:p w14:paraId="07D11BFD" w14:textId="64D3E884" w:rsidR="00F70B98" w:rsidRDefault="00F70B98" w:rsidP="00326704">
      <w:pPr>
        <w:pStyle w:val="Heading1"/>
        <w:numPr>
          <w:ilvl w:val="0"/>
          <w:numId w:val="9"/>
        </w:numPr>
        <w:ind w:left="601" w:hanging="601"/>
      </w:pPr>
      <w:r>
        <w:t>Levels of strategic management</w:t>
      </w:r>
      <w:r w:rsidR="006C1528">
        <w:t xml:space="preserve"> and</w:t>
      </w:r>
      <w:r>
        <w:t xml:space="preserve"> firm characteristics</w:t>
      </w:r>
    </w:p>
    <w:p w14:paraId="4128CA3D" w14:textId="4F2C5443" w:rsidR="009A2E8B" w:rsidRDefault="009A2E8B" w:rsidP="003F3567">
      <w:pPr>
        <w:pStyle w:val="BodyText"/>
      </w:pPr>
      <w:r>
        <w:t>A large degree of the variation in management capability across industries is likely driven by systematic differences in firm size across industries. Firms employing more than 100 employees</w:t>
      </w:r>
      <w:r w:rsidRPr="002D64CF">
        <w:rPr>
          <w:vertAlign w:val="superscript"/>
        </w:rPr>
        <w:footnoteReference w:id="32"/>
      </w:r>
      <w:r>
        <w:t xml:space="preserve"> are over six times more likely to have high strategic management capability than firms employing 5</w:t>
      </w:r>
      <w:r w:rsidR="0036472B">
        <w:t> </w:t>
      </w:r>
      <w:r>
        <w:t>to</w:t>
      </w:r>
      <w:r w:rsidR="0036472B">
        <w:t> </w:t>
      </w:r>
      <w:r>
        <w:t>19 employees (Figure</w:t>
      </w:r>
      <w:r w:rsidR="0036472B">
        <w:t> </w:t>
      </w:r>
      <w:r>
        <w:t>5</w:t>
      </w:r>
      <w:r w:rsidRPr="000618FB">
        <w:t>.</w:t>
      </w:r>
      <w:r>
        <w:t>1</w:t>
      </w:r>
      <w:r w:rsidR="00B366B8">
        <w:t>a</w:t>
      </w:r>
      <w:r>
        <w:t>).This relationship between management and size is well established internationally (see, for example, Bloom, Sadun &amp; Reenen</w:t>
      </w:r>
      <w:r w:rsidRPr="003F3567">
        <w:rPr>
          <w:vertAlign w:val="superscript"/>
        </w:rPr>
        <w:footnoteReference w:id="33"/>
      </w:r>
      <w:r>
        <w:t xml:space="preserve">), perhaps reflecting the need for larger firms to more proactively manage information (for example, through the use of KPIs) and the costs associated with formal planning, which contain a fixed component and therefore become more manageable at scale. </w:t>
      </w:r>
    </w:p>
    <w:p w14:paraId="563DE998" w14:textId="49067F14" w:rsidR="00D118D0" w:rsidRDefault="004C522E" w:rsidP="0092649D">
      <w:pPr>
        <w:pStyle w:val="BodyText"/>
      </w:pPr>
      <w:r>
        <w:t>Our</w:t>
      </w:r>
      <w:r w:rsidR="00FD3575">
        <w:t xml:space="preserve"> four</w:t>
      </w:r>
      <w:r>
        <w:t xml:space="preserve"> </w:t>
      </w:r>
      <w:r w:rsidR="0066111A">
        <w:t>levels of strategic management</w:t>
      </w:r>
      <w:r>
        <w:t xml:space="preserve"> </w:t>
      </w:r>
      <w:r w:rsidR="009A2E8B">
        <w:t xml:space="preserve">also </w:t>
      </w:r>
      <w:r>
        <w:t xml:space="preserve">vary substantially </w:t>
      </w:r>
      <w:r w:rsidR="0066111A">
        <w:t>across</w:t>
      </w:r>
      <w:r>
        <w:t xml:space="preserve"> industry</w:t>
      </w:r>
      <w:r w:rsidR="0066111A">
        <w:t xml:space="preserve"> divisions</w:t>
      </w:r>
      <w:r w:rsidR="009A2E8B">
        <w:t>, with in</w:t>
      </w:r>
      <w:r w:rsidR="00C878FB">
        <w:t xml:space="preserve">dustry characteristics </w:t>
      </w:r>
      <w:r>
        <w:t>influenc</w:t>
      </w:r>
      <w:r w:rsidR="009A2E8B">
        <w:t>ing</w:t>
      </w:r>
      <w:r>
        <w:t xml:space="preserve"> management practices</w:t>
      </w:r>
      <w:r w:rsidR="009A2E8B">
        <w:t xml:space="preserve"> for a range of potential reasons</w:t>
      </w:r>
      <w:r>
        <w:t>.</w:t>
      </w:r>
      <w:r w:rsidR="009A2E8B">
        <w:t xml:space="preserve"> For instance, t</w:t>
      </w:r>
      <w:r>
        <w:t xml:space="preserve">he output of some industries — </w:t>
      </w:r>
      <w:r w:rsidR="009A2E8B">
        <w:t xml:space="preserve">such as </w:t>
      </w:r>
      <w:r w:rsidR="006C1528">
        <w:t>finance and mining</w:t>
      </w:r>
      <w:r w:rsidR="0066111A">
        <w:t> </w:t>
      </w:r>
      <w:r>
        <w:t>— lend themselves to the identification and tracking of KPIs. Industries with the highest share of firms in</w:t>
      </w:r>
      <w:r w:rsidR="0066111A">
        <w:t xml:space="preserve"> our</w:t>
      </w:r>
      <w:r>
        <w:t xml:space="preserve"> top </w:t>
      </w:r>
      <w:r w:rsidR="0066111A">
        <w:t xml:space="preserve">level </w:t>
      </w:r>
      <w:r>
        <w:t xml:space="preserve">of </w:t>
      </w:r>
      <w:r w:rsidR="0066111A">
        <w:t>strategic management</w:t>
      </w:r>
      <w:r>
        <w:t xml:space="preserve"> include</w:t>
      </w:r>
      <w:r w:rsidR="0066111A">
        <w:t>:</w:t>
      </w:r>
      <w:r>
        <w:t xml:space="preserve"> </w:t>
      </w:r>
      <w:r w:rsidR="006C1528">
        <w:t xml:space="preserve">financial and insurance services; arts and recreation services; electricity, gas, water and waste services; and mining </w:t>
      </w:r>
      <w:r w:rsidR="00B824B1">
        <w:t>(</w:t>
      </w:r>
      <w:r w:rsidR="008D2F8B">
        <w:t>F</w:t>
      </w:r>
      <w:r w:rsidR="00B824B1">
        <w:t>igure</w:t>
      </w:r>
      <w:r w:rsidR="00D32FA7">
        <w:t> </w:t>
      </w:r>
      <w:r w:rsidR="009A1863">
        <w:t>5</w:t>
      </w:r>
      <w:r w:rsidR="00D32A54" w:rsidRPr="000618FB">
        <w:t>.</w:t>
      </w:r>
      <w:r w:rsidR="009A1863">
        <w:t>1</w:t>
      </w:r>
      <w:r w:rsidR="00B366B8">
        <w:t>b</w:t>
      </w:r>
      <w:r w:rsidR="00B824B1">
        <w:t>)</w:t>
      </w:r>
      <w:r>
        <w:t xml:space="preserve">. </w:t>
      </w:r>
      <w:r w:rsidR="00556C76">
        <w:t>At the other end of the spectrum</w:t>
      </w:r>
      <w:r w:rsidR="00E732F1">
        <w:t>, firms most</w:t>
      </w:r>
      <w:r w:rsidR="00556C76">
        <w:t xml:space="preserve"> commonly in the lowest tier include: </w:t>
      </w:r>
      <w:r w:rsidR="006C1528">
        <w:t xml:space="preserve">agriculture, forestry and fishing; construction; and transport, postal and warehousing. </w:t>
      </w:r>
      <w:r w:rsidR="00232A47">
        <w:t>I</w:t>
      </w:r>
      <w:r w:rsidR="006C1528">
        <w:t xml:space="preserve">nterestingly, firms in manufacturing </w:t>
      </w:r>
      <w:r w:rsidR="0066111A">
        <w:t xml:space="preserve">— a sector with measurable outputs — tend </w:t>
      </w:r>
      <w:r w:rsidR="00E92C42">
        <w:t xml:space="preserve">to place in relatively lower tiers of </w:t>
      </w:r>
      <w:r w:rsidR="004A32F3">
        <w:t xml:space="preserve">strategic </w:t>
      </w:r>
      <w:r w:rsidR="00E92C42">
        <w:t>management capability</w:t>
      </w:r>
      <w:r w:rsidR="006971CE">
        <w:t xml:space="preserve">. </w:t>
      </w:r>
    </w:p>
    <w:p w14:paraId="652FBCD4" w14:textId="65EF2195" w:rsidR="00D4113F" w:rsidRDefault="00D4113F" w:rsidP="0092649D">
      <w:pPr>
        <w:pStyle w:val="Caption"/>
      </w:pPr>
      <w:r>
        <w:lastRenderedPageBreak/>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5</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1</w:t>
      </w:r>
      <w:r w:rsidRPr="000618FB">
        <w:fldChar w:fldCharType="end"/>
      </w:r>
      <w:r>
        <w:t xml:space="preserve">: </w:t>
      </w:r>
      <w:r w:rsidR="004A32F3">
        <w:t>Strategic m</w:t>
      </w:r>
      <w:r w:rsidR="00C15777">
        <w:t xml:space="preserve">anagement </w:t>
      </w:r>
      <w:r w:rsidR="004A32F3">
        <w:t>c</w:t>
      </w:r>
      <w:r w:rsidR="00C15777">
        <w:t>apability</w:t>
      </w:r>
      <w:r w:rsidR="00B5340C">
        <w:t xml:space="preserve"> by</w:t>
      </w:r>
      <w:r w:rsidR="00C15777">
        <w:t xml:space="preserve"> </w:t>
      </w:r>
      <w:r w:rsidR="004A32F3">
        <w:t>i</w:t>
      </w:r>
      <w:r w:rsidR="00C15777">
        <w:t xml:space="preserve">ndustry and </w:t>
      </w:r>
      <w:r w:rsidR="00B5340C">
        <w:t xml:space="preserve">firm </w:t>
      </w:r>
      <w:r w:rsidR="004A32F3">
        <w:t>s</w:t>
      </w:r>
      <w:r w:rsidR="00C15777">
        <w:t>ize</w:t>
      </w:r>
    </w:p>
    <w:tbl>
      <w:tblPr>
        <w:tblStyle w:val="OCETable"/>
        <w:tblW w:w="4940" w:type="pct"/>
        <w:tblLayout w:type="fixed"/>
        <w:tblLook w:val="04A0" w:firstRow="1" w:lastRow="0" w:firstColumn="1" w:lastColumn="0" w:noHBand="0" w:noVBand="1"/>
        <w:tblCaption w:val="This table contains figures 5.1a, 5.1b and 5.1c."/>
      </w:tblPr>
      <w:tblGrid>
        <w:gridCol w:w="6811"/>
      </w:tblGrid>
      <w:tr w:rsidR="00D4113F" w14:paraId="135C08D7" w14:textId="77777777" w:rsidTr="00EA19F8">
        <w:trPr>
          <w:cnfStyle w:val="100000000000" w:firstRow="1" w:lastRow="0" w:firstColumn="0" w:lastColumn="0" w:oddVBand="0" w:evenVBand="0" w:oddHBand="0" w:evenHBand="0" w:firstRowFirstColumn="0" w:firstRowLastColumn="0" w:lastRowFirstColumn="0" w:lastRowLastColumn="0"/>
          <w:tblHeader/>
        </w:trPr>
        <w:tc>
          <w:tcPr>
            <w:tcW w:w="681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64E848F5" w14:textId="45606DBF" w:rsidR="00D4113F" w:rsidRPr="00F07518" w:rsidRDefault="005324B4" w:rsidP="00566EE9">
            <w:pPr>
              <w:pStyle w:val="PlaceholderWide"/>
              <w:numPr>
                <w:ilvl w:val="0"/>
                <w:numId w:val="45"/>
              </w:numPr>
              <w:spacing w:before="120" w:after="120"/>
              <w:ind w:left="317" w:hanging="425"/>
              <w:jc w:val="left"/>
              <w:rPr>
                <w:b/>
                <w:color w:val="005CAF"/>
              </w:rPr>
            </w:pPr>
            <w:r>
              <w:rPr>
                <w:b/>
                <w:color w:val="005CAF"/>
              </w:rPr>
              <w:t>Firm size</w:t>
            </w:r>
            <w:r w:rsidR="00D4113F" w:rsidRPr="00F07518">
              <w:rPr>
                <w:b/>
                <w:color w:val="005CAF"/>
              </w:rPr>
              <w:t xml:space="preserve"> </w:t>
            </w:r>
            <w:r w:rsidR="00B5340C">
              <w:rPr>
                <w:b/>
                <w:color w:val="005CAF"/>
              </w:rPr>
              <w:t>and strategic management capability</w:t>
            </w:r>
          </w:p>
          <w:p w14:paraId="736C0DD8" w14:textId="4092B213" w:rsidR="00D4113F" w:rsidRDefault="005324B4" w:rsidP="00012B65">
            <w:pPr>
              <w:pStyle w:val="PlaceholderWide"/>
              <w:ind w:left="-250" w:hanging="425"/>
            </w:pPr>
            <w:r>
              <w:rPr>
                <w:noProof/>
                <w:lang w:eastAsia="en-AU"/>
              </w:rPr>
              <w:drawing>
                <wp:inline distT="0" distB="0" distL="0" distR="0" wp14:anchorId="56C6504D" wp14:editId="38D6C21E">
                  <wp:extent cx="4187825" cy="2015490"/>
                  <wp:effectExtent l="0" t="0" r="3175" b="3810"/>
                  <wp:docPr id="51" name="Chart 51" descr="Figure 5.1a is a bar chart that shows what share of firms are in each strategic management classification for each industry. The figure shows that Financial and Insurance industries have the highest share of firms in higher levels of the classification, followed by: Arts and Recreation; Electricity, Gas, Water and Waste; Mining; Administrative and Support; Information Media and Telecommunications. At the other end of the spectrum, Agriculture, Forestry and Fishing have the lowest share of firms in higher classifications of strategic management, followed by Construction; Transport, Postal and Warehousing; Other Services; Retail Trade and Accommodation and Food. " title="Figure 5.1a"/>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B824B1" w14:paraId="058766EA" w14:textId="77777777" w:rsidTr="00836B71">
        <w:trPr>
          <w:cnfStyle w:val="000000100000" w:firstRow="0" w:lastRow="0" w:firstColumn="0" w:lastColumn="0" w:oddVBand="0" w:evenVBand="0" w:oddHBand="1" w:evenHBand="0" w:firstRowFirstColumn="0" w:firstRowLastColumn="0" w:lastRowFirstColumn="0" w:lastRowLastColumn="0"/>
        </w:trPr>
        <w:tc>
          <w:tcPr>
            <w:tcW w:w="6811" w:type="dxa"/>
            <w:shd w:val="clear" w:color="auto" w:fill="auto"/>
          </w:tcPr>
          <w:p w14:paraId="005B4AD7" w14:textId="611471A0" w:rsidR="00B824B1" w:rsidRPr="00F07518" w:rsidRDefault="005324B4" w:rsidP="00566EE9">
            <w:pPr>
              <w:pStyle w:val="PlaceholderWide"/>
              <w:numPr>
                <w:ilvl w:val="0"/>
                <w:numId w:val="45"/>
              </w:numPr>
              <w:spacing w:before="120" w:after="120"/>
              <w:ind w:left="318" w:hanging="425"/>
              <w:jc w:val="left"/>
              <w:rPr>
                <w:b/>
                <w:color w:val="005CAF"/>
              </w:rPr>
            </w:pPr>
            <w:r w:rsidRPr="00F07518">
              <w:rPr>
                <w:b/>
                <w:color w:val="005CAF"/>
              </w:rPr>
              <w:t xml:space="preserve">Industry </w:t>
            </w:r>
            <w:r w:rsidR="00C34D8B" w:rsidRPr="00F07518">
              <w:rPr>
                <w:b/>
                <w:color w:val="005CAF"/>
              </w:rPr>
              <w:t>and</w:t>
            </w:r>
            <w:r w:rsidR="00B824B1" w:rsidRPr="00F07518">
              <w:rPr>
                <w:b/>
                <w:color w:val="005CAF"/>
              </w:rPr>
              <w:t xml:space="preserve"> </w:t>
            </w:r>
            <w:r w:rsidR="004A32F3" w:rsidRPr="00F07518">
              <w:rPr>
                <w:b/>
                <w:color w:val="005CAF"/>
              </w:rPr>
              <w:t xml:space="preserve">strategic </w:t>
            </w:r>
            <w:r w:rsidR="00B824B1" w:rsidRPr="00F07518">
              <w:rPr>
                <w:b/>
                <w:color w:val="005CAF"/>
              </w:rPr>
              <w:t xml:space="preserve">management capability </w:t>
            </w:r>
          </w:p>
          <w:p w14:paraId="16E25FF1" w14:textId="55CEE8FC" w:rsidR="00B824B1" w:rsidRPr="00F518FB" w:rsidRDefault="00836B71" w:rsidP="00012B65">
            <w:pPr>
              <w:pStyle w:val="PlaceholderWide"/>
              <w:ind w:left="-250" w:hanging="284"/>
            </w:pPr>
            <w:r>
              <w:rPr>
                <w:noProof/>
                <w:lang w:eastAsia="en-AU"/>
              </w:rPr>
              <w:drawing>
                <wp:inline distT="0" distB="0" distL="0" distR="0" wp14:anchorId="7DCCE35C" wp14:editId="676D78FC">
                  <wp:extent cx="4168637" cy="2647950"/>
                  <wp:effectExtent l="0" t="0" r="3810" b="0"/>
                  <wp:docPr id="7" name="Chart 7" descr="Figure 5.1b is a bar chart that shows the share of firms in each classification of strategic management for each classification of firm size. Firms with 0 to 4 employees are primarily classified as Low Engagement (67 per cent), followed by Ad Hoc (22 per cent), Narrow Focus (8 per cent) and finally Strategic (2 per cent). Firms with 5 to 19 employees are primarily classified as Low Engagement (46 per cent), followed by Ad Hoc (25 per cent), Narrow-Focus (20 per cent) and finally Strategic (8 per cent). Firms with 20 to 99 employees are evenly spread across the classifications Low 28 per cent of firms in Engagement, followed by 22 per cent of firms in Ad Hoc, 24 per cent of firms in Narrow Focus and finally 24 per cent  of firms in Strategic representing similar shares. Firms with 100 or more employees are least likely to be classified as Low Engagement (10 per cent), followed by Ad Hoc (13 per cent), Narrow Focus (27 per cent) and finally Strategic (49 per cent)." title="Figure 5.1b"/>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D4113F" w14:paraId="35714722" w14:textId="77777777" w:rsidTr="008D7786">
        <w:trPr>
          <w:cnfStyle w:val="000000010000" w:firstRow="0" w:lastRow="0" w:firstColumn="0" w:lastColumn="0" w:oddVBand="0" w:evenVBand="0" w:oddHBand="0" w:evenHBand="1" w:firstRowFirstColumn="0" w:firstRowLastColumn="0" w:lastRowFirstColumn="0" w:lastRowLastColumn="0"/>
        </w:trPr>
        <w:tc>
          <w:tcPr>
            <w:tcW w:w="6811" w:type="dxa"/>
            <w:shd w:val="clear" w:color="auto" w:fill="auto"/>
          </w:tcPr>
          <w:p w14:paraId="677093F0" w14:textId="1060EB4D" w:rsidR="00D4113F" w:rsidRPr="00F07518" w:rsidRDefault="004A32F3" w:rsidP="00566EE9">
            <w:pPr>
              <w:pStyle w:val="PlaceholderWide"/>
              <w:numPr>
                <w:ilvl w:val="0"/>
                <w:numId w:val="45"/>
              </w:numPr>
              <w:spacing w:before="120" w:after="120"/>
              <w:ind w:left="318" w:hanging="426"/>
              <w:jc w:val="left"/>
              <w:rPr>
                <w:b/>
                <w:color w:val="005CAF"/>
              </w:rPr>
            </w:pPr>
            <w:r w:rsidRPr="00F07518">
              <w:rPr>
                <w:b/>
                <w:color w:val="005CAF"/>
              </w:rPr>
              <w:t>Strategic m</w:t>
            </w:r>
            <w:r w:rsidR="00D4113F" w:rsidRPr="00F07518">
              <w:rPr>
                <w:b/>
                <w:color w:val="005CAF"/>
              </w:rPr>
              <w:t>anagement capability and large firm share</w:t>
            </w:r>
            <w:r w:rsidR="00E64872">
              <w:rPr>
                <w:b/>
                <w:color w:val="005CAF"/>
              </w:rPr>
              <w:t xml:space="preserve"> by industry</w:t>
            </w:r>
          </w:p>
          <w:p w14:paraId="4A6F9343" w14:textId="194606E6" w:rsidR="00D4113F" w:rsidRDefault="008D7786" w:rsidP="003F3567">
            <w:pPr>
              <w:pStyle w:val="PlaceholderWide"/>
              <w:ind w:left="-250" w:hanging="425"/>
              <w:jc w:val="right"/>
            </w:pPr>
            <w:r>
              <w:rPr>
                <w:noProof/>
                <w:lang w:eastAsia="en-AU"/>
              </w:rPr>
              <w:drawing>
                <wp:inline distT="0" distB="0" distL="0" distR="0" wp14:anchorId="7D4B9229" wp14:editId="62CA53D0">
                  <wp:extent cx="4262755" cy="2244437"/>
                  <wp:effectExtent l="0" t="0" r="4445" b="3810"/>
                  <wp:docPr id="4" name="Chart 4" descr="Figure 5.1c is a scatter plot showing the relationship between the share of firms in the top strategic management category and the share of firms with 200 or more employees by industry. The line of best fit shows that there is a positive relationship between these two data series. " title="Figure 5.1c"/>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Del="008D7786">
              <w:rPr>
                <w:noProof/>
                <w:lang w:eastAsia="en-AU"/>
              </w:rPr>
              <w:t xml:space="preserve"> </w:t>
            </w:r>
          </w:p>
        </w:tc>
      </w:tr>
    </w:tbl>
    <w:p w14:paraId="28CE46CD" w14:textId="55A02250" w:rsidR="007F095D" w:rsidRDefault="007F095D" w:rsidP="003F3567">
      <w:pPr>
        <w:pStyle w:val="Source"/>
        <w:spacing w:after="120"/>
      </w:pPr>
      <w:r>
        <w:t xml:space="preserve">Note: (c) Letter indicate ANZSIC industry codes. </w:t>
      </w:r>
    </w:p>
    <w:p w14:paraId="417E1871" w14:textId="2E8356DC" w:rsidR="00D4113F" w:rsidRDefault="00D4113F" w:rsidP="0092649D">
      <w:pPr>
        <w:pStyle w:val="Source"/>
      </w:pPr>
      <w:r>
        <w:t xml:space="preserve">Source: </w:t>
      </w:r>
      <w:r w:rsidR="001E535D">
        <w:t xml:space="preserve">Authors’ </w:t>
      </w:r>
      <w:r w:rsidR="00F518FB">
        <w:t xml:space="preserve">estimates based on </w:t>
      </w:r>
      <w:r w:rsidR="00033A8B">
        <w:t xml:space="preserve">ABS </w:t>
      </w:r>
      <w:r w:rsidR="00033A8B" w:rsidRPr="00F518FB">
        <w:t>Management and Organisational Capabilities of Australian Business</w:t>
      </w:r>
      <w:r w:rsidR="00033A8B">
        <w:t xml:space="preserve"> </w:t>
      </w:r>
      <w:r w:rsidR="00033A8B" w:rsidRPr="00F518FB">
        <w:t>Microdata, 2015-16</w:t>
      </w:r>
      <w:r w:rsidR="00033A8B">
        <w:t xml:space="preserve"> Cat. No. </w:t>
      </w:r>
      <w:r w:rsidR="00033A8B" w:rsidRPr="00F518FB">
        <w:t>8172.0.55.001</w:t>
      </w:r>
    </w:p>
    <w:p w14:paraId="6F2D1FAD" w14:textId="654B3CFA" w:rsidR="009D42DF" w:rsidRDefault="009D42DF" w:rsidP="0092649D">
      <w:pPr>
        <w:pStyle w:val="BodyText"/>
      </w:pPr>
      <w:r w:rsidRPr="00F14024">
        <w:lastRenderedPageBreak/>
        <w:t>Figure</w:t>
      </w:r>
      <w:r w:rsidR="0036472B">
        <w:t> </w:t>
      </w:r>
      <w:r>
        <w:t>5.1</w:t>
      </w:r>
      <w:r w:rsidR="00D32FA7">
        <w:t>c</w:t>
      </w:r>
      <w:r w:rsidRPr="00F14024">
        <w:t xml:space="preserve"> </w:t>
      </w:r>
      <w:r>
        <w:t xml:space="preserve">presents the relationship between size and management </w:t>
      </w:r>
      <w:r w:rsidR="00986587">
        <w:t xml:space="preserve">by </w:t>
      </w:r>
      <w:r>
        <w:t xml:space="preserve">industry division, showing that the share of firms with more than </w:t>
      </w:r>
      <w:r w:rsidR="00836B71">
        <w:t>1</w:t>
      </w:r>
      <w:r>
        <w:t>00</w:t>
      </w:r>
      <w:r w:rsidR="0036472B">
        <w:t> </w:t>
      </w:r>
      <w:r>
        <w:t xml:space="preserve">employees in an industry is positively associated with the share of firms in the top level of strategic management. That said, </w:t>
      </w:r>
      <w:r w:rsidRPr="00F14024">
        <w:t>the Financial and Insurance and Arts and Recreational Services industries have high</w:t>
      </w:r>
      <w:r w:rsidR="00836B71">
        <w:t>er</w:t>
      </w:r>
      <w:r w:rsidRPr="00F14024">
        <w:t xml:space="preserve"> rates of top</w:t>
      </w:r>
      <w:r>
        <w:t>-</w:t>
      </w:r>
      <w:r w:rsidRPr="00F14024">
        <w:t>tier management capability</w:t>
      </w:r>
      <w:r w:rsidR="00836B71">
        <w:t xml:space="preserve"> than </w:t>
      </w:r>
      <w:r w:rsidR="002D64CF">
        <w:t>the average of firms with similar size structure</w:t>
      </w:r>
      <w:r w:rsidRPr="00F14024">
        <w:t>. Panel</w:t>
      </w:r>
      <w:r w:rsidR="0036472B">
        <w:t> </w:t>
      </w:r>
      <w:r w:rsidRPr="00F14024">
        <w:t>3 of Figure</w:t>
      </w:r>
      <w:r w:rsidR="0036472B">
        <w:t> </w:t>
      </w:r>
      <w:r>
        <w:t>5.1</w:t>
      </w:r>
      <w:r w:rsidRPr="00F14024">
        <w:t xml:space="preserve"> also suggests Agriculture; Construction; Retail;</w:t>
      </w:r>
      <w:r w:rsidR="00836B71">
        <w:t xml:space="preserve"> and</w:t>
      </w:r>
      <w:r w:rsidRPr="00F14024">
        <w:t xml:space="preserve"> Transport, Postal and Warehousing tend to have lower management capability</w:t>
      </w:r>
      <w:r>
        <w:t xml:space="preserve"> </w:t>
      </w:r>
      <w:r w:rsidR="002D64CF">
        <w:t>with respect to comparable industries</w:t>
      </w:r>
      <w:r>
        <w:t>.</w:t>
      </w:r>
    </w:p>
    <w:p w14:paraId="54C6D415" w14:textId="59DD827D" w:rsidR="00170354" w:rsidRDefault="004A32F3" w:rsidP="00B9070F">
      <w:pPr>
        <w:pStyle w:val="Heading1"/>
        <w:numPr>
          <w:ilvl w:val="0"/>
          <w:numId w:val="9"/>
        </w:numPr>
        <w:ind w:left="601" w:hanging="601"/>
      </w:pPr>
      <w:r>
        <w:t>Strategic m</w:t>
      </w:r>
      <w:r w:rsidR="00170354">
        <w:t xml:space="preserve">anagement capability and </w:t>
      </w:r>
      <w:r w:rsidR="002F4E98">
        <w:t xml:space="preserve">firm </w:t>
      </w:r>
      <w:r w:rsidR="00170354">
        <w:t xml:space="preserve">performance </w:t>
      </w:r>
    </w:p>
    <w:p w14:paraId="38400261" w14:textId="6209198D" w:rsidR="005026C5" w:rsidRDefault="004B0073" w:rsidP="0092649D">
      <w:pPr>
        <w:pStyle w:val="BodyText"/>
      </w:pPr>
      <w:r>
        <w:t xml:space="preserve">Management capability has been linked to labour productivity </w:t>
      </w:r>
      <w:r w:rsidR="006F2117">
        <w:t>in</w:t>
      </w:r>
      <w:r w:rsidR="004A4C0B">
        <w:t xml:space="preserve"> several</w:t>
      </w:r>
      <w:r w:rsidR="006F2117">
        <w:t xml:space="preserve"> recent international studies</w:t>
      </w:r>
      <w:r w:rsidR="00DF189A">
        <w:t xml:space="preserve">. </w:t>
      </w:r>
      <w:r w:rsidR="005026C5">
        <w:t>Bloom et al.</w:t>
      </w:r>
      <w:r w:rsidR="00F352E4">
        <w:rPr>
          <w:rStyle w:val="FootnoteReference"/>
        </w:rPr>
        <w:footnoteReference w:id="34"/>
      </w:r>
      <w:r w:rsidR="005026C5">
        <w:t xml:space="preserve"> examined </w:t>
      </w:r>
      <w:r w:rsidR="00F303AD">
        <w:t xml:space="preserve">management practices and labour productivity in </w:t>
      </w:r>
      <w:r w:rsidR="005026C5">
        <w:t>more than 4,000 medium sized manufacturing operations in Europe, the US and Asia</w:t>
      </w:r>
      <w:r w:rsidR="00F303AD">
        <w:t xml:space="preserve">. They found </w:t>
      </w:r>
      <w:r w:rsidR="004A4C0B">
        <w:t xml:space="preserve">more structured </w:t>
      </w:r>
      <w:r w:rsidR="005026C5">
        <w:t>management</w:t>
      </w:r>
      <w:r w:rsidR="009D59BE">
        <w:t xml:space="preserve"> </w:t>
      </w:r>
      <w:r w:rsidR="004A4C0B">
        <w:t xml:space="preserve">to be </w:t>
      </w:r>
      <w:r w:rsidR="009D59BE">
        <w:t xml:space="preserve">positively correlated with labour productivity across </w:t>
      </w:r>
      <w:r w:rsidR="004A4C0B">
        <w:t xml:space="preserve">a range of </w:t>
      </w:r>
      <w:r w:rsidR="00F303AD">
        <w:t>countries.</w:t>
      </w:r>
      <w:r w:rsidR="009D59BE">
        <w:t xml:space="preserve"> </w:t>
      </w:r>
      <w:r w:rsidR="00F303AD">
        <w:t xml:space="preserve">Importantly, this relationship </w:t>
      </w:r>
      <w:r w:rsidR="004A4C0B">
        <w:t xml:space="preserve">persisted </w:t>
      </w:r>
      <w:r w:rsidR="009D59BE">
        <w:t>after controlling for factors such as firms’ sector and s</w:t>
      </w:r>
      <w:r w:rsidR="00F303AD">
        <w:t>kill level</w:t>
      </w:r>
      <w:r w:rsidR="004A4C0B">
        <w:t xml:space="preserve">. Overall, </w:t>
      </w:r>
      <w:r w:rsidR="00AE4E15">
        <w:t>they found a</w:t>
      </w:r>
      <w:r w:rsidR="00F303AD">
        <w:t xml:space="preserve"> single point improvement in management score </w:t>
      </w:r>
      <w:r w:rsidR="00AE4E15">
        <w:t>to be</w:t>
      </w:r>
      <w:r w:rsidR="00D509AF">
        <w:t xml:space="preserve"> </w:t>
      </w:r>
      <w:r w:rsidR="00F303AD">
        <w:t>equivalent in its effect on labour productivity to a 25 per cent increase in the labour force or a 65 per cent increase in invested capital.</w:t>
      </w:r>
    </w:p>
    <w:p w14:paraId="566F747C" w14:textId="49FA232B" w:rsidR="00AB0A60" w:rsidRDefault="0051306E" w:rsidP="0092649D">
      <w:pPr>
        <w:pStyle w:val="BodyText"/>
      </w:pPr>
      <w:r>
        <w:t xml:space="preserve">Consistent with </w:t>
      </w:r>
      <w:r w:rsidR="00AA0A94">
        <w:t>this research</w:t>
      </w:r>
      <w:r>
        <w:t>, we find high</w:t>
      </w:r>
      <w:r w:rsidR="00DF189A">
        <w:t>er</w:t>
      </w:r>
      <w:r>
        <w:t xml:space="preserve"> labour productivity in firms with higher</w:t>
      </w:r>
      <w:r w:rsidR="00DF189A">
        <w:t xml:space="preserve"> levels of strategic </w:t>
      </w:r>
      <w:r>
        <w:t>capability</w:t>
      </w:r>
      <w:r w:rsidR="00F70B98">
        <w:t xml:space="preserve"> (</w:t>
      </w:r>
      <w:r w:rsidR="008D2F8B">
        <w:t>F</w:t>
      </w:r>
      <w:r w:rsidR="00F70B98">
        <w:t xml:space="preserve">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6</w:t>
      </w:r>
      <w:r w:rsidR="00C5233C">
        <w:rPr>
          <w:noProof/>
        </w:rPr>
        <w:fldChar w:fldCharType="end"/>
      </w:r>
      <w:r w:rsidR="00D32A54" w:rsidRPr="000618FB">
        <w:t>.</w:t>
      </w:r>
      <w:r w:rsidR="00E600B7">
        <w:t>1</w:t>
      </w:r>
      <w:r w:rsidR="00F70B98">
        <w:t>, panel 1</w:t>
      </w:r>
      <w:r w:rsidR="00F303AD">
        <w:t>)</w:t>
      </w:r>
      <w:r w:rsidR="004A4C0B">
        <w:t xml:space="preserve">, such </w:t>
      </w:r>
      <w:r w:rsidR="00AE4E15">
        <w:t>that</w:t>
      </w:r>
      <w:r w:rsidR="00D509AF">
        <w:t xml:space="preserve"> </w:t>
      </w:r>
      <w:r w:rsidR="004A4C0B">
        <w:t xml:space="preserve">firms in the </w:t>
      </w:r>
      <w:r w:rsidR="00AE4E15">
        <w:t>third</w:t>
      </w:r>
      <w:r w:rsidR="004A4C0B">
        <w:t>,</w:t>
      </w:r>
      <w:r w:rsidR="004A32F3">
        <w:t xml:space="preserve"> second</w:t>
      </w:r>
      <w:r w:rsidR="004A4C0B">
        <w:t xml:space="preserve"> and </w:t>
      </w:r>
      <w:r w:rsidR="004A32F3">
        <w:t>first</w:t>
      </w:r>
      <w:r w:rsidR="004A4C0B">
        <w:t xml:space="preserve"> tiers of strategic management capability have 15, 27 and 85 per cent higher levels of labour productivity</w:t>
      </w:r>
      <w:r w:rsidR="00E732F1">
        <w:t xml:space="preserve"> than those i</w:t>
      </w:r>
      <w:r w:rsidR="00981622">
        <w:t>n the bottom tier</w:t>
      </w:r>
      <w:r w:rsidR="004A4C0B">
        <w:t>. Th</w:t>
      </w:r>
      <w:r w:rsidR="00981622">
        <w:t>ese</w:t>
      </w:r>
      <w:r w:rsidR="004A4C0B">
        <w:t xml:space="preserve"> differences are partly driven by size — larger firms tend to have higher labour productivity and higher </w:t>
      </w:r>
      <w:r w:rsidR="00981622">
        <w:t xml:space="preserve">levels of strategic </w:t>
      </w:r>
      <w:r w:rsidR="004A4C0B">
        <w:t xml:space="preserve">management. </w:t>
      </w:r>
      <w:r w:rsidR="00C80E38">
        <w:t xml:space="preserve">Nonetheless, </w:t>
      </w:r>
      <w:r w:rsidR="00981622">
        <w:t>at each level of firm size</w:t>
      </w:r>
      <w:r w:rsidR="00C80E38">
        <w:t xml:space="preserve">, firms with higher levels of management capability </w:t>
      </w:r>
      <w:r w:rsidR="00981622">
        <w:t>still</w:t>
      </w:r>
      <w:r w:rsidR="00C80E38">
        <w:t xml:space="preserve"> have higher levels of labour productivity</w:t>
      </w:r>
      <w:r w:rsidR="00981622">
        <w:t xml:space="preserve"> (</w:t>
      </w:r>
      <w:r w:rsidR="008D2F8B">
        <w:t>F</w:t>
      </w:r>
      <w:r w:rsidR="00981622">
        <w:t xml:space="preserve">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6</w:t>
      </w:r>
      <w:r w:rsidR="00C5233C">
        <w:rPr>
          <w:noProof/>
        </w:rPr>
        <w:fldChar w:fldCharType="end"/>
      </w:r>
      <w:r w:rsidR="00D32A54" w:rsidRPr="000618FB">
        <w:t>.</w:t>
      </w:r>
      <w:r w:rsidR="00E600B7">
        <w:t>2</w:t>
      </w:r>
      <w:r w:rsidR="00981622">
        <w:t>, panel 2)</w:t>
      </w:r>
      <w:r w:rsidR="00C80E38">
        <w:t xml:space="preserve">. </w:t>
      </w:r>
    </w:p>
    <w:p w14:paraId="665C7334" w14:textId="3DECA8F1" w:rsidR="00AE4E15" w:rsidRDefault="00AB0A60" w:rsidP="0092649D">
      <w:pPr>
        <w:pStyle w:val="BodyText"/>
        <w:rPr>
          <w:rStyle w:val="FootnoteReference"/>
        </w:rPr>
      </w:pPr>
      <w:r w:rsidRPr="00FD3575">
        <w:t>In addition to firm size, other factors are likely to</w:t>
      </w:r>
      <w:r w:rsidR="00222AA7">
        <w:t xml:space="preserve"> explain labour productivity and</w:t>
      </w:r>
      <w:r w:rsidRPr="00FD3575">
        <w:t xml:space="preserve"> confound the relationship between </w:t>
      </w:r>
      <w:r w:rsidR="00222AA7">
        <w:t xml:space="preserve">management and </w:t>
      </w:r>
      <w:r w:rsidRPr="00FD3575">
        <w:t>labour productivity.</w:t>
      </w:r>
      <w:r>
        <w:rPr>
          <w:i/>
        </w:rPr>
        <w:t xml:space="preserve"> </w:t>
      </w:r>
      <w:r>
        <w:t>For example, higher levels of capital intensity may lead to</w:t>
      </w:r>
      <w:r w:rsidR="00AE4E15">
        <w:t xml:space="preserve"> both</w:t>
      </w:r>
      <w:r>
        <w:t xml:space="preserve"> more engaged strategic management and increased labour productivity.  But this relationship </w:t>
      </w:r>
      <w:r w:rsidR="00AE4E15">
        <w:t xml:space="preserve">may </w:t>
      </w:r>
      <w:r>
        <w:t xml:space="preserve">also </w:t>
      </w:r>
      <w:r w:rsidR="00AE4E15">
        <w:t xml:space="preserve">be partly </w:t>
      </w:r>
      <w:r>
        <w:t>causal. S</w:t>
      </w:r>
      <w:r w:rsidRPr="00B5036C">
        <w:t>trategic planning encourage</w:t>
      </w:r>
      <w:r>
        <w:t>s</w:t>
      </w:r>
      <w:r w:rsidRPr="00B5036C">
        <w:t xml:space="preserve"> </w:t>
      </w:r>
      <w:r>
        <w:t xml:space="preserve">a higher degree of future long-term orientation, and may drive activities — such as capital accumulation — for which benefits accrue over the longer term </w:t>
      </w:r>
      <w:r w:rsidRPr="00B5036C">
        <w:t>(Mitchelmore and Rowley, 2013)</w:t>
      </w:r>
      <w:r>
        <w:t>.</w:t>
      </w:r>
      <w:r>
        <w:rPr>
          <w:rStyle w:val="FootnoteReference"/>
        </w:rPr>
        <w:footnoteReference w:id="35"/>
      </w:r>
      <w:r>
        <w:t xml:space="preserve"> </w:t>
      </w:r>
      <w:r w:rsidRPr="00B5036C">
        <w:t xml:space="preserve">Indeed, several sub-components of strategic planning </w:t>
      </w:r>
      <w:r w:rsidR="00AE4E15">
        <w:t>(</w:t>
      </w:r>
      <w:r w:rsidRPr="00B5036C">
        <w:t xml:space="preserve">including defining corporate purpose, scanning business environment, identification of strategic issues, strategy choice and setting up of </w:t>
      </w:r>
      <w:r w:rsidRPr="00B5036C">
        <w:lastRenderedPageBreak/>
        <w:t xml:space="preserve">implementation, evaluation and control systems) have been found to be </w:t>
      </w:r>
      <w:r w:rsidR="00D942F5">
        <w:t xml:space="preserve">associated </w:t>
      </w:r>
      <w:r w:rsidRPr="00B5036C">
        <w:t>with company performance</w:t>
      </w:r>
      <w:r>
        <w:t>.</w:t>
      </w:r>
      <w:r w:rsidR="00AE4E15" w:rsidRPr="00AE4E15">
        <w:rPr>
          <w:rStyle w:val="FootnoteReference"/>
        </w:rPr>
        <w:t xml:space="preserve"> </w:t>
      </w:r>
      <w:r w:rsidR="00AE4E15">
        <w:rPr>
          <w:rStyle w:val="FootnoteReference"/>
        </w:rPr>
        <w:footnoteReference w:id="36"/>
      </w:r>
      <w:r w:rsidR="00AE4E15">
        <w:rPr>
          <w:rStyle w:val="FootnoteReference"/>
        </w:rPr>
        <w:t xml:space="preserve"> </w:t>
      </w:r>
    </w:p>
    <w:p w14:paraId="544E874A" w14:textId="03BC7D91" w:rsidR="00AB0A60" w:rsidRDefault="00AE4E15" w:rsidP="0092649D">
      <w:pPr>
        <w:pStyle w:val="BodyText"/>
      </w:pPr>
      <w:r>
        <w:t>S</w:t>
      </w:r>
      <w:r w:rsidR="00AB0A60">
        <w:t xml:space="preserve">everal associations between management capability and firm behaviours found in the MCM module suggest </w:t>
      </w:r>
      <w:r w:rsidR="00D509AF">
        <w:t xml:space="preserve">a </w:t>
      </w:r>
      <w:r w:rsidR="00AB0A60">
        <w:t>potential mechanism through which a causal relationship may operate.</w:t>
      </w:r>
    </w:p>
    <w:p w14:paraId="531D1006" w14:textId="368F1EEB" w:rsidR="00D028AC" w:rsidRDefault="00D028AC" w:rsidP="00E356E6">
      <w:pPr>
        <w:pStyle w:val="CaptionWide"/>
        <w:ind w:left="-1701"/>
      </w:pPr>
      <w:r>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6</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1</w:t>
      </w:r>
      <w:r w:rsidRPr="000618FB">
        <w:fldChar w:fldCharType="end"/>
      </w:r>
      <w:r>
        <w:t xml:space="preserve">: </w:t>
      </w:r>
      <w:r w:rsidR="004A4C0B">
        <w:t>Strategic management and labour productivity</w:t>
      </w:r>
      <w:r>
        <w:t xml:space="preserve"> </w:t>
      </w:r>
    </w:p>
    <w:tbl>
      <w:tblPr>
        <w:tblStyle w:val="OCETable"/>
        <w:tblW w:w="6508" w:type="pct"/>
        <w:tblInd w:w="-1985" w:type="dxa"/>
        <w:tblLayout w:type="fixed"/>
        <w:tblLook w:val="04A0" w:firstRow="1" w:lastRow="0" w:firstColumn="1" w:lastColumn="0" w:noHBand="0" w:noVBand="1"/>
        <w:tblCaption w:val="This table contains figures 6.1a and 6.1b"/>
      </w:tblPr>
      <w:tblGrid>
        <w:gridCol w:w="4856"/>
        <w:gridCol w:w="4117"/>
      </w:tblGrid>
      <w:tr w:rsidR="00884453" w14:paraId="05139229" w14:textId="77777777" w:rsidTr="003C7AB7">
        <w:trPr>
          <w:cnfStyle w:val="100000000000" w:firstRow="1" w:lastRow="0" w:firstColumn="0" w:lastColumn="0" w:oddVBand="0" w:evenVBand="0" w:oddHBand="0" w:evenHBand="0" w:firstRowFirstColumn="0" w:firstRowLastColumn="0" w:lastRowFirstColumn="0" w:lastRowLastColumn="0"/>
          <w:tblHeader/>
        </w:trPr>
        <w:tc>
          <w:tcPr>
            <w:tcW w:w="48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9B0479C" w14:textId="4B261C4E" w:rsidR="00884453" w:rsidRPr="00E356E6" w:rsidRDefault="00884453" w:rsidP="00E356E6">
            <w:pPr>
              <w:pStyle w:val="PlaceholderWide"/>
              <w:numPr>
                <w:ilvl w:val="0"/>
                <w:numId w:val="46"/>
              </w:numPr>
              <w:tabs>
                <w:tab w:val="center" w:pos="1324"/>
              </w:tabs>
              <w:ind w:left="601" w:hanging="425"/>
              <w:jc w:val="left"/>
              <w:rPr>
                <w:b/>
                <w:noProof/>
                <w:color w:val="005CAF"/>
                <w:lang w:eastAsia="en-AU"/>
              </w:rPr>
            </w:pPr>
            <w:r w:rsidRPr="00E356E6">
              <w:rPr>
                <w:b/>
                <w:noProof/>
                <w:color w:val="005CAF"/>
                <w:lang w:eastAsia="en-AU"/>
              </w:rPr>
              <w:t>Labour productivity and mangement capability</w:t>
            </w:r>
          </w:p>
        </w:tc>
        <w:tc>
          <w:tcPr>
            <w:tcW w:w="4117"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7AB82294" w14:textId="658F8551" w:rsidR="00884453" w:rsidRPr="00E356E6" w:rsidRDefault="00884453" w:rsidP="00E356E6">
            <w:pPr>
              <w:pStyle w:val="PlaceholderWide"/>
              <w:numPr>
                <w:ilvl w:val="0"/>
                <w:numId w:val="46"/>
              </w:numPr>
              <w:ind w:left="707" w:hanging="567"/>
              <w:jc w:val="left"/>
              <w:rPr>
                <w:noProof/>
                <w:color w:val="005CAF"/>
                <w:lang w:eastAsia="en-AU"/>
              </w:rPr>
            </w:pPr>
            <w:r w:rsidRPr="00E356E6">
              <w:rPr>
                <w:b/>
                <w:noProof/>
                <w:color w:val="005CAF"/>
                <w:lang w:eastAsia="en-AU"/>
              </w:rPr>
              <w:t>Labour productivity and mangement capability by firm size</w:t>
            </w:r>
          </w:p>
        </w:tc>
      </w:tr>
      <w:tr w:rsidR="00884453" w14:paraId="0BA85B4E" w14:textId="77777777" w:rsidTr="003C7AB7">
        <w:trPr>
          <w:cnfStyle w:val="100000000000" w:firstRow="1" w:lastRow="0" w:firstColumn="0" w:lastColumn="0" w:oddVBand="0" w:evenVBand="0" w:oddHBand="0" w:evenHBand="0" w:firstRowFirstColumn="0" w:firstRowLastColumn="0" w:lastRowFirstColumn="0" w:lastRowLastColumn="0"/>
          <w:tblHeader/>
        </w:trPr>
        <w:tc>
          <w:tcPr>
            <w:tcW w:w="4856" w:type="dxa"/>
            <w:shd w:val="clear" w:color="auto" w:fill="auto"/>
          </w:tcPr>
          <w:p w14:paraId="20C6EA55" w14:textId="1EE3DAEE" w:rsidR="00884453" w:rsidRDefault="00884453" w:rsidP="00884453">
            <w:pPr>
              <w:pStyle w:val="PlaceholderWide"/>
              <w:ind w:left="-1985"/>
              <w:jc w:val="both"/>
            </w:pPr>
            <w:r>
              <w:rPr>
                <w:noProof/>
                <w:lang w:eastAsia="en-AU"/>
              </w:rPr>
              <w:drawing>
                <wp:anchor distT="0" distB="0" distL="114300" distR="114300" simplePos="0" relativeHeight="251658254" behindDoc="0" locked="0" layoutInCell="1" allowOverlap="1" wp14:anchorId="57149881" wp14:editId="0C5C9E3F">
                  <wp:simplePos x="0" y="0"/>
                  <wp:positionH relativeFrom="margin">
                    <wp:posOffset>-68217</wp:posOffset>
                  </wp:positionH>
                  <wp:positionV relativeFrom="margin">
                    <wp:posOffset>136071</wp:posOffset>
                  </wp:positionV>
                  <wp:extent cx="3082925" cy="2782388"/>
                  <wp:effectExtent l="0" t="0" r="3175" b="0"/>
                  <wp:wrapSquare wrapText="bothSides"/>
                  <wp:docPr id="1" name="Chart 1" descr="Figure 6.1a is a column chart showing the average labour productivity for each management category. Low Engagement (around $66 000 per worker) firms have the lowest productivity, followed by Ad Hoc ($76 000 per worker), Narrow Focus ($84 000 per worker) and Strategic Management firms (122 000 per worker). " title="Figure 6.1a"/>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tc>
        <w:tc>
          <w:tcPr>
            <w:tcW w:w="4117" w:type="dxa"/>
            <w:shd w:val="clear" w:color="auto" w:fill="auto"/>
          </w:tcPr>
          <w:p w14:paraId="790D3B49" w14:textId="171325DB" w:rsidR="00884453" w:rsidRDefault="00884453" w:rsidP="00884453">
            <w:pPr>
              <w:pStyle w:val="PlaceholderWide"/>
              <w:ind w:left="-1985"/>
              <w:jc w:val="right"/>
            </w:pPr>
            <w:r>
              <w:rPr>
                <w:noProof/>
                <w:lang w:eastAsia="en-AU"/>
              </w:rPr>
              <w:drawing>
                <wp:inline distT="0" distB="0" distL="0" distR="0" wp14:anchorId="54A01128" wp14:editId="602ECD65">
                  <wp:extent cx="2477135" cy="2965269"/>
                  <wp:effectExtent l="0" t="0" r="0" b="6985"/>
                  <wp:docPr id="10" name="Chart 10" descr="Figure 6.1b is a line chart showing the line of best fit produced by a regression of labour productivity on total employment, with labour productivity modelled as a third degree polynomial in total employment for each management classification. For all groups, labour productivity increases with firm size. For all levels of employment, labour productivity is higher in Strategic firms, followed by Ad Hoc, Narrow Focus and Low Engagement. " title="Figure 6.1b"/>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39F64C92" w14:textId="70A8867B" w:rsidR="0028490D" w:rsidRPr="00C62F3A" w:rsidRDefault="00D028AC" w:rsidP="00E356E6">
      <w:pPr>
        <w:pStyle w:val="NoteWide"/>
        <w:ind w:left="-1701"/>
        <w:jc w:val="left"/>
      </w:pPr>
      <w:r>
        <w:t xml:space="preserve">Notes: </w:t>
      </w:r>
      <w:r w:rsidR="00C74A18">
        <w:t xml:space="preserve">The right-hand panel represents the line of best fit produced by a regression of labour productivity on total employment, with labour productivity modelled as </w:t>
      </w:r>
      <w:r w:rsidR="004A32F3">
        <w:t>third</w:t>
      </w:r>
      <w:r w:rsidR="00C74A18">
        <w:t xml:space="preserve"> degree polynomial in total employment. F</w:t>
      </w:r>
      <w:r w:rsidR="00F518FB">
        <w:t xml:space="preserve">irms with negative labour productivity or productivity in the top </w:t>
      </w:r>
      <w:r w:rsidR="00C57384">
        <w:t>five</w:t>
      </w:r>
      <w:r w:rsidR="00F518FB">
        <w:t xml:space="preserve"> per cent of firms have been removed. </w:t>
      </w:r>
      <w:r w:rsidR="002F6C30">
        <w:t>The model has been applied to all levels of employment, however predicted values are only presented for employment levels that have sufficient underlying observations for all levels of strategic management.</w:t>
      </w:r>
      <w:r w:rsidR="00D118D0">
        <w:t xml:space="preserve"> </w:t>
      </w:r>
      <w:r w:rsidR="0028490D">
        <w:t>Labour productivity is calculated as turnover</w:t>
      </w:r>
      <w:r w:rsidR="00EE44A0">
        <w:t xml:space="preserve"> less non-capital purchases, </w:t>
      </w:r>
      <w:r w:rsidR="0028490D">
        <w:t xml:space="preserve">divided by number of employees (both values </w:t>
      </w:r>
      <w:r w:rsidR="00EE44A0">
        <w:t xml:space="preserve">refer to the </w:t>
      </w:r>
      <w:r w:rsidR="0028490D">
        <w:t xml:space="preserve">same years). </w:t>
      </w:r>
    </w:p>
    <w:p w14:paraId="697FE294" w14:textId="0F0264A0" w:rsidR="00D028AC" w:rsidRDefault="00D028AC" w:rsidP="00E356E6">
      <w:pPr>
        <w:pStyle w:val="SourceWide"/>
        <w:ind w:left="-1701"/>
        <w:jc w:val="left"/>
      </w:pPr>
      <w:r>
        <w:t xml:space="preserve">Source: </w:t>
      </w:r>
      <w:r w:rsidR="00EE5EAE">
        <w:t>OCE estimates based on Business Longitudinal Analysis Data Environment (2018)</w:t>
      </w:r>
    </w:p>
    <w:p w14:paraId="3995F23F" w14:textId="71BF6F0C" w:rsidR="00387724" w:rsidRDefault="00B5036C" w:rsidP="00B9070F">
      <w:pPr>
        <w:pStyle w:val="Heading1"/>
        <w:numPr>
          <w:ilvl w:val="0"/>
          <w:numId w:val="9"/>
        </w:numPr>
        <w:ind w:left="601" w:hanging="601"/>
      </w:pPr>
      <w:r>
        <w:t xml:space="preserve">Potential </w:t>
      </w:r>
      <w:r w:rsidR="00BD10FC">
        <w:t xml:space="preserve">channels </w:t>
      </w:r>
      <w:r w:rsidR="002F4E98">
        <w:t xml:space="preserve">of the </w:t>
      </w:r>
      <w:r w:rsidR="00B33391">
        <w:t xml:space="preserve">relationship between </w:t>
      </w:r>
      <w:r w:rsidR="002F4E98">
        <w:t>management</w:t>
      </w:r>
      <w:r w:rsidR="00B33391">
        <w:t xml:space="preserve"> and performance</w:t>
      </w:r>
    </w:p>
    <w:p w14:paraId="3A03D5D7" w14:textId="7B089CAC" w:rsidR="00652394" w:rsidRDefault="004C301F" w:rsidP="0092649D">
      <w:pPr>
        <w:pStyle w:val="BodyText"/>
      </w:pPr>
      <w:r w:rsidRPr="0073459E">
        <w:t xml:space="preserve">Firms </w:t>
      </w:r>
      <w:r>
        <w:t>with high levels of</w:t>
      </w:r>
      <w:r w:rsidR="00E732F1">
        <w:t xml:space="preserve"> strategic</w:t>
      </w:r>
      <w:r>
        <w:t xml:space="preserve"> management operate differently to firms with lower management capability. </w:t>
      </w:r>
      <w:r w:rsidR="00F70B98">
        <w:t xml:space="preserve">Figure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7</w:t>
      </w:r>
      <w:r w:rsidR="00C5233C">
        <w:rPr>
          <w:noProof/>
        </w:rPr>
        <w:fldChar w:fldCharType="end"/>
      </w:r>
      <w:r w:rsidR="00E70CCD" w:rsidRPr="000618FB">
        <w:t>.</w:t>
      </w:r>
      <w:r w:rsidR="00CE5E1B">
        <w:t>1</w:t>
      </w:r>
      <w:r w:rsidR="00F70B98">
        <w:t>a</w:t>
      </w:r>
      <w:r w:rsidR="00FE1642">
        <w:t xml:space="preserve"> shows that firms with higher levels of strategic capability </w:t>
      </w:r>
      <w:r w:rsidR="0027329F">
        <w:t xml:space="preserve">report higher innovation rates </w:t>
      </w:r>
      <w:r w:rsidR="00E732F1">
        <w:t>across all firm size groups</w:t>
      </w:r>
      <w:r w:rsidR="00FE1642">
        <w:t>.</w:t>
      </w:r>
      <w:r w:rsidR="00AE4E15">
        <w:rPr>
          <w:rStyle w:val="FootnoteReference"/>
        </w:rPr>
        <w:footnoteReference w:id="37"/>
      </w:r>
      <w:r w:rsidR="006C7EC1">
        <w:t xml:space="preserve"> It also shows that </w:t>
      </w:r>
      <w:r w:rsidR="0027329F">
        <w:t xml:space="preserve">this is </w:t>
      </w:r>
      <w:r w:rsidR="00AE4E15">
        <w:t>difference</w:t>
      </w:r>
      <w:r w:rsidR="0027329F">
        <w:t xml:space="preserve"> </w:t>
      </w:r>
      <w:r w:rsidR="006C7EC1">
        <w:t xml:space="preserve">is largest for smaller firms. A similar pattern is observed for the relationship between strategic management and search for collaborative opportunities. Across all firm size groups, firms </w:t>
      </w:r>
      <w:r w:rsidR="006C7EC1">
        <w:lastRenderedPageBreak/>
        <w:t>with higher levels of strategic capability are more likely to re</w:t>
      </w:r>
      <w:r w:rsidR="00D942F5">
        <w:t>port searching for collaborative</w:t>
      </w:r>
      <w:r w:rsidR="006C7EC1">
        <w:t xml:space="preserve"> opportunities (</w:t>
      </w:r>
      <w:r w:rsidR="008D2F8B">
        <w:t>F</w:t>
      </w:r>
      <w:r w:rsidR="006C7EC1">
        <w:t xml:space="preserve">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7</w:t>
      </w:r>
      <w:r w:rsidR="00C5233C">
        <w:rPr>
          <w:noProof/>
        </w:rPr>
        <w:fldChar w:fldCharType="end"/>
      </w:r>
      <w:r w:rsidR="00E70CCD" w:rsidRPr="000618FB">
        <w:t>.</w:t>
      </w:r>
      <w:r w:rsidR="00CE5E1B">
        <w:t>1</w:t>
      </w:r>
      <w:r w:rsidR="00F70B98">
        <w:t>b</w:t>
      </w:r>
      <w:r w:rsidR="00E70CCD">
        <w:t>)</w:t>
      </w:r>
      <w:r w:rsidR="006C7EC1">
        <w:t xml:space="preserve">. Moreover, </w:t>
      </w:r>
      <w:r w:rsidR="008D2F8B">
        <w:t>F</w:t>
      </w:r>
      <w:r w:rsidR="006C7EC1">
        <w:t xml:space="preserve">igures </w:t>
      </w:r>
      <w:r w:rsidR="00C5233C">
        <w:rPr>
          <w:noProof/>
        </w:rPr>
        <w:fldChar w:fldCharType="begin"/>
      </w:r>
      <w:r w:rsidR="00C5233C">
        <w:rPr>
          <w:noProof/>
        </w:rPr>
        <w:instrText xml:space="preserve"> STYLEREF 1 \s </w:instrText>
      </w:r>
      <w:r w:rsidR="00C5233C">
        <w:rPr>
          <w:noProof/>
        </w:rPr>
        <w:fldChar w:fldCharType="separate"/>
      </w:r>
      <w:r w:rsidR="0001154F">
        <w:rPr>
          <w:noProof/>
        </w:rPr>
        <w:t>7</w:t>
      </w:r>
      <w:r w:rsidR="00C5233C">
        <w:rPr>
          <w:noProof/>
        </w:rPr>
        <w:fldChar w:fldCharType="end"/>
      </w:r>
      <w:r w:rsidR="00E70CCD" w:rsidRPr="000618FB">
        <w:t>.</w:t>
      </w:r>
      <w:r w:rsidR="00CE5E1B">
        <w:t>1</w:t>
      </w:r>
      <w:r w:rsidR="00F70B98">
        <w:t>c</w:t>
      </w:r>
      <w:r w:rsidR="006C7EC1">
        <w:t xml:space="preserve"> and </w:t>
      </w:r>
      <w:r w:rsidR="00C5233C">
        <w:rPr>
          <w:noProof/>
        </w:rPr>
        <w:fldChar w:fldCharType="begin"/>
      </w:r>
      <w:r w:rsidR="00C5233C">
        <w:rPr>
          <w:noProof/>
        </w:rPr>
        <w:instrText xml:space="preserve"> STYLEREF 1 \s </w:instrText>
      </w:r>
      <w:r w:rsidR="00C5233C">
        <w:rPr>
          <w:noProof/>
        </w:rPr>
        <w:fldChar w:fldCharType="separate"/>
      </w:r>
      <w:r w:rsidR="0001154F">
        <w:rPr>
          <w:noProof/>
        </w:rPr>
        <w:t>7</w:t>
      </w:r>
      <w:r w:rsidR="00C5233C">
        <w:rPr>
          <w:noProof/>
        </w:rPr>
        <w:fldChar w:fldCharType="end"/>
      </w:r>
      <w:r w:rsidR="00E70CCD" w:rsidRPr="000618FB">
        <w:t>.</w:t>
      </w:r>
      <w:r w:rsidR="00CE5E1B">
        <w:t>1</w:t>
      </w:r>
      <w:r w:rsidR="00F70B98">
        <w:t>d</w:t>
      </w:r>
      <w:r w:rsidR="006C7EC1">
        <w:t xml:space="preserve"> suggest that firms </w:t>
      </w:r>
      <w:r w:rsidR="00A7025A">
        <w:t>in</w:t>
      </w:r>
      <w:r w:rsidR="006C7EC1">
        <w:t xml:space="preserve"> higher strategic management </w:t>
      </w:r>
      <w:r w:rsidR="00A7025A">
        <w:t xml:space="preserve">categories </w:t>
      </w:r>
      <w:r w:rsidR="006C7EC1">
        <w:t xml:space="preserve">are more </w:t>
      </w:r>
      <w:r w:rsidR="00A7025A">
        <w:t>likely to report taking steps to address skill and supply chain issues.</w:t>
      </w:r>
    </w:p>
    <w:p w14:paraId="7FFD7672" w14:textId="634E0ADE" w:rsidR="00A9116F" w:rsidRDefault="00A9116F" w:rsidP="0092649D">
      <w:pPr>
        <w:pStyle w:val="BodyText"/>
      </w:pPr>
      <w:r>
        <w:t>All of these firm behaviours are plausi</w:t>
      </w:r>
      <w:r w:rsidR="00E732F1">
        <w:t xml:space="preserve">ble </w:t>
      </w:r>
      <w:r w:rsidR="00A7025A">
        <w:t>drivers of the</w:t>
      </w:r>
      <w:r>
        <w:t xml:space="preserve"> relationship between strategic management and </w:t>
      </w:r>
      <w:r w:rsidR="00E732F1">
        <w:t>firm</w:t>
      </w:r>
      <w:r>
        <w:t xml:space="preserve"> performance. Innovation and collaboration have been found to drive better firm performance (see, for example, Majeed forthcoming) and both</w:t>
      </w:r>
      <w:r w:rsidR="00E732F1">
        <w:t xml:space="preserve"> are</w:t>
      </w:r>
      <w:r>
        <w:t xml:space="preserve"> activities enabled by foresight and long</w:t>
      </w:r>
      <w:r w:rsidR="004A32F3">
        <w:t>-</w:t>
      </w:r>
      <w:r>
        <w:t xml:space="preserve">term planning. Similarly, active supply chain management </w:t>
      </w:r>
      <w:r w:rsidR="004E0B7E">
        <w:t>is</w:t>
      </w:r>
      <w:r>
        <w:t xml:space="preserve"> associated with better firm performance (see, for example</w:t>
      </w:r>
      <w:r w:rsidR="00D35F58">
        <w:t>, Hsu et al.</w:t>
      </w:r>
      <w:r w:rsidR="002A4DCE">
        <w:rPr>
          <w:rStyle w:val="FootnoteReference"/>
        </w:rPr>
        <w:footnoteReference w:id="38"/>
      </w:r>
      <w:r w:rsidR="001B2C4F">
        <w:t>)</w:t>
      </w:r>
      <w:r>
        <w:t xml:space="preserve">. </w:t>
      </w:r>
    </w:p>
    <w:p w14:paraId="1A68256D" w14:textId="03F670FF" w:rsidR="00541AE1" w:rsidRDefault="00541AE1" w:rsidP="00503403">
      <w:pPr>
        <w:pStyle w:val="CaptionWide"/>
        <w:spacing w:after="120"/>
        <w:ind w:left="-1701" w:hanging="142"/>
      </w:pPr>
      <w:r>
        <w:lastRenderedPageBreak/>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7</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1</w:t>
      </w:r>
      <w:r w:rsidRPr="000618FB">
        <w:fldChar w:fldCharType="end"/>
      </w:r>
      <w:r>
        <w:t xml:space="preserve">: Management capability and firm behaviour </w:t>
      </w:r>
    </w:p>
    <w:tbl>
      <w:tblPr>
        <w:tblStyle w:val="OCETable"/>
        <w:tblW w:w="6379" w:type="pct"/>
        <w:tblInd w:w="-1843" w:type="dxa"/>
        <w:tblLayout w:type="fixed"/>
        <w:tblLook w:val="04A0" w:firstRow="1" w:lastRow="0" w:firstColumn="1" w:lastColumn="0" w:noHBand="0" w:noVBand="1"/>
        <w:tblCaption w:val="This table contains figures 7.1a, b, c and d"/>
      </w:tblPr>
      <w:tblGrid>
        <w:gridCol w:w="4255"/>
        <w:gridCol w:w="142"/>
        <w:gridCol w:w="4256"/>
        <w:gridCol w:w="142"/>
      </w:tblGrid>
      <w:tr w:rsidR="00AA28CD" w14:paraId="241AF7EE" w14:textId="77777777" w:rsidTr="003E7BBF">
        <w:trPr>
          <w:gridAfter w:val="1"/>
          <w:cnfStyle w:val="100000000000" w:firstRow="1" w:lastRow="0" w:firstColumn="0" w:lastColumn="0" w:oddVBand="0" w:evenVBand="0" w:oddHBand="0" w:evenHBand="0" w:firstRowFirstColumn="0" w:firstRowLastColumn="0" w:lastRowFirstColumn="0" w:lastRowLastColumn="0"/>
          <w:wAfter w:w="142" w:type="dxa"/>
          <w:trHeight w:val="151"/>
          <w:tblHeader/>
        </w:trPr>
        <w:tc>
          <w:tcPr>
            <w:tcW w:w="4255" w:type="dxa"/>
            <w:shd w:val="clear" w:color="auto" w:fill="auto"/>
          </w:tcPr>
          <w:p w14:paraId="53F3093C" w14:textId="7ECE3B6B" w:rsidR="00AA28CD" w:rsidRPr="00503403" w:rsidRDefault="00AA28CD" w:rsidP="00832D9D">
            <w:pPr>
              <w:pStyle w:val="PlaceholderWide"/>
              <w:numPr>
                <w:ilvl w:val="0"/>
                <w:numId w:val="48"/>
              </w:numPr>
              <w:ind w:left="459" w:hanging="567"/>
              <w:jc w:val="left"/>
              <w:rPr>
                <w:b/>
                <w:color w:val="005CAF"/>
              </w:rPr>
            </w:pPr>
            <w:r w:rsidRPr="00503403">
              <w:rPr>
                <w:b/>
                <w:color w:val="005CAF"/>
              </w:rPr>
              <w:t>Rate of Innovation</w:t>
            </w:r>
          </w:p>
          <w:p w14:paraId="2DB63630" w14:textId="2B00AF51" w:rsidR="00AA28CD" w:rsidRDefault="00033A8B" w:rsidP="00832D9D">
            <w:pPr>
              <w:pStyle w:val="PlaceholderWide"/>
              <w:ind w:left="459" w:hanging="567"/>
            </w:pPr>
            <w:r>
              <w:rPr>
                <w:noProof/>
                <w:lang w:eastAsia="en-AU"/>
              </w:rPr>
              <w:drawing>
                <wp:inline distT="0" distB="0" distL="0" distR="0" wp14:anchorId="545283D3" wp14:editId="146D2867">
                  <wp:extent cx="2654935" cy="2880000"/>
                  <wp:effectExtent l="0" t="0" r="0" b="0"/>
                  <wp:docPr id="9" name="Chart 9" descr="Figure 7.1a is a column chart that shows the share of firms that report innovating according to firm size and strategic management classification. It shows that for each firm size, higher levels of strategic management are associated with higher rates of innovation." title="Figure 7.1a"/>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4398" w:type="dxa"/>
            <w:gridSpan w:val="2"/>
            <w:shd w:val="clear" w:color="auto" w:fill="auto"/>
          </w:tcPr>
          <w:p w14:paraId="42499EC9" w14:textId="1EB8A30C" w:rsidR="00AA28CD" w:rsidRPr="00503403" w:rsidRDefault="00D118D0" w:rsidP="00832D9D">
            <w:pPr>
              <w:pStyle w:val="PlaceholderWide"/>
              <w:numPr>
                <w:ilvl w:val="0"/>
                <w:numId w:val="48"/>
              </w:numPr>
              <w:jc w:val="left"/>
              <w:rPr>
                <w:b/>
                <w:color w:val="005CAF"/>
              </w:rPr>
            </w:pPr>
            <w:r w:rsidRPr="00503403">
              <w:rPr>
                <w:noProof/>
                <w:color w:val="005CAF"/>
                <w:lang w:eastAsia="en-AU"/>
              </w:rPr>
              <w:drawing>
                <wp:anchor distT="0" distB="0" distL="114300" distR="114300" simplePos="0" relativeHeight="251658242" behindDoc="0" locked="0" layoutInCell="1" allowOverlap="1" wp14:anchorId="36B151DD" wp14:editId="23F54114">
                  <wp:simplePos x="0" y="0"/>
                  <wp:positionH relativeFrom="column">
                    <wp:posOffset>-67945</wp:posOffset>
                  </wp:positionH>
                  <wp:positionV relativeFrom="paragraph">
                    <wp:posOffset>144780</wp:posOffset>
                  </wp:positionV>
                  <wp:extent cx="2740025" cy="2880000"/>
                  <wp:effectExtent l="0" t="0" r="3175" b="0"/>
                  <wp:wrapSquare wrapText="bothSides"/>
                  <wp:docPr id="43" name="Chart 43" descr="Figure 7.1b is a column chart that shows the share of firms that report seeking collaborate opportunities according to firm size and strategic management classification. It shows that for each firm size, higher levels of strategic management are associated with more firms seeking collaborative opportunities. " title="Figure 7.1b"/>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r w:rsidR="00AA28CD" w:rsidRPr="00503403">
              <w:rPr>
                <w:b/>
                <w:color w:val="005CAF"/>
              </w:rPr>
              <w:t>Search for collaboration</w:t>
            </w:r>
          </w:p>
          <w:p w14:paraId="1D5D6C93" w14:textId="7EBDD3CD" w:rsidR="00AA28CD" w:rsidRDefault="00AA28CD" w:rsidP="00223539">
            <w:pPr>
              <w:pStyle w:val="PlaceholderWide"/>
            </w:pPr>
          </w:p>
        </w:tc>
      </w:tr>
      <w:tr w:rsidR="00AA28CD" w14:paraId="35182A8E" w14:textId="77777777" w:rsidTr="003E7BBF">
        <w:trPr>
          <w:cnfStyle w:val="100000000000" w:firstRow="1" w:lastRow="0" w:firstColumn="0" w:lastColumn="0" w:oddVBand="0" w:evenVBand="0" w:oddHBand="0" w:evenHBand="0" w:firstRowFirstColumn="0" w:firstRowLastColumn="0" w:lastRowFirstColumn="0" w:lastRowLastColumn="0"/>
          <w:trHeight w:val="150"/>
          <w:tblHeader/>
        </w:trPr>
        <w:tc>
          <w:tcPr>
            <w:tcW w:w="4397" w:type="dxa"/>
            <w:gridSpan w:val="2"/>
            <w:shd w:val="clear" w:color="auto" w:fill="auto"/>
          </w:tcPr>
          <w:p w14:paraId="39A6259A" w14:textId="56820A8A" w:rsidR="00AA28CD" w:rsidRPr="003F45DF" w:rsidRDefault="00D118D0" w:rsidP="00832D9D">
            <w:pPr>
              <w:pStyle w:val="PlaceholderWide"/>
              <w:numPr>
                <w:ilvl w:val="0"/>
                <w:numId w:val="48"/>
              </w:numPr>
              <w:ind w:left="459" w:hanging="567"/>
              <w:jc w:val="left"/>
              <w:rPr>
                <w:b/>
              </w:rPr>
            </w:pPr>
            <w:r w:rsidRPr="00503403">
              <w:rPr>
                <w:noProof/>
                <w:color w:val="005CAF"/>
                <w:lang w:eastAsia="en-AU"/>
              </w:rPr>
              <w:drawing>
                <wp:anchor distT="0" distB="0" distL="114300" distR="114300" simplePos="0" relativeHeight="251658243" behindDoc="0" locked="0" layoutInCell="1" allowOverlap="1" wp14:anchorId="13951117" wp14:editId="72288117">
                  <wp:simplePos x="0" y="0"/>
                  <wp:positionH relativeFrom="column">
                    <wp:posOffset>-61595</wp:posOffset>
                  </wp:positionH>
                  <wp:positionV relativeFrom="paragraph">
                    <wp:posOffset>139700</wp:posOffset>
                  </wp:positionV>
                  <wp:extent cx="2739390" cy="2880000"/>
                  <wp:effectExtent l="0" t="0" r="3810" b="0"/>
                  <wp:wrapSquare wrapText="bothSides"/>
                  <wp:docPr id="40" name="Chart 40" descr="Figure 7.1c is a column chart that shows the share of firms that report addressing skill deficiencies according to firm size and strategic management classification. It shows that for each firm size, higher levels of strategic management are associated with more firms addressing skill deficiencies. " title="Figure 7.1c"/>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V relativeFrom="margin">
                    <wp14:pctHeight>0</wp14:pctHeight>
                  </wp14:sizeRelV>
                </wp:anchor>
              </w:drawing>
            </w:r>
            <w:r w:rsidR="00AA28CD" w:rsidRPr="00503403">
              <w:rPr>
                <w:b/>
                <w:color w:val="005CAF"/>
              </w:rPr>
              <w:t>Responsiveness to skill deficiencies</w:t>
            </w:r>
          </w:p>
          <w:p w14:paraId="35FD4B01" w14:textId="1857A949" w:rsidR="00AA28CD" w:rsidRDefault="00AA28CD" w:rsidP="00223539">
            <w:pPr>
              <w:pStyle w:val="PlaceholderWide"/>
            </w:pPr>
          </w:p>
        </w:tc>
        <w:tc>
          <w:tcPr>
            <w:tcW w:w="4398" w:type="dxa"/>
            <w:gridSpan w:val="2"/>
            <w:shd w:val="clear" w:color="auto" w:fill="auto"/>
          </w:tcPr>
          <w:p w14:paraId="513338D5" w14:textId="77777777" w:rsidR="00AA28CD" w:rsidRPr="003F45DF" w:rsidRDefault="00AA28CD" w:rsidP="00503403">
            <w:pPr>
              <w:pStyle w:val="PlaceholderWide"/>
              <w:ind w:left="315"/>
              <w:rPr>
                <w:b/>
              </w:rPr>
            </w:pPr>
            <w:r w:rsidRPr="00503403">
              <w:rPr>
                <w:b/>
                <w:noProof/>
                <w:color w:val="005CAF"/>
                <w:lang w:eastAsia="en-AU"/>
              </w:rPr>
              <w:drawing>
                <wp:anchor distT="0" distB="0" distL="114300" distR="114300" simplePos="0" relativeHeight="251658244" behindDoc="0" locked="0" layoutInCell="1" allowOverlap="1" wp14:anchorId="7175EEAE" wp14:editId="17EC7938">
                  <wp:simplePos x="0" y="0"/>
                  <wp:positionH relativeFrom="column">
                    <wp:posOffset>-67945</wp:posOffset>
                  </wp:positionH>
                  <wp:positionV relativeFrom="paragraph">
                    <wp:posOffset>139700</wp:posOffset>
                  </wp:positionV>
                  <wp:extent cx="2745740" cy="2880000"/>
                  <wp:effectExtent l="0" t="0" r="0" b="0"/>
                  <wp:wrapSquare wrapText="bothSides"/>
                  <wp:docPr id="41" name="Chart 41" descr="Figure 7.1d is a column chart that shows the share of firms that report addressing supply chain issues according to firm size and strategic management classification. Broadly, it shows that for each firm size, higher levels of strategic management are associated with more firms addressing supply chain issues. However, for firms with 0 to 4 employees and firms with 200 or more employees, firms classified with Narrow-Focus management have the highest rates of responsiveness." title="Figure 7.1d"/>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14:sizeRelH relativeFrom="margin">
                    <wp14:pctWidth>0</wp14:pctWidth>
                  </wp14:sizeRelH>
                  <wp14:sizeRelV relativeFrom="margin">
                    <wp14:pctHeight>0</wp14:pctHeight>
                  </wp14:sizeRelV>
                </wp:anchor>
              </w:drawing>
            </w:r>
            <w:r w:rsidRPr="00503403">
              <w:rPr>
                <w:b/>
                <w:color w:val="005CAF"/>
              </w:rPr>
              <w:t>(d)</w:t>
            </w:r>
            <w:r w:rsidRPr="003F45DF">
              <w:rPr>
                <w:b/>
              </w:rPr>
              <w:tab/>
            </w:r>
            <w:r w:rsidRPr="00503403">
              <w:rPr>
                <w:b/>
                <w:color w:val="005CAF"/>
              </w:rPr>
              <w:t>Responsiveness to supply chain issues</w:t>
            </w:r>
          </w:p>
        </w:tc>
      </w:tr>
    </w:tbl>
    <w:p w14:paraId="4749D583" w14:textId="35842A65" w:rsidR="00541AE1" w:rsidRPr="00C62F3A" w:rsidRDefault="00541AE1" w:rsidP="00503403">
      <w:pPr>
        <w:pStyle w:val="NoteWide"/>
        <w:ind w:left="-1843"/>
      </w:pPr>
      <w:r>
        <w:t xml:space="preserve">Notes: </w:t>
      </w:r>
      <w:r w:rsidR="00750B2F">
        <w:t>Missing columns</w:t>
      </w:r>
      <w:r w:rsidR="00682CDE">
        <w:t xml:space="preserve"> indicate instances where insufficient observations are available.</w:t>
      </w:r>
      <w:r w:rsidR="00FC5770">
        <w:t xml:space="preserve"> </w:t>
      </w:r>
      <w:r w:rsidR="00C45184">
        <w:t xml:space="preserve">“Rate of Innovation” indicates the share of firms that report any innovation. Firms recorded as searching for collaborative opportunities either agree or strongly agree with the statement “this business continually seeks out new partners to collaborate with”. </w:t>
      </w:r>
      <w:r w:rsidR="004F5699">
        <w:t>Firm recorded as responsive to skill shortages of supply chain issues are those that report taking some</w:t>
      </w:r>
      <w:r w:rsidR="00750B2F">
        <w:t xml:space="preserve"> action to address these issues if an issue is reported.</w:t>
      </w:r>
      <w:r w:rsidR="00AA28CD">
        <w:t xml:space="preserve"> </w:t>
      </w:r>
    </w:p>
    <w:p w14:paraId="6E8CBC4D" w14:textId="76ADC9C4" w:rsidR="00B33391" w:rsidRDefault="00541AE1" w:rsidP="00503403">
      <w:pPr>
        <w:pStyle w:val="SourceWide"/>
        <w:ind w:left="-1843"/>
      </w:pPr>
      <w:r>
        <w:t xml:space="preserve">Source: </w:t>
      </w:r>
      <w:r w:rsidR="001E535D">
        <w:t xml:space="preserve">Authors’ </w:t>
      </w:r>
      <w:r w:rsidR="00EE5EAE">
        <w:t>estimates based on Business Longitudinal Analysis Data Environment (2018)</w:t>
      </w:r>
    </w:p>
    <w:p w14:paraId="5A5D39BA" w14:textId="77777777" w:rsidR="00D118D0" w:rsidRDefault="00D118D0" w:rsidP="0092649D">
      <w:pPr>
        <w:spacing w:after="200" w:line="276" w:lineRule="auto"/>
        <w:ind w:left="0"/>
        <w:jc w:val="left"/>
        <w:rPr>
          <w:rFonts w:asciiTheme="majorHAnsi" w:eastAsia="Times New Roman" w:hAnsiTheme="majorHAnsi" w:cs="Arial"/>
          <w:b/>
          <w:bCs/>
          <w:color w:val="005CAF"/>
          <w:kern w:val="32"/>
          <w:sz w:val="32"/>
          <w:szCs w:val="32"/>
        </w:rPr>
      </w:pPr>
      <w:r>
        <w:br w:type="page"/>
      </w:r>
    </w:p>
    <w:p w14:paraId="539052C0" w14:textId="32CC1563" w:rsidR="00170354" w:rsidRDefault="00B33391" w:rsidP="002468C0">
      <w:pPr>
        <w:pStyle w:val="Heading1"/>
        <w:numPr>
          <w:ilvl w:val="0"/>
          <w:numId w:val="9"/>
        </w:numPr>
        <w:ind w:left="601" w:hanging="601"/>
      </w:pPr>
      <w:r>
        <w:lastRenderedPageBreak/>
        <w:t>P</w:t>
      </w:r>
      <w:r w:rsidR="00B5036C">
        <w:t>otential</w:t>
      </w:r>
      <w:r>
        <w:t xml:space="preserve"> drivers of</w:t>
      </w:r>
      <w:r w:rsidR="004A32F3">
        <w:t xml:space="preserve"> strategic</w:t>
      </w:r>
      <w:r>
        <w:t xml:space="preserve"> management capability</w:t>
      </w:r>
    </w:p>
    <w:p w14:paraId="73A84001" w14:textId="0F3BBBE8" w:rsidR="004F3F11" w:rsidRDefault="009F070B" w:rsidP="0092649D">
      <w:pPr>
        <w:pStyle w:val="BodyText"/>
      </w:pPr>
      <w:r>
        <w:t>Given the apparent benefits of better</w:t>
      </w:r>
      <w:r w:rsidR="00E732F1">
        <w:t xml:space="preserve"> strategic</w:t>
      </w:r>
      <w:r>
        <w:t xml:space="preserve"> management capability, how might </w:t>
      </w:r>
      <w:r w:rsidR="00D942F5">
        <w:t>it</w:t>
      </w:r>
      <w:r>
        <w:t xml:space="preserve"> be improved? A growing body of research has revealed several factors that influence management capability. Most notably, education, foreign investment, and product market competition appear to be important drivers. </w:t>
      </w:r>
    </w:p>
    <w:p w14:paraId="003DA62E" w14:textId="59B6E51A" w:rsidR="004F3F11" w:rsidRPr="007C5B6E" w:rsidRDefault="004F3F11" w:rsidP="002468C0">
      <w:pPr>
        <w:pStyle w:val="Heading2"/>
        <w:ind w:left="601" w:hanging="601"/>
      </w:pPr>
      <w:r>
        <w:t xml:space="preserve">Education of </w:t>
      </w:r>
      <w:r w:rsidR="004A32F3">
        <w:t>p</w:t>
      </w:r>
      <w:r>
        <w:t xml:space="preserve">rincipal </w:t>
      </w:r>
      <w:r w:rsidR="004A32F3">
        <w:t>m</w:t>
      </w:r>
      <w:r>
        <w:t xml:space="preserve">anager </w:t>
      </w:r>
    </w:p>
    <w:p w14:paraId="581CEE81" w14:textId="38A7E58B" w:rsidR="004F3F11" w:rsidRDefault="00200B77" w:rsidP="0092649D">
      <w:pPr>
        <w:pStyle w:val="BodyText"/>
      </w:pPr>
      <w:r>
        <w:t>One potential source of improved management practices is education. Bloom and Van Ran Reenen,</w:t>
      </w:r>
      <w:r w:rsidR="00AE4E15" w:rsidRPr="00AE4E15">
        <w:rPr>
          <w:rStyle w:val="FootnoteReference"/>
        </w:rPr>
        <w:t xml:space="preserve"> </w:t>
      </w:r>
      <w:r w:rsidR="00AE4E15">
        <w:rPr>
          <w:rStyle w:val="FootnoteReference"/>
        </w:rPr>
        <w:footnoteReference w:id="39"/>
      </w:r>
      <w:r>
        <w:t xml:space="preserve"> Agarwal &amp; Green</w:t>
      </w:r>
      <w:r>
        <w:rPr>
          <w:rStyle w:val="FootnoteReference"/>
        </w:rPr>
        <w:footnoteReference w:id="40"/>
      </w:r>
      <w:r>
        <w:t xml:space="preserve"> and Agarwal et al.</w:t>
      </w:r>
      <w:r>
        <w:rPr>
          <w:rStyle w:val="FootnoteReference"/>
        </w:rPr>
        <w:footnoteReference w:id="41"/>
      </w:r>
      <w:r>
        <w:t xml:space="preserve"> find a strong relationship between education, skills and management capability. </w:t>
      </w:r>
      <w:r w:rsidR="001C5F60">
        <w:t xml:space="preserve">Consistent with </w:t>
      </w:r>
      <w:r w:rsidR="0093411F">
        <w:t>this</w:t>
      </w:r>
      <w:r w:rsidR="001C5F60">
        <w:t>, we find higher levels of education to be associated with higher levels of management capability</w:t>
      </w:r>
      <w:r w:rsidR="000018FD">
        <w:t xml:space="preserve"> in principal managers</w:t>
      </w:r>
      <w:r w:rsidR="001C5F60">
        <w:t xml:space="preserve">. In particular, we find university education to be associated with an increased probability of </w:t>
      </w:r>
      <w:r w:rsidR="004A32F3">
        <w:t xml:space="preserve">top-tier </w:t>
      </w:r>
      <w:r w:rsidR="001C5F60">
        <w:t>levels of management</w:t>
      </w:r>
      <w:r w:rsidR="0093411F">
        <w:t>,</w:t>
      </w:r>
      <w:r w:rsidR="001C5F60">
        <w:t xml:space="preserve"> </w:t>
      </w:r>
      <w:r w:rsidR="00851A3A">
        <w:t>especially in small and medium</w:t>
      </w:r>
      <w:r w:rsidR="0093411F">
        <w:noBreakHyphen/>
      </w:r>
      <w:r w:rsidR="00851A3A">
        <w:t xml:space="preserve">sized firms </w:t>
      </w:r>
      <w:r w:rsidR="006A08B0">
        <w:t>(</w:t>
      </w:r>
      <w:r w:rsidR="008D2F8B">
        <w:t>F</w:t>
      </w:r>
      <w:r w:rsidR="006A08B0">
        <w:t xml:space="preserve">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006A08B0" w:rsidRPr="000618FB">
        <w:t>.</w:t>
      </w:r>
      <w:r w:rsidR="00CE5E1B">
        <w:t>1</w:t>
      </w:r>
      <w:r w:rsidR="006A08B0">
        <w:t>)</w:t>
      </w:r>
      <w:r w:rsidR="001C5F60">
        <w:t xml:space="preserve">. </w:t>
      </w:r>
      <w:r w:rsidR="00390EBB">
        <w:t xml:space="preserve">Moreover, </w:t>
      </w:r>
      <w:r w:rsidR="00AE4E15">
        <w:t>th</w:t>
      </w:r>
      <w:r w:rsidR="0093411F">
        <w:t>is association</w:t>
      </w:r>
      <w:r w:rsidR="00390EBB">
        <w:t xml:space="preserve"> is robust to controls for firm size, age and industry (table</w:t>
      </w:r>
      <w:r w:rsidR="00222E6D">
        <w:t> </w:t>
      </w:r>
      <w:r w:rsidR="0036472B">
        <w:t>F</w:t>
      </w:r>
      <w:r w:rsidR="00390EBB">
        <w:t>.1)</w:t>
      </w:r>
      <w:r w:rsidR="00B53EA3">
        <w:t>.</w:t>
      </w:r>
    </w:p>
    <w:p w14:paraId="687B7FB0" w14:textId="1E2380F1" w:rsidR="004F3F11" w:rsidRDefault="004F3F11" w:rsidP="0092649D">
      <w:pPr>
        <w:pStyle w:val="Caption"/>
      </w:pPr>
      <w:r>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1</w:t>
      </w:r>
      <w:r w:rsidRPr="000618FB">
        <w:fldChar w:fldCharType="end"/>
      </w:r>
      <w:r>
        <w:t xml:space="preserve">: Management </w:t>
      </w:r>
      <w:r w:rsidR="00310075">
        <w:t>c</w:t>
      </w:r>
      <w:r>
        <w:t xml:space="preserve">apability and </w:t>
      </w:r>
      <w:r w:rsidR="00310075">
        <w:t>e</w:t>
      </w:r>
      <w:r>
        <w:t xml:space="preserve">ducation levels of principal managers </w:t>
      </w:r>
    </w:p>
    <w:tbl>
      <w:tblPr>
        <w:tblStyle w:val="OCETable"/>
        <w:tblW w:w="4940" w:type="pct"/>
        <w:tblLayout w:type="fixed"/>
        <w:tblLook w:val="04A0" w:firstRow="1" w:lastRow="0" w:firstColumn="1" w:lastColumn="0" w:noHBand="0" w:noVBand="1"/>
        <w:tblCaption w:val="This table contains figure 8.1"/>
      </w:tblPr>
      <w:tblGrid>
        <w:gridCol w:w="6811"/>
      </w:tblGrid>
      <w:tr w:rsidR="004F3F11" w14:paraId="0C61E838" w14:textId="77777777" w:rsidTr="00EA19F8">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58CEB0CF" w14:textId="5C7A0FE2" w:rsidR="004F3F11" w:rsidRDefault="00DA09A1" w:rsidP="00EF67D9">
            <w:pPr>
              <w:pStyle w:val="PlaceholderWide"/>
            </w:pPr>
            <w:r>
              <w:rPr>
                <w:noProof/>
                <w:lang w:eastAsia="en-AU"/>
              </w:rPr>
              <w:drawing>
                <wp:inline distT="0" distB="0" distL="0" distR="0" wp14:anchorId="51C03821" wp14:editId="0ADF14EA">
                  <wp:extent cx="4187825" cy="2209800"/>
                  <wp:effectExtent l="0" t="0" r="3175" b="0"/>
                  <wp:docPr id="5" name="Chart 5" descr="Figure 8.1 is a bar chart showing the proportion of firms in the highest level of strategic management for each firm size classification and each level of education of principal management (High School, TAFE or University). Higher levels of education are associated with higher shares of firms in the top strategic management classification for all firm sizes but those with more than 200 employees. For firms with 200 or more employees, firms that have principal managers with a university degree have the highest rate of firms in the top classification, followed by high school and then TAFE." title="Figure 8.1: Management capability and education levels of principal manag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bl>
    <w:p w14:paraId="2B5B78FD" w14:textId="6C03144C" w:rsidR="004F3F11" w:rsidRDefault="004F3F11" w:rsidP="0092649D">
      <w:pPr>
        <w:pStyle w:val="Source"/>
      </w:pPr>
      <w:r>
        <w:t xml:space="preserve">Source: </w:t>
      </w:r>
      <w:r w:rsidR="008B3F8F">
        <w:t>Authors’</w:t>
      </w:r>
      <w:r w:rsidR="00EE5EAE">
        <w:t xml:space="preserve"> based on Business Longitudinal Analysis Data Environment (2018)</w:t>
      </w:r>
    </w:p>
    <w:p w14:paraId="6F3D5AEC" w14:textId="77777777" w:rsidR="004F3F11" w:rsidRPr="007C5B6E" w:rsidRDefault="004F3F11" w:rsidP="00B9070F">
      <w:pPr>
        <w:pStyle w:val="Heading2"/>
        <w:ind w:left="601" w:hanging="601"/>
      </w:pPr>
      <w:r>
        <w:lastRenderedPageBreak/>
        <w:t xml:space="preserve">Foreign ownership </w:t>
      </w:r>
    </w:p>
    <w:p w14:paraId="75E52E12" w14:textId="09650DF5" w:rsidR="00965FB1" w:rsidRDefault="003223EF" w:rsidP="0092649D">
      <w:pPr>
        <w:pStyle w:val="BodyText"/>
      </w:pPr>
      <w:r>
        <w:t xml:space="preserve">Foreign multinationals have been found </w:t>
      </w:r>
      <w:r w:rsidR="000018FD">
        <w:t xml:space="preserve">to </w:t>
      </w:r>
      <w:r w:rsidR="00310075">
        <w:t xml:space="preserve">have more active </w:t>
      </w:r>
      <w:r>
        <w:t>manage</w:t>
      </w:r>
      <w:r w:rsidR="00310075">
        <w:t xml:space="preserve">ment </w:t>
      </w:r>
      <w:r>
        <w:t xml:space="preserve">than domestic firms </w:t>
      </w:r>
      <w:r w:rsidR="00AE4E15">
        <w:t>in</w:t>
      </w:r>
      <w:r>
        <w:t xml:space="preserve"> a range of countries</w:t>
      </w:r>
      <w:r w:rsidR="00200B77">
        <w:t>.</w:t>
      </w:r>
      <w:r w:rsidR="00366BFE">
        <w:rPr>
          <w:rStyle w:val="FootnoteReference"/>
        </w:rPr>
        <w:footnoteReference w:id="42"/>
      </w:r>
      <w:r w:rsidR="00AE4E15" w:rsidRPr="00AE4E15">
        <w:rPr>
          <w:vertAlign w:val="superscript"/>
        </w:rPr>
        <w:t>,</w:t>
      </w:r>
      <w:r w:rsidR="00200B77">
        <w:rPr>
          <w:rStyle w:val="FootnoteReference"/>
        </w:rPr>
        <w:footnoteReference w:id="43"/>
      </w:r>
      <w:r>
        <w:t xml:space="preserve"> </w:t>
      </w:r>
      <w:r w:rsidR="00763342">
        <w:t>F</w:t>
      </w:r>
      <w:r>
        <w:t xml:space="preserve">oreign investment may facilitate improvement in management capability, </w:t>
      </w:r>
      <w:r w:rsidR="00310075">
        <w:t xml:space="preserve">by infusing active </w:t>
      </w:r>
      <w:r w:rsidR="00965FB1">
        <w:t xml:space="preserve">management practices. </w:t>
      </w:r>
    </w:p>
    <w:p w14:paraId="23A75D87" w14:textId="7A480750" w:rsidR="009022AC" w:rsidRDefault="00965FB1" w:rsidP="0092649D">
      <w:pPr>
        <w:pStyle w:val="BodyText"/>
      </w:pPr>
      <w:r>
        <w:t xml:space="preserve">Our findings present support </w:t>
      </w:r>
      <w:r w:rsidR="00763342">
        <w:t>for this</w:t>
      </w:r>
      <w:r>
        <w:t xml:space="preserve"> relationship</w:t>
      </w:r>
      <w:r w:rsidR="00895BAE">
        <w:t xml:space="preserve"> among </w:t>
      </w:r>
      <w:r w:rsidR="00A00839">
        <w:t>large and medium</w:t>
      </w:r>
      <w:r w:rsidR="004A32F3">
        <w:t>-</w:t>
      </w:r>
      <w:r w:rsidR="00A00839">
        <w:t>sized firms</w:t>
      </w:r>
      <w:r>
        <w:t xml:space="preserve">. Figure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006A08B0" w:rsidRPr="000618FB">
        <w:t>.</w:t>
      </w:r>
      <w:r w:rsidR="00CE5E1B">
        <w:t>2</w:t>
      </w:r>
      <w:r>
        <w:t xml:space="preserve"> shows that </w:t>
      </w:r>
      <w:r w:rsidR="00A00839">
        <w:t>medium</w:t>
      </w:r>
      <w:r w:rsidR="004A32F3">
        <w:t>-</w:t>
      </w:r>
      <w:r w:rsidR="00A00839">
        <w:t xml:space="preserve">sized </w:t>
      </w:r>
      <w:r>
        <w:t xml:space="preserve">firms with some degree of foreign ownership </w:t>
      </w:r>
      <w:r w:rsidR="00895BAE">
        <w:t>are almost twice</w:t>
      </w:r>
      <w:r w:rsidR="00AE4E15">
        <w:t xml:space="preserve"> </w:t>
      </w:r>
      <w:r w:rsidR="00D118D0">
        <w:t>as likely to be classed in the top strategic management group as</w:t>
      </w:r>
      <w:r w:rsidR="00A00839">
        <w:t xml:space="preserve"> counterparts with no foreign ownership. Among large firms, foreign ownership i</w:t>
      </w:r>
      <w:r w:rsidR="00E732F1">
        <w:t xml:space="preserve">s associated with </w:t>
      </w:r>
      <w:r w:rsidR="00A00839">
        <w:t>high levels of strategic management, but the size of this difference is comparatively small, roughly 8</w:t>
      </w:r>
      <w:r w:rsidR="001A1B07">
        <w:t> </w:t>
      </w:r>
      <w:r w:rsidR="00A00839">
        <w:t xml:space="preserve">percentage points. </w:t>
      </w:r>
    </w:p>
    <w:p w14:paraId="2EF8FE9C" w14:textId="3B19FDD1" w:rsidR="00876D5C" w:rsidRDefault="009022AC" w:rsidP="0092649D">
      <w:pPr>
        <w:pStyle w:val="BodyText"/>
      </w:pPr>
      <w:r>
        <w:t>Among all firms, having</w:t>
      </w:r>
      <w:r w:rsidR="00CD5086">
        <w:t xml:space="preserve"> some</w:t>
      </w:r>
      <w:r>
        <w:t xml:space="preserve"> foreign</w:t>
      </w:r>
      <w:r w:rsidR="00CD5086">
        <w:t xml:space="preserve"> </w:t>
      </w:r>
      <w:r>
        <w:t xml:space="preserve">ownership greater is associated </w:t>
      </w:r>
      <w:r w:rsidR="001B59BB">
        <w:t xml:space="preserve">with an </w:t>
      </w:r>
      <w:r>
        <w:t>increased probability of placing in the top level of our strategic management categories, evening after controlling for firm</w:t>
      </w:r>
      <w:r w:rsidR="0054265A">
        <w:t xml:space="preserve"> age, industry and size (table </w:t>
      </w:r>
      <w:r w:rsidR="00CB2D5A">
        <w:t>F</w:t>
      </w:r>
      <w:r>
        <w:t>.1).</w:t>
      </w:r>
    </w:p>
    <w:p w14:paraId="6D0973FD" w14:textId="27F67E3C" w:rsidR="004F3F11" w:rsidRDefault="004F3F11" w:rsidP="0092649D">
      <w:pPr>
        <w:pStyle w:val="Caption"/>
      </w:pPr>
      <w:r>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2</w:t>
      </w:r>
      <w:r w:rsidRPr="000618FB">
        <w:fldChar w:fldCharType="end"/>
      </w:r>
      <w:r>
        <w:t xml:space="preserve">: </w:t>
      </w:r>
      <w:r w:rsidR="004A32F3">
        <w:t>Strategic m</w:t>
      </w:r>
      <w:r>
        <w:t xml:space="preserve">anagement </w:t>
      </w:r>
      <w:r w:rsidR="00310075">
        <w:t>t</w:t>
      </w:r>
      <w:r>
        <w:t xml:space="preserve">axonomy and </w:t>
      </w:r>
      <w:r w:rsidR="00310075">
        <w:t>f</w:t>
      </w:r>
      <w:r>
        <w:t xml:space="preserve">oreign </w:t>
      </w:r>
      <w:r w:rsidR="00310075">
        <w:t>o</w:t>
      </w:r>
      <w:r>
        <w:t>wnership</w:t>
      </w:r>
    </w:p>
    <w:tbl>
      <w:tblPr>
        <w:tblStyle w:val="OCETable"/>
        <w:tblW w:w="4940" w:type="pct"/>
        <w:tblInd w:w="-284" w:type="dxa"/>
        <w:tblLayout w:type="fixed"/>
        <w:tblLook w:val="04A0" w:firstRow="1" w:lastRow="0" w:firstColumn="1" w:lastColumn="0" w:noHBand="0" w:noVBand="1"/>
        <w:tblCaption w:val="This table contains figure 8.2"/>
      </w:tblPr>
      <w:tblGrid>
        <w:gridCol w:w="6811"/>
      </w:tblGrid>
      <w:tr w:rsidR="00895BAE" w14:paraId="6BF815CD" w14:textId="77777777" w:rsidTr="00201765">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1EB39F6F" w14:textId="21631576" w:rsidR="00895BAE" w:rsidRDefault="00EA73EB" w:rsidP="00895BAE">
            <w:pPr>
              <w:pStyle w:val="PlaceholderWide"/>
            </w:pPr>
            <w:r>
              <w:rPr>
                <w:noProof/>
                <w:lang w:eastAsia="en-AU"/>
              </w:rPr>
              <w:drawing>
                <wp:inline distT="0" distB="0" distL="0" distR="0" wp14:anchorId="303D0CCA" wp14:editId="2445479C">
                  <wp:extent cx="4187825" cy="2402006"/>
                  <wp:effectExtent l="0" t="0" r="3175" b="0"/>
                  <wp:docPr id="12" name="Chart 12" descr="This figure is a column cart showing the share of firms in each strategic management classification according whether firms have no foreign ownership or some foreign ownership and whether firms employ 20-199 persons or 200 or more persons. In firms with 20 to 199 employees, 34 per cent of firms have strategic management compared with 59 per cent of firms. In firms with 200 or more employees, 72 per cent of firms with no foreign ownership are in the top management classification, compared with 80 per cent of firms with some foreign ownership." title="Figure 8.2: Strategic management taxonomy and foreign ownership"/>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C67F7B" w:rsidDel="00EA73EB">
              <w:rPr>
                <w:noProof/>
                <w:lang w:eastAsia="en-AU"/>
              </w:rPr>
              <w:t xml:space="preserve"> </w:t>
            </w:r>
          </w:p>
        </w:tc>
      </w:tr>
    </w:tbl>
    <w:p w14:paraId="0CE1D35C" w14:textId="43759A17" w:rsidR="004F3F11" w:rsidRDefault="004F3F11" w:rsidP="0092649D">
      <w:pPr>
        <w:pStyle w:val="Source"/>
      </w:pPr>
      <w:r>
        <w:t xml:space="preserve">Source: </w:t>
      </w:r>
      <w:r w:rsidR="008B3F8F">
        <w:t>Authors’</w:t>
      </w:r>
      <w:r w:rsidR="00EE5EAE">
        <w:t xml:space="preserve"> estimates based on Business Longitudinal Analysis Data Environment (2018)</w:t>
      </w:r>
    </w:p>
    <w:p w14:paraId="6E5E8638" w14:textId="4289FFCE" w:rsidR="00624D5B" w:rsidRPr="007C5B6E" w:rsidRDefault="00C34D8B" w:rsidP="00B9070F">
      <w:pPr>
        <w:pStyle w:val="Heading2"/>
        <w:ind w:left="601" w:hanging="601"/>
      </w:pPr>
      <w:r>
        <w:lastRenderedPageBreak/>
        <w:t>Concentration</w:t>
      </w:r>
    </w:p>
    <w:p w14:paraId="7769DC71" w14:textId="77777777" w:rsidR="00CD5086" w:rsidRDefault="003C2E57" w:rsidP="0092649D">
      <w:pPr>
        <w:pStyle w:val="BodyText"/>
      </w:pPr>
      <w:r>
        <w:t xml:space="preserve">A positive </w:t>
      </w:r>
      <w:r w:rsidR="00624D5B">
        <w:t>relationship between product market competition and measures of management capability</w:t>
      </w:r>
      <w:r>
        <w:t xml:space="preserve"> has been found in some studies,</w:t>
      </w:r>
      <w:r>
        <w:rPr>
          <w:rStyle w:val="FootnoteReference"/>
        </w:rPr>
        <w:footnoteReference w:id="44"/>
      </w:r>
      <w:r>
        <w:t xml:space="preserve"> but not others</w:t>
      </w:r>
      <w:r w:rsidR="00624D5B">
        <w:t>.</w:t>
      </w:r>
      <w:r>
        <w:rPr>
          <w:rStyle w:val="FootnoteReference"/>
        </w:rPr>
        <w:footnoteReference w:id="45"/>
      </w:r>
      <w:r w:rsidRPr="003C2E57">
        <w:rPr>
          <w:vertAlign w:val="superscript"/>
        </w:rPr>
        <w:t>,</w:t>
      </w:r>
      <w:r w:rsidR="001C2E72">
        <w:rPr>
          <w:vertAlign w:val="superscript"/>
        </w:rPr>
        <w:t xml:space="preserve"> </w:t>
      </w:r>
      <w:r>
        <w:rPr>
          <w:rStyle w:val="FootnoteReference"/>
        </w:rPr>
        <w:footnoteReference w:id="46"/>
      </w:r>
      <w:r w:rsidR="00624D5B">
        <w:t xml:space="preserve"> Such a relationship may be causal where </w:t>
      </w:r>
      <w:r w:rsidR="00895BAE">
        <w:t xml:space="preserve">low levels of competition allow less efficiently operated firms to persist. </w:t>
      </w:r>
    </w:p>
    <w:p w14:paraId="3A4B6B68" w14:textId="64F5C296" w:rsidR="0059232D" w:rsidRDefault="003A6D6D" w:rsidP="0092649D">
      <w:pPr>
        <w:pStyle w:val="BodyText"/>
      </w:pPr>
      <w:r>
        <w:t>We find that</w:t>
      </w:r>
      <w:r w:rsidR="0059232D">
        <w:t xml:space="preserve"> high levels of</w:t>
      </w:r>
      <w:r w:rsidR="004A32F3">
        <w:t xml:space="preserve"> strategic</w:t>
      </w:r>
      <w:r w:rsidR="0059232D">
        <w:t xml:space="preserve"> management capability appear to be more common in less </w:t>
      </w:r>
      <w:r w:rsidR="008E5667">
        <w:t xml:space="preserve">concentrated </w:t>
      </w:r>
      <w:r w:rsidR="0059232D">
        <w:t>markets</w:t>
      </w:r>
      <w:r w:rsidR="00F70B98">
        <w:t xml:space="preserve"> (</w:t>
      </w:r>
      <w:r w:rsidR="008D2F8B">
        <w:t>F</w:t>
      </w:r>
      <w:r w:rsidR="00F70B98">
        <w:t xml:space="preserve">igure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007B179A" w:rsidRPr="000618FB">
        <w:t>.</w:t>
      </w:r>
      <w:r w:rsidR="00CE5E1B">
        <w:t>3</w:t>
      </w:r>
      <w:r w:rsidR="00F70B98">
        <w:t>)</w:t>
      </w:r>
      <w:r>
        <w:t>, though t</w:t>
      </w:r>
      <w:r w:rsidR="0059232D">
        <w:t xml:space="preserve">his </w:t>
      </w:r>
      <w:r>
        <w:t>association</w:t>
      </w:r>
      <w:r w:rsidR="0059232D">
        <w:t xml:space="preserve"> is likely driven primarily by the relationship between firm size and management capability</w:t>
      </w:r>
      <w:r w:rsidR="00CD5086">
        <w:t>,</w:t>
      </w:r>
      <w:r w:rsidR="00310075">
        <w:t xml:space="preserve"> as </w:t>
      </w:r>
      <w:r w:rsidR="0059232D">
        <w:t>concentrated markets tend to contain larger firms, and larger firms tend to</w:t>
      </w:r>
      <w:r w:rsidR="00004C01">
        <w:t xml:space="preserve"> have</w:t>
      </w:r>
      <w:r w:rsidR="0059232D">
        <w:t xml:space="preserve"> higher levels of management capability. Importantly, we use a different measure of competition </w:t>
      </w:r>
      <w:r>
        <w:t xml:space="preserve">to previous studies </w:t>
      </w:r>
      <w:r w:rsidR="0059232D">
        <w:t>— the Herfindahl</w:t>
      </w:r>
      <w:r w:rsidR="00FF52FD">
        <w:noBreakHyphen/>
      </w:r>
      <w:r w:rsidR="005C551B">
        <w:t>Hishchman Index</w:t>
      </w:r>
      <w:r w:rsidR="0059232D">
        <w:t>.</w:t>
      </w:r>
      <w:r w:rsidR="00421A3B">
        <w:rPr>
          <w:rStyle w:val="FootnoteReference"/>
        </w:rPr>
        <w:footnoteReference w:id="47"/>
      </w:r>
      <w:r w:rsidR="0059232D">
        <w:t xml:space="preserve"> </w:t>
      </w:r>
      <w:r w:rsidR="008E5667">
        <w:t>Whilst this is a less direct measure of competition, it may be more relevant to considering the influence institutional settings. Competition policy is likely to not only change firms</w:t>
      </w:r>
      <w:r w:rsidR="00CD5086">
        <w:t>’</w:t>
      </w:r>
      <w:r w:rsidR="008E5667">
        <w:t xml:space="preserve"> profit rates, but also</w:t>
      </w:r>
      <w:r w:rsidR="004A32F3">
        <w:t xml:space="preserve"> average firm size</w:t>
      </w:r>
      <w:r w:rsidR="008E5667">
        <w:t xml:space="preserve"> — </w:t>
      </w:r>
      <w:r w:rsidR="00004C01">
        <w:t xml:space="preserve">for example, </w:t>
      </w:r>
      <w:r w:rsidR="008E5667">
        <w:t xml:space="preserve">through preventing mergers. As such, the confounding effect of size in the </w:t>
      </w:r>
      <w:r>
        <w:t>association</w:t>
      </w:r>
      <w:r w:rsidR="008E5667">
        <w:t xml:space="preserve"> presented in </w:t>
      </w:r>
      <w:r w:rsidR="008D2F8B">
        <w:t>F</w:t>
      </w:r>
      <w:r w:rsidR="008E5667">
        <w:t>igure</w:t>
      </w:r>
      <w:r w:rsidR="007B179A">
        <w:t>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007B179A" w:rsidRPr="000618FB">
        <w:t>.</w:t>
      </w:r>
      <w:r w:rsidR="00CE5E1B">
        <w:t>3</w:t>
      </w:r>
      <w:r w:rsidR="008E5667">
        <w:t xml:space="preserve"> may be an important consideration when examining the effect of policy on management capability. </w:t>
      </w:r>
      <w:r w:rsidR="004A32F3">
        <w:rPr>
          <w:rFonts w:ascii="Arial" w:eastAsia="Arial" w:hAnsi="Arial" w:cs="Times New Roman"/>
        </w:rPr>
        <w:t xml:space="preserve">Moreover, our measure focusses on </w:t>
      </w:r>
      <w:r w:rsidR="004A32F3">
        <w:rPr>
          <w:rFonts w:ascii="Arial" w:eastAsia="Arial" w:hAnsi="Arial" w:cs="Times New Roman"/>
          <w:i/>
        </w:rPr>
        <w:t xml:space="preserve">strategic </w:t>
      </w:r>
      <w:r w:rsidR="004A32F3">
        <w:rPr>
          <w:rFonts w:ascii="Arial" w:eastAsia="Arial" w:hAnsi="Arial" w:cs="Times New Roman"/>
        </w:rPr>
        <w:t xml:space="preserve">management capability, which </w:t>
      </w:r>
      <w:r w:rsidR="004A6EE4">
        <w:rPr>
          <w:rFonts w:ascii="Arial" w:eastAsia="Arial" w:hAnsi="Arial" w:cs="Times New Roman"/>
        </w:rPr>
        <w:t xml:space="preserve">may </w:t>
      </w:r>
      <w:r w:rsidR="004A32F3">
        <w:rPr>
          <w:rFonts w:ascii="Arial" w:eastAsia="Arial" w:hAnsi="Arial" w:cs="Times New Roman"/>
        </w:rPr>
        <w:t>produce results</w:t>
      </w:r>
      <w:r w:rsidR="00506884">
        <w:rPr>
          <w:rFonts w:ascii="Arial" w:eastAsia="Arial" w:hAnsi="Arial" w:cs="Times New Roman"/>
        </w:rPr>
        <w:t xml:space="preserve"> different to those associated with </w:t>
      </w:r>
      <w:r w:rsidR="004A32F3">
        <w:rPr>
          <w:rFonts w:ascii="Arial" w:eastAsia="Arial" w:hAnsi="Arial" w:cs="Times New Roman"/>
        </w:rPr>
        <w:t>broader measure</w:t>
      </w:r>
      <w:r w:rsidR="00CD5086">
        <w:rPr>
          <w:rFonts w:ascii="Arial" w:eastAsia="Arial" w:hAnsi="Arial" w:cs="Times New Roman"/>
        </w:rPr>
        <w:t>s</w:t>
      </w:r>
      <w:r w:rsidR="004A32F3">
        <w:rPr>
          <w:rFonts w:ascii="Arial" w:eastAsia="Arial" w:hAnsi="Arial" w:cs="Times New Roman"/>
        </w:rPr>
        <w:t xml:space="preserve"> of management capability</w:t>
      </w:r>
      <w:r w:rsidR="00506884">
        <w:rPr>
          <w:rFonts w:ascii="Arial" w:eastAsia="Arial" w:hAnsi="Arial" w:cs="Times New Roman"/>
        </w:rPr>
        <w:t xml:space="preserve">, which has </w:t>
      </w:r>
      <w:r w:rsidR="004A32F3">
        <w:rPr>
          <w:rFonts w:ascii="Arial" w:eastAsia="Arial" w:hAnsi="Arial" w:cs="Times New Roman"/>
        </w:rPr>
        <w:t>used in previous studies.</w:t>
      </w:r>
    </w:p>
    <w:p w14:paraId="260A0DB3" w14:textId="16879F53" w:rsidR="00DA3645" w:rsidRDefault="00DA3645" w:rsidP="0092649D">
      <w:pPr>
        <w:pStyle w:val="Caption"/>
      </w:pPr>
      <w:r>
        <w:lastRenderedPageBreak/>
        <w:t>Figure</w:t>
      </w:r>
      <w:r w:rsidRPr="000618FB">
        <w:t xml:space="preserve"> </w:t>
      </w:r>
      <w:r w:rsidR="00C5233C">
        <w:rPr>
          <w:noProof/>
        </w:rPr>
        <w:fldChar w:fldCharType="begin"/>
      </w:r>
      <w:r w:rsidR="00C5233C">
        <w:rPr>
          <w:noProof/>
        </w:rPr>
        <w:instrText xml:space="preserve"> STYLEREF 1 \s </w:instrText>
      </w:r>
      <w:r w:rsidR="00C5233C">
        <w:rPr>
          <w:noProof/>
        </w:rPr>
        <w:fldChar w:fldCharType="separate"/>
      </w:r>
      <w:r w:rsidR="0001154F">
        <w:rPr>
          <w:noProof/>
        </w:rPr>
        <w:t>8</w:t>
      </w:r>
      <w:r w:rsidR="00C5233C">
        <w:rPr>
          <w:noProof/>
        </w:rPr>
        <w:fldChar w:fldCharType="end"/>
      </w:r>
      <w:r w:rsidRPr="000618FB">
        <w:t>.</w:t>
      </w:r>
      <w:r w:rsidRPr="000618FB">
        <w:fldChar w:fldCharType="begin"/>
      </w:r>
      <w:r w:rsidRPr="000618FB">
        <w:instrText xml:space="preserve"> SEQ </w:instrText>
      </w:r>
      <w:r>
        <w:instrText>Figure</w:instrText>
      </w:r>
      <w:r w:rsidRPr="000618FB">
        <w:instrText xml:space="preserve"> \* ARABIC \s 1 </w:instrText>
      </w:r>
      <w:r w:rsidRPr="000618FB">
        <w:fldChar w:fldCharType="separate"/>
      </w:r>
      <w:r w:rsidR="0001154F">
        <w:rPr>
          <w:noProof/>
        </w:rPr>
        <w:t>3</w:t>
      </w:r>
      <w:r w:rsidRPr="000618FB">
        <w:fldChar w:fldCharType="end"/>
      </w:r>
      <w:r>
        <w:t xml:space="preserve">: </w:t>
      </w:r>
      <w:r w:rsidR="0059232D">
        <w:t xml:space="preserve">Management </w:t>
      </w:r>
      <w:r w:rsidR="00310075">
        <w:t>c</w:t>
      </w:r>
      <w:r w:rsidR="0059232D">
        <w:t xml:space="preserve">apability and </w:t>
      </w:r>
      <w:r w:rsidR="00310075">
        <w:t>p</w:t>
      </w:r>
      <w:r w:rsidR="0059232D">
        <w:t xml:space="preserve">roduct </w:t>
      </w:r>
      <w:r w:rsidR="00310075">
        <w:t>m</w:t>
      </w:r>
      <w:r w:rsidR="0059232D">
        <w:t xml:space="preserve">arket </w:t>
      </w:r>
      <w:r w:rsidR="00310075">
        <w:t>c</w:t>
      </w:r>
      <w:r w:rsidR="00EF0445">
        <w:t>oncentration</w:t>
      </w:r>
    </w:p>
    <w:tbl>
      <w:tblPr>
        <w:tblStyle w:val="OCETable"/>
        <w:tblW w:w="4940" w:type="pct"/>
        <w:tblLayout w:type="fixed"/>
        <w:tblLook w:val="04A0" w:firstRow="1" w:lastRow="0" w:firstColumn="1" w:lastColumn="0" w:noHBand="0" w:noVBand="1"/>
        <w:tblCaption w:val="This table contains figure 8.3"/>
      </w:tblPr>
      <w:tblGrid>
        <w:gridCol w:w="6811"/>
      </w:tblGrid>
      <w:tr w:rsidR="00DA3645" w14:paraId="58748921" w14:textId="77777777" w:rsidTr="00201765">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6ABC64D1" w14:textId="4BE9DA75" w:rsidR="00DA3645" w:rsidRDefault="006839E9" w:rsidP="006839E9">
            <w:pPr>
              <w:pStyle w:val="PlaceholderWide"/>
            </w:pPr>
            <w:r>
              <w:rPr>
                <w:noProof/>
                <w:lang w:eastAsia="en-AU"/>
              </w:rPr>
              <w:drawing>
                <wp:inline distT="0" distB="0" distL="0" distR="0" wp14:anchorId="465F1EF5" wp14:editId="7479D12F">
                  <wp:extent cx="4187825" cy="2552700"/>
                  <wp:effectExtent l="0" t="0" r="3175" b="0"/>
                  <wp:docPr id="20" name="Chart 20" descr="Figure 8.3 is a scatter plot showing the relationship between the Herfindahl-Hirschman Index and the share of firms in the top level of strategic management. The line of best indicates there is a positive relationship between these two factors." title="Figure 8.3: Management capability and product market concentra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bl>
    <w:p w14:paraId="09BDA3B6" w14:textId="7612079A" w:rsidR="00DA3645" w:rsidRPr="00C62F3A" w:rsidRDefault="00DA3645" w:rsidP="0092649D">
      <w:pPr>
        <w:pStyle w:val="Note"/>
      </w:pPr>
      <w:r>
        <w:t xml:space="preserve">Notes: </w:t>
      </w:r>
      <w:r w:rsidR="00EF0445">
        <w:t>The Herfindahl-Hirchman Index is a measure of market concentration. For a given industry, it is calculated as the sum of each firm’s squared market share.</w:t>
      </w:r>
    </w:p>
    <w:p w14:paraId="14ED7944" w14:textId="14DA056B" w:rsidR="005878B7" w:rsidRDefault="00DA3645" w:rsidP="0092649D">
      <w:pPr>
        <w:pStyle w:val="Source"/>
      </w:pPr>
      <w:r>
        <w:t xml:space="preserve">Source: </w:t>
      </w:r>
      <w:r w:rsidR="008B3F8F">
        <w:t>Authors’</w:t>
      </w:r>
      <w:r w:rsidR="00EE5EAE">
        <w:t xml:space="preserve"> estimates based on</w:t>
      </w:r>
      <w:r w:rsidR="00033A8B">
        <w:t xml:space="preserve"> ABS </w:t>
      </w:r>
      <w:r w:rsidR="00033A8B" w:rsidRPr="00F518FB">
        <w:t>Management and Organisational Capabilities of Australian Business</w:t>
      </w:r>
      <w:r w:rsidR="00033A8B">
        <w:t xml:space="preserve"> </w:t>
      </w:r>
      <w:r w:rsidR="00033A8B" w:rsidRPr="00F518FB">
        <w:t>Microdata, 2015-16</w:t>
      </w:r>
      <w:r w:rsidR="00033A8B">
        <w:t xml:space="preserve"> Cat. No. </w:t>
      </w:r>
      <w:r w:rsidR="00033A8B" w:rsidRPr="00F518FB">
        <w:t>8172.0.55.001</w:t>
      </w:r>
      <w:r w:rsidR="00033A8B">
        <w:t xml:space="preserve"> and</w:t>
      </w:r>
      <w:r w:rsidR="00EE5EAE">
        <w:t xml:space="preserve"> Business Longitudinal Analysis Data Environment (2018</w:t>
      </w:r>
      <w:r w:rsidR="005878B7">
        <w:t>).</w:t>
      </w:r>
    </w:p>
    <w:p w14:paraId="0A1EE7D0" w14:textId="77777777" w:rsidR="005878B7" w:rsidRPr="007C5B6E" w:rsidRDefault="005878B7" w:rsidP="002468C0">
      <w:pPr>
        <w:pStyle w:val="Heading2"/>
        <w:ind w:left="601" w:hanging="601"/>
      </w:pPr>
      <w:r>
        <w:t>Public programmes</w:t>
      </w:r>
    </w:p>
    <w:p w14:paraId="4DAA61F2" w14:textId="73DDA18E" w:rsidR="00750800" w:rsidRDefault="005878B7" w:rsidP="0092649D">
      <w:pPr>
        <w:pStyle w:val="BodyText"/>
      </w:pPr>
      <w:r>
        <w:t>In addition to indirect measures, government programs aimed directly at developing management capability can be beneficial. The Department of Industry, Innovation and Science’s Entrepreneurs’ Programme is an example of such a programme. It includes a Business Management element, which pairs experienced Business Advis</w:t>
      </w:r>
      <w:r w:rsidR="00750800">
        <w:t>ers and Facilitators. These Advisors and Facilitators</w:t>
      </w:r>
      <w:r w:rsidR="00E85F7F">
        <w:t xml:space="preserve"> provide</w:t>
      </w:r>
      <w:r w:rsidR="00750800">
        <w:t>:</w:t>
      </w:r>
    </w:p>
    <w:p w14:paraId="67DAA55A" w14:textId="4EDFE06F" w:rsidR="00750800" w:rsidRDefault="00E85F7F" w:rsidP="00326704">
      <w:pPr>
        <w:pStyle w:val="BodyText"/>
        <w:numPr>
          <w:ilvl w:val="0"/>
          <w:numId w:val="44"/>
        </w:numPr>
        <w:ind w:left="426" w:hanging="426"/>
      </w:pPr>
      <w:r>
        <w:rPr>
          <w:b/>
        </w:rPr>
        <w:t>B</w:t>
      </w:r>
      <w:r w:rsidR="00750800" w:rsidRPr="0089657F">
        <w:rPr>
          <w:b/>
        </w:rPr>
        <w:t xml:space="preserve">usiness </w:t>
      </w:r>
      <w:r>
        <w:rPr>
          <w:b/>
        </w:rPr>
        <w:t>E</w:t>
      </w:r>
      <w:r w:rsidR="00750800" w:rsidRPr="0089657F">
        <w:rPr>
          <w:b/>
        </w:rPr>
        <w:t>valuation</w:t>
      </w:r>
      <w:r w:rsidR="00750800">
        <w:t xml:space="preserve">, which involves developing a </w:t>
      </w:r>
      <w:r w:rsidR="00750800" w:rsidRPr="00750800">
        <w:t>Business Evaluation Action Plan with recommended strategies for business improvement or growth. The Evaluation includes up to 12 months of mentoring to help implement the strategies.</w:t>
      </w:r>
    </w:p>
    <w:p w14:paraId="10869E90" w14:textId="4AD21362" w:rsidR="00750800" w:rsidRDefault="00E85F7F" w:rsidP="00326704">
      <w:pPr>
        <w:pStyle w:val="BodyText"/>
        <w:numPr>
          <w:ilvl w:val="0"/>
          <w:numId w:val="44"/>
        </w:numPr>
        <w:ind w:left="426" w:hanging="426"/>
      </w:pPr>
      <w:r w:rsidRPr="0089657F">
        <w:rPr>
          <w:b/>
        </w:rPr>
        <w:t>Growth Services</w:t>
      </w:r>
      <w:r>
        <w:t xml:space="preserve">, which </w:t>
      </w:r>
      <w:r w:rsidRPr="00E85F7F">
        <w:t>develop</w:t>
      </w:r>
      <w:r>
        <w:t>s</w:t>
      </w:r>
      <w:r w:rsidRPr="00E85F7F">
        <w:t xml:space="preserve"> their unique growth plan. Advisers/Facilitators mentor the business through the implementation of their plan, facilitating access to knowledge and expertise, research, funding and other assistance.</w:t>
      </w:r>
    </w:p>
    <w:p w14:paraId="53A0DD82" w14:textId="72EB01D7" w:rsidR="005878B7" w:rsidRDefault="00E85F7F" w:rsidP="00326704">
      <w:pPr>
        <w:pStyle w:val="BodyText"/>
        <w:numPr>
          <w:ilvl w:val="0"/>
          <w:numId w:val="44"/>
        </w:numPr>
        <w:ind w:left="426" w:hanging="426"/>
      </w:pPr>
      <w:r w:rsidRPr="0089657F">
        <w:rPr>
          <w:b/>
        </w:rPr>
        <w:t>Supply chain facilitation</w:t>
      </w:r>
      <w:r>
        <w:t xml:space="preserve">, which works with firms to </w:t>
      </w:r>
      <w:r w:rsidRPr="00E85F7F">
        <w:t xml:space="preserve">strengthen </w:t>
      </w:r>
      <w:r>
        <w:t>their</w:t>
      </w:r>
      <w:r w:rsidRPr="00E85F7F">
        <w:t xml:space="preserve"> supply chain</w:t>
      </w:r>
      <w:r>
        <w:t xml:space="preserve"> and improve their ability to access new markets. </w:t>
      </w:r>
    </w:p>
    <w:p w14:paraId="3CB283ED" w14:textId="2022E80B" w:rsidR="00E85F7F" w:rsidRPr="00E85F7F" w:rsidRDefault="00E85F7F" w:rsidP="00326704">
      <w:pPr>
        <w:pStyle w:val="BodyText"/>
        <w:numPr>
          <w:ilvl w:val="0"/>
          <w:numId w:val="44"/>
        </w:numPr>
        <w:ind w:left="426" w:hanging="426"/>
      </w:pPr>
      <w:r>
        <w:rPr>
          <w:b/>
        </w:rPr>
        <w:t xml:space="preserve">Tourism partnerships, </w:t>
      </w:r>
      <w:r w:rsidRPr="0089657F">
        <w:t>which provides groups of tourism businesses in northern Australia with access to an experienced Business Facilitator for over 12 months to create a Tourism Partnerships Action Plan and opportunities and strategies for common business interests.</w:t>
      </w:r>
    </w:p>
    <w:p w14:paraId="0AF8A4C9" w14:textId="7FE8CF6F" w:rsidR="00E85F7F" w:rsidRDefault="00E85F7F" w:rsidP="0092649D">
      <w:pPr>
        <w:pStyle w:val="BodyText"/>
      </w:pPr>
      <w:r>
        <w:t xml:space="preserve">Business Growth Grants are also available under the program. These grants provide matched funding of up to $20,000 to hire an expert for help with </w:t>
      </w:r>
      <w:r>
        <w:lastRenderedPageBreak/>
        <w:t xml:space="preserve">implementing the advice and strategies recommended in the one of the above programs. </w:t>
      </w:r>
    </w:p>
    <w:p w14:paraId="1A917076" w14:textId="62A036AF" w:rsidR="00E85F7F" w:rsidRDefault="0021627B" w:rsidP="0092649D">
      <w:pPr>
        <w:pStyle w:val="BodyText"/>
      </w:pPr>
      <w:r>
        <w:t xml:space="preserve">Providing firms with access to information on management practices and strategic advice </w:t>
      </w:r>
      <w:r w:rsidR="0078522B">
        <w:t xml:space="preserve">helps to </w:t>
      </w:r>
      <w:r w:rsidR="001B59BB">
        <w:t>address</w:t>
      </w:r>
      <w:r>
        <w:t xml:space="preserve"> the informational problem</w:t>
      </w:r>
      <w:r w:rsidR="001B59BB">
        <w:t>s</w:t>
      </w:r>
      <w:r>
        <w:t xml:space="preserve"> identified early in this paper: firms are often unaware of how their management practices compare and what practices they could introduce. The effect of this program on management practices and firm outcomes </w:t>
      </w:r>
      <w:r w:rsidR="00675206">
        <w:t>will</w:t>
      </w:r>
      <w:r>
        <w:t xml:space="preserve"> be </w:t>
      </w:r>
      <w:r w:rsidR="001B59BB">
        <w:t>examine</w:t>
      </w:r>
      <w:r w:rsidR="00675206">
        <w:t>d</w:t>
      </w:r>
      <w:r w:rsidR="001B59BB">
        <w:t xml:space="preserve"> in the future</w:t>
      </w:r>
      <w:r>
        <w:t xml:space="preserve"> by linking data on program participation to</w:t>
      </w:r>
      <w:r w:rsidR="0078522B">
        <w:t xml:space="preserve"> Management and Organisational Capabilities</w:t>
      </w:r>
      <w:r>
        <w:t xml:space="preserve"> survey data in BLADE.</w:t>
      </w:r>
      <w:r w:rsidR="00675206">
        <w:t xml:space="preserve"> A subset of firms that participated in the Entrepreneurs’ Programme we included in the Management and Organisational Capabilities sample to enable such an analysis. </w:t>
      </w:r>
    </w:p>
    <w:p w14:paraId="0E2B5E46" w14:textId="54AF7124" w:rsidR="00624D5B" w:rsidRPr="00465C36" w:rsidRDefault="00B73969" w:rsidP="00B9070F">
      <w:pPr>
        <w:pStyle w:val="Heading1"/>
        <w:numPr>
          <w:ilvl w:val="0"/>
          <w:numId w:val="9"/>
        </w:numPr>
        <w:ind w:left="601" w:hanging="601"/>
      </w:pPr>
      <w:r w:rsidRPr="00465C36">
        <w:t>Conclusion</w:t>
      </w:r>
    </w:p>
    <w:p w14:paraId="1F7BC9B7" w14:textId="77777777" w:rsidR="002C4B38" w:rsidRDefault="002C4B38" w:rsidP="002C4B38">
      <w:pPr>
        <w:pStyle w:val="BodyText"/>
        <w:rPr>
          <w:color w:val="373737" w:themeColor="text1"/>
          <w:lang w:val="en"/>
        </w:rPr>
      </w:pPr>
      <w:r>
        <w:rPr>
          <w:lang w:val="en"/>
        </w:rPr>
        <w:t xml:space="preserve">This paper is the first management study undertaken using BLADE. It aims to provide an initial overview of strategic management capability in Australia and facilitate future research. </w:t>
      </w:r>
      <w:r>
        <w:rPr>
          <w:color w:val="373737" w:themeColor="text1"/>
          <w:lang w:val="en"/>
        </w:rPr>
        <w:t xml:space="preserve">The findings presented above, together with the existing literature in this area, highlight that management capability is a rich area of inquiry and an important consideration for policymakers. </w:t>
      </w:r>
    </w:p>
    <w:p w14:paraId="6AF62F5E" w14:textId="1FDBBB76" w:rsidR="002C4B38" w:rsidRDefault="002C4B38" w:rsidP="002C4B38">
      <w:pPr>
        <w:ind w:left="0"/>
      </w:pPr>
      <w:r w:rsidRPr="002C4B38">
        <w:t>The paper finds that around 58</w:t>
      </w:r>
      <w:r w:rsidR="0036472B">
        <w:t> </w:t>
      </w:r>
      <w:r w:rsidRPr="002C4B38">
        <w:t>per</w:t>
      </w:r>
      <w:r w:rsidR="0036472B">
        <w:t> </w:t>
      </w:r>
      <w:r w:rsidRPr="002C4B38">
        <w:t>cent of firms are classed as having Low Engagement Management, with either no strategic plan or no monitoring of key performance indicators. At the other end of the spectrum, roughly 6</w:t>
      </w:r>
      <w:r w:rsidR="00E053A0">
        <w:t> </w:t>
      </w:r>
      <w:r w:rsidRPr="002C4B38">
        <w:t>per</w:t>
      </w:r>
      <w:r w:rsidR="00E053A0">
        <w:t> </w:t>
      </w:r>
      <w:r w:rsidRPr="002C4B38">
        <w:t>cent of firms are classed as having Strategic Management, possessing a written strategic plan and monitoring three or more key performance indicators across two or more areas. The remaining 36</w:t>
      </w:r>
      <w:r w:rsidR="00E053A0">
        <w:t> </w:t>
      </w:r>
      <w:r w:rsidRPr="002C4B38">
        <w:t>per</w:t>
      </w:r>
      <w:r w:rsidR="00E053A0">
        <w:t> </w:t>
      </w:r>
      <w:r w:rsidRPr="002C4B38">
        <w:t>cent of firms fall between these two extremes, classed as either Ad Hoc (23</w:t>
      </w:r>
      <w:r w:rsidR="0036472B">
        <w:t> </w:t>
      </w:r>
      <w:r w:rsidRPr="002C4B38">
        <w:t>per</w:t>
      </w:r>
      <w:r w:rsidR="0036472B">
        <w:t> </w:t>
      </w:r>
      <w:r w:rsidRPr="002C4B38">
        <w:t>cent) or Narrow Focus (13</w:t>
      </w:r>
      <w:r w:rsidR="0036472B">
        <w:t> </w:t>
      </w:r>
      <w:r w:rsidRPr="002C4B38">
        <w:t>per</w:t>
      </w:r>
      <w:r w:rsidR="0036472B">
        <w:t xml:space="preserve"> cent). </w:t>
      </w:r>
      <w:r w:rsidRPr="002C4B38">
        <w:t>The paper also finds that firm size is an important predictor for management practices. Firms employing more than 100</w:t>
      </w:r>
      <w:r w:rsidR="00E053A0">
        <w:t> </w:t>
      </w:r>
      <w:r w:rsidRPr="002C4B38">
        <w:t>employees are over six times more likely to have high strategic management capability than firms employing 5</w:t>
      </w:r>
      <w:r w:rsidR="0036472B">
        <w:t> </w:t>
      </w:r>
      <w:r w:rsidRPr="002C4B38">
        <w:t>to</w:t>
      </w:r>
      <w:r w:rsidR="0036472B">
        <w:t> </w:t>
      </w:r>
      <w:r w:rsidRPr="002C4B38">
        <w:t>19 employees.</w:t>
      </w:r>
    </w:p>
    <w:p w14:paraId="2779826D" w14:textId="4BB35B88" w:rsidR="00AB0A60" w:rsidRPr="002C4B38" w:rsidRDefault="002C4B38" w:rsidP="002C4B38">
      <w:pPr>
        <w:spacing w:after="200" w:line="276" w:lineRule="auto"/>
        <w:ind w:left="0"/>
        <w:jc w:val="left"/>
        <w:rPr>
          <w:rFonts w:asciiTheme="minorHAnsi" w:hAnsiTheme="minorHAnsi"/>
          <w:color w:val="373737" w:themeColor="text1"/>
        </w:rPr>
      </w:pPr>
      <w:r w:rsidRPr="002C4B38">
        <w:t>The paper further finds that strategic management capability is also positively associated with: innovation; search for collaborative opportunities; responsiveness to skill and supply chain issues; and labour productivity at the firm level. Education and foreign investment appear to be two drivers of management capability. More educated — particularly university educated — principal managers and foreign ownership are both associated with higher proportions (levels) of strategic management</w:t>
      </w:r>
      <w:r w:rsidR="00E053A0">
        <w:t>.</w:t>
      </w:r>
      <w:r w:rsidR="00AB0A60" w:rsidRPr="002C4B38">
        <w:rPr>
          <w:color w:val="373737" w:themeColor="text1"/>
        </w:rPr>
        <w:br w:type="page"/>
      </w:r>
    </w:p>
    <w:p w14:paraId="404CA23F" w14:textId="677EC2D3" w:rsidR="0046504D" w:rsidRDefault="0046504D" w:rsidP="0092649D">
      <w:pPr>
        <w:pStyle w:val="Heading1"/>
        <w:ind w:left="0" w:firstLine="0"/>
        <w:rPr>
          <w:lang w:val="en"/>
        </w:rPr>
      </w:pPr>
      <w:r>
        <w:rPr>
          <w:lang w:val="en"/>
        </w:rPr>
        <w:lastRenderedPageBreak/>
        <w:t>Appendix A:</w:t>
      </w:r>
      <w:r w:rsidR="000455E8">
        <w:rPr>
          <w:lang w:val="en"/>
        </w:rPr>
        <w:t xml:space="preserve"> </w:t>
      </w:r>
      <w:r>
        <w:rPr>
          <w:lang w:val="en"/>
        </w:rPr>
        <w:t>Scope of the Business Characteristics Survey</w:t>
      </w:r>
    </w:p>
    <w:p w14:paraId="0D444966" w14:textId="05905FAD" w:rsidR="00850F3E" w:rsidRDefault="00850F3E" w:rsidP="0092649D">
      <w:pPr>
        <w:pStyle w:val="Caption"/>
      </w:pPr>
      <w:r w:rsidRPr="000618FB">
        <w:t xml:space="preserve">Table </w:t>
      </w:r>
      <w:r w:rsidR="00C1412F">
        <w:t>A</w:t>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1</w:t>
      </w:r>
      <w:r w:rsidR="00C5233C">
        <w:rPr>
          <w:noProof/>
        </w:rPr>
        <w:fldChar w:fldCharType="end"/>
      </w:r>
      <w:r w:rsidRPr="000618FB">
        <w:t xml:space="preserve">: </w:t>
      </w:r>
      <w:r>
        <w:t xml:space="preserve">Firms </w:t>
      </w:r>
      <w:r w:rsidR="00310075">
        <w:t>e</w:t>
      </w:r>
      <w:r>
        <w:t>xcluded from the Business Characteristics Survey</w:t>
      </w:r>
    </w:p>
    <w:tbl>
      <w:tblPr>
        <w:tblStyle w:val="OCETable"/>
        <w:tblW w:w="5000" w:type="pct"/>
        <w:tblInd w:w="-51" w:type="dxa"/>
        <w:tblLayout w:type="fixed"/>
        <w:tblLook w:val="04A0" w:firstRow="1" w:lastRow="0" w:firstColumn="1" w:lastColumn="0" w:noHBand="0" w:noVBand="1"/>
        <w:tblCaption w:val="Table A.1"/>
        <w:tblDescription w:val="This table lists firms according to industry classification and code."/>
      </w:tblPr>
      <w:tblGrid>
        <w:gridCol w:w="1503"/>
        <w:gridCol w:w="5391"/>
      </w:tblGrid>
      <w:tr w:rsidR="00850F3E" w14:paraId="5191BFF6" w14:textId="77777777" w:rsidTr="00A72A61">
        <w:trPr>
          <w:cnfStyle w:val="100000000000" w:firstRow="1" w:lastRow="0" w:firstColumn="0" w:lastColumn="0" w:oddVBand="0" w:evenVBand="0" w:oddHBand="0" w:evenHBand="0" w:firstRowFirstColumn="0" w:firstRowLastColumn="0" w:lastRowFirstColumn="0" w:lastRowLastColumn="0"/>
          <w:tblHeader/>
        </w:trPr>
        <w:tc>
          <w:tcPr>
            <w:tcW w:w="1503" w:type="dxa"/>
          </w:tcPr>
          <w:p w14:paraId="0FC0770B" w14:textId="77777777" w:rsidR="00850F3E" w:rsidRDefault="00850F3E" w:rsidP="0031026E">
            <w:pPr>
              <w:pStyle w:val="Tableheadertext"/>
            </w:pPr>
            <w:r>
              <w:t xml:space="preserve">Industry Classification </w:t>
            </w:r>
          </w:p>
        </w:tc>
        <w:tc>
          <w:tcPr>
            <w:tcW w:w="5391" w:type="dxa"/>
          </w:tcPr>
          <w:p w14:paraId="65A3A22F" w14:textId="77777777" w:rsidR="00850F3E" w:rsidRDefault="00850F3E" w:rsidP="0031026E">
            <w:pPr>
              <w:pStyle w:val="Tableheadertext"/>
            </w:pPr>
            <w:r>
              <w:t xml:space="preserve">Industry Code </w:t>
            </w:r>
          </w:p>
        </w:tc>
      </w:tr>
      <w:tr w:rsidR="00850F3E" w14:paraId="4C372902" w14:textId="77777777" w:rsidTr="0092649D">
        <w:trPr>
          <w:cnfStyle w:val="000000100000" w:firstRow="0" w:lastRow="0" w:firstColumn="0" w:lastColumn="0" w:oddVBand="0" w:evenVBand="0" w:oddHBand="1" w:evenHBand="0" w:firstRowFirstColumn="0" w:firstRowLastColumn="0" w:lastRowFirstColumn="0" w:lastRowLastColumn="0"/>
        </w:trPr>
        <w:tc>
          <w:tcPr>
            <w:tcW w:w="1503" w:type="dxa"/>
          </w:tcPr>
          <w:p w14:paraId="5F7E26DE" w14:textId="77777777" w:rsidR="00850F3E" w:rsidRDefault="00850F3E" w:rsidP="0031026E">
            <w:pPr>
              <w:pStyle w:val="Tablebodytext"/>
            </w:pPr>
            <w:r>
              <w:t xml:space="preserve">SISCA </w:t>
            </w:r>
          </w:p>
        </w:tc>
        <w:tc>
          <w:tcPr>
            <w:tcW w:w="5391" w:type="dxa"/>
          </w:tcPr>
          <w:p w14:paraId="05A5FF13" w14:textId="77777777" w:rsidR="00850F3E" w:rsidRDefault="00850F3E" w:rsidP="0031026E">
            <w:pPr>
              <w:pStyle w:val="Tablebodytext"/>
            </w:pPr>
            <w:r>
              <w:t>3000 General government</w:t>
            </w:r>
          </w:p>
        </w:tc>
      </w:tr>
      <w:tr w:rsidR="00850F3E" w14:paraId="70E14F42" w14:textId="77777777" w:rsidTr="0092649D">
        <w:trPr>
          <w:cnfStyle w:val="000000010000" w:firstRow="0" w:lastRow="0" w:firstColumn="0" w:lastColumn="0" w:oddVBand="0" w:evenVBand="0" w:oddHBand="0" w:evenHBand="1" w:firstRowFirstColumn="0" w:firstRowLastColumn="0" w:lastRowFirstColumn="0" w:lastRowLastColumn="0"/>
        </w:trPr>
        <w:tc>
          <w:tcPr>
            <w:tcW w:w="1503" w:type="dxa"/>
          </w:tcPr>
          <w:p w14:paraId="7B2D18E6" w14:textId="77777777" w:rsidR="00850F3E" w:rsidRDefault="00850F3E" w:rsidP="0031026E">
            <w:pPr>
              <w:pStyle w:val="Tablebodytext"/>
            </w:pPr>
            <w:r>
              <w:t xml:space="preserve">SISICA </w:t>
            </w:r>
          </w:p>
        </w:tc>
        <w:tc>
          <w:tcPr>
            <w:tcW w:w="5391" w:type="dxa"/>
          </w:tcPr>
          <w:p w14:paraId="0C213455" w14:textId="77777777" w:rsidR="00850F3E" w:rsidRDefault="00850F3E" w:rsidP="0031026E">
            <w:pPr>
              <w:pStyle w:val="Tablebodytext"/>
            </w:pPr>
            <w:r>
              <w:t xml:space="preserve">6000 Rest of the world </w:t>
            </w:r>
          </w:p>
        </w:tc>
      </w:tr>
      <w:tr w:rsidR="00850F3E" w14:paraId="7F3C6B54" w14:textId="77777777" w:rsidTr="0092649D">
        <w:trPr>
          <w:cnfStyle w:val="000000100000" w:firstRow="0" w:lastRow="0" w:firstColumn="0" w:lastColumn="0" w:oddVBand="0" w:evenVBand="0" w:oddHBand="1" w:evenHBand="0" w:firstRowFirstColumn="0" w:firstRowLastColumn="0" w:lastRowFirstColumn="0" w:lastRowLastColumn="0"/>
        </w:trPr>
        <w:tc>
          <w:tcPr>
            <w:tcW w:w="1503" w:type="dxa"/>
          </w:tcPr>
          <w:p w14:paraId="0EAA8187" w14:textId="77777777" w:rsidR="00850F3E" w:rsidRDefault="00850F3E" w:rsidP="0031026E">
            <w:pPr>
              <w:pStyle w:val="Tablebodytext"/>
            </w:pPr>
            <w:r>
              <w:t>ANZSIC06</w:t>
            </w:r>
          </w:p>
        </w:tc>
        <w:tc>
          <w:tcPr>
            <w:tcW w:w="5391" w:type="dxa"/>
          </w:tcPr>
          <w:p w14:paraId="3E37D6E9" w14:textId="77777777" w:rsidR="00850F3E" w:rsidRDefault="00850F3E" w:rsidP="0031026E">
            <w:pPr>
              <w:pStyle w:val="Tablebodytext"/>
            </w:pPr>
            <w:r>
              <w:t>Division O Public administration and safety</w:t>
            </w:r>
          </w:p>
        </w:tc>
      </w:tr>
      <w:tr w:rsidR="00850F3E" w14:paraId="7966B93C" w14:textId="77777777" w:rsidTr="0092649D">
        <w:trPr>
          <w:cnfStyle w:val="000000010000" w:firstRow="0" w:lastRow="0" w:firstColumn="0" w:lastColumn="0" w:oddVBand="0" w:evenVBand="0" w:oddHBand="0" w:evenHBand="1" w:firstRowFirstColumn="0" w:firstRowLastColumn="0" w:lastRowFirstColumn="0" w:lastRowLastColumn="0"/>
        </w:trPr>
        <w:tc>
          <w:tcPr>
            <w:tcW w:w="1503" w:type="dxa"/>
          </w:tcPr>
          <w:p w14:paraId="4BEE68AE" w14:textId="77777777" w:rsidR="00850F3E" w:rsidRDefault="00850F3E" w:rsidP="0031026E">
            <w:pPr>
              <w:pStyle w:val="Tablebodytext"/>
            </w:pPr>
            <w:r>
              <w:t>ANZSIC06</w:t>
            </w:r>
          </w:p>
        </w:tc>
        <w:tc>
          <w:tcPr>
            <w:tcW w:w="5391" w:type="dxa"/>
          </w:tcPr>
          <w:p w14:paraId="1432BC19" w14:textId="77777777" w:rsidR="00850F3E" w:rsidRDefault="00850F3E" w:rsidP="0031026E">
            <w:pPr>
              <w:pStyle w:val="Tablebodytext"/>
            </w:pPr>
            <w:r>
              <w:t xml:space="preserve">Division P Education and training </w:t>
            </w:r>
          </w:p>
        </w:tc>
      </w:tr>
      <w:tr w:rsidR="00850F3E" w14:paraId="53C44DF1" w14:textId="77777777" w:rsidTr="0092649D">
        <w:trPr>
          <w:cnfStyle w:val="000000100000" w:firstRow="0" w:lastRow="0" w:firstColumn="0" w:lastColumn="0" w:oddVBand="0" w:evenVBand="0" w:oddHBand="1" w:evenHBand="0" w:firstRowFirstColumn="0" w:firstRowLastColumn="0" w:lastRowFirstColumn="0" w:lastRowLastColumn="0"/>
        </w:trPr>
        <w:tc>
          <w:tcPr>
            <w:tcW w:w="1503" w:type="dxa"/>
          </w:tcPr>
          <w:p w14:paraId="74DD2ECD" w14:textId="77777777" w:rsidR="00850F3E" w:rsidRDefault="00850F3E" w:rsidP="0031026E">
            <w:pPr>
              <w:pStyle w:val="Tablebodytext"/>
            </w:pPr>
            <w:r>
              <w:t>ANZSIC06</w:t>
            </w:r>
          </w:p>
        </w:tc>
        <w:tc>
          <w:tcPr>
            <w:tcW w:w="5391" w:type="dxa"/>
          </w:tcPr>
          <w:p w14:paraId="64595FFD" w14:textId="77777777" w:rsidR="00850F3E" w:rsidRDefault="00850F3E" w:rsidP="0031026E">
            <w:pPr>
              <w:pStyle w:val="Tablebodytext"/>
            </w:pPr>
            <w:r>
              <w:t xml:space="preserve">Group 624 Financial asset investing </w:t>
            </w:r>
          </w:p>
        </w:tc>
      </w:tr>
      <w:tr w:rsidR="00850F3E" w14:paraId="5D26B0D0" w14:textId="77777777" w:rsidTr="0092649D">
        <w:trPr>
          <w:cnfStyle w:val="000000010000" w:firstRow="0" w:lastRow="0" w:firstColumn="0" w:lastColumn="0" w:oddVBand="0" w:evenVBand="0" w:oddHBand="0" w:evenHBand="1" w:firstRowFirstColumn="0" w:firstRowLastColumn="0" w:lastRowFirstColumn="0" w:lastRowLastColumn="0"/>
        </w:trPr>
        <w:tc>
          <w:tcPr>
            <w:tcW w:w="1503" w:type="dxa"/>
          </w:tcPr>
          <w:p w14:paraId="2CEEF902" w14:textId="77777777" w:rsidR="00850F3E" w:rsidRDefault="00850F3E" w:rsidP="0031026E">
            <w:pPr>
              <w:pStyle w:val="Tablebodytext"/>
            </w:pPr>
            <w:r>
              <w:t>ANZSIC06</w:t>
            </w:r>
          </w:p>
        </w:tc>
        <w:tc>
          <w:tcPr>
            <w:tcW w:w="5391" w:type="dxa"/>
          </w:tcPr>
          <w:p w14:paraId="66D38F20" w14:textId="77777777" w:rsidR="00850F3E" w:rsidRDefault="00850F3E" w:rsidP="0031026E">
            <w:pPr>
              <w:pStyle w:val="Tablebodytext"/>
            </w:pPr>
            <w:r>
              <w:t xml:space="preserve">Group 633 Superannuation funds </w:t>
            </w:r>
          </w:p>
        </w:tc>
      </w:tr>
      <w:tr w:rsidR="00850F3E" w14:paraId="3D01FFD3" w14:textId="77777777" w:rsidTr="0092649D">
        <w:trPr>
          <w:cnfStyle w:val="000000100000" w:firstRow="0" w:lastRow="0" w:firstColumn="0" w:lastColumn="0" w:oddVBand="0" w:evenVBand="0" w:oddHBand="1" w:evenHBand="0" w:firstRowFirstColumn="0" w:firstRowLastColumn="0" w:lastRowFirstColumn="0" w:lastRowLastColumn="0"/>
        </w:trPr>
        <w:tc>
          <w:tcPr>
            <w:tcW w:w="1503" w:type="dxa"/>
          </w:tcPr>
          <w:p w14:paraId="305A14DF" w14:textId="77777777" w:rsidR="00850F3E" w:rsidRDefault="00850F3E" w:rsidP="0031026E">
            <w:pPr>
              <w:pStyle w:val="Tablebodytext"/>
            </w:pPr>
            <w:r>
              <w:t>ANZSIC06</w:t>
            </w:r>
          </w:p>
        </w:tc>
        <w:tc>
          <w:tcPr>
            <w:tcW w:w="5391" w:type="dxa"/>
          </w:tcPr>
          <w:p w14:paraId="0ADF8BC7" w14:textId="77777777" w:rsidR="00850F3E" w:rsidRDefault="00850F3E" w:rsidP="0031026E">
            <w:pPr>
              <w:pStyle w:val="Tablebodytext"/>
            </w:pPr>
            <w:r>
              <w:t xml:space="preserve">Group 954 Religious services </w:t>
            </w:r>
          </w:p>
        </w:tc>
      </w:tr>
      <w:tr w:rsidR="00850F3E" w14:paraId="6BA38E10" w14:textId="77777777" w:rsidTr="0092649D">
        <w:trPr>
          <w:cnfStyle w:val="000000010000" w:firstRow="0" w:lastRow="0" w:firstColumn="0" w:lastColumn="0" w:oddVBand="0" w:evenVBand="0" w:oddHBand="0" w:evenHBand="1" w:firstRowFirstColumn="0" w:firstRowLastColumn="0" w:lastRowFirstColumn="0" w:lastRowLastColumn="0"/>
        </w:trPr>
        <w:tc>
          <w:tcPr>
            <w:tcW w:w="1503" w:type="dxa"/>
          </w:tcPr>
          <w:p w14:paraId="10C013C7" w14:textId="77777777" w:rsidR="00850F3E" w:rsidRDefault="00850F3E" w:rsidP="0031026E">
            <w:pPr>
              <w:pStyle w:val="Tablebodytext"/>
            </w:pPr>
            <w:r>
              <w:t>ANZSIC06</w:t>
            </w:r>
          </w:p>
        </w:tc>
        <w:tc>
          <w:tcPr>
            <w:tcW w:w="5391" w:type="dxa"/>
          </w:tcPr>
          <w:p w14:paraId="33C36FC4" w14:textId="77777777" w:rsidR="00850F3E" w:rsidRDefault="00850F3E" w:rsidP="0031026E">
            <w:pPr>
              <w:pStyle w:val="Tablebodytext"/>
            </w:pPr>
            <w:r>
              <w:t xml:space="preserve">Group 955 Civic, professional and other interest groups services </w:t>
            </w:r>
          </w:p>
        </w:tc>
      </w:tr>
      <w:tr w:rsidR="00850F3E" w14:paraId="7FE7E53B" w14:textId="77777777" w:rsidTr="0092649D">
        <w:trPr>
          <w:cnfStyle w:val="000000100000" w:firstRow="0" w:lastRow="0" w:firstColumn="0" w:lastColumn="0" w:oddVBand="0" w:evenVBand="0" w:oddHBand="1" w:evenHBand="0" w:firstRowFirstColumn="0" w:firstRowLastColumn="0" w:lastRowFirstColumn="0" w:lastRowLastColumn="0"/>
        </w:trPr>
        <w:tc>
          <w:tcPr>
            <w:tcW w:w="1503" w:type="dxa"/>
          </w:tcPr>
          <w:p w14:paraId="7C8DF02C" w14:textId="77777777" w:rsidR="00850F3E" w:rsidRDefault="00850F3E" w:rsidP="0031026E">
            <w:pPr>
              <w:pStyle w:val="Tablebodytext"/>
            </w:pPr>
            <w:r>
              <w:t>ANZSIC06</w:t>
            </w:r>
          </w:p>
        </w:tc>
        <w:tc>
          <w:tcPr>
            <w:tcW w:w="5391" w:type="dxa"/>
          </w:tcPr>
          <w:p w14:paraId="6C43CBA2" w14:textId="77777777" w:rsidR="00850F3E" w:rsidRDefault="00850F3E" w:rsidP="0031026E">
            <w:pPr>
              <w:pStyle w:val="Tablebodytext"/>
            </w:pPr>
            <w:r>
              <w:t>Subdivision 96 Private households employing staff</w:t>
            </w:r>
          </w:p>
        </w:tc>
      </w:tr>
    </w:tbl>
    <w:p w14:paraId="2D7557B4" w14:textId="43FEA9A6" w:rsidR="00850F3E" w:rsidRDefault="00850F3E" w:rsidP="0092649D">
      <w:pPr>
        <w:pStyle w:val="Source"/>
      </w:pPr>
      <w:r>
        <w:t xml:space="preserve">Source: ABS (2017) Selected Characteristics of Australia, 2015–16: Explanatory Notes. </w:t>
      </w:r>
    </w:p>
    <w:p w14:paraId="308F3A73" w14:textId="29D4BA49" w:rsidR="0046504D" w:rsidRDefault="0046504D" w:rsidP="0092649D">
      <w:pPr>
        <w:spacing w:after="200" w:line="276" w:lineRule="auto"/>
        <w:ind w:left="0"/>
        <w:jc w:val="left"/>
        <w:rPr>
          <w:lang w:val="en"/>
        </w:rPr>
      </w:pPr>
      <w:r>
        <w:rPr>
          <w:lang w:val="en"/>
        </w:rPr>
        <w:br w:type="page"/>
      </w:r>
    </w:p>
    <w:p w14:paraId="72C896EF" w14:textId="506805FB" w:rsidR="0046504D" w:rsidRPr="00257D74" w:rsidRDefault="003D547B" w:rsidP="0092649D">
      <w:pPr>
        <w:pStyle w:val="Heading1"/>
        <w:ind w:left="0" w:firstLine="0"/>
        <w:rPr>
          <w:lang w:val="en"/>
        </w:rPr>
      </w:pPr>
      <w:r>
        <w:rPr>
          <w:lang w:val="en"/>
        </w:rPr>
        <w:lastRenderedPageBreak/>
        <w:t>Appendix B: Management capability s</w:t>
      </w:r>
      <w:r w:rsidR="00880D4C">
        <w:rPr>
          <w:lang w:val="en"/>
        </w:rPr>
        <w:t xml:space="preserve">urvey </w:t>
      </w:r>
      <w:r>
        <w:rPr>
          <w:lang w:val="en"/>
        </w:rPr>
        <w:t>q</w:t>
      </w:r>
      <w:r w:rsidR="00880D4C">
        <w:rPr>
          <w:lang w:val="en"/>
        </w:rPr>
        <w:t>uestions</w:t>
      </w:r>
      <w:r>
        <w:rPr>
          <w:lang w:val="en"/>
        </w:rPr>
        <w:t xml:space="preserve"> used </w:t>
      </w:r>
      <w:r w:rsidR="00502BBD">
        <w:rPr>
          <w:lang w:val="en"/>
        </w:rPr>
        <w:t>to classify firms</w:t>
      </w:r>
    </w:p>
    <w:p w14:paraId="14535433" w14:textId="12C12CBB" w:rsidR="0046504D" w:rsidRDefault="00B9070F" w:rsidP="0092649D">
      <w:pPr>
        <w:pStyle w:val="CaptionWide"/>
        <w:spacing w:after="120"/>
        <w:ind w:left="0"/>
      </w:pPr>
      <w:r w:rsidRPr="003D547B">
        <w:rPr>
          <w:noProof/>
          <w:lang w:eastAsia="en-AU"/>
        </w:rPr>
        <w:drawing>
          <wp:anchor distT="0" distB="0" distL="114300" distR="114300" simplePos="0" relativeHeight="251658251" behindDoc="1" locked="0" layoutInCell="1" allowOverlap="1" wp14:anchorId="43BA1BDA" wp14:editId="562D3B86">
            <wp:simplePos x="0" y="0"/>
            <wp:positionH relativeFrom="page">
              <wp:posOffset>2205990</wp:posOffset>
            </wp:positionH>
            <wp:positionV relativeFrom="paragraph">
              <wp:posOffset>295910</wp:posOffset>
            </wp:positionV>
            <wp:extent cx="3548380" cy="595630"/>
            <wp:effectExtent l="0" t="0" r="0" b="0"/>
            <wp:wrapTopAndBottom/>
            <wp:docPr id="60" name="Picture 60" title="Management capacity survey form -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354838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547B">
        <w:rPr>
          <w:noProof/>
          <w:lang w:eastAsia="en-AU"/>
        </w:rPr>
        <w:drawing>
          <wp:anchor distT="0" distB="0" distL="114300" distR="114300" simplePos="0" relativeHeight="251658253" behindDoc="0" locked="0" layoutInCell="1" allowOverlap="1" wp14:anchorId="624B5E6D" wp14:editId="0427D12D">
            <wp:simplePos x="0" y="0"/>
            <wp:positionH relativeFrom="page">
              <wp:posOffset>2275840</wp:posOffset>
            </wp:positionH>
            <wp:positionV relativeFrom="paragraph">
              <wp:posOffset>6047740</wp:posOffset>
            </wp:positionV>
            <wp:extent cx="3369310" cy="1543050"/>
            <wp:effectExtent l="0" t="0" r="2540" b="0"/>
            <wp:wrapTopAndBottom/>
            <wp:docPr id="26" name="Picture 26" title="Management capacity survey form - s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3369310"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547B">
        <w:rPr>
          <w:noProof/>
          <w:lang w:eastAsia="en-AU"/>
        </w:rPr>
        <w:drawing>
          <wp:anchor distT="0" distB="0" distL="114300" distR="114300" simplePos="0" relativeHeight="251658252" behindDoc="0" locked="0" layoutInCell="1" allowOverlap="1" wp14:anchorId="764EC02B" wp14:editId="20516D08">
            <wp:simplePos x="0" y="0"/>
            <wp:positionH relativeFrom="page">
              <wp:posOffset>2229899</wp:posOffset>
            </wp:positionH>
            <wp:positionV relativeFrom="paragraph">
              <wp:posOffset>980440</wp:posOffset>
            </wp:positionV>
            <wp:extent cx="3470275" cy="4961255"/>
            <wp:effectExtent l="0" t="0" r="0" b="0"/>
            <wp:wrapTopAndBottom/>
            <wp:docPr id="61" name="Picture 61" title="Management capacity survey form - 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3470275" cy="496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04D">
        <w:t>Figure</w:t>
      </w:r>
      <w:r w:rsidR="0046504D" w:rsidRPr="000618FB">
        <w:t xml:space="preserve"> </w:t>
      </w:r>
      <w:r w:rsidR="0043531C">
        <w:t>B</w:t>
      </w:r>
      <w:r w:rsidR="0046504D" w:rsidRPr="000618FB">
        <w:t>.</w:t>
      </w:r>
      <w:r w:rsidR="0046504D" w:rsidRPr="000618FB">
        <w:fldChar w:fldCharType="begin"/>
      </w:r>
      <w:r w:rsidR="0046504D" w:rsidRPr="000618FB">
        <w:instrText xml:space="preserve"> SEQ </w:instrText>
      </w:r>
      <w:r w:rsidR="0046504D">
        <w:instrText>Figure</w:instrText>
      </w:r>
      <w:r w:rsidR="0046504D" w:rsidRPr="000618FB">
        <w:instrText xml:space="preserve"> \* ARABIC \s 1 </w:instrText>
      </w:r>
      <w:r w:rsidR="0046504D" w:rsidRPr="000618FB">
        <w:fldChar w:fldCharType="separate"/>
      </w:r>
      <w:r w:rsidR="0001154F">
        <w:rPr>
          <w:noProof/>
        </w:rPr>
        <w:t>1</w:t>
      </w:r>
      <w:r w:rsidR="0046504D" w:rsidRPr="000618FB">
        <w:fldChar w:fldCharType="end"/>
      </w:r>
      <w:r w:rsidR="0046504D">
        <w:t xml:space="preserve">: </w:t>
      </w:r>
      <w:r w:rsidR="0054265A">
        <w:t>Management capability survey form</w:t>
      </w:r>
    </w:p>
    <w:p w14:paraId="00929C51" w14:textId="78BDC406" w:rsidR="0046504D" w:rsidRPr="0046504D" w:rsidRDefault="0046504D" w:rsidP="0092649D">
      <w:pPr>
        <w:pStyle w:val="SourceWide"/>
        <w:ind w:left="0"/>
      </w:pPr>
      <w:r>
        <w:t xml:space="preserve">Source: </w:t>
      </w:r>
      <w:r w:rsidRPr="0046504D">
        <w:t>Australian Bureau of Statistics (2017) Business Characteristics Survey, Management Capability Module (2015-16).</w:t>
      </w:r>
    </w:p>
    <w:p w14:paraId="1DE69D20" w14:textId="31E4A791" w:rsidR="005B42EA" w:rsidRPr="00257D74" w:rsidRDefault="005B42EA" w:rsidP="005B42EA">
      <w:pPr>
        <w:pStyle w:val="Heading1"/>
        <w:ind w:left="0" w:firstLine="0"/>
        <w:rPr>
          <w:lang w:val="en"/>
        </w:rPr>
      </w:pPr>
      <w:r>
        <w:rPr>
          <w:lang w:val="en"/>
        </w:rPr>
        <w:lastRenderedPageBreak/>
        <w:t>Appendix C: Distributions of variables contributing to levels of strategic management</w:t>
      </w:r>
    </w:p>
    <w:p w14:paraId="058C548F" w14:textId="37F734D2" w:rsidR="005B42EA" w:rsidRDefault="005B42EA" w:rsidP="005B42EA">
      <w:pPr>
        <w:pStyle w:val="Caption"/>
      </w:pPr>
      <w:r w:rsidRPr="000618FB">
        <w:t>Table</w:t>
      </w:r>
      <w:r w:rsidR="00CB2D5A">
        <w:t xml:space="preserve"> C</w:t>
      </w:r>
      <w:r w:rsidRPr="000618FB">
        <w:t>.</w:t>
      </w:r>
      <w:r>
        <w:rPr>
          <w:noProof/>
        </w:rPr>
        <w:fldChar w:fldCharType="begin"/>
      </w:r>
      <w:r>
        <w:rPr>
          <w:noProof/>
        </w:rPr>
        <w:instrText xml:space="preserve"> SEQ Table \* ARABIC \s 1 </w:instrText>
      </w:r>
      <w:r>
        <w:rPr>
          <w:noProof/>
        </w:rPr>
        <w:fldChar w:fldCharType="separate"/>
      </w:r>
      <w:r w:rsidR="0001154F">
        <w:rPr>
          <w:noProof/>
        </w:rPr>
        <w:t>1</w:t>
      </w:r>
      <w:r>
        <w:rPr>
          <w:noProof/>
        </w:rPr>
        <w:fldChar w:fldCharType="end"/>
      </w:r>
      <w:r w:rsidRPr="000618FB">
        <w:t xml:space="preserve">: </w:t>
      </w:r>
      <w:r w:rsidR="00CB2D5A" w:rsidRPr="00CB2D5A">
        <w:t>Distributions of variables contributing to levels of strategic management</w:t>
      </w:r>
    </w:p>
    <w:tbl>
      <w:tblPr>
        <w:tblStyle w:val="OCETable"/>
        <w:tblW w:w="5000" w:type="pct"/>
        <w:tblInd w:w="-51" w:type="dxa"/>
        <w:tblLayout w:type="fixed"/>
        <w:tblLook w:val="04A0" w:firstRow="1" w:lastRow="0" w:firstColumn="1" w:lastColumn="0" w:noHBand="0" w:noVBand="1"/>
        <w:tblCaption w:val="This table contains figures C.1a, b and c"/>
      </w:tblPr>
      <w:tblGrid>
        <w:gridCol w:w="6894"/>
      </w:tblGrid>
      <w:tr w:rsidR="00DD6DAF" w14:paraId="2195033F" w14:textId="77777777" w:rsidTr="00201765">
        <w:trPr>
          <w:cnfStyle w:val="100000000000" w:firstRow="1" w:lastRow="0" w:firstColumn="0" w:lastColumn="0" w:oddVBand="0" w:evenVBand="0" w:oddHBand="0" w:evenHBand="0" w:firstRowFirstColumn="0" w:firstRowLastColumn="0" w:lastRowFirstColumn="0" w:lastRowLastColumn="0"/>
          <w:tblHeader/>
        </w:trPr>
        <w:tc>
          <w:tcPr>
            <w:tcW w:w="6894" w:type="dxa"/>
            <w:shd w:val="clear" w:color="auto" w:fill="FFFFFF" w:themeFill="background1"/>
          </w:tcPr>
          <w:p w14:paraId="7394B562" w14:textId="5F9200E8" w:rsidR="00DD6DAF" w:rsidRPr="00DD6DAF" w:rsidRDefault="00DD6DAF" w:rsidP="003F3567">
            <w:pPr>
              <w:pStyle w:val="Tableheadertext"/>
              <w:numPr>
                <w:ilvl w:val="0"/>
                <w:numId w:val="49"/>
              </w:numPr>
              <w:ind w:left="714" w:hanging="357"/>
              <w:jc w:val="center"/>
            </w:pPr>
            <w:bookmarkStart w:id="1" w:name="_GoBack"/>
            <w:bookmarkEnd w:id="1"/>
            <w:r w:rsidRPr="00DD6DAF">
              <w:rPr>
                <w:noProof/>
                <w:color w:val="005CAF"/>
                <w:lang w:eastAsia="en-AU"/>
              </w:rPr>
              <w:t>Strategic plan or policy in place</w:t>
            </w:r>
          </w:p>
        </w:tc>
      </w:tr>
      <w:tr w:rsidR="00DD6DAF" w14:paraId="64ED2243" w14:textId="77777777" w:rsidTr="003F3567">
        <w:trPr>
          <w:cnfStyle w:val="000000100000" w:firstRow="0" w:lastRow="0" w:firstColumn="0" w:lastColumn="0" w:oddVBand="0" w:evenVBand="0" w:oddHBand="1" w:evenHBand="0" w:firstRowFirstColumn="0" w:firstRowLastColumn="0" w:lastRowFirstColumn="0" w:lastRowLastColumn="0"/>
        </w:trPr>
        <w:tc>
          <w:tcPr>
            <w:tcW w:w="6894" w:type="dxa"/>
            <w:shd w:val="clear" w:color="auto" w:fill="FFFFFF" w:themeFill="background1"/>
          </w:tcPr>
          <w:p w14:paraId="6CAA39C9" w14:textId="58B51174" w:rsidR="00DD6DAF" w:rsidRDefault="00DD6DAF" w:rsidP="00DD6DAF">
            <w:pPr>
              <w:pStyle w:val="Tablebodytext"/>
              <w:jc w:val="right"/>
            </w:pPr>
            <w:r>
              <w:rPr>
                <w:noProof/>
                <w:lang w:eastAsia="en-AU"/>
              </w:rPr>
              <w:drawing>
                <wp:inline distT="0" distB="0" distL="0" distR="0" wp14:anchorId="356B69BB" wp14:editId="70E0AD86">
                  <wp:extent cx="4240530" cy="1980000"/>
                  <wp:effectExtent l="0" t="0" r="7620" b="1270"/>
                  <wp:docPr id="18" name="Chart 18" descr="This graph shows the per cent of firms with a strategic plan or policy in place." title="Figure C.1a"/>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tc>
      </w:tr>
      <w:tr w:rsidR="00DD6DAF" w14:paraId="03AC0959" w14:textId="77777777" w:rsidTr="003F3567">
        <w:trPr>
          <w:cnfStyle w:val="000000010000" w:firstRow="0" w:lastRow="0" w:firstColumn="0" w:lastColumn="0" w:oddVBand="0" w:evenVBand="0" w:oddHBand="0" w:evenHBand="1" w:firstRowFirstColumn="0" w:firstRowLastColumn="0" w:lastRowFirstColumn="0" w:lastRowLastColumn="0"/>
        </w:trPr>
        <w:tc>
          <w:tcPr>
            <w:tcW w:w="6894" w:type="dxa"/>
          </w:tcPr>
          <w:p w14:paraId="78485807" w14:textId="2FF277FD" w:rsidR="00DD6DAF" w:rsidRPr="003F3567" w:rsidRDefault="00DD6DAF" w:rsidP="003F3567">
            <w:pPr>
              <w:pStyle w:val="Tableheadertext"/>
              <w:numPr>
                <w:ilvl w:val="0"/>
                <w:numId w:val="49"/>
              </w:numPr>
              <w:ind w:left="714" w:hanging="357"/>
              <w:jc w:val="center"/>
              <w:rPr>
                <w:noProof/>
                <w:color w:val="005CAF"/>
                <w:lang w:eastAsia="en-AU"/>
              </w:rPr>
            </w:pPr>
            <w:r>
              <w:rPr>
                <w:noProof/>
                <w:color w:val="005CAF"/>
                <w:lang w:eastAsia="en-AU"/>
              </w:rPr>
              <w:t>Number of k</w:t>
            </w:r>
            <w:r w:rsidRPr="00DD6DAF">
              <w:rPr>
                <w:noProof/>
                <w:color w:val="005CAF"/>
                <w:lang w:eastAsia="en-AU"/>
              </w:rPr>
              <w:t xml:space="preserve">ey </w:t>
            </w:r>
            <w:r>
              <w:rPr>
                <w:noProof/>
                <w:color w:val="005CAF"/>
                <w:lang w:eastAsia="en-AU"/>
              </w:rPr>
              <w:t>p</w:t>
            </w:r>
            <w:r w:rsidRPr="003F3567">
              <w:rPr>
                <w:noProof/>
                <w:color w:val="005CAF"/>
                <w:lang w:eastAsia="en-AU"/>
              </w:rPr>
              <w:t xml:space="preserve">erformance </w:t>
            </w:r>
            <w:r>
              <w:rPr>
                <w:noProof/>
                <w:color w:val="005CAF"/>
                <w:lang w:eastAsia="en-AU"/>
              </w:rPr>
              <w:t>i</w:t>
            </w:r>
            <w:r w:rsidRPr="003F3567">
              <w:rPr>
                <w:noProof/>
                <w:color w:val="005CAF"/>
                <w:lang w:eastAsia="en-AU"/>
              </w:rPr>
              <w:t>ndicators</w:t>
            </w:r>
            <w:r>
              <w:rPr>
                <w:noProof/>
                <w:color w:val="005CAF"/>
                <w:lang w:eastAsia="en-AU"/>
              </w:rPr>
              <w:t xml:space="preserve"> monitored</w:t>
            </w:r>
          </w:p>
        </w:tc>
      </w:tr>
      <w:tr w:rsidR="00DD6DAF" w14:paraId="4C47C897" w14:textId="77777777" w:rsidTr="003F3567">
        <w:trPr>
          <w:cnfStyle w:val="000000100000" w:firstRow="0" w:lastRow="0" w:firstColumn="0" w:lastColumn="0" w:oddVBand="0" w:evenVBand="0" w:oddHBand="1" w:evenHBand="0" w:firstRowFirstColumn="0" w:firstRowLastColumn="0" w:lastRowFirstColumn="0" w:lastRowLastColumn="0"/>
        </w:trPr>
        <w:tc>
          <w:tcPr>
            <w:tcW w:w="6894" w:type="dxa"/>
            <w:shd w:val="clear" w:color="auto" w:fill="FFFFFF" w:themeFill="background1"/>
          </w:tcPr>
          <w:p w14:paraId="79EF5852" w14:textId="38A1C8E9" w:rsidR="00DD6DAF" w:rsidRDefault="00DD6DAF" w:rsidP="00DD6DAF">
            <w:pPr>
              <w:pStyle w:val="Tablebodytext"/>
              <w:jc w:val="right"/>
            </w:pPr>
            <w:r>
              <w:rPr>
                <w:noProof/>
                <w:lang w:eastAsia="en-AU"/>
              </w:rPr>
              <w:drawing>
                <wp:inline distT="0" distB="0" distL="0" distR="0" wp14:anchorId="31A55243" wp14:editId="7A841D89">
                  <wp:extent cx="4252595" cy="1980000"/>
                  <wp:effectExtent l="0" t="0" r="0" b="1270"/>
                  <wp:docPr id="22" name="Chart 22" descr="This graph shows the per cent of firms with a number of KPIs monitored." title="Figure C.1b"/>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tc>
      </w:tr>
      <w:tr w:rsidR="00DD6DAF" w14:paraId="79C7D9D9" w14:textId="77777777" w:rsidTr="003F3567">
        <w:trPr>
          <w:cnfStyle w:val="000000010000" w:firstRow="0" w:lastRow="0" w:firstColumn="0" w:lastColumn="0" w:oddVBand="0" w:evenVBand="0" w:oddHBand="0" w:evenHBand="1" w:firstRowFirstColumn="0" w:firstRowLastColumn="0" w:lastRowFirstColumn="0" w:lastRowLastColumn="0"/>
        </w:trPr>
        <w:tc>
          <w:tcPr>
            <w:tcW w:w="6894" w:type="dxa"/>
          </w:tcPr>
          <w:p w14:paraId="78E72756" w14:textId="1B5343A8" w:rsidR="00DD6DAF" w:rsidRDefault="00DD6DAF" w:rsidP="003F3567">
            <w:pPr>
              <w:pStyle w:val="Tableheadertext"/>
              <w:numPr>
                <w:ilvl w:val="0"/>
                <w:numId w:val="49"/>
              </w:numPr>
              <w:ind w:left="714" w:hanging="357"/>
              <w:jc w:val="center"/>
            </w:pPr>
            <w:r>
              <w:rPr>
                <w:noProof/>
                <w:color w:val="005CAF"/>
                <w:lang w:eastAsia="en-AU"/>
              </w:rPr>
              <w:t>Number of k</w:t>
            </w:r>
            <w:r w:rsidRPr="00DD6DAF">
              <w:rPr>
                <w:noProof/>
                <w:color w:val="005CAF"/>
                <w:lang w:eastAsia="en-AU"/>
              </w:rPr>
              <w:t xml:space="preserve">ey </w:t>
            </w:r>
            <w:r>
              <w:rPr>
                <w:noProof/>
                <w:color w:val="005CAF"/>
                <w:lang w:eastAsia="en-AU"/>
              </w:rPr>
              <w:t>p</w:t>
            </w:r>
            <w:r w:rsidRPr="009C0B23">
              <w:rPr>
                <w:noProof/>
                <w:color w:val="005CAF"/>
                <w:lang w:eastAsia="en-AU"/>
              </w:rPr>
              <w:t xml:space="preserve">erformance </w:t>
            </w:r>
            <w:r>
              <w:rPr>
                <w:noProof/>
                <w:color w:val="005CAF"/>
                <w:lang w:eastAsia="en-AU"/>
              </w:rPr>
              <w:t>indicator topics monitored</w:t>
            </w:r>
          </w:p>
        </w:tc>
      </w:tr>
      <w:tr w:rsidR="00DD6DAF" w14:paraId="5897BFBC" w14:textId="77777777" w:rsidTr="003F3567">
        <w:trPr>
          <w:cnfStyle w:val="000000100000" w:firstRow="0" w:lastRow="0" w:firstColumn="0" w:lastColumn="0" w:oddVBand="0" w:evenVBand="0" w:oddHBand="1" w:evenHBand="0" w:firstRowFirstColumn="0" w:firstRowLastColumn="0" w:lastRowFirstColumn="0" w:lastRowLastColumn="0"/>
        </w:trPr>
        <w:tc>
          <w:tcPr>
            <w:tcW w:w="6894" w:type="dxa"/>
            <w:shd w:val="clear" w:color="auto" w:fill="FFFFFF" w:themeFill="background1"/>
          </w:tcPr>
          <w:p w14:paraId="02FD65A7" w14:textId="3E6A24CF" w:rsidR="00DD6DAF" w:rsidRDefault="00DD6DAF" w:rsidP="00DD6DAF">
            <w:pPr>
              <w:pStyle w:val="Tablebodytext"/>
              <w:jc w:val="right"/>
            </w:pPr>
            <w:r>
              <w:rPr>
                <w:noProof/>
                <w:lang w:eastAsia="en-AU"/>
              </w:rPr>
              <w:drawing>
                <wp:inline distT="0" distB="0" distL="0" distR="0" wp14:anchorId="0912EBD9" wp14:editId="38FE901C">
                  <wp:extent cx="4240530" cy="1980000"/>
                  <wp:effectExtent l="0" t="0" r="7620" b="1270"/>
                  <wp:docPr id="23" name="Chart 23" descr="This graph shows the per cent of firms with a number of KPI topics numbered." title="Figure C.1c"/>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tc>
      </w:tr>
    </w:tbl>
    <w:p w14:paraId="50A37FFD" w14:textId="77777777" w:rsidR="005B42EA" w:rsidRDefault="005B42EA" w:rsidP="005B42EA">
      <w:pPr>
        <w:pStyle w:val="Source"/>
      </w:pPr>
      <w:r>
        <w:t xml:space="preserve">Source: Business Longitudinal Analysis Data Environment (2018) </w:t>
      </w:r>
    </w:p>
    <w:p w14:paraId="2D45B53C" w14:textId="3F9EEBBB" w:rsidR="00E16D45" w:rsidRDefault="00E16D45" w:rsidP="0092649D">
      <w:pPr>
        <w:pStyle w:val="Heading1"/>
        <w:ind w:left="0" w:firstLine="0"/>
        <w:rPr>
          <w:lang w:val="en"/>
        </w:rPr>
      </w:pPr>
      <w:r>
        <w:rPr>
          <w:lang w:val="en"/>
        </w:rPr>
        <w:lastRenderedPageBreak/>
        <w:t xml:space="preserve">Appendix </w:t>
      </w:r>
      <w:r w:rsidR="00CB2D5A">
        <w:rPr>
          <w:lang w:val="en"/>
        </w:rPr>
        <w:t>D</w:t>
      </w:r>
      <w:r>
        <w:rPr>
          <w:lang w:val="en"/>
        </w:rPr>
        <w:t>: Counts and proportions of firms in the datasets used in the analysis</w:t>
      </w:r>
    </w:p>
    <w:p w14:paraId="44CB86C0" w14:textId="4EC63089" w:rsidR="005C68F0" w:rsidRDefault="005C68F0" w:rsidP="0092649D">
      <w:pPr>
        <w:pStyle w:val="Caption"/>
      </w:pPr>
      <w:r w:rsidRPr="000618FB">
        <w:t>Table</w:t>
      </w:r>
      <w:r>
        <w:t xml:space="preserve"> </w:t>
      </w:r>
      <w:r w:rsidR="00CB2D5A">
        <w:t>D</w:t>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1</w:t>
      </w:r>
      <w:r w:rsidR="00C5233C">
        <w:rPr>
          <w:noProof/>
        </w:rPr>
        <w:fldChar w:fldCharType="end"/>
      </w:r>
      <w:r w:rsidRPr="000618FB">
        <w:t xml:space="preserve">: </w:t>
      </w:r>
      <w:r>
        <w:t>Distribution of firms by size</w:t>
      </w:r>
      <w:r w:rsidR="00C77133">
        <w:t xml:space="preserve"> according to source</w:t>
      </w:r>
    </w:p>
    <w:tbl>
      <w:tblPr>
        <w:tblW w:w="6946" w:type="dxa"/>
        <w:tblInd w:w="-108" w:type="dxa"/>
        <w:tblLayout w:type="fixed"/>
        <w:tblLook w:val="04A0" w:firstRow="1" w:lastRow="0" w:firstColumn="1" w:lastColumn="0" w:noHBand="0" w:noVBand="1"/>
        <w:tblCaption w:val="Table D.1"/>
        <w:tblDescription w:val="This table lists MOC Microdata and BLADE data from different sized firms."/>
      </w:tblPr>
      <w:tblGrid>
        <w:gridCol w:w="1087"/>
        <w:gridCol w:w="6"/>
        <w:gridCol w:w="830"/>
        <w:gridCol w:w="1054"/>
        <w:gridCol w:w="851"/>
        <w:gridCol w:w="992"/>
        <w:gridCol w:w="850"/>
        <w:gridCol w:w="1276"/>
      </w:tblGrid>
      <w:tr w:rsidR="005C68F0" w:rsidRPr="005C68F0" w14:paraId="0CFF0321" w14:textId="77777777" w:rsidTr="00F91687">
        <w:trPr>
          <w:trHeight w:val="499"/>
          <w:tblHeader/>
        </w:trPr>
        <w:tc>
          <w:tcPr>
            <w:tcW w:w="1093" w:type="dxa"/>
            <w:gridSpan w:val="2"/>
            <w:tcBorders>
              <w:top w:val="single" w:sz="6" w:space="0" w:color="BCBFC1"/>
              <w:left w:val="single" w:sz="6" w:space="0" w:color="BCBFC1"/>
              <w:bottom w:val="single" w:sz="4" w:space="0" w:color="FFFFFF" w:themeColor="background1"/>
              <w:right w:val="single" w:sz="4" w:space="0" w:color="FFFFFF" w:themeColor="background1"/>
            </w:tcBorders>
            <w:shd w:val="clear" w:color="000000" w:fill="005CAF"/>
            <w:vAlign w:val="center"/>
            <w:hideMark/>
          </w:tcPr>
          <w:p w14:paraId="6E0B8080" w14:textId="77777777" w:rsidR="005C68F0" w:rsidRPr="005C68F0" w:rsidRDefault="005C68F0" w:rsidP="005C68F0">
            <w:pPr>
              <w:spacing w:after="0" w:line="240" w:lineRule="auto"/>
              <w:ind w:left="0"/>
              <w:jc w:val="left"/>
              <w:rPr>
                <w:rFonts w:eastAsia="Times New Roman" w:cs="Arial"/>
                <w:b/>
                <w:bCs/>
                <w:color w:val="FFFFFF"/>
                <w:sz w:val="18"/>
                <w:szCs w:val="18"/>
                <w:lang w:eastAsia="en-AU"/>
              </w:rPr>
            </w:pPr>
            <w:r w:rsidRPr="005C68F0">
              <w:rPr>
                <w:rFonts w:eastAsia="Times New Roman" w:cs="Arial"/>
                <w:b/>
                <w:bCs/>
                <w:color w:val="FFFFFF"/>
                <w:sz w:val="18"/>
                <w:szCs w:val="18"/>
                <w:lang w:eastAsia="en-AU"/>
              </w:rPr>
              <w:t>Size of the firm</w:t>
            </w:r>
          </w:p>
        </w:tc>
        <w:tc>
          <w:tcPr>
            <w:tcW w:w="3727" w:type="dxa"/>
            <w:gridSpan w:val="4"/>
            <w:tcBorders>
              <w:top w:val="single" w:sz="6" w:space="0" w:color="BCBFC1"/>
              <w:left w:val="single" w:sz="4" w:space="0" w:color="FFFFFF" w:themeColor="background1"/>
              <w:bottom w:val="single" w:sz="4" w:space="0" w:color="FFFFFF" w:themeColor="background1"/>
              <w:right w:val="single" w:sz="4" w:space="0" w:color="FFFFFF" w:themeColor="background1"/>
            </w:tcBorders>
            <w:shd w:val="clear" w:color="000000" w:fill="005CAF"/>
            <w:vAlign w:val="center"/>
            <w:hideMark/>
          </w:tcPr>
          <w:p w14:paraId="4A4D996C" w14:textId="77777777" w:rsidR="005C68F0" w:rsidRPr="005C68F0" w:rsidRDefault="005C68F0" w:rsidP="005C68F0">
            <w:pPr>
              <w:spacing w:after="0" w:line="240" w:lineRule="auto"/>
              <w:ind w:left="0"/>
              <w:jc w:val="center"/>
              <w:rPr>
                <w:rFonts w:eastAsia="Times New Roman" w:cs="Arial"/>
                <w:b/>
                <w:bCs/>
                <w:color w:val="FFFFFF"/>
                <w:sz w:val="18"/>
                <w:szCs w:val="18"/>
                <w:lang w:eastAsia="en-AU"/>
              </w:rPr>
            </w:pPr>
            <w:r w:rsidRPr="005C68F0">
              <w:rPr>
                <w:rFonts w:eastAsia="Times New Roman" w:cs="Arial"/>
                <w:b/>
                <w:bCs/>
                <w:color w:val="FFFFFF"/>
                <w:sz w:val="18"/>
                <w:szCs w:val="18"/>
                <w:lang w:eastAsia="en-AU"/>
              </w:rPr>
              <w:t>MOC Microdata</w:t>
            </w:r>
          </w:p>
        </w:tc>
        <w:tc>
          <w:tcPr>
            <w:tcW w:w="2126" w:type="dxa"/>
            <w:gridSpan w:val="2"/>
            <w:tcBorders>
              <w:top w:val="single" w:sz="6" w:space="0" w:color="BCBFC1"/>
              <w:left w:val="single" w:sz="4" w:space="0" w:color="FFFFFF" w:themeColor="background1"/>
              <w:bottom w:val="single" w:sz="4" w:space="0" w:color="FFFFFF" w:themeColor="background1"/>
              <w:right w:val="single" w:sz="6" w:space="0" w:color="BCBFC1"/>
            </w:tcBorders>
            <w:shd w:val="clear" w:color="000000" w:fill="005CAF"/>
            <w:vAlign w:val="center"/>
            <w:hideMark/>
          </w:tcPr>
          <w:p w14:paraId="1E03A5DE" w14:textId="77777777" w:rsidR="005C68F0" w:rsidRPr="005C68F0" w:rsidRDefault="005C68F0" w:rsidP="005C68F0">
            <w:pPr>
              <w:spacing w:after="0" w:line="240" w:lineRule="auto"/>
              <w:ind w:left="0"/>
              <w:jc w:val="center"/>
              <w:rPr>
                <w:rFonts w:eastAsia="Times New Roman" w:cs="Arial"/>
                <w:b/>
                <w:bCs/>
                <w:color w:val="FFFFFF"/>
                <w:sz w:val="18"/>
                <w:szCs w:val="18"/>
                <w:lang w:eastAsia="en-AU"/>
              </w:rPr>
            </w:pPr>
            <w:r w:rsidRPr="005C68F0">
              <w:rPr>
                <w:rFonts w:eastAsia="Times New Roman" w:cs="Arial"/>
                <w:b/>
                <w:bCs/>
                <w:color w:val="FFFFFF"/>
                <w:sz w:val="18"/>
                <w:szCs w:val="18"/>
                <w:lang w:eastAsia="en-AU"/>
              </w:rPr>
              <w:t>BLADE</w:t>
            </w:r>
          </w:p>
        </w:tc>
      </w:tr>
      <w:tr w:rsidR="005C68F0" w:rsidRPr="005C68F0" w14:paraId="4EE9F82A" w14:textId="77777777" w:rsidTr="00D744AA">
        <w:trPr>
          <w:trHeight w:val="318"/>
        </w:trPr>
        <w:tc>
          <w:tcPr>
            <w:tcW w:w="1087" w:type="dxa"/>
            <w:tcBorders>
              <w:top w:val="single" w:sz="4" w:space="0" w:color="FFFFFF" w:themeColor="background1"/>
              <w:left w:val="nil"/>
              <w:bottom w:val="single" w:sz="4" w:space="0" w:color="FFFFFF" w:themeColor="background1"/>
              <w:right w:val="single" w:sz="4" w:space="0" w:color="FFFFFF" w:themeColor="background1"/>
            </w:tcBorders>
            <w:shd w:val="clear" w:color="000000" w:fill="005CAF"/>
            <w:vAlign w:val="center"/>
            <w:hideMark/>
          </w:tcPr>
          <w:p w14:paraId="2E27B56C" w14:textId="77777777" w:rsidR="005C68F0" w:rsidRPr="005C68F0" w:rsidRDefault="005C68F0" w:rsidP="005C68F0">
            <w:pPr>
              <w:spacing w:after="0" w:line="240" w:lineRule="auto"/>
              <w:ind w:left="0"/>
              <w:jc w:val="left"/>
              <w:rPr>
                <w:rFonts w:eastAsia="Times New Roman" w:cs="Arial"/>
                <w:b/>
                <w:bCs/>
                <w:color w:val="FFFFFF"/>
                <w:sz w:val="18"/>
                <w:szCs w:val="18"/>
                <w:lang w:eastAsia="en-AU"/>
              </w:rPr>
            </w:pPr>
            <w:r w:rsidRPr="005C68F0">
              <w:rPr>
                <w:rFonts w:eastAsia="Times New Roman" w:cs="Arial"/>
                <w:b/>
                <w:bCs/>
                <w:color w:val="FFFFFF"/>
                <w:sz w:val="18"/>
                <w:szCs w:val="18"/>
                <w:lang w:eastAsia="en-AU"/>
              </w:rPr>
              <w:t> </w:t>
            </w:r>
          </w:p>
        </w:tc>
        <w:tc>
          <w:tcPr>
            <w:tcW w:w="18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5CAF"/>
            <w:vAlign w:val="center"/>
            <w:hideMark/>
          </w:tcPr>
          <w:p w14:paraId="4467BF0F" w14:textId="77777777" w:rsidR="005C68F0" w:rsidRPr="005C68F0" w:rsidRDefault="005C68F0" w:rsidP="005C68F0">
            <w:pPr>
              <w:spacing w:after="0" w:line="240" w:lineRule="auto"/>
              <w:ind w:left="0"/>
              <w:jc w:val="center"/>
              <w:rPr>
                <w:rFonts w:eastAsia="Times New Roman" w:cs="Arial"/>
                <w:b/>
                <w:bCs/>
                <w:color w:val="FFFFFF"/>
                <w:sz w:val="18"/>
                <w:szCs w:val="18"/>
                <w:lang w:eastAsia="en-AU"/>
              </w:rPr>
            </w:pPr>
            <w:r w:rsidRPr="005C68F0">
              <w:rPr>
                <w:rFonts w:eastAsia="Times New Roman" w:cs="Arial"/>
                <w:b/>
                <w:bCs/>
                <w:color w:val="FFFFFF"/>
                <w:sz w:val="18"/>
                <w:szCs w:val="18"/>
                <w:lang w:eastAsia="en-AU"/>
              </w:rPr>
              <w:t>Weighted</w:t>
            </w:r>
          </w:p>
        </w:tc>
        <w:tc>
          <w:tcPr>
            <w:tcW w:w="18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005CAF"/>
            <w:vAlign w:val="center"/>
            <w:hideMark/>
          </w:tcPr>
          <w:p w14:paraId="5B197F95" w14:textId="77777777" w:rsidR="005C68F0" w:rsidRPr="005C68F0" w:rsidRDefault="005C68F0" w:rsidP="005C68F0">
            <w:pPr>
              <w:spacing w:after="0" w:line="240" w:lineRule="auto"/>
              <w:ind w:left="0"/>
              <w:jc w:val="center"/>
              <w:rPr>
                <w:rFonts w:eastAsia="Times New Roman" w:cs="Arial"/>
                <w:b/>
                <w:bCs/>
                <w:color w:val="FFFFFF"/>
                <w:sz w:val="18"/>
                <w:szCs w:val="18"/>
                <w:lang w:eastAsia="en-AU"/>
              </w:rPr>
            </w:pPr>
            <w:r w:rsidRPr="005C68F0">
              <w:rPr>
                <w:rFonts w:eastAsia="Times New Roman" w:cs="Arial"/>
                <w:b/>
                <w:bCs/>
                <w:color w:val="FFFFFF"/>
                <w:sz w:val="18"/>
                <w:szCs w:val="18"/>
                <w:lang w:eastAsia="en-AU"/>
              </w:rPr>
              <w:t>Unweighted</w:t>
            </w:r>
          </w:p>
        </w:tc>
        <w:tc>
          <w:tcPr>
            <w:tcW w:w="2126" w:type="dxa"/>
            <w:gridSpan w:val="2"/>
            <w:tcBorders>
              <w:top w:val="single" w:sz="4" w:space="0" w:color="FFFFFF" w:themeColor="background1"/>
              <w:left w:val="single" w:sz="4" w:space="0" w:color="FFFFFF" w:themeColor="background1"/>
              <w:bottom w:val="single" w:sz="4" w:space="0" w:color="FFFFFF" w:themeColor="background1"/>
              <w:right w:val="single" w:sz="8" w:space="0" w:color="BCBFC1"/>
            </w:tcBorders>
            <w:shd w:val="clear" w:color="000000" w:fill="005CAF"/>
            <w:vAlign w:val="center"/>
            <w:hideMark/>
          </w:tcPr>
          <w:p w14:paraId="7C406EDC" w14:textId="77777777" w:rsidR="005C68F0" w:rsidRPr="005C68F0" w:rsidRDefault="005C68F0" w:rsidP="005C68F0">
            <w:pPr>
              <w:spacing w:after="0" w:line="240" w:lineRule="auto"/>
              <w:ind w:left="0"/>
              <w:jc w:val="center"/>
              <w:rPr>
                <w:rFonts w:eastAsia="Times New Roman" w:cs="Arial"/>
                <w:b/>
                <w:bCs/>
                <w:color w:val="FFFFFF"/>
                <w:sz w:val="18"/>
                <w:szCs w:val="18"/>
                <w:lang w:eastAsia="en-AU"/>
              </w:rPr>
            </w:pPr>
            <w:r w:rsidRPr="005C68F0">
              <w:rPr>
                <w:rFonts w:eastAsia="Times New Roman" w:cs="Arial"/>
                <w:b/>
                <w:bCs/>
                <w:color w:val="FFFFFF"/>
                <w:sz w:val="18"/>
                <w:szCs w:val="18"/>
                <w:lang w:eastAsia="en-AU"/>
              </w:rPr>
              <w:t>Unweighted</w:t>
            </w:r>
          </w:p>
        </w:tc>
      </w:tr>
      <w:tr w:rsidR="005C68F0" w:rsidRPr="005C68F0" w14:paraId="60F4A65E" w14:textId="77777777" w:rsidTr="00D744AA">
        <w:trPr>
          <w:trHeight w:val="302"/>
        </w:trPr>
        <w:tc>
          <w:tcPr>
            <w:tcW w:w="1087" w:type="dxa"/>
            <w:tcBorders>
              <w:top w:val="single" w:sz="4" w:space="0" w:color="FFFFFF" w:themeColor="background1"/>
              <w:left w:val="nil"/>
              <w:bottom w:val="nil"/>
              <w:right w:val="single" w:sz="4" w:space="0" w:color="FFFFFF" w:themeColor="background1"/>
            </w:tcBorders>
            <w:shd w:val="clear" w:color="000000" w:fill="005CAF"/>
            <w:vAlign w:val="center"/>
            <w:hideMark/>
          </w:tcPr>
          <w:p w14:paraId="00E2420C" w14:textId="77777777" w:rsidR="005C68F0" w:rsidRPr="005C68F0" w:rsidRDefault="005C68F0" w:rsidP="005C68F0">
            <w:pPr>
              <w:spacing w:after="0" w:line="240" w:lineRule="auto"/>
              <w:ind w:left="0"/>
              <w:jc w:val="left"/>
              <w:rPr>
                <w:rFonts w:eastAsia="Times New Roman" w:cs="Arial"/>
                <w:b/>
                <w:bCs/>
                <w:color w:val="FFFFFF"/>
                <w:sz w:val="18"/>
                <w:szCs w:val="18"/>
                <w:lang w:eastAsia="en-AU"/>
              </w:rPr>
            </w:pPr>
            <w:r w:rsidRPr="005C68F0">
              <w:rPr>
                <w:rFonts w:eastAsia="Times New Roman" w:cs="Arial"/>
                <w:b/>
                <w:bCs/>
                <w:color w:val="FFFFFF"/>
                <w:sz w:val="18"/>
                <w:szCs w:val="18"/>
                <w:lang w:eastAsia="en-AU"/>
              </w:rPr>
              <w:t> </w:t>
            </w:r>
          </w:p>
        </w:tc>
        <w:tc>
          <w:tcPr>
            <w:tcW w:w="836"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000000" w:fill="005CAF"/>
            <w:vAlign w:val="center"/>
            <w:hideMark/>
          </w:tcPr>
          <w:p w14:paraId="030C7139" w14:textId="77777777" w:rsidR="005C68F0" w:rsidRPr="005C68F0" w:rsidRDefault="005C68F0" w:rsidP="005C68F0">
            <w:pPr>
              <w:spacing w:after="0" w:line="240" w:lineRule="auto"/>
              <w:ind w:left="0"/>
              <w:jc w:val="right"/>
              <w:rPr>
                <w:rFonts w:eastAsia="Times New Roman" w:cs="Arial"/>
                <w:b/>
                <w:bCs/>
                <w:color w:val="FFFFFF"/>
                <w:sz w:val="18"/>
                <w:szCs w:val="18"/>
                <w:lang w:eastAsia="en-AU"/>
              </w:rPr>
            </w:pPr>
            <w:r w:rsidRPr="005C68F0">
              <w:rPr>
                <w:rFonts w:eastAsia="Times New Roman" w:cs="Arial"/>
                <w:b/>
                <w:bCs/>
                <w:color w:val="FFFFFF"/>
                <w:sz w:val="18"/>
                <w:szCs w:val="18"/>
                <w:lang w:eastAsia="en-AU"/>
              </w:rPr>
              <w:t>Counts</w:t>
            </w:r>
          </w:p>
        </w:tc>
        <w:tc>
          <w:tcPr>
            <w:tcW w:w="1054" w:type="dxa"/>
            <w:tcBorders>
              <w:top w:val="single" w:sz="4" w:space="0" w:color="FFFFFF" w:themeColor="background1"/>
              <w:left w:val="single" w:sz="4" w:space="0" w:color="FFFFFF" w:themeColor="background1"/>
              <w:bottom w:val="nil"/>
              <w:right w:val="single" w:sz="4" w:space="0" w:color="FFFFFF" w:themeColor="background1"/>
            </w:tcBorders>
            <w:shd w:val="clear" w:color="000000" w:fill="005CAF"/>
            <w:vAlign w:val="center"/>
            <w:hideMark/>
          </w:tcPr>
          <w:p w14:paraId="0F60474A" w14:textId="77777777" w:rsidR="005C68F0" w:rsidRPr="005C68F0" w:rsidRDefault="005C68F0" w:rsidP="005C68F0">
            <w:pPr>
              <w:spacing w:after="0" w:line="240" w:lineRule="auto"/>
              <w:ind w:left="0"/>
              <w:jc w:val="right"/>
              <w:rPr>
                <w:rFonts w:eastAsia="Times New Roman" w:cs="Arial"/>
                <w:b/>
                <w:bCs/>
                <w:color w:val="FFFFFF"/>
                <w:sz w:val="18"/>
                <w:szCs w:val="18"/>
                <w:lang w:eastAsia="en-AU"/>
              </w:rPr>
            </w:pPr>
            <w:r w:rsidRPr="005C68F0">
              <w:rPr>
                <w:rFonts w:eastAsia="Times New Roman" w:cs="Arial"/>
                <w:b/>
                <w:bCs/>
                <w:color w:val="FFFFFF"/>
                <w:sz w:val="18"/>
                <w:szCs w:val="18"/>
                <w:lang w:eastAsia="en-AU"/>
              </w:rPr>
              <w:t>Per cent</w:t>
            </w:r>
          </w:p>
        </w:tc>
        <w:tc>
          <w:tcPr>
            <w:tcW w:w="851" w:type="dxa"/>
            <w:tcBorders>
              <w:top w:val="single" w:sz="4" w:space="0" w:color="FFFFFF" w:themeColor="background1"/>
              <w:left w:val="single" w:sz="4" w:space="0" w:color="FFFFFF" w:themeColor="background1"/>
              <w:bottom w:val="nil"/>
              <w:right w:val="single" w:sz="4" w:space="0" w:color="FFFFFF" w:themeColor="background1"/>
            </w:tcBorders>
            <w:shd w:val="clear" w:color="000000" w:fill="005CAF"/>
            <w:vAlign w:val="center"/>
            <w:hideMark/>
          </w:tcPr>
          <w:p w14:paraId="7B9BADF8" w14:textId="77777777" w:rsidR="005C68F0" w:rsidRPr="005C68F0" w:rsidRDefault="005C68F0" w:rsidP="005C68F0">
            <w:pPr>
              <w:spacing w:after="0" w:line="240" w:lineRule="auto"/>
              <w:ind w:left="0"/>
              <w:jc w:val="right"/>
              <w:rPr>
                <w:rFonts w:eastAsia="Times New Roman" w:cs="Arial"/>
                <w:b/>
                <w:bCs/>
                <w:color w:val="FFFFFF"/>
                <w:sz w:val="18"/>
                <w:szCs w:val="18"/>
                <w:lang w:eastAsia="en-AU"/>
              </w:rPr>
            </w:pPr>
            <w:r w:rsidRPr="005C68F0">
              <w:rPr>
                <w:rFonts w:eastAsia="Times New Roman" w:cs="Arial"/>
                <w:b/>
                <w:bCs/>
                <w:color w:val="FFFFFF"/>
                <w:sz w:val="18"/>
                <w:szCs w:val="18"/>
                <w:lang w:eastAsia="en-AU"/>
              </w:rPr>
              <w:t>Counts</w:t>
            </w:r>
          </w:p>
        </w:tc>
        <w:tc>
          <w:tcPr>
            <w:tcW w:w="992" w:type="dxa"/>
            <w:tcBorders>
              <w:top w:val="single" w:sz="4" w:space="0" w:color="FFFFFF" w:themeColor="background1"/>
              <w:left w:val="single" w:sz="4" w:space="0" w:color="FFFFFF" w:themeColor="background1"/>
              <w:bottom w:val="nil"/>
              <w:right w:val="single" w:sz="4" w:space="0" w:color="FFFFFF" w:themeColor="background1"/>
            </w:tcBorders>
            <w:shd w:val="clear" w:color="000000" w:fill="005CAF"/>
            <w:vAlign w:val="center"/>
            <w:hideMark/>
          </w:tcPr>
          <w:p w14:paraId="1E6DEA9C" w14:textId="77777777" w:rsidR="005C68F0" w:rsidRPr="005C68F0" w:rsidRDefault="005C68F0" w:rsidP="005C68F0">
            <w:pPr>
              <w:spacing w:after="0" w:line="240" w:lineRule="auto"/>
              <w:ind w:left="0"/>
              <w:jc w:val="right"/>
              <w:rPr>
                <w:rFonts w:eastAsia="Times New Roman" w:cs="Arial"/>
                <w:b/>
                <w:bCs/>
                <w:color w:val="FFFFFF"/>
                <w:sz w:val="18"/>
                <w:szCs w:val="18"/>
                <w:lang w:eastAsia="en-AU"/>
              </w:rPr>
            </w:pPr>
            <w:r w:rsidRPr="005C68F0">
              <w:rPr>
                <w:rFonts w:eastAsia="Times New Roman" w:cs="Arial"/>
                <w:b/>
                <w:bCs/>
                <w:color w:val="FFFFFF"/>
                <w:sz w:val="18"/>
                <w:szCs w:val="18"/>
                <w:lang w:eastAsia="en-AU"/>
              </w:rPr>
              <w:t>Per cent</w:t>
            </w:r>
          </w:p>
        </w:tc>
        <w:tc>
          <w:tcPr>
            <w:tcW w:w="850" w:type="dxa"/>
            <w:tcBorders>
              <w:top w:val="single" w:sz="4" w:space="0" w:color="FFFFFF" w:themeColor="background1"/>
              <w:left w:val="single" w:sz="4" w:space="0" w:color="FFFFFF" w:themeColor="background1"/>
              <w:bottom w:val="nil"/>
              <w:right w:val="single" w:sz="4" w:space="0" w:color="FFFFFF" w:themeColor="background1"/>
            </w:tcBorders>
            <w:shd w:val="clear" w:color="000000" w:fill="005CAF"/>
            <w:vAlign w:val="center"/>
            <w:hideMark/>
          </w:tcPr>
          <w:p w14:paraId="79CE26EE" w14:textId="77777777" w:rsidR="005C68F0" w:rsidRPr="005C68F0" w:rsidRDefault="005C68F0" w:rsidP="005C68F0">
            <w:pPr>
              <w:spacing w:after="0" w:line="240" w:lineRule="auto"/>
              <w:ind w:left="0"/>
              <w:jc w:val="right"/>
              <w:rPr>
                <w:rFonts w:eastAsia="Times New Roman" w:cs="Arial"/>
                <w:b/>
                <w:bCs/>
                <w:color w:val="FFFFFF"/>
                <w:sz w:val="18"/>
                <w:szCs w:val="18"/>
                <w:lang w:eastAsia="en-AU"/>
              </w:rPr>
            </w:pPr>
            <w:r w:rsidRPr="005C68F0">
              <w:rPr>
                <w:rFonts w:eastAsia="Times New Roman" w:cs="Arial"/>
                <w:b/>
                <w:bCs/>
                <w:color w:val="FFFFFF"/>
                <w:sz w:val="18"/>
                <w:szCs w:val="18"/>
                <w:lang w:eastAsia="en-AU"/>
              </w:rPr>
              <w:t>Counts</w:t>
            </w:r>
          </w:p>
        </w:tc>
        <w:tc>
          <w:tcPr>
            <w:tcW w:w="1276" w:type="dxa"/>
            <w:tcBorders>
              <w:top w:val="single" w:sz="4" w:space="0" w:color="FFFFFF" w:themeColor="background1"/>
              <w:left w:val="single" w:sz="4" w:space="0" w:color="FFFFFF" w:themeColor="background1"/>
              <w:bottom w:val="nil"/>
              <w:right w:val="nil"/>
            </w:tcBorders>
            <w:shd w:val="clear" w:color="000000" w:fill="005CAF"/>
            <w:vAlign w:val="center"/>
            <w:hideMark/>
          </w:tcPr>
          <w:p w14:paraId="74B86481" w14:textId="77777777" w:rsidR="005C68F0" w:rsidRPr="005C68F0" w:rsidRDefault="005C68F0" w:rsidP="005C68F0">
            <w:pPr>
              <w:spacing w:after="0" w:line="240" w:lineRule="auto"/>
              <w:ind w:left="0"/>
              <w:jc w:val="right"/>
              <w:rPr>
                <w:rFonts w:eastAsia="Times New Roman" w:cs="Arial"/>
                <w:b/>
                <w:bCs/>
                <w:color w:val="FFFFFF"/>
                <w:sz w:val="18"/>
                <w:szCs w:val="18"/>
                <w:lang w:eastAsia="en-AU"/>
              </w:rPr>
            </w:pPr>
            <w:r w:rsidRPr="005C68F0">
              <w:rPr>
                <w:rFonts w:eastAsia="Times New Roman" w:cs="Arial"/>
                <w:b/>
                <w:bCs/>
                <w:color w:val="FFFFFF"/>
                <w:sz w:val="18"/>
                <w:szCs w:val="18"/>
                <w:lang w:eastAsia="en-AU"/>
              </w:rPr>
              <w:t>Per cent</w:t>
            </w:r>
          </w:p>
        </w:tc>
      </w:tr>
      <w:tr w:rsidR="005C68F0" w:rsidRPr="005C68F0" w14:paraId="0A77CC52" w14:textId="77777777" w:rsidTr="0092649D">
        <w:trPr>
          <w:trHeight w:val="727"/>
        </w:trPr>
        <w:tc>
          <w:tcPr>
            <w:tcW w:w="1087" w:type="dxa"/>
            <w:tcBorders>
              <w:top w:val="nil"/>
              <w:left w:val="nil"/>
              <w:bottom w:val="nil"/>
              <w:right w:val="nil"/>
            </w:tcBorders>
            <w:shd w:val="clear" w:color="000000" w:fill="DEE8F1"/>
            <w:vAlign w:val="center"/>
            <w:hideMark/>
          </w:tcPr>
          <w:p w14:paraId="249F4795" w14:textId="77777777" w:rsidR="005C68F0" w:rsidRPr="005C68F0" w:rsidRDefault="005C68F0" w:rsidP="005C68F0">
            <w:pPr>
              <w:spacing w:after="0" w:line="240" w:lineRule="auto"/>
              <w:ind w:left="0"/>
              <w:jc w:val="left"/>
              <w:rPr>
                <w:rFonts w:eastAsia="Times New Roman" w:cs="Arial"/>
                <w:sz w:val="18"/>
                <w:szCs w:val="18"/>
                <w:lang w:eastAsia="en-AU"/>
              </w:rPr>
            </w:pPr>
            <w:r w:rsidRPr="005C68F0">
              <w:rPr>
                <w:rFonts w:eastAsia="Times New Roman" w:cs="Arial"/>
                <w:sz w:val="18"/>
                <w:szCs w:val="18"/>
                <w:lang w:eastAsia="en-AU"/>
              </w:rPr>
              <w:t xml:space="preserve">0-4 employees </w:t>
            </w:r>
          </w:p>
        </w:tc>
        <w:tc>
          <w:tcPr>
            <w:tcW w:w="836" w:type="dxa"/>
            <w:gridSpan w:val="2"/>
            <w:tcBorders>
              <w:top w:val="nil"/>
              <w:left w:val="nil"/>
              <w:bottom w:val="nil"/>
              <w:right w:val="nil"/>
            </w:tcBorders>
            <w:shd w:val="clear" w:color="000000" w:fill="DEE8F1"/>
            <w:vAlign w:val="center"/>
            <w:hideMark/>
          </w:tcPr>
          <w:p w14:paraId="0D89D408"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7 681</w:t>
            </w:r>
          </w:p>
        </w:tc>
        <w:tc>
          <w:tcPr>
            <w:tcW w:w="1054" w:type="dxa"/>
            <w:tcBorders>
              <w:top w:val="nil"/>
              <w:left w:val="nil"/>
              <w:bottom w:val="nil"/>
              <w:right w:val="nil"/>
            </w:tcBorders>
            <w:shd w:val="clear" w:color="000000" w:fill="DEE8F1"/>
            <w:vAlign w:val="center"/>
            <w:hideMark/>
          </w:tcPr>
          <w:p w14:paraId="7B97F385"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61</w:t>
            </w:r>
          </w:p>
        </w:tc>
        <w:tc>
          <w:tcPr>
            <w:tcW w:w="851" w:type="dxa"/>
            <w:tcBorders>
              <w:top w:val="nil"/>
              <w:left w:val="nil"/>
              <w:bottom w:val="nil"/>
              <w:right w:val="nil"/>
            </w:tcBorders>
            <w:shd w:val="clear" w:color="000000" w:fill="DEE8F1"/>
            <w:vAlign w:val="center"/>
            <w:hideMark/>
          </w:tcPr>
          <w:p w14:paraId="0F663380"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5 393</w:t>
            </w:r>
          </w:p>
        </w:tc>
        <w:tc>
          <w:tcPr>
            <w:tcW w:w="992" w:type="dxa"/>
            <w:tcBorders>
              <w:top w:val="nil"/>
              <w:left w:val="nil"/>
              <w:bottom w:val="nil"/>
              <w:right w:val="nil"/>
            </w:tcBorders>
            <w:shd w:val="clear" w:color="000000" w:fill="DEE8F1"/>
            <w:vAlign w:val="center"/>
            <w:hideMark/>
          </w:tcPr>
          <w:p w14:paraId="5ED2647A"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43</w:t>
            </w:r>
          </w:p>
        </w:tc>
        <w:tc>
          <w:tcPr>
            <w:tcW w:w="850" w:type="dxa"/>
            <w:tcBorders>
              <w:top w:val="nil"/>
              <w:left w:val="nil"/>
              <w:bottom w:val="nil"/>
              <w:right w:val="nil"/>
            </w:tcBorders>
            <w:shd w:val="clear" w:color="000000" w:fill="DEE8F1"/>
            <w:vAlign w:val="center"/>
            <w:hideMark/>
          </w:tcPr>
          <w:p w14:paraId="48659840"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4 126</w:t>
            </w:r>
          </w:p>
        </w:tc>
        <w:tc>
          <w:tcPr>
            <w:tcW w:w="1276" w:type="dxa"/>
            <w:tcBorders>
              <w:top w:val="nil"/>
              <w:left w:val="nil"/>
              <w:bottom w:val="nil"/>
              <w:right w:val="nil"/>
            </w:tcBorders>
            <w:shd w:val="clear" w:color="000000" w:fill="DEE8F1"/>
            <w:vAlign w:val="center"/>
            <w:hideMark/>
          </w:tcPr>
          <w:p w14:paraId="7C8EB9B8"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39</w:t>
            </w:r>
          </w:p>
        </w:tc>
      </w:tr>
      <w:tr w:rsidR="005C68F0" w:rsidRPr="005C68F0" w14:paraId="6F4B4856" w14:textId="77777777" w:rsidTr="0092649D">
        <w:trPr>
          <w:trHeight w:val="727"/>
        </w:trPr>
        <w:tc>
          <w:tcPr>
            <w:tcW w:w="1087" w:type="dxa"/>
            <w:tcBorders>
              <w:top w:val="nil"/>
              <w:left w:val="nil"/>
              <w:bottom w:val="nil"/>
              <w:right w:val="nil"/>
            </w:tcBorders>
            <w:shd w:val="clear" w:color="000000" w:fill="FFFFFF"/>
            <w:vAlign w:val="center"/>
            <w:hideMark/>
          </w:tcPr>
          <w:p w14:paraId="30E61EA9" w14:textId="77777777" w:rsidR="005C68F0" w:rsidRPr="005C68F0" w:rsidRDefault="005C68F0" w:rsidP="005C68F0">
            <w:pPr>
              <w:spacing w:after="0" w:line="240" w:lineRule="auto"/>
              <w:ind w:left="0"/>
              <w:rPr>
                <w:rFonts w:eastAsia="Times New Roman" w:cs="Arial"/>
                <w:sz w:val="18"/>
                <w:szCs w:val="18"/>
                <w:lang w:eastAsia="en-AU"/>
              </w:rPr>
            </w:pPr>
            <w:r w:rsidRPr="005C68F0">
              <w:rPr>
                <w:rFonts w:eastAsia="Times New Roman" w:cs="Arial"/>
                <w:sz w:val="18"/>
                <w:szCs w:val="18"/>
                <w:lang w:eastAsia="en-AU"/>
              </w:rPr>
              <w:t>5-19 employees</w:t>
            </w:r>
          </w:p>
        </w:tc>
        <w:tc>
          <w:tcPr>
            <w:tcW w:w="836" w:type="dxa"/>
            <w:gridSpan w:val="2"/>
            <w:tcBorders>
              <w:top w:val="nil"/>
              <w:left w:val="nil"/>
              <w:bottom w:val="nil"/>
              <w:right w:val="nil"/>
            </w:tcBorders>
            <w:shd w:val="clear" w:color="000000" w:fill="FFFFFF"/>
            <w:vAlign w:val="center"/>
            <w:hideMark/>
          </w:tcPr>
          <w:p w14:paraId="07330E11"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3 901</w:t>
            </w:r>
          </w:p>
        </w:tc>
        <w:tc>
          <w:tcPr>
            <w:tcW w:w="1054" w:type="dxa"/>
            <w:tcBorders>
              <w:top w:val="nil"/>
              <w:left w:val="nil"/>
              <w:bottom w:val="nil"/>
              <w:right w:val="nil"/>
            </w:tcBorders>
            <w:shd w:val="clear" w:color="000000" w:fill="FFFFFF"/>
            <w:vAlign w:val="center"/>
            <w:hideMark/>
          </w:tcPr>
          <w:p w14:paraId="4CAF5F64"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31</w:t>
            </w:r>
          </w:p>
        </w:tc>
        <w:tc>
          <w:tcPr>
            <w:tcW w:w="851" w:type="dxa"/>
            <w:tcBorders>
              <w:top w:val="nil"/>
              <w:left w:val="nil"/>
              <w:bottom w:val="nil"/>
              <w:right w:val="nil"/>
            </w:tcBorders>
            <w:shd w:val="clear" w:color="000000" w:fill="FFFFFF"/>
            <w:vAlign w:val="center"/>
            <w:hideMark/>
          </w:tcPr>
          <w:p w14:paraId="7EEB6886"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3 204</w:t>
            </w:r>
          </w:p>
        </w:tc>
        <w:tc>
          <w:tcPr>
            <w:tcW w:w="992" w:type="dxa"/>
            <w:tcBorders>
              <w:top w:val="nil"/>
              <w:left w:val="nil"/>
              <w:bottom w:val="nil"/>
              <w:right w:val="nil"/>
            </w:tcBorders>
            <w:shd w:val="clear" w:color="000000" w:fill="FFFFFF"/>
            <w:vAlign w:val="center"/>
            <w:hideMark/>
          </w:tcPr>
          <w:p w14:paraId="2815DDC8"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26</w:t>
            </w:r>
          </w:p>
        </w:tc>
        <w:tc>
          <w:tcPr>
            <w:tcW w:w="850" w:type="dxa"/>
            <w:tcBorders>
              <w:top w:val="nil"/>
              <w:left w:val="nil"/>
              <w:bottom w:val="nil"/>
              <w:right w:val="nil"/>
            </w:tcBorders>
            <w:shd w:val="clear" w:color="000000" w:fill="FFFFFF"/>
            <w:vAlign w:val="center"/>
            <w:hideMark/>
          </w:tcPr>
          <w:p w14:paraId="69EA1A4B"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2 964</w:t>
            </w:r>
          </w:p>
        </w:tc>
        <w:tc>
          <w:tcPr>
            <w:tcW w:w="1276" w:type="dxa"/>
            <w:tcBorders>
              <w:top w:val="nil"/>
              <w:left w:val="nil"/>
              <w:bottom w:val="nil"/>
              <w:right w:val="nil"/>
            </w:tcBorders>
            <w:shd w:val="clear" w:color="000000" w:fill="FFFFFF"/>
            <w:vAlign w:val="center"/>
            <w:hideMark/>
          </w:tcPr>
          <w:p w14:paraId="54FFAAE0"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28</w:t>
            </w:r>
          </w:p>
        </w:tc>
      </w:tr>
      <w:tr w:rsidR="005C68F0" w:rsidRPr="005C68F0" w14:paraId="3C363D91" w14:textId="77777777" w:rsidTr="0092649D">
        <w:trPr>
          <w:trHeight w:val="727"/>
        </w:trPr>
        <w:tc>
          <w:tcPr>
            <w:tcW w:w="1087" w:type="dxa"/>
            <w:tcBorders>
              <w:top w:val="nil"/>
              <w:left w:val="nil"/>
              <w:bottom w:val="nil"/>
              <w:right w:val="nil"/>
            </w:tcBorders>
            <w:shd w:val="clear" w:color="000000" w:fill="DEE8F1"/>
            <w:vAlign w:val="center"/>
            <w:hideMark/>
          </w:tcPr>
          <w:p w14:paraId="3622F9D6" w14:textId="77777777" w:rsidR="005C68F0" w:rsidRPr="005C68F0" w:rsidRDefault="005C68F0" w:rsidP="005C68F0">
            <w:pPr>
              <w:spacing w:after="0" w:line="240" w:lineRule="auto"/>
              <w:ind w:left="0"/>
              <w:jc w:val="left"/>
              <w:rPr>
                <w:rFonts w:eastAsia="Times New Roman" w:cs="Arial"/>
                <w:sz w:val="18"/>
                <w:szCs w:val="18"/>
                <w:lang w:eastAsia="en-AU"/>
              </w:rPr>
            </w:pPr>
            <w:r w:rsidRPr="005C68F0">
              <w:rPr>
                <w:rFonts w:eastAsia="Times New Roman" w:cs="Arial"/>
                <w:sz w:val="18"/>
                <w:szCs w:val="18"/>
                <w:lang w:eastAsia="en-AU"/>
              </w:rPr>
              <w:t>20-99 employees</w:t>
            </w:r>
          </w:p>
        </w:tc>
        <w:tc>
          <w:tcPr>
            <w:tcW w:w="836" w:type="dxa"/>
            <w:gridSpan w:val="2"/>
            <w:tcBorders>
              <w:top w:val="nil"/>
              <w:left w:val="nil"/>
              <w:bottom w:val="nil"/>
              <w:right w:val="nil"/>
            </w:tcBorders>
            <w:shd w:val="clear" w:color="000000" w:fill="DEE8F1"/>
            <w:vAlign w:val="center"/>
            <w:hideMark/>
          </w:tcPr>
          <w:p w14:paraId="76D76479"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809</w:t>
            </w:r>
          </w:p>
        </w:tc>
        <w:tc>
          <w:tcPr>
            <w:tcW w:w="1054" w:type="dxa"/>
            <w:tcBorders>
              <w:top w:val="nil"/>
              <w:left w:val="nil"/>
              <w:bottom w:val="nil"/>
              <w:right w:val="nil"/>
            </w:tcBorders>
            <w:shd w:val="clear" w:color="000000" w:fill="DEE8F1"/>
            <w:vAlign w:val="center"/>
            <w:hideMark/>
          </w:tcPr>
          <w:p w14:paraId="40367F13"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6</w:t>
            </w:r>
          </w:p>
        </w:tc>
        <w:tc>
          <w:tcPr>
            <w:tcW w:w="851" w:type="dxa"/>
            <w:tcBorders>
              <w:top w:val="nil"/>
              <w:left w:val="nil"/>
              <w:bottom w:val="nil"/>
              <w:right w:val="nil"/>
            </w:tcBorders>
            <w:shd w:val="clear" w:color="000000" w:fill="DEE8F1"/>
            <w:vAlign w:val="center"/>
            <w:hideMark/>
          </w:tcPr>
          <w:p w14:paraId="05B5E555"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1 244</w:t>
            </w:r>
          </w:p>
        </w:tc>
        <w:tc>
          <w:tcPr>
            <w:tcW w:w="992" w:type="dxa"/>
            <w:tcBorders>
              <w:top w:val="nil"/>
              <w:left w:val="nil"/>
              <w:bottom w:val="nil"/>
              <w:right w:val="nil"/>
            </w:tcBorders>
            <w:shd w:val="clear" w:color="000000" w:fill="DEE8F1"/>
            <w:vAlign w:val="center"/>
            <w:hideMark/>
          </w:tcPr>
          <w:p w14:paraId="2E2B90CC"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10</w:t>
            </w:r>
          </w:p>
        </w:tc>
        <w:tc>
          <w:tcPr>
            <w:tcW w:w="850" w:type="dxa"/>
            <w:tcBorders>
              <w:top w:val="nil"/>
              <w:left w:val="nil"/>
              <w:bottom w:val="nil"/>
              <w:right w:val="nil"/>
            </w:tcBorders>
            <w:shd w:val="clear" w:color="000000" w:fill="DEE8F1"/>
            <w:vAlign w:val="center"/>
            <w:hideMark/>
          </w:tcPr>
          <w:p w14:paraId="585EAE4F"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1 158</w:t>
            </w:r>
          </w:p>
        </w:tc>
        <w:tc>
          <w:tcPr>
            <w:tcW w:w="1276" w:type="dxa"/>
            <w:tcBorders>
              <w:top w:val="nil"/>
              <w:left w:val="nil"/>
              <w:bottom w:val="nil"/>
              <w:right w:val="nil"/>
            </w:tcBorders>
            <w:shd w:val="clear" w:color="000000" w:fill="DEE8F1"/>
            <w:vAlign w:val="center"/>
            <w:hideMark/>
          </w:tcPr>
          <w:p w14:paraId="4352027D"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11</w:t>
            </w:r>
          </w:p>
        </w:tc>
      </w:tr>
      <w:tr w:rsidR="005C68F0" w:rsidRPr="005C68F0" w14:paraId="76ACC362" w14:textId="77777777" w:rsidTr="0092649D">
        <w:trPr>
          <w:trHeight w:val="969"/>
        </w:trPr>
        <w:tc>
          <w:tcPr>
            <w:tcW w:w="1087" w:type="dxa"/>
            <w:tcBorders>
              <w:top w:val="nil"/>
              <w:left w:val="nil"/>
              <w:bottom w:val="nil"/>
              <w:right w:val="nil"/>
            </w:tcBorders>
            <w:shd w:val="clear" w:color="000000" w:fill="FFFFFF"/>
            <w:vAlign w:val="center"/>
            <w:hideMark/>
          </w:tcPr>
          <w:p w14:paraId="07E4BA72" w14:textId="77777777" w:rsidR="005C68F0" w:rsidRPr="005C68F0" w:rsidRDefault="005C68F0" w:rsidP="005C68F0">
            <w:pPr>
              <w:spacing w:after="0" w:line="240" w:lineRule="auto"/>
              <w:ind w:left="0"/>
              <w:jc w:val="left"/>
              <w:rPr>
                <w:rFonts w:eastAsia="Times New Roman" w:cs="Arial"/>
                <w:sz w:val="18"/>
                <w:szCs w:val="18"/>
                <w:lang w:eastAsia="en-AU"/>
              </w:rPr>
            </w:pPr>
            <w:r w:rsidRPr="005C68F0">
              <w:rPr>
                <w:rFonts w:eastAsia="Times New Roman" w:cs="Arial"/>
                <w:sz w:val="18"/>
                <w:szCs w:val="18"/>
                <w:lang w:eastAsia="en-AU"/>
              </w:rPr>
              <w:t>100 or more employees</w:t>
            </w:r>
          </w:p>
        </w:tc>
        <w:tc>
          <w:tcPr>
            <w:tcW w:w="836" w:type="dxa"/>
            <w:gridSpan w:val="2"/>
            <w:tcBorders>
              <w:top w:val="nil"/>
              <w:left w:val="nil"/>
              <w:bottom w:val="nil"/>
              <w:right w:val="nil"/>
            </w:tcBorders>
            <w:shd w:val="clear" w:color="000000" w:fill="FFFFFF"/>
            <w:vAlign w:val="center"/>
            <w:hideMark/>
          </w:tcPr>
          <w:p w14:paraId="6CD167ED"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146</w:t>
            </w:r>
          </w:p>
        </w:tc>
        <w:tc>
          <w:tcPr>
            <w:tcW w:w="1054" w:type="dxa"/>
            <w:tcBorders>
              <w:top w:val="nil"/>
              <w:left w:val="nil"/>
              <w:bottom w:val="nil"/>
              <w:right w:val="nil"/>
            </w:tcBorders>
            <w:shd w:val="clear" w:color="000000" w:fill="FFFFFF"/>
            <w:vAlign w:val="center"/>
            <w:hideMark/>
          </w:tcPr>
          <w:p w14:paraId="388CD7FF"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1</w:t>
            </w:r>
          </w:p>
        </w:tc>
        <w:tc>
          <w:tcPr>
            <w:tcW w:w="851" w:type="dxa"/>
            <w:tcBorders>
              <w:top w:val="nil"/>
              <w:left w:val="nil"/>
              <w:bottom w:val="nil"/>
              <w:right w:val="nil"/>
            </w:tcBorders>
            <w:shd w:val="clear" w:color="000000" w:fill="FFFFFF"/>
            <w:vAlign w:val="center"/>
            <w:hideMark/>
          </w:tcPr>
          <w:p w14:paraId="0E4736DE"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2 695</w:t>
            </w:r>
          </w:p>
        </w:tc>
        <w:tc>
          <w:tcPr>
            <w:tcW w:w="992" w:type="dxa"/>
            <w:tcBorders>
              <w:top w:val="nil"/>
              <w:left w:val="nil"/>
              <w:bottom w:val="nil"/>
              <w:right w:val="nil"/>
            </w:tcBorders>
            <w:shd w:val="clear" w:color="000000" w:fill="FFFFFF"/>
            <w:vAlign w:val="center"/>
            <w:hideMark/>
          </w:tcPr>
          <w:p w14:paraId="5D10A555"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21</w:t>
            </w:r>
          </w:p>
        </w:tc>
        <w:tc>
          <w:tcPr>
            <w:tcW w:w="850" w:type="dxa"/>
            <w:tcBorders>
              <w:top w:val="nil"/>
              <w:left w:val="nil"/>
              <w:bottom w:val="nil"/>
              <w:right w:val="nil"/>
            </w:tcBorders>
            <w:shd w:val="clear" w:color="000000" w:fill="FFFFFF"/>
            <w:vAlign w:val="center"/>
            <w:hideMark/>
          </w:tcPr>
          <w:p w14:paraId="62A3A10B"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2 378</w:t>
            </w:r>
          </w:p>
        </w:tc>
        <w:tc>
          <w:tcPr>
            <w:tcW w:w="1276" w:type="dxa"/>
            <w:tcBorders>
              <w:top w:val="nil"/>
              <w:left w:val="nil"/>
              <w:bottom w:val="nil"/>
              <w:right w:val="nil"/>
            </w:tcBorders>
            <w:shd w:val="clear" w:color="000000" w:fill="FFFFFF"/>
            <w:vAlign w:val="center"/>
            <w:hideMark/>
          </w:tcPr>
          <w:p w14:paraId="3A6603CE" w14:textId="77777777" w:rsidR="005C68F0" w:rsidRPr="005C68F0" w:rsidRDefault="005C68F0" w:rsidP="005C68F0">
            <w:pPr>
              <w:spacing w:after="0" w:line="240" w:lineRule="auto"/>
              <w:ind w:left="0"/>
              <w:jc w:val="right"/>
              <w:rPr>
                <w:rFonts w:eastAsia="Times New Roman" w:cs="Arial"/>
                <w:sz w:val="18"/>
                <w:szCs w:val="18"/>
                <w:lang w:eastAsia="en-AU"/>
              </w:rPr>
            </w:pPr>
            <w:r w:rsidRPr="005C68F0">
              <w:rPr>
                <w:rFonts w:eastAsia="Times New Roman" w:cs="Arial"/>
                <w:sz w:val="18"/>
                <w:szCs w:val="18"/>
                <w:lang w:eastAsia="en-AU"/>
              </w:rPr>
              <w:t>22</w:t>
            </w:r>
          </w:p>
        </w:tc>
      </w:tr>
      <w:tr w:rsidR="005C68F0" w:rsidRPr="005C68F0" w14:paraId="60BEA1B0" w14:textId="77777777" w:rsidTr="0092649D">
        <w:trPr>
          <w:trHeight w:val="302"/>
        </w:trPr>
        <w:tc>
          <w:tcPr>
            <w:tcW w:w="1087" w:type="dxa"/>
            <w:tcBorders>
              <w:top w:val="nil"/>
              <w:left w:val="nil"/>
              <w:bottom w:val="nil"/>
              <w:right w:val="nil"/>
            </w:tcBorders>
            <w:shd w:val="clear" w:color="000000" w:fill="DEE8F1"/>
            <w:vAlign w:val="center"/>
            <w:hideMark/>
          </w:tcPr>
          <w:p w14:paraId="5CD086BA" w14:textId="77777777" w:rsidR="005C68F0" w:rsidRPr="005C68F0" w:rsidRDefault="005C68F0" w:rsidP="005C68F0">
            <w:pPr>
              <w:spacing w:after="0" w:line="240" w:lineRule="auto"/>
              <w:ind w:left="0"/>
              <w:jc w:val="left"/>
              <w:rPr>
                <w:rFonts w:eastAsia="Times New Roman" w:cs="Arial"/>
                <w:b/>
                <w:bCs/>
                <w:sz w:val="18"/>
                <w:szCs w:val="18"/>
                <w:lang w:eastAsia="en-AU"/>
              </w:rPr>
            </w:pPr>
            <w:r w:rsidRPr="005C68F0">
              <w:rPr>
                <w:rFonts w:eastAsia="Times New Roman" w:cs="Arial"/>
                <w:b/>
                <w:bCs/>
                <w:sz w:val="18"/>
                <w:szCs w:val="18"/>
                <w:lang w:eastAsia="en-AU"/>
              </w:rPr>
              <w:t>Total</w:t>
            </w:r>
          </w:p>
        </w:tc>
        <w:tc>
          <w:tcPr>
            <w:tcW w:w="836" w:type="dxa"/>
            <w:gridSpan w:val="2"/>
            <w:tcBorders>
              <w:top w:val="nil"/>
              <w:left w:val="nil"/>
              <w:bottom w:val="nil"/>
              <w:right w:val="nil"/>
            </w:tcBorders>
            <w:shd w:val="clear" w:color="000000" w:fill="DEE8F1"/>
            <w:vAlign w:val="center"/>
            <w:hideMark/>
          </w:tcPr>
          <w:p w14:paraId="46CD7EC9" w14:textId="77777777" w:rsidR="005C68F0" w:rsidRPr="005C68F0" w:rsidRDefault="005C68F0" w:rsidP="005C68F0">
            <w:pPr>
              <w:spacing w:after="0" w:line="240" w:lineRule="auto"/>
              <w:ind w:left="0"/>
              <w:jc w:val="right"/>
              <w:rPr>
                <w:rFonts w:eastAsia="Times New Roman" w:cs="Arial"/>
                <w:b/>
                <w:bCs/>
                <w:sz w:val="18"/>
                <w:szCs w:val="18"/>
                <w:lang w:eastAsia="en-AU"/>
              </w:rPr>
            </w:pPr>
            <w:r w:rsidRPr="005C68F0">
              <w:rPr>
                <w:rFonts w:eastAsia="Times New Roman" w:cs="Arial"/>
                <w:b/>
                <w:bCs/>
                <w:sz w:val="18"/>
                <w:szCs w:val="18"/>
                <w:lang w:eastAsia="en-AU"/>
              </w:rPr>
              <w:t>12 536</w:t>
            </w:r>
          </w:p>
        </w:tc>
        <w:tc>
          <w:tcPr>
            <w:tcW w:w="1054" w:type="dxa"/>
            <w:tcBorders>
              <w:top w:val="nil"/>
              <w:left w:val="nil"/>
              <w:bottom w:val="nil"/>
              <w:right w:val="nil"/>
            </w:tcBorders>
            <w:shd w:val="clear" w:color="000000" w:fill="DEE8F1"/>
            <w:vAlign w:val="center"/>
            <w:hideMark/>
          </w:tcPr>
          <w:p w14:paraId="5485D077" w14:textId="77777777" w:rsidR="005C68F0" w:rsidRPr="005C68F0" w:rsidRDefault="005C68F0" w:rsidP="005C68F0">
            <w:pPr>
              <w:spacing w:after="0" w:line="240" w:lineRule="auto"/>
              <w:ind w:left="0"/>
              <w:jc w:val="right"/>
              <w:rPr>
                <w:rFonts w:eastAsia="Times New Roman" w:cs="Arial"/>
                <w:b/>
                <w:bCs/>
                <w:sz w:val="18"/>
                <w:szCs w:val="18"/>
                <w:lang w:eastAsia="en-AU"/>
              </w:rPr>
            </w:pPr>
            <w:r w:rsidRPr="005C68F0">
              <w:rPr>
                <w:rFonts w:eastAsia="Times New Roman" w:cs="Arial"/>
                <w:b/>
                <w:bCs/>
                <w:sz w:val="18"/>
                <w:szCs w:val="18"/>
                <w:lang w:eastAsia="en-AU"/>
              </w:rPr>
              <w:t>100</w:t>
            </w:r>
          </w:p>
        </w:tc>
        <w:tc>
          <w:tcPr>
            <w:tcW w:w="851" w:type="dxa"/>
            <w:tcBorders>
              <w:top w:val="nil"/>
              <w:left w:val="nil"/>
              <w:bottom w:val="nil"/>
              <w:right w:val="nil"/>
            </w:tcBorders>
            <w:shd w:val="clear" w:color="000000" w:fill="DEE8F1"/>
            <w:vAlign w:val="center"/>
            <w:hideMark/>
          </w:tcPr>
          <w:p w14:paraId="2C9B5134" w14:textId="77777777" w:rsidR="005C68F0" w:rsidRPr="005C68F0" w:rsidRDefault="005C68F0" w:rsidP="005C68F0">
            <w:pPr>
              <w:spacing w:after="0" w:line="240" w:lineRule="auto"/>
              <w:ind w:left="0"/>
              <w:jc w:val="right"/>
              <w:rPr>
                <w:rFonts w:eastAsia="Times New Roman" w:cs="Arial"/>
                <w:b/>
                <w:bCs/>
                <w:sz w:val="18"/>
                <w:szCs w:val="18"/>
                <w:lang w:eastAsia="en-AU"/>
              </w:rPr>
            </w:pPr>
            <w:r w:rsidRPr="005C68F0">
              <w:rPr>
                <w:rFonts w:eastAsia="Times New Roman" w:cs="Arial"/>
                <w:b/>
                <w:bCs/>
                <w:sz w:val="18"/>
                <w:szCs w:val="18"/>
                <w:lang w:eastAsia="en-AU"/>
              </w:rPr>
              <w:t>12 536</w:t>
            </w:r>
          </w:p>
        </w:tc>
        <w:tc>
          <w:tcPr>
            <w:tcW w:w="992" w:type="dxa"/>
            <w:tcBorders>
              <w:top w:val="nil"/>
              <w:left w:val="nil"/>
              <w:bottom w:val="nil"/>
              <w:right w:val="nil"/>
            </w:tcBorders>
            <w:shd w:val="clear" w:color="000000" w:fill="DEE8F1"/>
            <w:vAlign w:val="center"/>
            <w:hideMark/>
          </w:tcPr>
          <w:p w14:paraId="5D8707EA" w14:textId="77777777" w:rsidR="005C68F0" w:rsidRPr="005C68F0" w:rsidRDefault="005C68F0" w:rsidP="005C68F0">
            <w:pPr>
              <w:spacing w:after="0" w:line="240" w:lineRule="auto"/>
              <w:ind w:left="0"/>
              <w:jc w:val="right"/>
              <w:rPr>
                <w:rFonts w:eastAsia="Times New Roman" w:cs="Arial"/>
                <w:b/>
                <w:bCs/>
                <w:sz w:val="18"/>
                <w:szCs w:val="18"/>
                <w:lang w:eastAsia="en-AU"/>
              </w:rPr>
            </w:pPr>
            <w:r w:rsidRPr="005C68F0">
              <w:rPr>
                <w:rFonts w:eastAsia="Times New Roman" w:cs="Arial"/>
                <w:b/>
                <w:bCs/>
                <w:sz w:val="18"/>
                <w:szCs w:val="18"/>
                <w:lang w:eastAsia="en-AU"/>
              </w:rPr>
              <w:t>100</w:t>
            </w:r>
          </w:p>
        </w:tc>
        <w:tc>
          <w:tcPr>
            <w:tcW w:w="850" w:type="dxa"/>
            <w:tcBorders>
              <w:top w:val="nil"/>
              <w:left w:val="nil"/>
              <w:bottom w:val="nil"/>
              <w:right w:val="nil"/>
            </w:tcBorders>
            <w:shd w:val="clear" w:color="000000" w:fill="DEE8F1"/>
            <w:vAlign w:val="center"/>
            <w:hideMark/>
          </w:tcPr>
          <w:p w14:paraId="2047758D" w14:textId="77777777" w:rsidR="005C68F0" w:rsidRPr="005C68F0" w:rsidRDefault="005C68F0" w:rsidP="005C68F0">
            <w:pPr>
              <w:spacing w:after="0" w:line="240" w:lineRule="auto"/>
              <w:ind w:left="0"/>
              <w:jc w:val="right"/>
              <w:rPr>
                <w:rFonts w:eastAsia="Times New Roman" w:cs="Arial"/>
                <w:b/>
                <w:bCs/>
                <w:sz w:val="18"/>
                <w:szCs w:val="18"/>
                <w:lang w:eastAsia="en-AU"/>
              </w:rPr>
            </w:pPr>
            <w:r w:rsidRPr="005C68F0">
              <w:rPr>
                <w:rFonts w:eastAsia="Times New Roman" w:cs="Arial"/>
                <w:b/>
                <w:bCs/>
                <w:sz w:val="18"/>
                <w:szCs w:val="18"/>
                <w:lang w:eastAsia="en-AU"/>
              </w:rPr>
              <w:t>10 626</w:t>
            </w:r>
          </w:p>
        </w:tc>
        <w:tc>
          <w:tcPr>
            <w:tcW w:w="1276" w:type="dxa"/>
            <w:tcBorders>
              <w:top w:val="nil"/>
              <w:left w:val="nil"/>
              <w:bottom w:val="nil"/>
              <w:right w:val="nil"/>
            </w:tcBorders>
            <w:shd w:val="clear" w:color="000000" w:fill="DEE8F1"/>
            <w:vAlign w:val="center"/>
            <w:hideMark/>
          </w:tcPr>
          <w:p w14:paraId="70755805" w14:textId="77777777" w:rsidR="005C68F0" w:rsidRPr="005C68F0" w:rsidRDefault="005C68F0" w:rsidP="005C68F0">
            <w:pPr>
              <w:spacing w:after="0" w:line="240" w:lineRule="auto"/>
              <w:ind w:left="0"/>
              <w:jc w:val="right"/>
              <w:rPr>
                <w:rFonts w:eastAsia="Times New Roman" w:cs="Arial"/>
                <w:b/>
                <w:bCs/>
                <w:sz w:val="18"/>
                <w:szCs w:val="18"/>
                <w:lang w:eastAsia="en-AU"/>
              </w:rPr>
            </w:pPr>
            <w:r w:rsidRPr="005C68F0">
              <w:rPr>
                <w:rFonts w:eastAsia="Times New Roman" w:cs="Arial"/>
                <w:b/>
                <w:bCs/>
                <w:sz w:val="18"/>
                <w:szCs w:val="18"/>
                <w:lang w:eastAsia="en-AU"/>
              </w:rPr>
              <w:t>100</w:t>
            </w:r>
          </w:p>
        </w:tc>
      </w:tr>
    </w:tbl>
    <w:p w14:paraId="0519BB7D" w14:textId="77777777" w:rsidR="005C68F0" w:rsidRPr="005C68F0" w:rsidRDefault="005C68F0" w:rsidP="0092649D">
      <w:pPr>
        <w:pStyle w:val="Placeholder"/>
      </w:pPr>
    </w:p>
    <w:p w14:paraId="48DB6AA1" w14:textId="77777777" w:rsidR="005C68F0" w:rsidRDefault="005C68F0" w:rsidP="0092649D">
      <w:pPr>
        <w:pStyle w:val="Source"/>
      </w:pPr>
      <w:r>
        <w:t xml:space="preserve">Source: Business Longitudinal Analysis Data Environment (2018) </w:t>
      </w:r>
    </w:p>
    <w:p w14:paraId="6D533EA6" w14:textId="73C1F19C" w:rsidR="00F560AF" w:rsidRDefault="00F560AF" w:rsidP="0092649D">
      <w:pPr>
        <w:spacing w:after="200" w:line="276" w:lineRule="auto"/>
        <w:ind w:left="0"/>
        <w:jc w:val="left"/>
        <w:rPr>
          <w:rFonts w:asciiTheme="minorHAnsi" w:hAnsiTheme="minorHAnsi"/>
          <w:lang w:val="en"/>
        </w:rPr>
      </w:pPr>
      <w:r>
        <w:rPr>
          <w:lang w:val="en"/>
        </w:rPr>
        <w:br w:type="page"/>
      </w:r>
    </w:p>
    <w:p w14:paraId="5D3186F6" w14:textId="5DBBFAFB" w:rsidR="00F560AF" w:rsidRDefault="00F560AF" w:rsidP="00D744AA">
      <w:pPr>
        <w:pStyle w:val="CaptionWide"/>
      </w:pPr>
      <w:r w:rsidRPr="000618FB">
        <w:lastRenderedPageBreak/>
        <w:t xml:space="preserve">Table </w:t>
      </w:r>
      <w:r w:rsidR="00644285">
        <w:t>D</w:t>
      </w:r>
      <w:r w:rsidR="00F35810">
        <w:t>.2</w:t>
      </w:r>
      <w:r w:rsidRPr="000618FB">
        <w:t>.</w:t>
      </w:r>
      <w:r w:rsidRPr="00F560AF">
        <w:t xml:space="preserve"> Distribution of </w:t>
      </w:r>
      <w:r w:rsidR="00C77133">
        <w:t xml:space="preserve">firms by </w:t>
      </w:r>
      <w:r w:rsidRPr="00F560AF">
        <w:t xml:space="preserve">industry </w:t>
      </w:r>
      <w:r w:rsidR="00C77133">
        <w:t>according to</w:t>
      </w:r>
      <w:r w:rsidRPr="00F560AF">
        <w:t xml:space="preserve"> data source</w:t>
      </w:r>
    </w:p>
    <w:tbl>
      <w:tblPr>
        <w:tblW w:w="8995" w:type="dxa"/>
        <w:tblInd w:w="-2015" w:type="dxa"/>
        <w:tblLayout w:type="fixed"/>
        <w:tblLook w:val="04A0" w:firstRow="1" w:lastRow="0" w:firstColumn="1" w:lastColumn="0" w:noHBand="0" w:noVBand="1"/>
        <w:tblCaption w:val="Table D.2"/>
        <w:tblDescription w:val="This table lists MOC Microdata and BLADE data for different industries."/>
      </w:tblPr>
      <w:tblGrid>
        <w:gridCol w:w="4007"/>
        <w:gridCol w:w="836"/>
        <w:gridCol w:w="608"/>
        <w:gridCol w:w="1276"/>
        <w:gridCol w:w="709"/>
        <w:gridCol w:w="850"/>
        <w:gridCol w:w="709"/>
      </w:tblGrid>
      <w:tr w:rsidR="00B94250" w:rsidRPr="00B94250" w14:paraId="41E3FD8B" w14:textId="77777777" w:rsidTr="00F91687">
        <w:trPr>
          <w:trHeight w:val="315"/>
          <w:tblHeader/>
        </w:trPr>
        <w:tc>
          <w:tcPr>
            <w:tcW w:w="4007" w:type="dxa"/>
            <w:tcBorders>
              <w:right w:val="single" w:sz="4" w:space="0" w:color="FFFFFF" w:themeColor="background1"/>
            </w:tcBorders>
            <w:shd w:val="clear" w:color="000000" w:fill="005CAF"/>
            <w:vAlign w:val="center"/>
            <w:hideMark/>
          </w:tcPr>
          <w:p w14:paraId="3C334D27" w14:textId="46B44983" w:rsidR="00B94250" w:rsidRPr="00B94250" w:rsidRDefault="006236A9">
            <w:pPr>
              <w:spacing w:after="0" w:line="240" w:lineRule="auto"/>
              <w:ind w:left="0"/>
              <w:jc w:val="left"/>
              <w:rPr>
                <w:rFonts w:eastAsia="Times New Roman" w:cs="Arial"/>
                <w:b/>
                <w:bCs/>
                <w:color w:val="FFFFFF"/>
                <w:sz w:val="18"/>
                <w:szCs w:val="18"/>
                <w:lang w:eastAsia="en-AU"/>
              </w:rPr>
            </w:pPr>
            <w:r>
              <w:rPr>
                <w:rFonts w:eastAsia="Times New Roman" w:cs="Arial"/>
                <w:b/>
                <w:bCs/>
                <w:color w:val="FFFFFF"/>
                <w:sz w:val="18"/>
                <w:szCs w:val="18"/>
                <w:lang w:eastAsia="en-AU"/>
              </w:rPr>
              <w:t>Industry</w:t>
            </w:r>
          </w:p>
        </w:tc>
        <w:tc>
          <w:tcPr>
            <w:tcW w:w="2720" w:type="dxa"/>
            <w:gridSpan w:val="3"/>
            <w:tcBorders>
              <w:left w:val="single" w:sz="4" w:space="0" w:color="FFFFFF" w:themeColor="background1"/>
              <w:bottom w:val="single" w:sz="6" w:space="0" w:color="FFFFFF" w:themeColor="background1"/>
              <w:right w:val="single" w:sz="6" w:space="0" w:color="FFFFFF" w:themeColor="background1"/>
            </w:tcBorders>
            <w:shd w:val="clear" w:color="000000" w:fill="005CAF"/>
            <w:vAlign w:val="center"/>
            <w:hideMark/>
          </w:tcPr>
          <w:p w14:paraId="172397C1" w14:textId="77777777" w:rsidR="00B94250" w:rsidRPr="00B94250" w:rsidRDefault="00B94250" w:rsidP="00B94250">
            <w:pPr>
              <w:spacing w:after="0" w:line="240" w:lineRule="auto"/>
              <w:ind w:left="0"/>
              <w:jc w:val="center"/>
              <w:rPr>
                <w:rFonts w:eastAsia="Times New Roman" w:cs="Arial"/>
                <w:b/>
                <w:bCs/>
                <w:color w:val="FFFFFF"/>
                <w:sz w:val="18"/>
                <w:szCs w:val="18"/>
                <w:lang w:eastAsia="en-AU"/>
              </w:rPr>
            </w:pPr>
            <w:r w:rsidRPr="00B94250">
              <w:rPr>
                <w:rFonts w:eastAsia="Times New Roman" w:cs="Arial"/>
                <w:b/>
                <w:bCs/>
                <w:color w:val="FFFFFF"/>
                <w:sz w:val="18"/>
                <w:szCs w:val="18"/>
                <w:lang w:eastAsia="en-AU"/>
              </w:rPr>
              <w:t>MOC Microdata</w:t>
            </w:r>
          </w:p>
        </w:tc>
        <w:tc>
          <w:tcPr>
            <w:tcW w:w="2268" w:type="dxa"/>
            <w:gridSpan w:val="3"/>
            <w:tcBorders>
              <w:left w:val="single" w:sz="6" w:space="0" w:color="FFFFFF" w:themeColor="background1"/>
              <w:bottom w:val="single" w:sz="6" w:space="0" w:color="FFFFFF" w:themeColor="background1"/>
              <w:right w:val="single" w:sz="4" w:space="0" w:color="FFFFFF" w:themeColor="background1"/>
            </w:tcBorders>
            <w:shd w:val="clear" w:color="000000" w:fill="005CAF"/>
            <w:vAlign w:val="center"/>
            <w:hideMark/>
          </w:tcPr>
          <w:p w14:paraId="4B817EA3" w14:textId="77777777" w:rsidR="00B94250" w:rsidRPr="00B94250" w:rsidRDefault="00B94250" w:rsidP="00B94250">
            <w:pPr>
              <w:spacing w:after="0" w:line="240" w:lineRule="auto"/>
              <w:ind w:left="0"/>
              <w:jc w:val="center"/>
              <w:rPr>
                <w:rFonts w:eastAsia="Times New Roman" w:cs="Arial"/>
                <w:b/>
                <w:bCs/>
                <w:color w:val="FFFFFF"/>
                <w:sz w:val="18"/>
                <w:szCs w:val="18"/>
                <w:lang w:eastAsia="en-AU"/>
              </w:rPr>
            </w:pPr>
            <w:r w:rsidRPr="00B94250">
              <w:rPr>
                <w:rFonts w:eastAsia="Times New Roman" w:cs="Arial"/>
                <w:b/>
                <w:bCs/>
                <w:color w:val="FFFFFF"/>
                <w:sz w:val="18"/>
                <w:szCs w:val="18"/>
                <w:lang w:eastAsia="en-AU"/>
              </w:rPr>
              <w:t>BLADE</w:t>
            </w:r>
          </w:p>
        </w:tc>
      </w:tr>
      <w:tr w:rsidR="00AB3E3D" w:rsidRPr="00B94250" w14:paraId="39E63955" w14:textId="77777777" w:rsidTr="00D744AA">
        <w:trPr>
          <w:trHeight w:val="315"/>
        </w:trPr>
        <w:tc>
          <w:tcPr>
            <w:tcW w:w="4007" w:type="dxa"/>
            <w:tcBorders>
              <w:right w:val="single" w:sz="4" w:space="0" w:color="FFFFFF" w:themeColor="background1"/>
            </w:tcBorders>
            <w:shd w:val="clear" w:color="000000" w:fill="005CAF"/>
            <w:vAlign w:val="center"/>
            <w:hideMark/>
          </w:tcPr>
          <w:p w14:paraId="62829E87" w14:textId="77777777" w:rsidR="00B94250" w:rsidRPr="00B94250" w:rsidRDefault="00B94250" w:rsidP="00B94250">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 </w:t>
            </w:r>
          </w:p>
        </w:tc>
        <w:tc>
          <w:tcPr>
            <w:tcW w:w="1444" w:type="dxa"/>
            <w:gridSpan w:val="2"/>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000000" w:fill="005CAF"/>
            <w:vAlign w:val="center"/>
            <w:hideMark/>
          </w:tcPr>
          <w:p w14:paraId="48088380" w14:textId="77777777" w:rsidR="00B94250" w:rsidRPr="00B94250" w:rsidRDefault="00B94250" w:rsidP="00B94250">
            <w:pPr>
              <w:spacing w:after="0" w:line="240" w:lineRule="auto"/>
              <w:ind w:left="0"/>
              <w:jc w:val="center"/>
              <w:rPr>
                <w:rFonts w:eastAsia="Times New Roman" w:cs="Arial"/>
                <w:b/>
                <w:bCs/>
                <w:color w:val="FFFFFF"/>
                <w:sz w:val="18"/>
                <w:szCs w:val="18"/>
                <w:lang w:eastAsia="en-AU"/>
              </w:rPr>
            </w:pPr>
            <w:r w:rsidRPr="00B94250">
              <w:rPr>
                <w:rFonts w:eastAsia="Times New Roman" w:cs="Arial"/>
                <w:b/>
                <w:bCs/>
                <w:color w:val="FFFFFF"/>
                <w:sz w:val="18"/>
                <w:szCs w:val="18"/>
                <w:lang w:eastAsia="en-AU"/>
              </w:rPr>
              <w:t>Weighted</w:t>
            </w:r>
          </w:p>
        </w:tc>
        <w:tc>
          <w:tcPr>
            <w:tcW w:w="127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000000" w:fill="005CAF"/>
            <w:vAlign w:val="center"/>
            <w:hideMark/>
          </w:tcPr>
          <w:p w14:paraId="09A992E8" w14:textId="77777777" w:rsidR="00B94250" w:rsidRPr="00B94250" w:rsidRDefault="00B94250" w:rsidP="00B94250">
            <w:pPr>
              <w:spacing w:after="0" w:line="240" w:lineRule="auto"/>
              <w:ind w:left="0"/>
              <w:jc w:val="center"/>
              <w:rPr>
                <w:rFonts w:eastAsia="Times New Roman" w:cs="Arial"/>
                <w:b/>
                <w:bCs/>
                <w:color w:val="FFFFFF"/>
                <w:sz w:val="18"/>
                <w:szCs w:val="18"/>
                <w:lang w:eastAsia="en-AU"/>
              </w:rPr>
            </w:pPr>
            <w:r w:rsidRPr="00B94250">
              <w:rPr>
                <w:rFonts w:eastAsia="Times New Roman" w:cs="Arial"/>
                <w:b/>
                <w:bCs/>
                <w:color w:val="FFFFFF"/>
                <w:sz w:val="18"/>
                <w:szCs w:val="18"/>
                <w:lang w:eastAsia="en-AU"/>
              </w:rPr>
              <w:t>Unweighted</w:t>
            </w:r>
          </w:p>
        </w:tc>
        <w:tc>
          <w:tcPr>
            <w:tcW w:w="2268" w:type="dxa"/>
            <w:gridSpan w:val="3"/>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000000" w:fill="005CAF"/>
            <w:vAlign w:val="center"/>
            <w:hideMark/>
          </w:tcPr>
          <w:p w14:paraId="497573BF" w14:textId="77777777" w:rsidR="00B94250" w:rsidRPr="00B94250" w:rsidRDefault="00B94250" w:rsidP="00B94250">
            <w:pPr>
              <w:spacing w:after="0" w:line="240" w:lineRule="auto"/>
              <w:ind w:left="0"/>
              <w:jc w:val="center"/>
              <w:rPr>
                <w:rFonts w:eastAsia="Times New Roman" w:cs="Arial"/>
                <w:b/>
                <w:bCs/>
                <w:color w:val="FFFFFF"/>
                <w:sz w:val="18"/>
                <w:szCs w:val="18"/>
                <w:lang w:eastAsia="en-AU"/>
              </w:rPr>
            </w:pPr>
            <w:r w:rsidRPr="00B94250">
              <w:rPr>
                <w:rFonts w:eastAsia="Times New Roman" w:cs="Arial"/>
                <w:b/>
                <w:bCs/>
                <w:color w:val="FFFFFF"/>
                <w:sz w:val="18"/>
                <w:szCs w:val="18"/>
                <w:lang w:eastAsia="en-AU"/>
              </w:rPr>
              <w:t>Unweighted</w:t>
            </w:r>
          </w:p>
        </w:tc>
      </w:tr>
      <w:tr w:rsidR="00B94250" w:rsidRPr="00B94250" w14:paraId="36D4635F" w14:textId="77777777" w:rsidTr="00D744AA">
        <w:trPr>
          <w:trHeight w:val="300"/>
        </w:trPr>
        <w:tc>
          <w:tcPr>
            <w:tcW w:w="4007" w:type="dxa"/>
            <w:tcBorders>
              <w:right w:val="single" w:sz="4" w:space="0" w:color="FFFFFF" w:themeColor="background1"/>
            </w:tcBorders>
            <w:shd w:val="clear" w:color="000000" w:fill="005CAF"/>
            <w:vAlign w:val="center"/>
            <w:hideMark/>
          </w:tcPr>
          <w:p w14:paraId="50324EA4" w14:textId="77777777" w:rsidR="00B94250" w:rsidRPr="00B94250" w:rsidRDefault="00B94250" w:rsidP="00B94250">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 </w:t>
            </w:r>
          </w:p>
        </w:tc>
        <w:tc>
          <w:tcPr>
            <w:tcW w:w="836" w:type="dxa"/>
            <w:tcBorders>
              <w:top w:val="single" w:sz="6" w:space="0" w:color="FFFFFF" w:themeColor="background1"/>
              <w:left w:val="single" w:sz="4" w:space="0" w:color="FFFFFF" w:themeColor="background1"/>
              <w:bottom w:val="single" w:sz="4" w:space="0" w:color="FFFFFF" w:themeColor="background1"/>
              <w:right w:val="single" w:sz="6" w:space="0" w:color="FFFFFF" w:themeColor="background1"/>
            </w:tcBorders>
            <w:shd w:val="clear" w:color="000000" w:fill="005CAF"/>
            <w:vAlign w:val="center"/>
            <w:hideMark/>
          </w:tcPr>
          <w:p w14:paraId="34FFBE79" w14:textId="77777777" w:rsidR="00B94250" w:rsidRPr="00B94250" w:rsidRDefault="00B94250" w:rsidP="00AB3E3D">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Counts</w:t>
            </w:r>
          </w:p>
        </w:tc>
        <w:tc>
          <w:tcPr>
            <w:tcW w:w="608"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000000" w:fill="005CAF"/>
            <w:vAlign w:val="center"/>
            <w:hideMark/>
          </w:tcPr>
          <w:p w14:paraId="523AFA14" w14:textId="77777777" w:rsidR="00B94250" w:rsidRPr="00B94250" w:rsidRDefault="00B94250" w:rsidP="00AB3E3D">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Per cent</w:t>
            </w:r>
          </w:p>
        </w:tc>
        <w:tc>
          <w:tcPr>
            <w:tcW w:w="1276"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000000" w:fill="005CAF"/>
            <w:vAlign w:val="center"/>
            <w:hideMark/>
          </w:tcPr>
          <w:p w14:paraId="3B98AE1A" w14:textId="77777777" w:rsidR="00B94250" w:rsidRPr="00B94250" w:rsidRDefault="00B94250" w:rsidP="00AB3E3D">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Counts</w:t>
            </w:r>
          </w:p>
        </w:tc>
        <w:tc>
          <w:tcPr>
            <w:tcW w:w="709"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000000" w:fill="005CAF"/>
            <w:vAlign w:val="center"/>
            <w:hideMark/>
          </w:tcPr>
          <w:p w14:paraId="6B5BF74E" w14:textId="77777777" w:rsidR="00B94250" w:rsidRPr="00B94250" w:rsidRDefault="00B94250" w:rsidP="00AB3E3D">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Per cent</w:t>
            </w:r>
          </w:p>
        </w:tc>
        <w:tc>
          <w:tcPr>
            <w:tcW w:w="850" w:type="dxa"/>
            <w:tcBorders>
              <w:top w:val="single" w:sz="6" w:space="0" w:color="FFFFFF" w:themeColor="background1"/>
              <w:left w:val="single" w:sz="6" w:space="0" w:color="FFFFFF" w:themeColor="background1"/>
              <w:bottom w:val="single" w:sz="4" w:space="0" w:color="FFFFFF" w:themeColor="background1"/>
              <w:right w:val="single" w:sz="6" w:space="0" w:color="FFFFFF" w:themeColor="background1"/>
            </w:tcBorders>
            <w:shd w:val="clear" w:color="000000" w:fill="005CAF"/>
            <w:vAlign w:val="center"/>
            <w:hideMark/>
          </w:tcPr>
          <w:p w14:paraId="422B5FB3" w14:textId="77777777" w:rsidR="00B94250" w:rsidRPr="00B94250" w:rsidRDefault="00B94250" w:rsidP="00AB3E3D">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Counts</w:t>
            </w:r>
          </w:p>
        </w:tc>
        <w:tc>
          <w:tcPr>
            <w:tcW w:w="709" w:type="dxa"/>
            <w:tcBorders>
              <w:top w:val="single" w:sz="6" w:space="0" w:color="FFFFFF" w:themeColor="background1"/>
              <w:left w:val="single" w:sz="6" w:space="0" w:color="FFFFFF" w:themeColor="background1"/>
              <w:bottom w:val="single" w:sz="4" w:space="0" w:color="FFFFFF" w:themeColor="background1"/>
              <w:right w:val="single" w:sz="4" w:space="0" w:color="FFFFFF" w:themeColor="background1"/>
            </w:tcBorders>
            <w:shd w:val="clear" w:color="000000" w:fill="005CAF"/>
            <w:vAlign w:val="center"/>
            <w:hideMark/>
          </w:tcPr>
          <w:p w14:paraId="15033351" w14:textId="77777777" w:rsidR="00B94250" w:rsidRPr="00B94250" w:rsidRDefault="00B94250" w:rsidP="00AB3E3D">
            <w:pPr>
              <w:spacing w:after="0" w:line="240" w:lineRule="auto"/>
              <w:ind w:left="0"/>
              <w:jc w:val="left"/>
              <w:rPr>
                <w:rFonts w:eastAsia="Times New Roman" w:cs="Arial"/>
                <w:b/>
                <w:bCs/>
                <w:color w:val="FFFFFF"/>
                <w:sz w:val="18"/>
                <w:szCs w:val="18"/>
                <w:lang w:eastAsia="en-AU"/>
              </w:rPr>
            </w:pPr>
            <w:r w:rsidRPr="00B94250">
              <w:rPr>
                <w:rFonts w:eastAsia="Times New Roman" w:cs="Arial"/>
                <w:b/>
                <w:bCs/>
                <w:color w:val="FFFFFF"/>
                <w:sz w:val="18"/>
                <w:szCs w:val="18"/>
                <w:lang w:eastAsia="en-AU"/>
              </w:rPr>
              <w:t>Per cent</w:t>
            </w:r>
          </w:p>
        </w:tc>
      </w:tr>
      <w:tr w:rsidR="00B94250" w:rsidRPr="00B94250" w14:paraId="29A141F2" w14:textId="77777777" w:rsidTr="00D744AA">
        <w:trPr>
          <w:trHeight w:val="300"/>
        </w:trPr>
        <w:tc>
          <w:tcPr>
            <w:tcW w:w="4007" w:type="dxa"/>
            <w:tcBorders>
              <w:left w:val="nil"/>
              <w:bottom w:val="nil"/>
              <w:right w:val="nil"/>
            </w:tcBorders>
            <w:shd w:val="clear" w:color="000000" w:fill="DEE8F1"/>
            <w:vAlign w:val="center"/>
            <w:hideMark/>
          </w:tcPr>
          <w:p w14:paraId="0CF50F2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A Agriculture, Forestry and Fishing</w:t>
            </w:r>
          </w:p>
        </w:tc>
        <w:tc>
          <w:tcPr>
            <w:tcW w:w="836" w:type="dxa"/>
            <w:tcBorders>
              <w:top w:val="single" w:sz="4" w:space="0" w:color="FFFFFF" w:themeColor="background1"/>
              <w:left w:val="nil"/>
              <w:bottom w:val="nil"/>
              <w:right w:val="nil"/>
            </w:tcBorders>
            <w:shd w:val="clear" w:color="000000" w:fill="DEE8F1"/>
            <w:vAlign w:val="center"/>
            <w:hideMark/>
          </w:tcPr>
          <w:p w14:paraId="3053044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567</w:t>
            </w:r>
          </w:p>
        </w:tc>
        <w:tc>
          <w:tcPr>
            <w:tcW w:w="608" w:type="dxa"/>
            <w:tcBorders>
              <w:top w:val="single" w:sz="4" w:space="0" w:color="FFFFFF" w:themeColor="background1"/>
              <w:left w:val="nil"/>
              <w:bottom w:val="nil"/>
              <w:right w:val="nil"/>
            </w:tcBorders>
            <w:shd w:val="clear" w:color="000000" w:fill="DEE8F1"/>
            <w:vAlign w:val="center"/>
            <w:hideMark/>
          </w:tcPr>
          <w:p w14:paraId="7BD767E9"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4.5</w:t>
            </w:r>
          </w:p>
        </w:tc>
        <w:tc>
          <w:tcPr>
            <w:tcW w:w="1276" w:type="dxa"/>
            <w:tcBorders>
              <w:top w:val="single" w:sz="4" w:space="0" w:color="FFFFFF" w:themeColor="background1"/>
              <w:left w:val="nil"/>
              <w:bottom w:val="nil"/>
              <w:right w:val="nil"/>
            </w:tcBorders>
            <w:shd w:val="clear" w:color="000000" w:fill="DEE8F1"/>
            <w:vAlign w:val="center"/>
            <w:hideMark/>
          </w:tcPr>
          <w:p w14:paraId="11BA533A"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807</w:t>
            </w:r>
          </w:p>
        </w:tc>
        <w:tc>
          <w:tcPr>
            <w:tcW w:w="709" w:type="dxa"/>
            <w:tcBorders>
              <w:top w:val="single" w:sz="4" w:space="0" w:color="FFFFFF" w:themeColor="background1"/>
              <w:left w:val="nil"/>
              <w:bottom w:val="nil"/>
              <w:right w:val="nil"/>
            </w:tcBorders>
            <w:shd w:val="clear" w:color="000000" w:fill="DEE8F1"/>
            <w:vAlign w:val="center"/>
            <w:hideMark/>
          </w:tcPr>
          <w:p w14:paraId="34179C08"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6.4</w:t>
            </w:r>
          </w:p>
        </w:tc>
        <w:tc>
          <w:tcPr>
            <w:tcW w:w="850" w:type="dxa"/>
            <w:tcBorders>
              <w:top w:val="single" w:sz="4" w:space="0" w:color="FFFFFF" w:themeColor="background1"/>
              <w:left w:val="nil"/>
              <w:bottom w:val="nil"/>
              <w:right w:val="nil"/>
            </w:tcBorders>
            <w:shd w:val="clear" w:color="000000" w:fill="DEE8F1"/>
            <w:vAlign w:val="center"/>
            <w:hideMark/>
          </w:tcPr>
          <w:p w14:paraId="08C9AF1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472</w:t>
            </w:r>
          </w:p>
        </w:tc>
        <w:tc>
          <w:tcPr>
            <w:tcW w:w="709" w:type="dxa"/>
            <w:tcBorders>
              <w:top w:val="single" w:sz="4" w:space="0" w:color="FFFFFF" w:themeColor="background1"/>
              <w:left w:val="nil"/>
              <w:bottom w:val="nil"/>
              <w:right w:val="nil"/>
            </w:tcBorders>
            <w:shd w:val="clear" w:color="000000" w:fill="DEE8F1"/>
            <w:vAlign w:val="center"/>
            <w:hideMark/>
          </w:tcPr>
          <w:p w14:paraId="3C4E79BE"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4.4</w:t>
            </w:r>
          </w:p>
        </w:tc>
      </w:tr>
      <w:tr w:rsidR="00B94250" w:rsidRPr="00B94250" w14:paraId="71E93B9F" w14:textId="77777777" w:rsidTr="0092649D">
        <w:trPr>
          <w:trHeight w:val="300"/>
        </w:trPr>
        <w:tc>
          <w:tcPr>
            <w:tcW w:w="4007" w:type="dxa"/>
            <w:tcBorders>
              <w:top w:val="nil"/>
              <w:left w:val="nil"/>
              <w:bottom w:val="nil"/>
              <w:right w:val="nil"/>
            </w:tcBorders>
            <w:shd w:val="clear" w:color="000000" w:fill="FFFFFF"/>
            <w:vAlign w:val="center"/>
            <w:hideMark/>
          </w:tcPr>
          <w:p w14:paraId="2A6BA52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B Mining</w:t>
            </w:r>
          </w:p>
        </w:tc>
        <w:tc>
          <w:tcPr>
            <w:tcW w:w="836" w:type="dxa"/>
            <w:tcBorders>
              <w:top w:val="nil"/>
              <w:left w:val="nil"/>
              <w:bottom w:val="nil"/>
              <w:right w:val="nil"/>
            </w:tcBorders>
            <w:shd w:val="clear" w:color="000000" w:fill="FFFFFF"/>
            <w:vAlign w:val="center"/>
            <w:hideMark/>
          </w:tcPr>
          <w:p w14:paraId="7EAC750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467</w:t>
            </w:r>
          </w:p>
        </w:tc>
        <w:tc>
          <w:tcPr>
            <w:tcW w:w="608" w:type="dxa"/>
            <w:tcBorders>
              <w:top w:val="nil"/>
              <w:left w:val="nil"/>
              <w:bottom w:val="nil"/>
              <w:right w:val="nil"/>
            </w:tcBorders>
            <w:shd w:val="clear" w:color="000000" w:fill="FFFFFF"/>
            <w:vAlign w:val="center"/>
            <w:hideMark/>
          </w:tcPr>
          <w:p w14:paraId="39128AE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3.7</w:t>
            </w:r>
          </w:p>
        </w:tc>
        <w:tc>
          <w:tcPr>
            <w:tcW w:w="1276" w:type="dxa"/>
            <w:tcBorders>
              <w:top w:val="nil"/>
              <w:left w:val="nil"/>
              <w:bottom w:val="nil"/>
              <w:right w:val="nil"/>
            </w:tcBorders>
            <w:shd w:val="clear" w:color="000000" w:fill="FFFFFF"/>
            <w:vAlign w:val="center"/>
            <w:hideMark/>
          </w:tcPr>
          <w:p w14:paraId="17676F0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49</w:t>
            </w:r>
          </w:p>
        </w:tc>
        <w:tc>
          <w:tcPr>
            <w:tcW w:w="709" w:type="dxa"/>
            <w:tcBorders>
              <w:top w:val="nil"/>
              <w:left w:val="nil"/>
              <w:bottom w:val="nil"/>
              <w:right w:val="nil"/>
            </w:tcBorders>
            <w:shd w:val="clear" w:color="000000" w:fill="FFFFFF"/>
            <w:vAlign w:val="center"/>
            <w:hideMark/>
          </w:tcPr>
          <w:p w14:paraId="761C02D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0.4</w:t>
            </w:r>
          </w:p>
        </w:tc>
        <w:tc>
          <w:tcPr>
            <w:tcW w:w="850" w:type="dxa"/>
            <w:tcBorders>
              <w:top w:val="nil"/>
              <w:left w:val="nil"/>
              <w:bottom w:val="nil"/>
              <w:right w:val="nil"/>
            </w:tcBorders>
            <w:shd w:val="clear" w:color="000000" w:fill="FFFFFF"/>
            <w:vAlign w:val="center"/>
            <w:hideMark/>
          </w:tcPr>
          <w:p w14:paraId="2BA6BA8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388</w:t>
            </w:r>
          </w:p>
        </w:tc>
        <w:tc>
          <w:tcPr>
            <w:tcW w:w="709" w:type="dxa"/>
            <w:tcBorders>
              <w:top w:val="nil"/>
              <w:left w:val="nil"/>
              <w:bottom w:val="nil"/>
              <w:right w:val="nil"/>
            </w:tcBorders>
            <w:shd w:val="clear" w:color="000000" w:fill="FFFFFF"/>
            <w:vAlign w:val="center"/>
            <w:hideMark/>
          </w:tcPr>
          <w:p w14:paraId="364E38E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3.7</w:t>
            </w:r>
          </w:p>
        </w:tc>
      </w:tr>
      <w:tr w:rsidR="00B94250" w:rsidRPr="00B94250" w14:paraId="440B0B10" w14:textId="77777777" w:rsidTr="0092649D">
        <w:trPr>
          <w:trHeight w:val="300"/>
        </w:trPr>
        <w:tc>
          <w:tcPr>
            <w:tcW w:w="4007" w:type="dxa"/>
            <w:tcBorders>
              <w:top w:val="nil"/>
              <w:left w:val="nil"/>
              <w:bottom w:val="nil"/>
              <w:right w:val="nil"/>
            </w:tcBorders>
            <w:shd w:val="clear" w:color="000000" w:fill="DEE8F1"/>
            <w:vAlign w:val="center"/>
            <w:hideMark/>
          </w:tcPr>
          <w:p w14:paraId="1BA136D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C Manufacturing</w:t>
            </w:r>
          </w:p>
        </w:tc>
        <w:tc>
          <w:tcPr>
            <w:tcW w:w="836" w:type="dxa"/>
            <w:tcBorders>
              <w:top w:val="nil"/>
              <w:left w:val="nil"/>
              <w:bottom w:val="nil"/>
              <w:right w:val="nil"/>
            </w:tcBorders>
            <w:shd w:val="clear" w:color="000000" w:fill="DEE8F1"/>
            <w:vAlign w:val="center"/>
            <w:hideMark/>
          </w:tcPr>
          <w:p w14:paraId="12C1246E"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3099</w:t>
            </w:r>
          </w:p>
        </w:tc>
        <w:tc>
          <w:tcPr>
            <w:tcW w:w="608" w:type="dxa"/>
            <w:tcBorders>
              <w:top w:val="nil"/>
              <w:left w:val="nil"/>
              <w:bottom w:val="nil"/>
              <w:right w:val="nil"/>
            </w:tcBorders>
            <w:shd w:val="clear" w:color="000000" w:fill="DEE8F1"/>
            <w:vAlign w:val="center"/>
            <w:hideMark/>
          </w:tcPr>
          <w:p w14:paraId="169F596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24.7</w:t>
            </w:r>
          </w:p>
        </w:tc>
        <w:tc>
          <w:tcPr>
            <w:tcW w:w="1276" w:type="dxa"/>
            <w:tcBorders>
              <w:top w:val="nil"/>
              <w:left w:val="nil"/>
              <w:bottom w:val="nil"/>
              <w:right w:val="nil"/>
            </w:tcBorders>
            <w:shd w:val="clear" w:color="000000" w:fill="DEE8F1"/>
            <w:vAlign w:val="center"/>
            <w:hideMark/>
          </w:tcPr>
          <w:p w14:paraId="7A352B7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716</w:t>
            </w:r>
          </w:p>
        </w:tc>
        <w:tc>
          <w:tcPr>
            <w:tcW w:w="709" w:type="dxa"/>
            <w:tcBorders>
              <w:top w:val="nil"/>
              <w:left w:val="nil"/>
              <w:bottom w:val="nil"/>
              <w:right w:val="nil"/>
            </w:tcBorders>
            <w:shd w:val="clear" w:color="000000" w:fill="DEE8F1"/>
            <w:vAlign w:val="center"/>
            <w:hideMark/>
          </w:tcPr>
          <w:p w14:paraId="64D161C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5.7</w:t>
            </w:r>
          </w:p>
        </w:tc>
        <w:tc>
          <w:tcPr>
            <w:tcW w:w="850" w:type="dxa"/>
            <w:tcBorders>
              <w:top w:val="nil"/>
              <w:left w:val="nil"/>
              <w:bottom w:val="nil"/>
              <w:right w:val="nil"/>
            </w:tcBorders>
            <w:shd w:val="clear" w:color="000000" w:fill="DEE8F1"/>
            <w:vAlign w:val="center"/>
            <w:hideMark/>
          </w:tcPr>
          <w:p w14:paraId="4FA0D859"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2714</w:t>
            </w:r>
          </w:p>
        </w:tc>
        <w:tc>
          <w:tcPr>
            <w:tcW w:w="709" w:type="dxa"/>
            <w:tcBorders>
              <w:top w:val="nil"/>
              <w:left w:val="nil"/>
              <w:bottom w:val="nil"/>
              <w:right w:val="nil"/>
            </w:tcBorders>
            <w:shd w:val="clear" w:color="000000" w:fill="DEE8F1"/>
            <w:vAlign w:val="center"/>
            <w:hideMark/>
          </w:tcPr>
          <w:p w14:paraId="6898ABFE"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25.5</w:t>
            </w:r>
          </w:p>
        </w:tc>
      </w:tr>
      <w:tr w:rsidR="00B94250" w:rsidRPr="00B94250" w14:paraId="0283B8E3" w14:textId="77777777" w:rsidTr="0092649D">
        <w:trPr>
          <w:trHeight w:val="300"/>
        </w:trPr>
        <w:tc>
          <w:tcPr>
            <w:tcW w:w="4007" w:type="dxa"/>
            <w:tcBorders>
              <w:top w:val="nil"/>
              <w:left w:val="nil"/>
              <w:bottom w:val="nil"/>
              <w:right w:val="nil"/>
            </w:tcBorders>
            <w:shd w:val="clear" w:color="000000" w:fill="FFFFFF"/>
            <w:vAlign w:val="center"/>
            <w:hideMark/>
          </w:tcPr>
          <w:p w14:paraId="76B42BD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D Electricity, Gas, Water and Waste Services</w:t>
            </w:r>
          </w:p>
        </w:tc>
        <w:tc>
          <w:tcPr>
            <w:tcW w:w="836" w:type="dxa"/>
            <w:tcBorders>
              <w:top w:val="nil"/>
              <w:left w:val="nil"/>
              <w:bottom w:val="nil"/>
              <w:right w:val="nil"/>
            </w:tcBorders>
            <w:shd w:val="clear" w:color="000000" w:fill="FFFFFF"/>
            <w:vAlign w:val="center"/>
            <w:hideMark/>
          </w:tcPr>
          <w:p w14:paraId="7902DEC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347</w:t>
            </w:r>
          </w:p>
        </w:tc>
        <w:tc>
          <w:tcPr>
            <w:tcW w:w="608" w:type="dxa"/>
            <w:tcBorders>
              <w:top w:val="nil"/>
              <w:left w:val="nil"/>
              <w:bottom w:val="nil"/>
              <w:right w:val="nil"/>
            </w:tcBorders>
            <w:shd w:val="clear" w:color="000000" w:fill="FFFFFF"/>
            <w:vAlign w:val="center"/>
            <w:hideMark/>
          </w:tcPr>
          <w:p w14:paraId="7E2A368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2.8</w:t>
            </w:r>
          </w:p>
        </w:tc>
        <w:tc>
          <w:tcPr>
            <w:tcW w:w="1276" w:type="dxa"/>
            <w:tcBorders>
              <w:top w:val="nil"/>
              <w:left w:val="nil"/>
              <w:bottom w:val="nil"/>
              <w:right w:val="nil"/>
            </w:tcBorders>
            <w:shd w:val="clear" w:color="000000" w:fill="FFFFFF"/>
            <w:vAlign w:val="center"/>
            <w:hideMark/>
          </w:tcPr>
          <w:p w14:paraId="347A29EA"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45</w:t>
            </w:r>
          </w:p>
        </w:tc>
        <w:tc>
          <w:tcPr>
            <w:tcW w:w="709" w:type="dxa"/>
            <w:tcBorders>
              <w:top w:val="nil"/>
              <w:left w:val="nil"/>
              <w:bottom w:val="nil"/>
              <w:right w:val="nil"/>
            </w:tcBorders>
            <w:shd w:val="clear" w:color="000000" w:fill="FFFFFF"/>
            <w:vAlign w:val="center"/>
            <w:hideMark/>
          </w:tcPr>
          <w:p w14:paraId="4DA6C64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0.4</w:t>
            </w:r>
          </w:p>
        </w:tc>
        <w:tc>
          <w:tcPr>
            <w:tcW w:w="850" w:type="dxa"/>
            <w:tcBorders>
              <w:top w:val="nil"/>
              <w:left w:val="nil"/>
              <w:bottom w:val="nil"/>
              <w:right w:val="nil"/>
            </w:tcBorders>
            <w:shd w:val="clear" w:color="000000" w:fill="FFFFFF"/>
            <w:vAlign w:val="center"/>
            <w:hideMark/>
          </w:tcPr>
          <w:p w14:paraId="12109A1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297</w:t>
            </w:r>
          </w:p>
        </w:tc>
        <w:tc>
          <w:tcPr>
            <w:tcW w:w="709" w:type="dxa"/>
            <w:tcBorders>
              <w:top w:val="nil"/>
              <w:left w:val="nil"/>
              <w:bottom w:val="nil"/>
              <w:right w:val="nil"/>
            </w:tcBorders>
            <w:shd w:val="clear" w:color="000000" w:fill="FFFFFF"/>
            <w:vAlign w:val="center"/>
            <w:hideMark/>
          </w:tcPr>
          <w:p w14:paraId="21F3014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2.8</w:t>
            </w:r>
          </w:p>
        </w:tc>
      </w:tr>
      <w:tr w:rsidR="00B94250" w:rsidRPr="00B94250" w14:paraId="0BC1FC62" w14:textId="77777777" w:rsidTr="0092649D">
        <w:trPr>
          <w:trHeight w:val="300"/>
        </w:trPr>
        <w:tc>
          <w:tcPr>
            <w:tcW w:w="4007" w:type="dxa"/>
            <w:tcBorders>
              <w:top w:val="nil"/>
              <w:left w:val="nil"/>
              <w:bottom w:val="nil"/>
              <w:right w:val="nil"/>
            </w:tcBorders>
            <w:shd w:val="clear" w:color="000000" w:fill="DEE8F1"/>
            <w:vAlign w:val="center"/>
            <w:hideMark/>
          </w:tcPr>
          <w:p w14:paraId="12589EA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E Construction</w:t>
            </w:r>
          </w:p>
        </w:tc>
        <w:tc>
          <w:tcPr>
            <w:tcW w:w="836" w:type="dxa"/>
            <w:tcBorders>
              <w:top w:val="nil"/>
              <w:left w:val="nil"/>
              <w:bottom w:val="nil"/>
              <w:right w:val="nil"/>
            </w:tcBorders>
            <w:shd w:val="clear" w:color="000000" w:fill="DEE8F1"/>
            <w:vAlign w:val="center"/>
            <w:hideMark/>
          </w:tcPr>
          <w:p w14:paraId="6CCA48E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541</w:t>
            </w:r>
          </w:p>
        </w:tc>
        <w:tc>
          <w:tcPr>
            <w:tcW w:w="608" w:type="dxa"/>
            <w:tcBorders>
              <w:top w:val="nil"/>
              <w:left w:val="nil"/>
              <w:bottom w:val="nil"/>
              <w:right w:val="nil"/>
            </w:tcBorders>
            <w:shd w:val="clear" w:color="000000" w:fill="DEE8F1"/>
            <w:vAlign w:val="center"/>
            <w:hideMark/>
          </w:tcPr>
          <w:p w14:paraId="275AA7A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4.3</w:t>
            </w:r>
          </w:p>
        </w:tc>
        <w:tc>
          <w:tcPr>
            <w:tcW w:w="1276" w:type="dxa"/>
            <w:tcBorders>
              <w:top w:val="nil"/>
              <w:left w:val="nil"/>
              <w:bottom w:val="nil"/>
              <w:right w:val="nil"/>
            </w:tcBorders>
            <w:shd w:val="clear" w:color="000000" w:fill="DEE8F1"/>
            <w:vAlign w:val="center"/>
            <w:hideMark/>
          </w:tcPr>
          <w:p w14:paraId="5BDF3358"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2224</w:t>
            </w:r>
          </w:p>
        </w:tc>
        <w:tc>
          <w:tcPr>
            <w:tcW w:w="709" w:type="dxa"/>
            <w:tcBorders>
              <w:top w:val="nil"/>
              <w:left w:val="nil"/>
              <w:bottom w:val="nil"/>
              <w:right w:val="nil"/>
            </w:tcBorders>
            <w:shd w:val="clear" w:color="000000" w:fill="DEE8F1"/>
            <w:vAlign w:val="center"/>
            <w:hideMark/>
          </w:tcPr>
          <w:p w14:paraId="1CC1AA3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17.7</w:t>
            </w:r>
          </w:p>
        </w:tc>
        <w:tc>
          <w:tcPr>
            <w:tcW w:w="850" w:type="dxa"/>
            <w:tcBorders>
              <w:top w:val="nil"/>
              <w:left w:val="nil"/>
              <w:bottom w:val="nil"/>
              <w:right w:val="nil"/>
            </w:tcBorders>
            <w:shd w:val="clear" w:color="000000" w:fill="DEE8F1"/>
            <w:vAlign w:val="center"/>
            <w:hideMark/>
          </w:tcPr>
          <w:p w14:paraId="4CAB9B0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477</w:t>
            </w:r>
          </w:p>
        </w:tc>
        <w:tc>
          <w:tcPr>
            <w:tcW w:w="709" w:type="dxa"/>
            <w:tcBorders>
              <w:top w:val="nil"/>
              <w:left w:val="nil"/>
              <w:bottom w:val="nil"/>
              <w:right w:val="nil"/>
            </w:tcBorders>
            <w:shd w:val="clear" w:color="000000" w:fill="DEE8F1"/>
            <w:vAlign w:val="center"/>
            <w:hideMark/>
          </w:tcPr>
          <w:p w14:paraId="6E674B5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4.5</w:t>
            </w:r>
          </w:p>
        </w:tc>
      </w:tr>
      <w:tr w:rsidR="00B94250" w:rsidRPr="00B94250" w14:paraId="612D211D" w14:textId="77777777" w:rsidTr="0092649D">
        <w:trPr>
          <w:trHeight w:val="300"/>
        </w:trPr>
        <w:tc>
          <w:tcPr>
            <w:tcW w:w="4007" w:type="dxa"/>
            <w:tcBorders>
              <w:top w:val="nil"/>
              <w:left w:val="nil"/>
              <w:bottom w:val="nil"/>
              <w:right w:val="nil"/>
            </w:tcBorders>
            <w:shd w:val="clear" w:color="000000" w:fill="FFFFFF"/>
            <w:vAlign w:val="center"/>
            <w:hideMark/>
          </w:tcPr>
          <w:p w14:paraId="2BFC02D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F Wholesale Trade</w:t>
            </w:r>
          </w:p>
        </w:tc>
        <w:tc>
          <w:tcPr>
            <w:tcW w:w="836" w:type="dxa"/>
            <w:tcBorders>
              <w:top w:val="nil"/>
              <w:left w:val="nil"/>
              <w:bottom w:val="nil"/>
              <w:right w:val="nil"/>
            </w:tcBorders>
            <w:shd w:val="clear" w:color="000000" w:fill="FFFFFF"/>
            <w:vAlign w:val="center"/>
            <w:hideMark/>
          </w:tcPr>
          <w:p w14:paraId="7E0681C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772</w:t>
            </w:r>
          </w:p>
        </w:tc>
        <w:tc>
          <w:tcPr>
            <w:tcW w:w="608" w:type="dxa"/>
            <w:tcBorders>
              <w:top w:val="nil"/>
              <w:left w:val="nil"/>
              <w:bottom w:val="nil"/>
              <w:right w:val="nil"/>
            </w:tcBorders>
            <w:shd w:val="clear" w:color="000000" w:fill="FFFFFF"/>
            <w:vAlign w:val="center"/>
            <w:hideMark/>
          </w:tcPr>
          <w:p w14:paraId="5AAE3AB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6.2</w:t>
            </w:r>
          </w:p>
        </w:tc>
        <w:tc>
          <w:tcPr>
            <w:tcW w:w="1276" w:type="dxa"/>
            <w:tcBorders>
              <w:top w:val="nil"/>
              <w:left w:val="nil"/>
              <w:bottom w:val="nil"/>
              <w:right w:val="nil"/>
            </w:tcBorders>
            <w:shd w:val="clear" w:color="000000" w:fill="FFFFFF"/>
            <w:vAlign w:val="center"/>
            <w:hideMark/>
          </w:tcPr>
          <w:p w14:paraId="690F3C98"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631</w:t>
            </w:r>
          </w:p>
        </w:tc>
        <w:tc>
          <w:tcPr>
            <w:tcW w:w="709" w:type="dxa"/>
            <w:tcBorders>
              <w:top w:val="nil"/>
              <w:left w:val="nil"/>
              <w:bottom w:val="nil"/>
              <w:right w:val="nil"/>
            </w:tcBorders>
            <w:shd w:val="clear" w:color="000000" w:fill="FFFFFF"/>
            <w:vAlign w:val="center"/>
            <w:hideMark/>
          </w:tcPr>
          <w:p w14:paraId="0894835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5.0</w:t>
            </w:r>
          </w:p>
        </w:tc>
        <w:tc>
          <w:tcPr>
            <w:tcW w:w="850" w:type="dxa"/>
            <w:tcBorders>
              <w:top w:val="nil"/>
              <w:left w:val="nil"/>
              <w:bottom w:val="nil"/>
              <w:right w:val="nil"/>
            </w:tcBorders>
            <w:shd w:val="clear" w:color="000000" w:fill="FFFFFF"/>
            <w:vAlign w:val="center"/>
            <w:hideMark/>
          </w:tcPr>
          <w:p w14:paraId="447E63B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675</w:t>
            </w:r>
          </w:p>
        </w:tc>
        <w:tc>
          <w:tcPr>
            <w:tcW w:w="709" w:type="dxa"/>
            <w:tcBorders>
              <w:top w:val="nil"/>
              <w:left w:val="nil"/>
              <w:bottom w:val="nil"/>
              <w:right w:val="nil"/>
            </w:tcBorders>
            <w:shd w:val="clear" w:color="000000" w:fill="FFFFFF"/>
            <w:vAlign w:val="center"/>
            <w:hideMark/>
          </w:tcPr>
          <w:p w14:paraId="3FC41A2E"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6.4</w:t>
            </w:r>
          </w:p>
        </w:tc>
      </w:tr>
      <w:tr w:rsidR="00B94250" w:rsidRPr="00B94250" w14:paraId="44225742" w14:textId="77777777" w:rsidTr="0092649D">
        <w:trPr>
          <w:trHeight w:val="300"/>
        </w:trPr>
        <w:tc>
          <w:tcPr>
            <w:tcW w:w="4007" w:type="dxa"/>
            <w:tcBorders>
              <w:top w:val="nil"/>
              <w:left w:val="nil"/>
              <w:bottom w:val="nil"/>
              <w:right w:val="nil"/>
            </w:tcBorders>
            <w:shd w:val="clear" w:color="000000" w:fill="DEE8F1"/>
            <w:vAlign w:val="center"/>
            <w:hideMark/>
          </w:tcPr>
          <w:p w14:paraId="1B5C3D8A"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G Retail Trade</w:t>
            </w:r>
          </w:p>
        </w:tc>
        <w:tc>
          <w:tcPr>
            <w:tcW w:w="836" w:type="dxa"/>
            <w:tcBorders>
              <w:top w:val="nil"/>
              <w:left w:val="nil"/>
              <w:bottom w:val="nil"/>
              <w:right w:val="nil"/>
            </w:tcBorders>
            <w:shd w:val="clear" w:color="000000" w:fill="DEE8F1"/>
            <w:vAlign w:val="center"/>
            <w:hideMark/>
          </w:tcPr>
          <w:p w14:paraId="3CB18F1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685</w:t>
            </w:r>
          </w:p>
        </w:tc>
        <w:tc>
          <w:tcPr>
            <w:tcW w:w="608" w:type="dxa"/>
            <w:tcBorders>
              <w:top w:val="nil"/>
              <w:left w:val="nil"/>
              <w:bottom w:val="nil"/>
              <w:right w:val="nil"/>
            </w:tcBorders>
            <w:shd w:val="clear" w:color="000000" w:fill="DEE8F1"/>
            <w:vAlign w:val="center"/>
            <w:hideMark/>
          </w:tcPr>
          <w:p w14:paraId="02CBCC9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5.5</w:t>
            </w:r>
          </w:p>
        </w:tc>
        <w:tc>
          <w:tcPr>
            <w:tcW w:w="1276" w:type="dxa"/>
            <w:tcBorders>
              <w:top w:val="nil"/>
              <w:left w:val="nil"/>
              <w:bottom w:val="nil"/>
              <w:right w:val="nil"/>
            </w:tcBorders>
            <w:shd w:val="clear" w:color="000000" w:fill="DEE8F1"/>
            <w:vAlign w:val="center"/>
            <w:hideMark/>
          </w:tcPr>
          <w:p w14:paraId="5F745EC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1152</w:t>
            </w:r>
          </w:p>
        </w:tc>
        <w:tc>
          <w:tcPr>
            <w:tcW w:w="709" w:type="dxa"/>
            <w:tcBorders>
              <w:top w:val="nil"/>
              <w:left w:val="nil"/>
              <w:bottom w:val="nil"/>
              <w:right w:val="nil"/>
            </w:tcBorders>
            <w:shd w:val="clear" w:color="000000" w:fill="DEE8F1"/>
            <w:vAlign w:val="center"/>
            <w:hideMark/>
          </w:tcPr>
          <w:p w14:paraId="0E659CD2"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9.2</w:t>
            </w:r>
          </w:p>
        </w:tc>
        <w:tc>
          <w:tcPr>
            <w:tcW w:w="850" w:type="dxa"/>
            <w:tcBorders>
              <w:top w:val="nil"/>
              <w:left w:val="nil"/>
              <w:bottom w:val="nil"/>
              <w:right w:val="nil"/>
            </w:tcBorders>
            <w:shd w:val="clear" w:color="000000" w:fill="DEE8F1"/>
            <w:vAlign w:val="center"/>
            <w:hideMark/>
          </w:tcPr>
          <w:p w14:paraId="6B3DCD3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604</w:t>
            </w:r>
          </w:p>
        </w:tc>
        <w:tc>
          <w:tcPr>
            <w:tcW w:w="709" w:type="dxa"/>
            <w:tcBorders>
              <w:top w:val="nil"/>
              <w:left w:val="nil"/>
              <w:bottom w:val="nil"/>
              <w:right w:val="nil"/>
            </w:tcBorders>
            <w:shd w:val="clear" w:color="000000" w:fill="DEE8F1"/>
            <w:vAlign w:val="center"/>
            <w:hideMark/>
          </w:tcPr>
          <w:p w14:paraId="3CF5FE1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5.7</w:t>
            </w:r>
          </w:p>
        </w:tc>
      </w:tr>
      <w:tr w:rsidR="00B94250" w:rsidRPr="00B94250" w14:paraId="0EAAF912" w14:textId="77777777" w:rsidTr="0092649D">
        <w:trPr>
          <w:trHeight w:val="300"/>
        </w:trPr>
        <w:tc>
          <w:tcPr>
            <w:tcW w:w="4007" w:type="dxa"/>
            <w:tcBorders>
              <w:top w:val="nil"/>
              <w:left w:val="nil"/>
              <w:bottom w:val="nil"/>
              <w:right w:val="nil"/>
            </w:tcBorders>
            <w:shd w:val="clear" w:color="000000" w:fill="FFFFFF"/>
            <w:vAlign w:val="center"/>
            <w:hideMark/>
          </w:tcPr>
          <w:p w14:paraId="747A45B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H Accommodation and Food Services</w:t>
            </w:r>
          </w:p>
        </w:tc>
        <w:tc>
          <w:tcPr>
            <w:tcW w:w="836" w:type="dxa"/>
            <w:tcBorders>
              <w:top w:val="nil"/>
              <w:left w:val="nil"/>
              <w:bottom w:val="nil"/>
              <w:right w:val="nil"/>
            </w:tcBorders>
            <w:shd w:val="clear" w:color="000000" w:fill="FFFFFF"/>
            <w:vAlign w:val="center"/>
            <w:hideMark/>
          </w:tcPr>
          <w:p w14:paraId="11D11C9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430</w:t>
            </w:r>
          </w:p>
        </w:tc>
        <w:tc>
          <w:tcPr>
            <w:tcW w:w="608" w:type="dxa"/>
            <w:tcBorders>
              <w:top w:val="nil"/>
              <w:left w:val="nil"/>
              <w:bottom w:val="nil"/>
              <w:right w:val="nil"/>
            </w:tcBorders>
            <w:shd w:val="clear" w:color="000000" w:fill="FFFFFF"/>
            <w:vAlign w:val="center"/>
            <w:hideMark/>
          </w:tcPr>
          <w:p w14:paraId="1E421BEE"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3.4</w:t>
            </w:r>
          </w:p>
        </w:tc>
        <w:tc>
          <w:tcPr>
            <w:tcW w:w="1276" w:type="dxa"/>
            <w:tcBorders>
              <w:top w:val="nil"/>
              <w:left w:val="nil"/>
              <w:bottom w:val="nil"/>
              <w:right w:val="nil"/>
            </w:tcBorders>
            <w:shd w:val="clear" w:color="000000" w:fill="FFFFFF"/>
            <w:vAlign w:val="center"/>
            <w:hideMark/>
          </w:tcPr>
          <w:p w14:paraId="69363BD8"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963</w:t>
            </w:r>
          </w:p>
        </w:tc>
        <w:tc>
          <w:tcPr>
            <w:tcW w:w="709" w:type="dxa"/>
            <w:tcBorders>
              <w:top w:val="nil"/>
              <w:left w:val="nil"/>
              <w:bottom w:val="nil"/>
              <w:right w:val="nil"/>
            </w:tcBorders>
            <w:shd w:val="clear" w:color="000000" w:fill="FFFFFF"/>
            <w:vAlign w:val="center"/>
            <w:hideMark/>
          </w:tcPr>
          <w:p w14:paraId="60A2CB1F"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7.7</w:t>
            </w:r>
          </w:p>
        </w:tc>
        <w:tc>
          <w:tcPr>
            <w:tcW w:w="850" w:type="dxa"/>
            <w:tcBorders>
              <w:top w:val="nil"/>
              <w:left w:val="nil"/>
              <w:bottom w:val="nil"/>
              <w:right w:val="nil"/>
            </w:tcBorders>
            <w:shd w:val="clear" w:color="000000" w:fill="FFFFFF"/>
            <w:vAlign w:val="center"/>
            <w:hideMark/>
          </w:tcPr>
          <w:p w14:paraId="6057558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378</w:t>
            </w:r>
          </w:p>
        </w:tc>
        <w:tc>
          <w:tcPr>
            <w:tcW w:w="709" w:type="dxa"/>
            <w:tcBorders>
              <w:top w:val="nil"/>
              <w:left w:val="nil"/>
              <w:bottom w:val="nil"/>
              <w:right w:val="nil"/>
            </w:tcBorders>
            <w:shd w:val="clear" w:color="000000" w:fill="FFFFFF"/>
            <w:vAlign w:val="center"/>
            <w:hideMark/>
          </w:tcPr>
          <w:p w14:paraId="1179F4A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3.6</w:t>
            </w:r>
          </w:p>
        </w:tc>
      </w:tr>
      <w:tr w:rsidR="00B94250" w:rsidRPr="00B94250" w14:paraId="08754EB9" w14:textId="77777777" w:rsidTr="0092649D">
        <w:trPr>
          <w:trHeight w:val="300"/>
        </w:trPr>
        <w:tc>
          <w:tcPr>
            <w:tcW w:w="4007" w:type="dxa"/>
            <w:tcBorders>
              <w:top w:val="nil"/>
              <w:left w:val="nil"/>
              <w:bottom w:val="nil"/>
              <w:right w:val="nil"/>
            </w:tcBorders>
            <w:shd w:val="clear" w:color="000000" w:fill="DEE8F1"/>
            <w:vAlign w:val="center"/>
            <w:hideMark/>
          </w:tcPr>
          <w:p w14:paraId="5021D19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I Transport, Postal and Warehousing</w:t>
            </w:r>
          </w:p>
        </w:tc>
        <w:tc>
          <w:tcPr>
            <w:tcW w:w="836" w:type="dxa"/>
            <w:tcBorders>
              <w:top w:val="nil"/>
              <w:left w:val="nil"/>
              <w:bottom w:val="nil"/>
              <w:right w:val="nil"/>
            </w:tcBorders>
            <w:shd w:val="clear" w:color="000000" w:fill="DEE8F1"/>
            <w:vAlign w:val="center"/>
            <w:hideMark/>
          </w:tcPr>
          <w:p w14:paraId="3C71CA6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818</w:t>
            </w:r>
          </w:p>
        </w:tc>
        <w:tc>
          <w:tcPr>
            <w:tcW w:w="608" w:type="dxa"/>
            <w:tcBorders>
              <w:top w:val="nil"/>
              <w:left w:val="nil"/>
              <w:bottom w:val="nil"/>
              <w:right w:val="nil"/>
            </w:tcBorders>
            <w:shd w:val="clear" w:color="000000" w:fill="DEE8F1"/>
            <w:vAlign w:val="center"/>
            <w:hideMark/>
          </w:tcPr>
          <w:p w14:paraId="746F58CA"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6.5</w:t>
            </w:r>
          </w:p>
        </w:tc>
        <w:tc>
          <w:tcPr>
            <w:tcW w:w="1276" w:type="dxa"/>
            <w:tcBorders>
              <w:top w:val="nil"/>
              <w:left w:val="nil"/>
              <w:bottom w:val="nil"/>
              <w:right w:val="nil"/>
            </w:tcBorders>
            <w:shd w:val="clear" w:color="000000" w:fill="DEE8F1"/>
            <w:vAlign w:val="center"/>
            <w:hideMark/>
          </w:tcPr>
          <w:p w14:paraId="6EAE292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591</w:t>
            </w:r>
          </w:p>
        </w:tc>
        <w:tc>
          <w:tcPr>
            <w:tcW w:w="709" w:type="dxa"/>
            <w:tcBorders>
              <w:top w:val="nil"/>
              <w:left w:val="nil"/>
              <w:bottom w:val="nil"/>
              <w:right w:val="nil"/>
            </w:tcBorders>
            <w:shd w:val="clear" w:color="000000" w:fill="DEE8F1"/>
            <w:vAlign w:val="center"/>
            <w:hideMark/>
          </w:tcPr>
          <w:p w14:paraId="2A6CB89F"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4.7</w:t>
            </w:r>
          </w:p>
        </w:tc>
        <w:tc>
          <w:tcPr>
            <w:tcW w:w="850" w:type="dxa"/>
            <w:tcBorders>
              <w:top w:val="nil"/>
              <w:left w:val="nil"/>
              <w:bottom w:val="nil"/>
              <w:right w:val="nil"/>
            </w:tcBorders>
            <w:shd w:val="clear" w:color="000000" w:fill="DEE8F1"/>
            <w:vAlign w:val="center"/>
            <w:hideMark/>
          </w:tcPr>
          <w:p w14:paraId="27F3795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707</w:t>
            </w:r>
          </w:p>
        </w:tc>
        <w:tc>
          <w:tcPr>
            <w:tcW w:w="709" w:type="dxa"/>
            <w:tcBorders>
              <w:top w:val="nil"/>
              <w:left w:val="nil"/>
              <w:bottom w:val="nil"/>
              <w:right w:val="nil"/>
            </w:tcBorders>
            <w:shd w:val="clear" w:color="000000" w:fill="DEE8F1"/>
            <w:vAlign w:val="center"/>
            <w:hideMark/>
          </w:tcPr>
          <w:p w14:paraId="4281CBD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6.7</w:t>
            </w:r>
          </w:p>
        </w:tc>
      </w:tr>
      <w:tr w:rsidR="00B94250" w:rsidRPr="00B94250" w14:paraId="33E13FFF" w14:textId="77777777" w:rsidTr="0092649D">
        <w:trPr>
          <w:trHeight w:val="300"/>
        </w:trPr>
        <w:tc>
          <w:tcPr>
            <w:tcW w:w="4007" w:type="dxa"/>
            <w:tcBorders>
              <w:top w:val="nil"/>
              <w:left w:val="nil"/>
              <w:bottom w:val="nil"/>
              <w:right w:val="nil"/>
            </w:tcBorders>
            <w:shd w:val="clear" w:color="000000" w:fill="FFFFFF"/>
            <w:vAlign w:val="center"/>
            <w:hideMark/>
          </w:tcPr>
          <w:p w14:paraId="1759C65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J Information Media and Telecommunications</w:t>
            </w:r>
          </w:p>
        </w:tc>
        <w:tc>
          <w:tcPr>
            <w:tcW w:w="836" w:type="dxa"/>
            <w:tcBorders>
              <w:top w:val="nil"/>
              <w:left w:val="nil"/>
              <w:bottom w:val="nil"/>
              <w:right w:val="nil"/>
            </w:tcBorders>
            <w:shd w:val="clear" w:color="000000" w:fill="FFFFFF"/>
            <w:vAlign w:val="center"/>
            <w:hideMark/>
          </w:tcPr>
          <w:p w14:paraId="6A1B5EE8"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626</w:t>
            </w:r>
          </w:p>
        </w:tc>
        <w:tc>
          <w:tcPr>
            <w:tcW w:w="608" w:type="dxa"/>
            <w:tcBorders>
              <w:top w:val="nil"/>
              <w:left w:val="nil"/>
              <w:bottom w:val="nil"/>
              <w:right w:val="nil"/>
            </w:tcBorders>
            <w:shd w:val="clear" w:color="000000" w:fill="FFFFFF"/>
            <w:vAlign w:val="center"/>
            <w:hideMark/>
          </w:tcPr>
          <w:p w14:paraId="3714DFE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5.0</w:t>
            </w:r>
          </w:p>
        </w:tc>
        <w:tc>
          <w:tcPr>
            <w:tcW w:w="1276" w:type="dxa"/>
            <w:tcBorders>
              <w:top w:val="nil"/>
              <w:left w:val="nil"/>
              <w:bottom w:val="nil"/>
              <w:right w:val="nil"/>
            </w:tcBorders>
            <w:shd w:val="clear" w:color="000000" w:fill="FFFFFF"/>
            <w:vAlign w:val="center"/>
            <w:hideMark/>
          </w:tcPr>
          <w:p w14:paraId="36DF1AF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124</w:t>
            </w:r>
          </w:p>
        </w:tc>
        <w:tc>
          <w:tcPr>
            <w:tcW w:w="709" w:type="dxa"/>
            <w:tcBorders>
              <w:top w:val="nil"/>
              <w:left w:val="nil"/>
              <w:bottom w:val="nil"/>
              <w:right w:val="nil"/>
            </w:tcBorders>
            <w:shd w:val="clear" w:color="000000" w:fill="FFFFFF"/>
            <w:vAlign w:val="center"/>
            <w:hideMark/>
          </w:tcPr>
          <w:p w14:paraId="2819E1A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1.0</w:t>
            </w:r>
          </w:p>
        </w:tc>
        <w:tc>
          <w:tcPr>
            <w:tcW w:w="850" w:type="dxa"/>
            <w:tcBorders>
              <w:top w:val="nil"/>
              <w:left w:val="nil"/>
              <w:bottom w:val="nil"/>
              <w:right w:val="nil"/>
            </w:tcBorders>
            <w:shd w:val="clear" w:color="000000" w:fill="FFFFFF"/>
            <w:vAlign w:val="center"/>
            <w:hideMark/>
          </w:tcPr>
          <w:p w14:paraId="03F2837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502</w:t>
            </w:r>
          </w:p>
        </w:tc>
        <w:tc>
          <w:tcPr>
            <w:tcW w:w="709" w:type="dxa"/>
            <w:tcBorders>
              <w:top w:val="nil"/>
              <w:left w:val="nil"/>
              <w:bottom w:val="nil"/>
              <w:right w:val="nil"/>
            </w:tcBorders>
            <w:shd w:val="clear" w:color="000000" w:fill="FFFFFF"/>
            <w:vAlign w:val="center"/>
            <w:hideMark/>
          </w:tcPr>
          <w:p w14:paraId="09A902E8"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4.7</w:t>
            </w:r>
          </w:p>
        </w:tc>
      </w:tr>
      <w:tr w:rsidR="00B94250" w:rsidRPr="00B94250" w14:paraId="700B4D05" w14:textId="77777777" w:rsidTr="0092649D">
        <w:trPr>
          <w:trHeight w:val="300"/>
        </w:trPr>
        <w:tc>
          <w:tcPr>
            <w:tcW w:w="4007" w:type="dxa"/>
            <w:tcBorders>
              <w:top w:val="nil"/>
              <w:left w:val="nil"/>
              <w:bottom w:val="nil"/>
              <w:right w:val="nil"/>
            </w:tcBorders>
            <w:shd w:val="clear" w:color="000000" w:fill="DEE8F1"/>
            <w:vAlign w:val="center"/>
            <w:hideMark/>
          </w:tcPr>
          <w:p w14:paraId="6360D89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K Financial and Insurance Services</w:t>
            </w:r>
          </w:p>
        </w:tc>
        <w:tc>
          <w:tcPr>
            <w:tcW w:w="836" w:type="dxa"/>
            <w:tcBorders>
              <w:top w:val="nil"/>
              <w:left w:val="nil"/>
              <w:bottom w:val="nil"/>
              <w:right w:val="nil"/>
            </w:tcBorders>
            <w:shd w:val="clear" w:color="000000" w:fill="DEE8F1"/>
            <w:vAlign w:val="center"/>
            <w:hideMark/>
          </w:tcPr>
          <w:p w14:paraId="15616F6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483</w:t>
            </w:r>
          </w:p>
        </w:tc>
        <w:tc>
          <w:tcPr>
            <w:tcW w:w="608" w:type="dxa"/>
            <w:tcBorders>
              <w:top w:val="nil"/>
              <w:left w:val="nil"/>
              <w:bottom w:val="nil"/>
              <w:right w:val="nil"/>
            </w:tcBorders>
            <w:shd w:val="clear" w:color="000000" w:fill="DEE8F1"/>
            <w:vAlign w:val="center"/>
            <w:hideMark/>
          </w:tcPr>
          <w:p w14:paraId="55FC4AEA"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3.9</w:t>
            </w:r>
          </w:p>
        </w:tc>
        <w:tc>
          <w:tcPr>
            <w:tcW w:w="1276" w:type="dxa"/>
            <w:tcBorders>
              <w:top w:val="nil"/>
              <w:left w:val="nil"/>
              <w:bottom w:val="nil"/>
              <w:right w:val="nil"/>
            </w:tcBorders>
            <w:shd w:val="clear" w:color="000000" w:fill="DEE8F1"/>
            <w:vAlign w:val="center"/>
            <w:hideMark/>
          </w:tcPr>
          <w:p w14:paraId="4AD2D43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361</w:t>
            </w:r>
          </w:p>
        </w:tc>
        <w:tc>
          <w:tcPr>
            <w:tcW w:w="709" w:type="dxa"/>
            <w:tcBorders>
              <w:top w:val="nil"/>
              <w:left w:val="nil"/>
              <w:bottom w:val="nil"/>
              <w:right w:val="nil"/>
            </w:tcBorders>
            <w:shd w:val="clear" w:color="000000" w:fill="DEE8F1"/>
            <w:vAlign w:val="center"/>
            <w:hideMark/>
          </w:tcPr>
          <w:p w14:paraId="152325D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2.9</w:t>
            </w:r>
          </w:p>
        </w:tc>
        <w:tc>
          <w:tcPr>
            <w:tcW w:w="850" w:type="dxa"/>
            <w:tcBorders>
              <w:top w:val="nil"/>
              <w:left w:val="nil"/>
              <w:bottom w:val="nil"/>
              <w:right w:val="nil"/>
            </w:tcBorders>
            <w:shd w:val="clear" w:color="000000" w:fill="DEE8F1"/>
            <w:vAlign w:val="center"/>
            <w:hideMark/>
          </w:tcPr>
          <w:p w14:paraId="006F218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383</w:t>
            </w:r>
          </w:p>
        </w:tc>
        <w:tc>
          <w:tcPr>
            <w:tcW w:w="709" w:type="dxa"/>
            <w:tcBorders>
              <w:top w:val="nil"/>
              <w:left w:val="nil"/>
              <w:bottom w:val="nil"/>
              <w:right w:val="nil"/>
            </w:tcBorders>
            <w:shd w:val="clear" w:color="000000" w:fill="DEE8F1"/>
            <w:vAlign w:val="center"/>
            <w:hideMark/>
          </w:tcPr>
          <w:p w14:paraId="426677B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3.6</w:t>
            </w:r>
          </w:p>
        </w:tc>
      </w:tr>
      <w:tr w:rsidR="00B94250" w:rsidRPr="00B94250" w14:paraId="30751668" w14:textId="77777777" w:rsidTr="0092649D">
        <w:trPr>
          <w:trHeight w:val="300"/>
        </w:trPr>
        <w:tc>
          <w:tcPr>
            <w:tcW w:w="4007" w:type="dxa"/>
            <w:tcBorders>
              <w:top w:val="nil"/>
              <w:left w:val="nil"/>
              <w:bottom w:val="nil"/>
              <w:right w:val="nil"/>
            </w:tcBorders>
            <w:shd w:val="clear" w:color="000000" w:fill="FFFFFF"/>
            <w:vAlign w:val="center"/>
            <w:hideMark/>
          </w:tcPr>
          <w:p w14:paraId="7C969E3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L Rental, Hiring and Real Estate Services</w:t>
            </w:r>
          </w:p>
        </w:tc>
        <w:tc>
          <w:tcPr>
            <w:tcW w:w="836" w:type="dxa"/>
            <w:tcBorders>
              <w:top w:val="nil"/>
              <w:left w:val="nil"/>
              <w:bottom w:val="nil"/>
              <w:right w:val="nil"/>
            </w:tcBorders>
            <w:shd w:val="clear" w:color="000000" w:fill="FFFFFF"/>
            <w:vAlign w:val="center"/>
            <w:hideMark/>
          </w:tcPr>
          <w:p w14:paraId="393FB4D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190</w:t>
            </w:r>
          </w:p>
        </w:tc>
        <w:tc>
          <w:tcPr>
            <w:tcW w:w="608" w:type="dxa"/>
            <w:tcBorders>
              <w:top w:val="nil"/>
              <w:left w:val="nil"/>
              <w:bottom w:val="nil"/>
              <w:right w:val="nil"/>
            </w:tcBorders>
            <w:shd w:val="clear" w:color="000000" w:fill="FFFFFF"/>
            <w:vAlign w:val="center"/>
            <w:hideMark/>
          </w:tcPr>
          <w:p w14:paraId="5C0A4DE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1.5</w:t>
            </w:r>
          </w:p>
        </w:tc>
        <w:tc>
          <w:tcPr>
            <w:tcW w:w="1276" w:type="dxa"/>
            <w:tcBorders>
              <w:top w:val="nil"/>
              <w:left w:val="nil"/>
              <w:bottom w:val="nil"/>
              <w:right w:val="nil"/>
            </w:tcBorders>
            <w:shd w:val="clear" w:color="000000" w:fill="FFFFFF"/>
            <w:vAlign w:val="center"/>
            <w:hideMark/>
          </w:tcPr>
          <w:p w14:paraId="125AE1DF"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499</w:t>
            </w:r>
          </w:p>
        </w:tc>
        <w:tc>
          <w:tcPr>
            <w:tcW w:w="709" w:type="dxa"/>
            <w:tcBorders>
              <w:top w:val="nil"/>
              <w:left w:val="nil"/>
              <w:bottom w:val="nil"/>
              <w:right w:val="nil"/>
            </w:tcBorders>
            <w:shd w:val="clear" w:color="000000" w:fill="FFFFFF"/>
            <w:vAlign w:val="center"/>
            <w:hideMark/>
          </w:tcPr>
          <w:p w14:paraId="4397EAC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4.0</w:t>
            </w:r>
          </w:p>
        </w:tc>
        <w:tc>
          <w:tcPr>
            <w:tcW w:w="850" w:type="dxa"/>
            <w:tcBorders>
              <w:top w:val="nil"/>
              <w:left w:val="nil"/>
              <w:bottom w:val="nil"/>
              <w:right w:val="nil"/>
            </w:tcBorders>
            <w:shd w:val="clear" w:color="000000" w:fill="FFFFFF"/>
            <w:vAlign w:val="center"/>
            <w:hideMark/>
          </w:tcPr>
          <w:p w14:paraId="361681B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154</w:t>
            </w:r>
          </w:p>
        </w:tc>
        <w:tc>
          <w:tcPr>
            <w:tcW w:w="709" w:type="dxa"/>
            <w:tcBorders>
              <w:top w:val="nil"/>
              <w:left w:val="nil"/>
              <w:bottom w:val="nil"/>
              <w:right w:val="nil"/>
            </w:tcBorders>
            <w:shd w:val="clear" w:color="000000" w:fill="FFFFFF"/>
            <w:vAlign w:val="center"/>
            <w:hideMark/>
          </w:tcPr>
          <w:p w14:paraId="187A8CB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1.4</w:t>
            </w:r>
          </w:p>
        </w:tc>
      </w:tr>
      <w:tr w:rsidR="00B94250" w:rsidRPr="00B94250" w14:paraId="777F8FE1" w14:textId="77777777" w:rsidTr="0092649D">
        <w:trPr>
          <w:trHeight w:val="300"/>
        </w:trPr>
        <w:tc>
          <w:tcPr>
            <w:tcW w:w="4007" w:type="dxa"/>
            <w:tcBorders>
              <w:top w:val="nil"/>
              <w:left w:val="nil"/>
              <w:bottom w:val="nil"/>
              <w:right w:val="nil"/>
            </w:tcBorders>
            <w:shd w:val="clear" w:color="000000" w:fill="DEE8F1"/>
            <w:vAlign w:val="center"/>
            <w:hideMark/>
          </w:tcPr>
          <w:p w14:paraId="16E96A0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M Professional, Scientific and Technical Services</w:t>
            </w:r>
          </w:p>
        </w:tc>
        <w:tc>
          <w:tcPr>
            <w:tcW w:w="836" w:type="dxa"/>
            <w:tcBorders>
              <w:top w:val="nil"/>
              <w:left w:val="nil"/>
              <w:bottom w:val="nil"/>
              <w:right w:val="nil"/>
            </w:tcBorders>
            <w:shd w:val="clear" w:color="000000" w:fill="DEE8F1"/>
            <w:vAlign w:val="center"/>
            <w:hideMark/>
          </w:tcPr>
          <w:p w14:paraId="139544A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1654</w:t>
            </w:r>
          </w:p>
        </w:tc>
        <w:tc>
          <w:tcPr>
            <w:tcW w:w="608" w:type="dxa"/>
            <w:tcBorders>
              <w:top w:val="nil"/>
              <w:left w:val="nil"/>
              <w:bottom w:val="nil"/>
              <w:right w:val="nil"/>
            </w:tcBorders>
            <w:shd w:val="clear" w:color="000000" w:fill="DEE8F1"/>
            <w:vAlign w:val="center"/>
            <w:hideMark/>
          </w:tcPr>
          <w:p w14:paraId="607726F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13.2</w:t>
            </w:r>
          </w:p>
        </w:tc>
        <w:tc>
          <w:tcPr>
            <w:tcW w:w="1276" w:type="dxa"/>
            <w:tcBorders>
              <w:top w:val="nil"/>
              <w:left w:val="nil"/>
              <w:bottom w:val="nil"/>
              <w:right w:val="nil"/>
            </w:tcBorders>
            <w:shd w:val="clear" w:color="000000" w:fill="DEE8F1"/>
            <w:vAlign w:val="center"/>
            <w:hideMark/>
          </w:tcPr>
          <w:p w14:paraId="561E8DF9"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1809</w:t>
            </w:r>
          </w:p>
        </w:tc>
        <w:tc>
          <w:tcPr>
            <w:tcW w:w="709" w:type="dxa"/>
            <w:tcBorders>
              <w:top w:val="nil"/>
              <w:left w:val="nil"/>
              <w:bottom w:val="nil"/>
              <w:right w:val="nil"/>
            </w:tcBorders>
            <w:shd w:val="clear" w:color="000000" w:fill="DEE8F1"/>
            <w:vAlign w:val="center"/>
            <w:hideMark/>
          </w:tcPr>
          <w:p w14:paraId="6D3964C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14.4</w:t>
            </w:r>
          </w:p>
        </w:tc>
        <w:tc>
          <w:tcPr>
            <w:tcW w:w="850" w:type="dxa"/>
            <w:tcBorders>
              <w:top w:val="nil"/>
              <w:left w:val="nil"/>
              <w:bottom w:val="nil"/>
              <w:right w:val="nil"/>
            </w:tcBorders>
            <w:shd w:val="clear" w:color="000000" w:fill="DEE8F1"/>
            <w:vAlign w:val="center"/>
            <w:hideMark/>
          </w:tcPr>
          <w:p w14:paraId="4DDCA9B2"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1355</w:t>
            </w:r>
          </w:p>
        </w:tc>
        <w:tc>
          <w:tcPr>
            <w:tcW w:w="709" w:type="dxa"/>
            <w:tcBorders>
              <w:top w:val="nil"/>
              <w:left w:val="nil"/>
              <w:bottom w:val="nil"/>
              <w:right w:val="nil"/>
            </w:tcBorders>
            <w:shd w:val="clear" w:color="000000" w:fill="DEE8F1"/>
            <w:vAlign w:val="center"/>
            <w:hideMark/>
          </w:tcPr>
          <w:p w14:paraId="2566E583"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12.8</w:t>
            </w:r>
          </w:p>
        </w:tc>
      </w:tr>
      <w:tr w:rsidR="00B94250" w:rsidRPr="00B94250" w14:paraId="144A07B2" w14:textId="77777777" w:rsidTr="0092649D">
        <w:trPr>
          <w:trHeight w:val="300"/>
        </w:trPr>
        <w:tc>
          <w:tcPr>
            <w:tcW w:w="4007" w:type="dxa"/>
            <w:tcBorders>
              <w:top w:val="nil"/>
              <w:left w:val="nil"/>
              <w:bottom w:val="nil"/>
              <w:right w:val="nil"/>
            </w:tcBorders>
            <w:shd w:val="clear" w:color="000000" w:fill="FFFFFF"/>
            <w:vAlign w:val="center"/>
            <w:hideMark/>
          </w:tcPr>
          <w:p w14:paraId="73BF9AE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N Administrative and Support Services</w:t>
            </w:r>
          </w:p>
        </w:tc>
        <w:tc>
          <w:tcPr>
            <w:tcW w:w="836" w:type="dxa"/>
            <w:tcBorders>
              <w:top w:val="nil"/>
              <w:left w:val="nil"/>
              <w:bottom w:val="nil"/>
              <w:right w:val="nil"/>
            </w:tcBorders>
            <w:shd w:val="clear" w:color="000000" w:fill="FFFFFF"/>
            <w:vAlign w:val="center"/>
            <w:hideMark/>
          </w:tcPr>
          <w:p w14:paraId="18A68CFA"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433</w:t>
            </w:r>
          </w:p>
        </w:tc>
        <w:tc>
          <w:tcPr>
            <w:tcW w:w="608" w:type="dxa"/>
            <w:tcBorders>
              <w:top w:val="nil"/>
              <w:left w:val="nil"/>
              <w:bottom w:val="nil"/>
              <w:right w:val="nil"/>
            </w:tcBorders>
            <w:shd w:val="clear" w:color="000000" w:fill="FFFFFF"/>
            <w:vAlign w:val="center"/>
            <w:hideMark/>
          </w:tcPr>
          <w:p w14:paraId="487B0C71"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3.5</w:t>
            </w:r>
          </w:p>
        </w:tc>
        <w:tc>
          <w:tcPr>
            <w:tcW w:w="1276" w:type="dxa"/>
            <w:tcBorders>
              <w:top w:val="nil"/>
              <w:left w:val="nil"/>
              <w:bottom w:val="nil"/>
              <w:right w:val="nil"/>
            </w:tcBorders>
            <w:shd w:val="clear" w:color="000000" w:fill="FFFFFF"/>
            <w:vAlign w:val="center"/>
            <w:hideMark/>
          </w:tcPr>
          <w:p w14:paraId="339918A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623</w:t>
            </w:r>
          </w:p>
        </w:tc>
        <w:tc>
          <w:tcPr>
            <w:tcW w:w="709" w:type="dxa"/>
            <w:tcBorders>
              <w:top w:val="nil"/>
              <w:left w:val="nil"/>
              <w:bottom w:val="nil"/>
              <w:right w:val="nil"/>
            </w:tcBorders>
            <w:shd w:val="clear" w:color="000000" w:fill="FFFFFF"/>
            <w:vAlign w:val="center"/>
            <w:hideMark/>
          </w:tcPr>
          <w:p w14:paraId="1354859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5.0</w:t>
            </w:r>
          </w:p>
        </w:tc>
        <w:tc>
          <w:tcPr>
            <w:tcW w:w="850" w:type="dxa"/>
            <w:tcBorders>
              <w:top w:val="nil"/>
              <w:left w:val="nil"/>
              <w:bottom w:val="nil"/>
              <w:right w:val="nil"/>
            </w:tcBorders>
            <w:shd w:val="clear" w:color="000000" w:fill="FFFFFF"/>
            <w:vAlign w:val="center"/>
            <w:hideMark/>
          </w:tcPr>
          <w:p w14:paraId="2C956BB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372</w:t>
            </w:r>
          </w:p>
        </w:tc>
        <w:tc>
          <w:tcPr>
            <w:tcW w:w="709" w:type="dxa"/>
            <w:tcBorders>
              <w:top w:val="nil"/>
              <w:left w:val="nil"/>
              <w:bottom w:val="nil"/>
              <w:right w:val="nil"/>
            </w:tcBorders>
            <w:shd w:val="clear" w:color="000000" w:fill="FFFFFF"/>
            <w:vAlign w:val="center"/>
            <w:hideMark/>
          </w:tcPr>
          <w:p w14:paraId="7B52030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3.5</w:t>
            </w:r>
          </w:p>
        </w:tc>
      </w:tr>
      <w:tr w:rsidR="00B94250" w:rsidRPr="00B94250" w14:paraId="1FA10D0A" w14:textId="77777777" w:rsidTr="0092649D">
        <w:trPr>
          <w:trHeight w:val="300"/>
        </w:trPr>
        <w:tc>
          <w:tcPr>
            <w:tcW w:w="4007" w:type="dxa"/>
            <w:tcBorders>
              <w:top w:val="nil"/>
              <w:left w:val="nil"/>
              <w:bottom w:val="nil"/>
              <w:right w:val="nil"/>
            </w:tcBorders>
            <w:shd w:val="clear" w:color="000000" w:fill="DEE8F1"/>
            <w:vAlign w:val="center"/>
            <w:hideMark/>
          </w:tcPr>
          <w:p w14:paraId="7715F25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Q Health Care and Social Assistance</w:t>
            </w:r>
          </w:p>
        </w:tc>
        <w:tc>
          <w:tcPr>
            <w:tcW w:w="836" w:type="dxa"/>
            <w:tcBorders>
              <w:top w:val="nil"/>
              <w:left w:val="nil"/>
              <w:bottom w:val="nil"/>
              <w:right w:val="nil"/>
            </w:tcBorders>
            <w:shd w:val="clear" w:color="000000" w:fill="DEE8F1"/>
            <w:vAlign w:val="center"/>
            <w:hideMark/>
          </w:tcPr>
          <w:p w14:paraId="1FFE8956"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724</w:t>
            </w:r>
          </w:p>
        </w:tc>
        <w:tc>
          <w:tcPr>
            <w:tcW w:w="608" w:type="dxa"/>
            <w:tcBorders>
              <w:top w:val="nil"/>
              <w:left w:val="nil"/>
              <w:bottom w:val="nil"/>
              <w:right w:val="nil"/>
            </w:tcBorders>
            <w:shd w:val="clear" w:color="000000" w:fill="DEE8F1"/>
            <w:vAlign w:val="center"/>
            <w:hideMark/>
          </w:tcPr>
          <w:p w14:paraId="02E775C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5.8</w:t>
            </w:r>
          </w:p>
        </w:tc>
        <w:tc>
          <w:tcPr>
            <w:tcW w:w="1276" w:type="dxa"/>
            <w:tcBorders>
              <w:top w:val="nil"/>
              <w:left w:val="nil"/>
              <w:bottom w:val="nil"/>
              <w:right w:val="nil"/>
            </w:tcBorders>
            <w:shd w:val="clear" w:color="000000" w:fill="DEE8F1"/>
            <w:vAlign w:val="center"/>
            <w:hideMark/>
          </w:tcPr>
          <w:p w14:paraId="049EC684"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937</w:t>
            </w:r>
          </w:p>
        </w:tc>
        <w:tc>
          <w:tcPr>
            <w:tcW w:w="709" w:type="dxa"/>
            <w:tcBorders>
              <w:top w:val="nil"/>
              <w:left w:val="nil"/>
              <w:bottom w:val="nil"/>
              <w:right w:val="nil"/>
            </w:tcBorders>
            <w:shd w:val="clear" w:color="000000" w:fill="DEE8F1"/>
            <w:vAlign w:val="center"/>
            <w:hideMark/>
          </w:tcPr>
          <w:p w14:paraId="5A325A4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7.5</w:t>
            </w:r>
          </w:p>
        </w:tc>
        <w:tc>
          <w:tcPr>
            <w:tcW w:w="850" w:type="dxa"/>
            <w:tcBorders>
              <w:top w:val="nil"/>
              <w:left w:val="nil"/>
              <w:bottom w:val="nil"/>
              <w:right w:val="nil"/>
            </w:tcBorders>
            <w:shd w:val="clear" w:color="000000" w:fill="DEE8F1"/>
            <w:vAlign w:val="center"/>
            <w:hideMark/>
          </w:tcPr>
          <w:p w14:paraId="58BEE3C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605</w:t>
            </w:r>
          </w:p>
        </w:tc>
        <w:tc>
          <w:tcPr>
            <w:tcW w:w="709" w:type="dxa"/>
            <w:tcBorders>
              <w:top w:val="nil"/>
              <w:left w:val="nil"/>
              <w:bottom w:val="nil"/>
              <w:right w:val="nil"/>
            </w:tcBorders>
            <w:shd w:val="clear" w:color="000000" w:fill="DEE8F1"/>
            <w:vAlign w:val="center"/>
            <w:hideMark/>
          </w:tcPr>
          <w:p w14:paraId="2E34189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5.7</w:t>
            </w:r>
          </w:p>
        </w:tc>
      </w:tr>
      <w:tr w:rsidR="00B94250" w:rsidRPr="00B94250" w14:paraId="78A42411" w14:textId="77777777" w:rsidTr="0092649D">
        <w:trPr>
          <w:trHeight w:val="300"/>
        </w:trPr>
        <w:tc>
          <w:tcPr>
            <w:tcW w:w="4007" w:type="dxa"/>
            <w:tcBorders>
              <w:top w:val="nil"/>
              <w:left w:val="nil"/>
              <w:bottom w:val="nil"/>
              <w:right w:val="nil"/>
            </w:tcBorders>
            <w:shd w:val="clear" w:color="000000" w:fill="FFFFFF"/>
            <w:vAlign w:val="center"/>
            <w:hideMark/>
          </w:tcPr>
          <w:p w14:paraId="007DEF7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R Arts and Recreation Services</w:t>
            </w:r>
          </w:p>
        </w:tc>
        <w:tc>
          <w:tcPr>
            <w:tcW w:w="836" w:type="dxa"/>
            <w:tcBorders>
              <w:top w:val="nil"/>
              <w:left w:val="nil"/>
              <w:bottom w:val="nil"/>
              <w:right w:val="nil"/>
            </w:tcBorders>
            <w:shd w:val="clear" w:color="000000" w:fill="FFFFFF"/>
            <w:vAlign w:val="center"/>
            <w:hideMark/>
          </w:tcPr>
          <w:p w14:paraId="7A591A0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527</w:t>
            </w:r>
          </w:p>
        </w:tc>
        <w:tc>
          <w:tcPr>
            <w:tcW w:w="608" w:type="dxa"/>
            <w:tcBorders>
              <w:top w:val="nil"/>
              <w:left w:val="nil"/>
              <w:bottom w:val="nil"/>
              <w:right w:val="nil"/>
            </w:tcBorders>
            <w:shd w:val="clear" w:color="000000" w:fill="FFFFFF"/>
            <w:vAlign w:val="center"/>
            <w:hideMark/>
          </w:tcPr>
          <w:p w14:paraId="474837F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4.2</w:t>
            </w:r>
          </w:p>
        </w:tc>
        <w:tc>
          <w:tcPr>
            <w:tcW w:w="1276" w:type="dxa"/>
            <w:tcBorders>
              <w:top w:val="nil"/>
              <w:left w:val="nil"/>
              <w:bottom w:val="nil"/>
              <w:right w:val="nil"/>
            </w:tcBorders>
            <w:shd w:val="clear" w:color="000000" w:fill="FFFFFF"/>
            <w:vAlign w:val="center"/>
            <w:hideMark/>
          </w:tcPr>
          <w:p w14:paraId="3896DCD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208</w:t>
            </w:r>
          </w:p>
        </w:tc>
        <w:tc>
          <w:tcPr>
            <w:tcW w:w="709" w:type="dxa"/>
            <w:tcBorders>
              <w:top w:val="nil"/>
              <w:left w:val="nil"/>
              <w:bottom w:val="nil"/>
              <w:right w:val="nil"/>
            </w:tcBorders>
            <w:shd w:val="clear" w:color="000000" w:fill="FFFFFF"/>
            <w:vAlign w:val="center"/>
            <w:hideMark/>
          </w:tcPr>
          <w:p w14:paraId="0EA1DD4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1.7</w:t>
            </w:r>
          </w:p>
        </w:tc>
        <w:tc>
          <w:tcPr>
            <w:tcW w:w="850" w:type="dxa"/>
            <w:tcBorders>
              <w:top w:val="nil"/>
              <w:left w:val="nil"/>
              <w:bottom w:val="nil"/>
              <w:right w:val="nil"/>
            </w:tcBorders>
            <w:shd w:val="clear" w:color="000000" w:fill="FFFFFF"/>
            <w:vAlign w:val="center"/>
            <w:hideMark/>
          </w:tcPr>
          <w:p w14:paraId="72B190E0"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398</w:t>
            </w:r>
          </w:p>
        </w:tc>
        <w:tc>
          <w:tcPr>
            <w:tcW w:w="709" w:type="dxa"/>
            <w:tcBorders>
              <w:top w:val="nil"/>
              <w:left w:val="nil"/>
              <w:bottom w:val="nil"/>
              <w:right w:val="nil"/>
            </w:tcBorders>
            <w:shd w:val="clear" w:color="000000" w:fill="FFFFFF"/>
            <w:vAlign w:val="center"/>
            <w:hideMark/>
          </w:tcPr>
          <w:p w14:paraId="210FDD29"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3.7</w:t>
            </w:r>
          </w:p>
        </w:tc>
      </w:tr>
      <w:tr w:rsidR="00B94250" w:rsidRPr="00B94250" w14:paraId="54EE68F0" w14:textId="77777777" w:rsidTr="0092649D">
        <w:trPr>
          <w:trHeight w:val="300"/>
        </w:trPr>
        <w:tc>
          <w:tcPr>
            <w:tcW w:w="4007" w:type="dxa"/>
            <w:tcBorders>
              <w:top w:val="nil"/>
              <w:left w:val="nil"/>
              <w:bottom w:val="nil"/>
              <w:right w:val="nil"/>
            </w:tcBorders>
            <w:shd w:val="clear" w:color="000000" w:fill="DEE8F1"/>
            <w:vAlign w:val="center"/>
            <w:hideMark/>
          </w:tcPr>
          <w:p w14:paraId="4C088687"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S Other Services</w:t>
            </w:r>
          </w:p>
        </w:tc>
        <w:tc>
          <w:tcPr>
            <w:tcW w:w="836" w:type="dxa"/>
            <w:tcBorders>
              <w:top w:val="nil"/>
              <w:left w:val="nil"/>
              <w:bottom w:val="nil"/>
              <w:right w:val="nil"/>
            </w:tcBorders>
            <w:shd w:val="clear" w:color="000000" w:fill="DEE8F1"/>
            <w:vAlign w:val="center"/>
            <w:hideMark/>
          </w:tcPr>
          <w:p w14:paraId="7E1DC7AD"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173</w:t>
            </w:r>
          </w:p>
        </w:tc>
        <w:tc>
          <w:tcPr>
            <w:tcW w:w="608" w:type="dxa"/>
            <w:tcBorders>
              <w:top w:val="nil"/>
              <w:left w:val="nil"/>
              <w:bottom w:val="nil"/>
              <w:right w:val="nil"/>
            </w:tcBorders>
            <w:shd w:val="clear" w:color="000000" w:fill="DEE8F1"/>
            <w:vAlign w:val="center"/>
            <w:hideMark/>
          </w:tcPr>
          <w:p w14:paraId="5782217F"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1.4</w:t>
            </w:r>
          </w:p>
        </w:tc>
        <w:tc>
          <w:tcPr>
            <w:tcW w:w="1276" w:type="dxa"/>
            <w:tcBorders>
              <w:top w:val="nil"/>
              <w:left w:val="nil"/>
              <w:bottom w:val="nil"/>
              <w:right w:val="nil"/>
            </w:tcBorders>
            <w:shd w:val="clear" w:color="000000" w:fill="DEE8F1"/>
            <w:vAlign w:val="center"/>
            <w:hideMark/>
          </w:tcPr>
          <w:p w14:paraId="364BE379"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796</w:t>
            </w:r>
          </w:p>
        </w:tc>
        <w:tc>
          <w:tcPr>
            <w:tcW w:w="709" w:type="dxa"/>
            <w:tcBorders>
              <w:top w:val="nil"/>
              <w:left w:val="nil"/>
              <w:bottom w:val="nil"/>
              <w:right w:val="nil"/>
            </w:tcBorders>
            <w:shd w:val="clear" w:color="000000" w:fill="DEE8F1"/>
            <w:vAlign w:val="center"/>
            <w:hideMark/>
          </w:tcPr>
          <w:p w14:paraId="186266BC"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6.3</w:t>
            </w:r>
          </w:p>
        </w:tc>
        <w:tc>
          <w:tcPr>
            <w:tcW w:w="850" w:type="dxa"/>
            <w:tcBorders>
              <w:top w:val="nil"/>
              <w:left w:val="nil"/>
              <w:bottom w:val="nil"/>
              <w:right w:val="nil"/>
            </w:tcBorders>
            <w:shd w:val="clear" w:color="000000" w:fill="DEE8F1"/>
            <w:vAlign w:val="center"/>
            <w:hideMark/>
          </w:tcPr>
          <w:p w14:paraId="120C029B"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145</w:t>
            </w:r>
          </w:p>
        </w:tc>
        <w:tc>
          <w:tcPr>
            <w:tcW w:w="709" w:type="dxa"/>
            <w:tcBorders>
              <w:top w:val="nil"/>
              <w:left w:val="nil"/>
              <w:bottom w:val="nil"/>
              <w:right w:val="nil"/>
            </w:tcBorders>
            <w:shd w:val="clear" w:color="000000" w:fill="DEE8F1"/>
            <w:vAlign w:val="center"/>
            <w:hideMark/>
          </w:tcPr>
          <w:p w14:paraId="71CCB2A5" w14:textId="77777777" w:rsidR="00B94250" w:rsidRPr="00B94250" w:rsidRDefault="00B94250" w:rsidP="00B94250">
            <w:pPr>
              <w:spacing w:after="0" w:line="240" w:lineRule="auto"/>
              <w:ind w:left="0"/>
              <w:jc w:val="left"/>
              <w:rPr>
                <w:rFonts w:eastAsia="Times New Roman" w:cs="Arial"/>
                <w:sz w:val="18"/>
                <w:szCs w:val="18"/>
                <w:lang w:eastAsia="en-AU"/>
              </w:rPr>
            </w:pPr>
            <w:r w:rsidRPr="00B94250">
              <w:rPr>
                <w:rFonts w:eastAsia="Times New Roman" w:cs="Arial"/>
                <w:sz w:val="18"/>
                <w:szCs w:val="18"/>
                <w:lang w:eastAsia="en-AU"/>
              </w:rPr>
              <w:t>1.4</w:t>
            </w:r>
          </w:p>
        </w:tc>
      </w:tr>
    </w:tbl>
    <w:p w14:paraId="03199685" w14:textId="6ABD5BE3" w:rsidR="00C4324F" w:rsidRDefault="00F560AF" w:rsidP="00D744AA">
      <w:pPr>
        <w:pStyle w:val="SourceWide"/>
      </w:pPr>
      <w:r>
        <w:t>S</w:t>
      </w:r>
      <w:r w:rsidR="00F35810" w:rsidRPr="00F35810">
        <w:t xml:space="preserve">ource: </w:t>
      </w:r>
      <w:r w:rsidR="00AC4866">
        <w:t xml:space="preserve">ABS (2018) </w:t>
      </w:r>
      <w:r w:rsidR="00F35810" w:rsidRPr="00F35810">
        <w:t xml:space="preserve">Business Longitudinal Analysis Data Environment (2018); </w:t>
      </w:r>
      <w:r w:rsidR="00AC4866" w:rsidRPr="002D60F4">
        <w:t>ABS</w:t>
      </w:r>
      <w:r w:rsidR="00AC4866">
        <w:t xml:space="preserve"> (2018)</w:t>
      </w:r>
      <w:r w:rsidR="00AC4866" w:rsidRPr="002D60F4">
        <w:t xml:space="preserve"> Management and Organisational Capabilities of Australian Business Microdata, 2015-16 Cat. No. 8172.0.55.001</w:t>
      </w:r>
    </w:p>
    <w:p w14:paraId="4CF4C35D" w14:textId="77777777" w:rsidR="00C4324F" w:rsidRDefault="00C4324F" w:rsidP="0092649D">
      <w:pPr>
        <w:pStyle w:val="BodyText"/>
        <w:rPr>
          <w:lang w:val="en"/>
        </w:rPr>
      </w:pPr>
    </w:p>
    <w:p w14:paraId="107DB4A4" w14:textId="77777777" w:rsidR="00C4324F" w:rsidRDefault="00C4324F" w:rsidP="0092649D">
      <w:pPr>
        <w:pStyle w:val="BodyText"/>
        <w:rPr>
          <w:lang w:val="en"/>
        </w:rPr>
      </w:pPr>
    </w:p>
    <w:p w14:paraId="56F229B4" w14:textId="77777777" w:rsidR="00C4324F" w:rsidRDefault="00C4324F" w:rsidP="0092649D">
      <w:pPr>
        <w:pStyle w:val="BodyText"/>
        <w:rPr>
          <w:lang w:val="en"/>
        </w:rPr>
      </w:pPr>
    </w:p>
    <w:p w14:paraId="0482FA0A" w14:textId="77777777" w:rsidR="00C4324F" w:rsidRDefault="00C4324F" w:rsidP="0092649D">
      <w:pPr>
        <w:pStyle w:val="BodyText"/>
        <w:rPr>
          <w:lang w:val="en"/>
        </w:rPr>
      </w:pPr>
    </w:p>
    <w:p w14:paraId="1915626A" w14:textId="77777777" w:rsidR="00C4324F" w:rsidRPr="00C4324F" w:rsidRDefault="00C4324F" w:rsidP="0092649D">
      <w:pPr>
        <w:pStyle w:val="BodyText"/>
        <w:rPr>
          <w:lang w:val="en"/>
        </w:rPr>
      </w:pPr>
    </w:p>
    <w:p w14:paraId="430FD72E" w14:textId="2440DC2D" w:rsidR="008D219A" w:rsidRDefault="008D219A" w:rsidP="0092649D">
      <w:pPr>
        <w:pStyle w:val="Heading1"/>
        <w:ind w:left="0" w:firstLine="0"/>
        <w:rPr>
          <w:lang w:val="en"/>
        </w:rPr>
      </w:pPr>
      <w:r>
        <w:rPr>
          <w:lang w:val="en"/>
        </w:rPr>
        <w:lastRenderedPageBreak/>
        <w:t xml:space="preserve">Appendix </w:t>
      </w:r>
      <w:r w:rsidR="00CB2D5A">
        <w:rPr>
          <w:lang w:val="en"/>
        </w:rPr>
        <w:t>E</w:t>
      </w:r>
      <w:r>
        <w:rPr>
          <w:lang w:val="en"/>
        </w:rPr>
        <w:t xml:space="preserve">: Variables used </w:t>
      </w:r>
      <w:r w:rsidR="00620B21">
        <w:rPr>
          <w:lang w:val="en"/>
        </w:rPr>
        <w:t xml:space="preserve">and summary statistics </w:t>
      </w:r>
    </w:p>
    <w:p w14:paraId="4D5F29DC" w14:textId="1CC4C3BD" w:rsidR="00765AEA" w:rsidRDefault="00765AEA" w:rsidP="0092649D">
      <w:pPr>
        <w:pStyle w:val="Caption"/>
      </w:pPr>
      <w:r w:rsidRPr="000618FB">
        <w:t>Table</w:t>
      </w:r>
      <w:r w:rsidR="0054265A">
        <w:t xml:space="preserve"> </w:t>
      </w:r>
      <w:r w:rsidR="00644285">
        <w:t>E</w:t>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1</w:t>
      </w:r>
      <w:r w:rsidR="00C5233C">
        <w:rPr>
          <w:noProof/>
        </w:rPr>
        <w:fldChar w:fldCharType="end"/>
      </w:r>
      <w:r w:rsidRPr="000618FB">
        <w:t xml:space="preserve">: </w:t>
      </w:r>
      <w:r w:rsidR="005E61CA">
        <w:t>Share of inertia by dimensions produced in MCA analysis</w:t>
      </w:r>
    </w:p>
    <w:tbl>
      <w:tblPr>
        <w:tblStyle w:val="OCETable"/>
        <w:tblW w:w="5000" w:type="pct"/>
        <w:tblInd w:w="-51" w:type="dxa"/>
        <w:tblLayout w:type="fixed"/>
        <w:tblLook w:val="04A0" w:firstRow="1" w:lastRow="0" w:firstColumn="1" w:lastColumn="0" w:noHBand="0" w:noVBand="1"/>
        <w:tblCaption w:val="Table E.1"/>
        <w:tblDescription w:val="This table lists dimension number and share of inertia."/>
      </w:tblPr>
      <w:tblGrid>
        <w:gridCol w:w="1928"/>
        <w:gridCol w:w="4966"/>
      </w:tblGrid>
      <w:tr w:rsidR="00765AEA" w14:paraId="7B6357D9" w14:textId="77777777" w:rsidTr="00F91687">
        <w:trPr>
          <w:cnfStyle w:val="100000000000" w:firstRow="1" w:lastRow="0" w:firstColumn="0" w:lastColumn="0" w:oddVBand="0" w:evenVBand="0" w:oddHBand="0" w:evenHBand="0" w:firstRowFirstColumn="0" w:firstRowLastColumn="0" w:lastRowFirstColumn="0" w:lastRowLastColumn="0"/>
          <w:tblHeader/>
        </w:trPr>
        <w:tc>
          <w:tcPr>
            <w:tcW w:w="1928" w:type="dxa"/>
          </w:tcPr>
          <w:p w14:paraId="56D5CD77" w14:textId="7C164B5A" w:rsidR="00765AEA" w:rsidRDefault="00765AEA" w:rsidP="00B3679B">
            <w:pPr>
              <w:pStyle w:val="Tableheadertext"/>
              <w:jc w:val="right"/>
            </w:pPr>
            <w:r w:rsidRPr="00765AEA">
              <w:t>Dimension number</w:t>
            </w:r>
          </w:p>
        </w:tc>
        <w:tc>
          <w:tcPr>
            <w:tcW w:w="4966" w:type="dxa"/>
          </w:tcPr>
          <w:p w14:paraId="63382153" w14:textId="5B51E2E6" w:rsidR="00765AEA" w:rsidRDefault="00765AEA">
            <w:pPr>
              <w:pStyle w:val="Tableheadertext"/>
              <w:jc w:val="right"/>
            </w:pPr>
            <w:r>
              <w:t>Share of inertia (per cent)</w:t>
            </w:r>
          </w:p>
        </w:tc>
      </w:tr>
      <w:tr w:rsidR="00765AEA" w14:paraId="20036C0E" w14:textId="77777777" w:rsidTr="0092649D">
        <w:trPr>
          <w:cnfStyle w:val="000000100000" w:firstRow="0" w:lastRow="0" w:firstColumn="0" w:lastColumn="0" w:oddVBand="0" w:evenVBand="0" w:oddHBand="1" w:evenHBand="0" w:firstRowFirstColumn="0" w:firstRowLastColumn="0" w:lastRowFirstColumn="0" w:lastRowLastColumn="0"/>
        </w:trPr>
        <w:tc>
          <w:tcPr>
            <w:tcW w:w="1928" w:type="dxa"/>
          </w:tcPr>
          <w:p w14:paraId="2D2E12D9" w14:textId="2D8F592D" w:rsidR="00765AEA" w:rsidRDefault="00765AEA" w:rsidP="00B3679B">
            <w:pPr>
              <w:pStyle w:val="Tablebodytext"/>
              <w:jc w:val="right"/>
            </w:pPr>
            <w:r>
              <w:t>1</w:t>
            </w:r>
          </w:p>
        </w:tc>
        <w:tc>
          <w:tcPr>
            <w:tcW w:w="4966" w:type="dxa"/>
          </w:tcPr>
          <w:p w14:paraId="5B95E1C7" w14:textId="199FBC4E" w:rsidR="00765AEA" w:rsidRDefault="00765AEA">
            <w:pPr>
              <w:pStyle w:val="Tablebodytext"/>
              <w:jc w:val="right"/>
            </w:pPr>
            <w:r w:rsidRPr="00765AEA">
              <w:t>86</w:t>
            </w:r>
            <w:r>
              <w:t>.</w:t>
            </w:r>
            <w:r w:rsidRPr="00765AEA">
              <w:t>8</w:t>
            </w:r>
          </w:p>
        </w:tc>
      </w:tr>
      <w:tr w:rsidR="00765AEA" w14:paraId="6007112C" w14:textId="77777777" w:rsidTr="0092649D">
        <w:trPr>
          <w:cnfStyle w:val="000000010000" w:firstRow="0" w:lastRow="0" w:firstColumn="0" w:lastColumn="0" w:oddVBand="0" w:evenVBand="0" w:oddHBand="0" w:evenHBand="1" w:firstRowFirstColumn="0" w:firstRowLastColumn="0" w:lastRowFirstColumn="0" w:lastRowLastColumn="0"/>
        </w:trPr>
        <w:tc>
          <w:tcPr>
            <w:tcW w:w="1928" w:type="dxa"/>
          </w:tcPr>
          <w:p w14:paraId="3E5529FB" w14:textId="10E1CB76" w:rsidR="00765AEA" w:rsidRDefault="00765AEA" w:rsidP="00B3679B">
            <w:pPr>
              <w:pStyle w:val="Tablebodytext"/>
              <w:jc w:val="right"/>
            </w:pPr>
            <w:r>
              <w:t>2</w:t>
            </w:r>
          </w:p>
        </w:tc>
        <w:tc>
          <w:tcPr>
            <w:tcW w:w="4966" w:type="dxa"/>
          </w:tcPr>
          <w:p w14:paraId="6438544E" w14:textId="2A4EFC0B" w:rsidR="00765AEA" w:rsidRDefault="00765AEA">
            <w:pPr>
              <w:pStyle w:val="Tablebodytext"/>
              <w:jc w:val="right"/>
            </w:pPr>
            <w:r w:rsidRPr="00765AEA">
              <w:t>5</w:t>
            </w:r>
            <w:r>
              <w:t>.</w:t>
            </w:r>
            <w:r w:rsidRPr="00765AEA">
              <w:t>2</w:t>
            </w:r>
          </w:p>
        </w:tc>
      </w:tr>
      <w:tr w:rsidR="00765AEA" w14:paraId="08673298" w14:textId="77777777" w:rsidTr="0092649D">
        <w:trPr>
          <w:cnfStyle w:val="000000100000" w:firstRow="0" w:lastRow="0" w:firstColumn="0" w:lastColumn="0" w:oddVBand="0" w:evenVBand="0" w:oddHBand="1" w:evenHBand="0" w:firstRowFirstColumn="0" w:firstRowLastColumn="0" w:lastRowFirstColumn="0" w:lastRowLastColumn="0"/>
        </w:trPr>
        <w:tc>
          <w:tcPr>
            <w:tcW w:w="1928" w:type="dxa"/>
          </w:tcPr>
          <w:p w14:paraId="0A2AA0DA" w14:textId="056280E6" w:rsidR="00765AEA" w:rsidRDefault="00765AEA" w:rsidP="00B3679B">
            <w:pPr>
              <w:pStyle w:val="Tablebodytext"/>
              <w:jc w:val="right"/>
            </w:pPr>
            <w:r>
              <w:t>3</w:t>
            </w:r>
          </w:p>
        </w:tc>
        <w:tc>
          <w:tcPr>
            <w:tcW w:w="4966" w:type="dxa"/>
          </w:tcPr>
          <w:p w14:paraId="206972D6" w14:textId="10E37482" w:rsidR="00765AEA" w:rsidRDefault="00765AEA">
            <w:pPr>
              <w:pStyle w:val="Tablebodytext"/>
              <w:jc w:val="right"/>
            </w:pPr>
            <w:r w:rsidRPr="00765AEA">
              <w:t>3</w:t>
            </w:r>
            <w:r>
              <w:t>.</w:t>
            </w:r>
            <w:r w:rsidRPr="00765AEA">
              <w:t>6</w:t>
            </w:r>
          </w:p>
        </w:tc>
      </w:tr>
      <w:tr w:rsidR="00765AEA" w14:paraId="3CA700F8" w14:textId="77777777" w:rsidTr="0092649D">
        <w:trPr>
          <w:cnfStyle w:val="000000010000" w:firstRow="0" w:lastRow="0" w:firstColumn="0" w:lastColumn="0" w:oddVBand="0" w:evenVBand="0" w:oddHBand="0" w:evenHBand="1" w:firstRowFirstColumn="0" w:firstRowLastColumn="0" w:lastRowFirstColumn="0" w:lastRowLastColumn="0"/>
        </w:trPr>
        <w:tc>
          <w:tcPr>
            <w:tcW w:w="1928" w:type="dxa"/>
          </w:tcPr>
          <w:p w14:paraId="7A0CA331" w14:textId="767F209E" w:rsidR="00765AEA" w:rsidRDefault="00765AEA" w:rsidP="00B3679B">
            <w:pPr>
              <w:pStyle w:val="Tablebodytext"/>
              <w:jc w:val="right"/>
            </w:pPr>
            <w:r>
              <w:t>4</w:t>
            </w:r>
          </w:p>
        </w:tc>
        <w:tc>
          <w:tcPr>
            <w:tcW w:w="4966" w:type="dxa"/>
          </w:tcPr>
          <w:p w14:paraId="51DD94EC" w14:textId="23EC8329" w:rsidR="00765AEA" w:rsidRDefault="00765AEA">
            <w:pPr>
              <w:pStyle w:val="Tablebodytext"/>
              <w:jc w:val="right"/>
            </w:pPr>
            <w:r w:rsidRPr="00765AEA">
              <w:t>2</w:t>
            </w:r>
            <w:r>
              <w:t>.</w:t>
            </w:r>
            <w:r w:rsidRPr="00765AEA">
              <w:t>3</w:t>
            </w:r>
          </w:p>
        </w:tc>
      </w:tr>
      <w:tr w:rsidR="00765AEA" w14:paraId="259A8C26" w14:textId="77777777" w:rsidTr="0092649D">
        <w:trPr>
          <w:cnfStyle w:val="000000100000" w:firstRow="0" w:lastRow="0" w:firstColumn="0" w:lastColumn="0" w:oddVBand="0" w:evenVBand="0" w:oddHBand="1" w:evenHBand="0" w:firstRowFirstColumn="0" w:firstRowLastColumn="0" w:lastRowFirstColumn="0" w:lastRowLastColumn="0"/>
        </w:trPr>
        <w:tc>
          <w:tcPr>
            <w:tcW w:w="1928" w:type="dxa"/>
          </w:tcPr>
          <w:p w14:paraId="6DDCFEC3" w14:textId="136B87F0" w:rsidR="00765AEA" w:rsidRDefault="00765AEA" w:rsidP="00B3679B">
            <w:pPr>
              <w:pStyle w:val="Tablebodytext"/>
              <w:jc w:val="right"/>
            </w:pPr>
            <w:r>
              <w:t>5</w:t>
            </w:r>
          </w:p>
        </w:tc>
        <w:tc>
          <w:tcPr>
            <w:tcW w:w="4966" w:type="dxa"/>
          </w:tcPr>
          <w:p w14:paraId="5226626B" w14:textId="0C860005" w:rsidR="00765AEA" w:rsidRDefault="00765AEA">
            <w:pPr>
              <w:pStyle w:val="Tablebodytext"/>
              <w:jc w:val="right"/>
            </w:pPr>
            <w:r w:rsidRPr="00765AEA">
              <w:t>2</w:t>
            </w:r>
            <w:r>
              <w:t>.</w:t>
            </w:r>
            <w:r w:rsidRPr="00765AEA">
              <w:t>1</w:t>
            </w:r>
          </w:p>
        </w:tc>
      </w:tr>
    </w:tbl>
    <w:p w14:paraId="1EC2D2C1" w14:textId="77777777" w:rsidR="00765AEA" w:rsidRDefault="00765AEA" w:rsidP="0092649D">
      <w:pPr>
        <w:pStyle w:val="Source"/>
      </w:pPr>
      <w:r>
        <w:t xml:space="preserve">Source: Business Longitudinal Analysis Data Environment (2018) </w:t>
      </w:r>
    </w:p>
    <w:p w14:paraId="39A2BBCE" w14:textId="77777777" w:rsidR="00C663A7" w:rsidRDefault="00C663A7" w:rsidP="0092649D">
      <w:pPr>
        <w:spacing w:after="200" w:line="276" w:lineRule="auto"/>
        <w:ind w:left="0"/>
        <w:jc w:val="left"/>
        <w:rPr>
          <w:bCs/>
          <w:color w:val="005CAF"/>
          <w:sz w:val="18"/>
          <w:szCs w:val="18"/>
        </w:rPr>
      </w:pPr>
      <w:r>
        <w:br w:type="page"/>
      </w:r>
    </w:p>
    <w:p w14:paraId="3EB9EC6E" w14:textId="36E9E56F" w:rsidR="00C663A7" w:rsidRDefault="00C663A7" w:rsidP="00B9070F">
      <w:pPr>
        <w:pStyle w:val="CaptionWide"/>
        <w:ind w:left="-2127"/>
      </w:pPr>
      <w:r w:rsidRPr="000618FB">
        <w:lastRenderedPageBreak/>
        <w:t xml:space="preserve">Table </w:t>
      </w:r>
      <w:r w:rsidR="00644285">
        <w:t>E</w:t>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2</w:t>
      </w:r>
      <w:r w:rsidR="00C5233C">
        <w:rPr>
          <w:noProof/>
        </w:rPr>
        <w:fldChar w:fldCharType="end"/>
      </w:r>
      <w:r>
        <w:t xml:space="preserve">: </w:t>
      </w:r>
      <w:r w:rsidR="002E56C3">
        <w:t xml:space="preserve">Variables used in MCA analysis </w:t>
      </w:r>
    </w:p>
    <w:tbl>
      <w:tblPr>
        <w:tblW w:w="9010" w:type="dxa"/>
        <w:tblInd w:w="-2172" w:type="dxa"/>
        <w:tblLook w:val="04A0" w:firstRow="1" w:lastRow="0" w:firstColumn="1" w:lastColumn="0" w:noHBand="0" w:noVBand="1"/>
        <w:tblCaption w:val="Table E.2"/>
        <w:tblDescription w:val="This table lists variable names in three columns."/>
      </w:tblPr>
      <w:tblGrid>
        <w:gridCol w:w="3003"/>
        <w:gridCol w:w="3003"/>
        <w:gridCol w:w="3004"/>
      </w:tblGrid>
      <w:tr w:rsidR="002E56C3" w:rsidRPr="002E56C3" w14:paraId="5C3BA9E2" w14:textId="77777777" w:rsidTr="00F91687">
        <w:trPr>
          <w:trHeight w:val="283"/>
          <w:tblHeader/>
        </w:trPr>
        <w:tc>
          <w:tcPr>
            <w:tcW w:w="3003" w:type="dxa"/>
            <w:tcBorders>
              <w:top w:val="nil"/>
              <w:left w:val="nil"/>
              <w:bottom w:val="nil"/>
              <w:right w:val="nil"/>
            </w:tcBorders>
            <w:shd w:val="clear" w:color="000000" w:fill="005CAF"/>
            <w:vAlign w:val="center"/>
            <w:hideMark/>
          </w:tcPr>
          <w:p w14:paraId="559DEC02" w14:textId="3ABF5535" w:rsidR="002E56C3" w:rsidRPr="002E56C3" w:rsidRDefault="002E56C3" w:rsidP="002E56C3">
            <w:pPr>
              <w:spacing w:after="0" w:line="240" w:lineRule="auto"/>
              <w:ind w:left="0"/>
              <w:jc w:val="left"/>
              <w:rPr>
                <w:rFonts w:eastAsia="Times New Roman" w:cs="Arial"/>
                <w:b/>
                <w:bCs/>
                <w:color w:val="FFFFFF"/>
                <w:sz w:val="18"/>
                <w:szCs w:val="18"/>
                <w:lang w:eastAsia="en-AU"/>
              </w:rPr>
            </w:pPr>
            <w:r w:rsidRPr="002E56C3">
              <w:rPr>
                <w:rFonts w:eastAsia="Times New Roman" w:cs="Arial"/>
                <w:b/>
                <w:bCs/>
                <w:color w:val="FFFFFF"/>
                <w:sz w:val="18"/>
                <w:szCs w:val="18"/>
                <w:lang w:eastAsia="en-AU"/>
              </w:rPr>
              <w:t xml:space="preserve">Variable </w:t>
            </w:r>
            <w:r>
              <w:rPr>
                <w:rFonts w:eastAsia="Times New Roman" w:cs="Arial"/>
                <w:b/>
                <w:bCs/>
                <w:color w:val="FFFFFF"/>
                <w:sz w:val="18"/>
                <w:szCs w:val="18"/>
                <w:lang w:eastAsia="en-AU"/>
              </w:rPr>
              <w:t>n</w:t>
            </w:r>
            <w:r w:rsidRPr="002E56C3">
              <w:rPr>
                <w:rFonts w:eastAsia="Times New Roman" w:cs="Arial"/>
                <w:b/>
                <w:bCs/>
                <w:color w:val="FFFFFF"/>
                <w:sz w:val="18"/>
                <w:szCs w:val="18"/>
                <w:lang w:eastAsia="en-AU"/>
              </w:rPr>
              <w:t xml:space="preserve">ame </w:t>
            </w:r>
          </w:p>
        </w:tc>
        <w:tc>
          <w:tcPr>
            <w:tcW w:w="3003" w:type="dxa"/>
            <w:tcBorders>
              <w:top w:val="nil"/>
              <w:left w:val="nil"/>
              <w:bottom w:val="nil"/>
              <w:right w:val="nil"/>
            </w:tcBorders>
            <w:shd w:val="clear" w:color="000000" w:fill="005CAF"/>
            <w:vAlign w:val="center"/>
            <w:hideMark/>
          </w:tcPr>
          <w:p w14:paraId="2673F2E7" w14:textId="77777777" w:rsidR="002E56C3" w:rsidRPr="002E56C3" w:rsidRDefault="002E56C3" w:rsidP="002E56C3">
            <w:pPr>
              <w:spacing w:after="0" w:line="240" w:lineRule="auto"/>
              <w:ind w:left="0"/>
              <w:jc w:val="left"/>
              <w:rPr>
                <w:rFonts w:eastAsia="Times New Roman" w:cs="Arial"/>
                <w:b/>
                <w:bCs/>
                <w:color w:val="FFFFFF"/>
                <w:sz w:val="18"/>
                <w:szCs w:val="18"/>
                <w:lang w:eastAsia="en-AU"/>
              </w:rPr>
            </w:pPr>
            <w:r w:rsidRPr="002E56C3">
              <w:rPr>
                <w:rFonts w:eastAsia="Times New Roman" w:cs="Arial"/>
                <w:b/>
                <w:bCs/>
                <w:color w:val="FFFFFF"/>
                <w:sz w:val="18"/>
                <w:szCs w:val="18"/>
                <w:lang w:eastAsia="en-AU"/>
              </w:rPr>
              <w:t> </w:t>
            </w:r>
          </w:p>
        </w:tc>
        <w:tc>
          <w:tcPr>
            <w:tcW w:w="3004" w:type="dxa"/>
            <w:tcBorders>
              <w:top w:val="nil"/>
              <w:left w:val="nil"/>
              <w:bottom w:val="nil"/>
              <w:right w:val="nil"/>
            </w:tcBorders>
            <w:shd w:val="clear" w:color="000000" w:fill="005CAF"/>
            <w:vAlign w:val="center"/>
            <w:hideMark/>
          </w:tcPr>
          <w:p w14:paraId="493A4A28" w14:textId="77777777" w:rsidR="002E56C3" w:rsidRPr="002E56C3" w:rsidRDefault="002E56C3" w:rsidP="002E56C3">
            <w:pPr>
              <w:spacing w:after="0" w:line="240" w:lineRule="auto"/>
              <w:ind w:left="0"/>
              <w:jc w:val="left"/>
              <w:rPr>
                <w:rFonts w:eastAsia="Times New Roman" w:cs="Arial"/>
                <w:b/>
                <w:bCs/>
                <w:color w:val="FFFFFF"/>
                <w:sz w:val="18"/>
                <w:szCs w:val="18"/>
                <w:lang w:eastAsia="en-AU"/>
              </w:rPr>
            </w:pPr>
            <w:r w:rsidRPr="002E56C3">
              <w:rPr>
                <w:rFonts w:eastAsia="Times New Roman" w:cs="Arial"/>
                <w:b/>
                <w:bCs/>
                <w:color w:val="FFFFFF"/>
                <w:sz w:val="18"/>
                <w:szCs w:val="18"/>
                <w:lang w:eastAsia="en-AU"/>
              </w:rPr>
              <w:t> </w:t>
            </w:r>
          </w:p>
        </w:tc>
      </w:tr>
      <w:tr w:rsidR="002E56C3" w:rsidRPr="002E56C3" w14:paraId="263D7A06" w14:textId="77777777" w:rsidTr="0092649D">
        <w:trPr>
          <w:trHeight w:val="283"/>
        </w:trPr>
        <w:tc>
          <w:tcPr>
            <w:tcW w:w="3003" w:type="dxa"/>
            <w:tcBorders>
              <w:top w:val="nil"/>
              <w:left w:val="nil"/>
              <w:bottom w:val="nil"/>
              <w:right w:val="nil"/>
            </w:tcBorders>
            <w:shd w:val="clear" w:color="000000" w:fill="DEE8F1"/>
            <w:vAlign w:val="center"/>
            <w:hideMark/>
          </w:tcPr>
          <w:p w14:paraId="77F13CA2"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C_UNDERPERF_M</w:t>
            </w:r>
          </w:p>
        </w:tc>
        <w:tc>
          <w:tcPr>
            <w:tcW w:w="3003" w:type="dxa"/>
            <w:tcBorders>
              <w:top w:val="nil"/>
              <w:left w:val="nil"/>
              <w:bottom w:val="nil"/>
              <w:right w:val="nil"/>
            </w:tcBorders>
            <w:shd w:val="clear" w:color="000000" w:fill="DEE8F1"/>
            <w:vAlign w:val="center"/>
            <w:hideMark/>
          </w:tcPr>
          <w:p w14:paraId="7CB00484"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C_DATADECPRDTEC_NA</w:t>
            </w:r>
          </w:p>
        </w:tc>
        <w:tc>
          <w:tcPr>
            <w:tcW w:w="3004" w:type="dxa"/>
            <w:tcBorders>
              <w:top w:val="nil"/>
              <w:left w:val="nil"/>
              <w:bottom w:val="nil"/>
              <w:right w:val="nil"/>
            </w:tcBorders>
            <w:shd w:val="clear" w:color="000000" w:fill="DEE8F1"/>
            <w:vAlign w:val="center"/>
            <w:hideMark/>
          </w:tcPr>
          <w:p w14:paraId="07AA2AE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C_FREQDEMAND_Q</w:t>
            </w:r>
          </w:p>
        </w:tc>
      </w:tr>
      <w:tr w:rsidR="002E56C3" w:rsidRPr="002E56C3" w14:paraId="0013C0EE" w14:textId="77777777" w:rsidTr="0092649D">
        <w:trPr>
          <w:trHeight w:val="283"/>
        </w:trPr>
        <w:tc>
          <w:tcPr>
            <w:tcW w:w="3003" w:type="dxa"/>
            <w:tcBorders>
              <w:top w:val="nil"/>
              <w:left w:val="nil"/>
              <w:bottom w:val="nil"/>
              <w:right w:val="nil"/>
            </w:tcBorders>
            <w:shd w:val="clear" w:color="000000" w:fill="FFFFFF"/>
            <w:vAlign w:val="center"/>
            <w:hideMark/>
          </w:tcPr>
          <w:p w14:paraId="1F7F0D4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C_EXTENTEXTKNOW</w:t>
            </w:r>
          </w:p>
        </w:tc>
        <w:tc>
          <w:tcPr>
            <w:tcW w:w="3003" w:type="dxa"/>
            <w:tcBorders>
              <w:top w:val="nil"/>
              <w:left w:val="nil"/>
              <w:bottom w:val="nil"/>
              <w:right w:val="nil"/>
            </w:tcBorders>
            <w:shd w:val="clear" w:color="000000" w:fill="FFFFFF"/>
            <w:vAlign w:val="center"/>
            <w:hideMark/>
          </w:tcPr>
          <w:p w14:paraId="682E03A2"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C_DATADECPRDTEC_Q</w:t>
            </w:r>
          </w:p>
        </w:tc>
        <w:tc>
          <w:tcPr>
            <w:tcW w:w="3004" w:type="dxa"/>
            <w:tcBorders>
              <w:top w:val="nil"/>
              <w:left w:val="nil"/>
              <w:bottom w:val="nil"/>
              <w:right w:val="nil"/>
            </w:tcBorders>
            <w:shd w:val="clear" w:color="000000" w:fill="FFFFFF"/>
            <w:vAlign w:val="center"/>
            <w:hideMark/>
          </w:tcPr>
          <w:p w14:paraId="484E54B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C_FREQDEMAND_W</w:t>
            </w:r>
          </w:p>
        </w:tc>
      </w:tr>
      <w:tr w:rsidR="002E56C3" w:rsidRPr="002E56C3" w14:paraId="7E9C8516" w14:textId="77777777" w:rsidTr="0092649D">
        <w:trPr>
          <w:trHeight w:val="283"/>
        </w:trPr>
        <w:tc>
          <w:tcPr>
            <w:tcW w:w="3003" w:type="dxa"/>
            <w:tcBorders>
              <w:top w:val="nil"/>
              <w:left w:val="nil"/>
              <w:bottom w:val="nil"/>
              <w:right w:val="nil"/>
            </w:tcBorders>
            <w:shd w:val="clear" w:color="000000" w:fill="DEE8F1"/>
            <w:vAlign w:val="center"/>
            <w:hideMark/>
          </w:tcPr>
          <w:p w14:paraId="10DD0789"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C_UNDERPERF_NM</w:t>
            </w:r>
          </w:p>
        </w:tc>
        <w:tc>
          <w:tcPr>
            <w:tcW w:w="3003" w:type="dxa"/>
            <w:tcBorders>
              <w:top w:val="nil"/>
              <w:left w:val="nil"/>
              <w:bottom w:val="nil"/>
              <w:right w:val="nil"/>
            </w:tcBorders>
            <w:shd w:val="clear" w:color="000000" w:fill="DEE8F1"/>
            <w:vAlign w:val="center"/>
            <w:hideMark/>
          </w:tcPr>
          <w:p w14:paraId="0A76D88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C_DATADECPRDTEC_W</w:t>
            </w:r>
          </w:p>
        </w:tc>
        <w:tc>
          <w:tcPr>
            <w:tcW w:w="3004" w:type="dxa"/>
            <w:tcBorders>
              <w:top w:val="nil"/>
              <w:left w:val="nil"/>
              <w:bottom w:val="nil"/>
              <w:right w:val="nil"/>
            </w:tcBorders>
            <w:shd w:val="clear" w:color="000000" w:fill="DEE8F1"/>
            <w:vAlign w:val="center"/>
            <w:hideMark/>
          </w:tcPr>
          <w:p w14:paraId="0C5D9EA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C_DIGTECACCHSB</w:t>
            </w:r>
          </w:p>
        </w:tc>
      </w:tr>
      <w:tr w:rsidR="002E56C3" w:rsidRPr="002E56C3" w14:paraId="5283AB34" w14:textId="77777777" w:rsidTr="0092649D">
        <w:trPr>
          <w:trHeight w:val="283"/>
        </w:trPr>
        <w:tc>
          <w:tcPr>
            <w:tcW w:w="3003" w:type="dxa"/>
            <w:tcBorders>
              <w:top w:val="nil"/>
              <w:left w:val="nil"/>
              <w:bottom w:val="nil"/>
              <w:right w:val="nil"/>
            </w:tcBorders>
            <w:shd w:val="clear" w:color="000000" w:fill="FFFFFF"/>
            <w:vAlign w:val="center"/>
            <w:hideMark/>
          </w:tcPr>
          <w:p w14:paraId="55AAA6E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C_EXTENTINCREM</w:t>
            </w:r>
          </w:p>
        </w:tc>
        <w:tc>
          <w:tcPr>
            <w:tcW w:w="3003" w:type="dxa"/>
            <w:tcBorders>
              <w:top w:val="nil"/>
              <w:left w:val="nil"/>
              <w:bottom w:val="nil"/>
              <w:right w:val="nil"/>
            </w:tcBorders>
            <w:shd w:val="clear" w:color="000000" w:fill="FFFFFF"/>
            <w:vAlign w:val="center"/>
            <w:hideMark/>
          </w:tcPr>
          <w:p w14:paraId="0ED0E02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C_DATADECFEEDNM_A</w:t>
            </w:r>
          </w:p>
        </w:tc>
        <w:tc>
          <w:tcPr>
            <w:tcW w:w="3004" w:type="dxa"/>
            <w:tcBorders>
              <w:top w:val="nil"/>
              <w:left w:val="nil"/>
              <w:bottom w:val="nil"/>
              <w:right w:val="nil"/>
            </w:tcBorders>
            <w:shd w:val="clear" w:color="000000" w:fill="FFFFFF"/>
            <w:vAlign w:val="center"/>
            <w:hideMark/>
          </w:tcPr>
          <w:p w14:paraId="7E35016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C_FREQNEWGOODS_A</w:t>
            </w:r>
          </w:p>
        </w:tc>
      </w:tr>
      <w:tr w:rsidR="002E56C3" w:rsidRPr="002E56C3" w14:paraId="47B76F23" w14:textId="77777777" w:rsidTr="0092649D">
        <w:trPr>
          <w:trHeight w:val="283"/>
        </w:trPr>
        <w:tc>
          <w:tcPr>
            <w:tcW w:w="3003" w:type="dxa"/>
            <w:tcBorders>
              <w:top w:val="nil"/>
              <w:left w:val="nil"/>
              <w:bottom w:val="nil"/>
              <w:right w:val="nil"/>
            </w:tcBorders>
            <w:shd w:val="clear" w:color="000000" w:fill="DEE8F1"/>
            <w:vAlign w:val="center"/>
            <w:hideMark/>
          </w:tcPr>
          <w:p w14:paraId="204BBB3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C_EXTENTFIRST</w:t>
            </w:r>
          </w:p>
        </w:tc>
        <w:tc>
          <w:tcPr>
            <w:tcW w:w="3003" w:type="dxa"/>
            <w:tcBorders>
              <w:top w:val="nil"/>
              <w:left w:val="nil"/>
              <w:bottom w:val="nil"/>
              <w:right w:val="nil"/>
            </w:tcBorders>
            <w:shd w:val="clear" w:color="000000" w:fill="DEE8F1"/>
            <w:vAlign w:val="center"/>
            <w:hideMark/>
          </w:tcPr>
          <w:p w14:paraId="1458FD5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C_DATADECFEEDNM_AH</w:t>
            </w:r>
          </w:p>
        </w:tc>
        <w:tc>
          <w:tcPr>
            <w:tcW w:w="3004" w:type="dxa"/>
            <w:tcBorders>
              <w:top w:val="nil"/>
              <w:left w:val="nil"/>
              <w:bottom w:val="nil"/>
              <w:right w:val="nil"/>
            </w:tcBorders>
            <w:shd w:val="clear" w:color="000000" w:fill="DEE8F1"/>
            <w:vAlign w:val="center"/>
            <w:hideMark/>
          </w:tcPr>
          <w:p w14:paraId="34FC222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C_FREQNEWGOODS_AH</w:t>
            </w:r>
          </w:p>
        </w:tc>
      </w:tr>
      <w:tr w:rsidR="002E56C3" w:rsidRPr="002E56C3" w14:paraId="4512EF83" w14:textId="77777777" w:rsidTr="0092649D">
        <w:trPr>
          <w:trHeight w:val="283"/>
        </w:trPr>
        <w:tc>
          <w:tcPr>
            <w:tcW w:w="3003" w:type="dxa"/>
            <w:tcBorders>
              <w:top w:val="nil"/>
              <w:left w:val="nil"/>
              <w:bottom w:val="nil"/>
              <w:right w:val="nil"/>
            </w:tcBorders>
            <w:shd w:val="clear" w:color="000000" w:fill="FFFFFF"/>
            <w:vAlign w:val="center"/>
            <w:hideMark/>
          </w:tcPr>
          <w:p w14:paraId="632F6F4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C_PROMOTION_NM</w:t>
            </w:r>
          </w:p>
        </w:tc>
        <w:tc>
          <w:tcPr>
            <w:tcW w:w="3003" w:type="dxa"/>
            <w:tcBorders>
              <w:top w:val="nil"/>
              <w:left w:val="nil"/>
              <w:bottom w:val="nil"/>
              <w:right w:val="nil"/>
            </w:tcBorders>
            <w:shd w:val="clear" w:color="000000" w:fill="FFFFFF"/>
            <w:vAlign w:val="center"/>
            <w:hideMark/>
          </w:tcPr>
          <w:p w14:paraId="2DCDB1C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C_DATADECFEEDNM_D</w:t>
            </w:r>
          </w:p>
        </w:tc>
        <w:tc>
          <w:tcPr>
            <w:tcW w:w="3004" w:type="dxa"/>
            <w:tcBorders>
              <w:top w:val="nil"/>
              <w:left w:val="nil"/>
              <w:bottom w:val="nil"/>
              <w:right w:val="nil"/>
            </w:tcBorders>
            <w:shd w:val="clear" w:color="000000" w:fill="FFFFFF"/>
            <w:vAlign w:val="center"/>
            <w:hideMark/>
          </w:tcPr>
          <w:p w14:paraId="472A83E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C_FREQNEWGOODS_D</w:t>
            </w:r>
          </w:p>
        </w:tc>
      </w:tr>
      <w:tr w:rsidR="002E56C3" w:rsidRPr="002E56C3" w14:paraId="4D14AF36" w14:textId="77777777" w:rsidTr="0092649D">
        <w:trPr>
          <w:trHeight w:val="283"/>
        </w:trPr>
        <w:tc>
          <w:tcPr>
            <w:tcW w:w="3003" w:type="dxa"/>
            <w:tcBorders>
              <w:top w:val="nil"/>
              <w:left w:val="nil"/>
              <w:bottom w:val="nil"/>
              <w:right w:val="nil"/>
            </w:tcBorders>
            <w:shd w:val="clear" w:color="000000" w:fill="DEE8F1"/>
            <w:vAlign w:val="center"/>
            <w:hideMark/>
          </w:tcPr>
          <w:p w14:paraId="027B501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C_EXTENTHIRISK</w:t>
            </w:r>
          </w:p>
        </w:tc>
        <w:tc>
          <w:tcPr>
            <w:tcW w:w="3003" w:type="dxa"/>
            <w:tcBorders>
              <w:top w:val="nil"/>
              <w:left w:val="nil"/>
              <w:bottom w:val="nil"/>
              <w:right w:val="nil"/>
            </w:tcBorders>
            <w:shd w:val="clear" w:color="000000" w:fill="DEE8F1"/>
            <w:vAlign w:val="center"/>
            <w:hideMark/>
          </w:tcPr>
          <w:p w14:paraId="4FBBE0C9"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C_DATADECFEEDNM_M</w:t>
            </w:r>
          </w:p>
        </w:tc>
        <w:tc>
          <w:tcPr>
            <w:tcW w:w="3004" w:type="dxa"/>
            <w:tcBorders>
              <w:top w:val="nil"/>
              <w:left w:val="nil"/>
              <w:bottom w:val="nil"/>
              <w:right w:val="nil"/>
            </w:tcBorders>
            <w:shd w:val="clear" w:color="000000" w:fill="DEE8F1"/>
            <w:vAlign w:val="center"/>
            <w:hideMark/>
          </w:tcPr>
          <w:p w14:paraId="75AB70D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C_FREQNEWGOODS_M</w:t>
            </w:r>
          </w:p>
        </w:tc>
      </w:tr>
      <w:tr w:rsidR="002E56C3" w:rsidRPr="002E56C3" w14:paraId="59C9014C" w14:textId="77777777" w:rsidTr="0092649D">
        <w:trPr>
          <w:trHeight w:val="283"/>
        </w:trPr>
        <w:tc>
          <w:tcPr>
            <w:tcW w:w="3003" w:type="dxa"/>
            <w:tcBorders>
              <w:top w:val="nil"/>
              <w:left w:val="nil"/>
              <w:bottom w:val="nil"/>
              <w:right w:val="nil"/>
            </w:tcBorders>
            <w:shd w:val="clear" w:color="000000" w:fill="FFFFFF"/>
            <w:vAlign w:val="center"/>
            <w:hideMark/>
          </w:tcPr>
          <w:p w14:paraId="2D9292F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C_EXTENTREVIEW</w:t>
            </w:r>
          </w:p>
        </w:tc>
        <w:tc>
          <w:tcPr>
            <w:tcW w:w="3003" w:type="dxa"/>
            <w:tcBorders>
              <w:top w:val="nil"/>
              <w:left w:val="nil"/>
              <w:bottom w:val="nil"/>
              <w:right w:val="nil"/>
            </w:tcBorders>
            <w:shd w:val="clear" w:color="000000" w:fill="FFFFFF"/>
            <w:vAlign w:val="center"/>
            <w:hideMark/>
          </w:tcPr>
          <w:p w14:paraId="6B1DF51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C_DATADECFEEDNM_NA</w:t>
            </w:r>
          </w:p>
        </w:tc>
        <w:tc>
          <w:tcPr>
            <w:tcW w:w="3004" w:type="dxa"/>
            <w:tcBorders>
              <w:top w:val="nil"/>
              <w:left w:val="nil"/>
              <w:bottom w:val="nil"/>
              <w:right w:val="nil"/>
            </w:tcBorders>
            <w:shd w:val="clear" w:color="000000" w:fill="FFFFFF"/>
            <w:vAlign w:val="center"/>
            <w:hideMark/>
          </w:tcPr>
          <w:p w14:paraId="77502C8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C_FREQNEWGOODS_NA</w:t>
            </w:r>
          </w:p>
        </w:tc>
      </w:tr>
      <w:tr w:rsidR="002E56C3" w:rsidRPr="002E56C3" w14:paraId="312358A9" w14:textId="77777777" w:rsidTr="0092649D">
        <w:trPr>
          <w:trHeight w:val="283"/>
        </w:trPr>
        <w:tc>
          <w:tcPr>
            <w:tcW w:w="3003" w:type="dxa"/>
            <w:tcBorders>
              <w:top w:val="nil"/>
              <w:left w:val="nil"/>
              <w:bottom w:val="nil"/>
              <w:right w:val="nil"/>
            </w:tcBorders>
            <w:shd w:val="clear" w:color="000000" w:fill="DEE8F1"/>
            <w:vAlign w:val="center"/>
            <w:hideMark/>
          </w:tcPr>
          <w:p w14:paraId="0F439AC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C_EXTENTPROACT</w:t>
            </w:r>
          </w:p>
        </w:tc>
        <w:tc>
          <w:tcPr>
            <w:tcW w:w="3003" w:type="dxa"/>
            <w:tcBorders>
              <w:top w:val="nil"/>
              <w:left w:val="nil"/>
              <w:bottom w:val="nil"/>
              <w:right w:val="nil"/>
            </w:tcBorders>
            <w:shd w:val="clear" w:color="000000" w:fill="DEE8F1"/>
            <w:vAlign w:val="center"/>
            <w:hideMark/>
          </w:tcPr>
          <w:p w14:paraId="2F947EEF"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C_DATADECFEEDNM_Q</w:t>
            </w:r>
          </w:p>
        </w:tc>
        <w:tc>
          <w:tcPr>
            <w:tcW w:w="3004" w:type="dxa"/>
            <w:tcBorders>
              <w:top w:val="nil"/>
              <w:left w:val="nil"/>
              <w:bottom w:val="nil"/>
              <w:right w:val="nil"/>
            </w:tcBorders>
            <w:shd w:val="clear" w:color="000000" w:fill="DEE8F1"/>
            <w:vAlign w:val="center"/>
            <w:hideMark/>
          </w:tcPr>
          <w:p w14:paraId="6ED65FB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C_FREQNEWGOODS_Q</w:t>
            </w:r>
          </w:p>
        </w:tc>
      </w:tr>
      <w:tr w:rsidR="002E56C3" w:rsidRPr="002E56C3" w14:paraId="47E4099B" w14:textId="77777777" w:rsidTr="0092649D">
        <w:trPr>
          <w:trHeight w:val="283"/>
        </w:trPr>
        <w:tc>
          <w:tcPr>
            <w:tcW w:w="3003" w:type="dxa"/>
            <w:tcBorders>
              <w:top w:val="nil"/>
              <w:left w:val="nil"/>
              <w:bottom w:val="nil"/>
              <w:right w:val="nil"/>
            </w:tcBorders>
            <w:shd w:val="clear" w:color="000000" w:fill="FFFFFF"/>
            <w:vAlign w:val="center"/>
            <w:hideMark/>
          </w:tcPr>
          <w:p w14:paraId="340D091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C_PROMOTION_M</w:t>
            </w:r>
          </w:p>
        </w:tc>
        <w:tc>
          <w:tcPr>
            <w:tcW w:w="3003" w:type="dxa"/>
            <w:tcBorders>
              <w:top w:val="nil"/>
              <w:left w:val="nil"/>
              <w:bottom w:val="nil"/>
              <w:right w:val="nil"/>
            </w:tcBorders>
            <w:shd w:val="clear" w:color="000000" w:fill="FFFFFF"/>
            <w:vAlign w:val="center"/>
            <w:hideMark/>
          </w:tcPr>
          <w:p w14:paraId="7321711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C_DATADECFEEDNM_W</w:t>
            </w:r>
          </w:p>
        </w:tc>
        <w:tc>
          <w:tcPr>
            <w:tcW w:w="3004" w:type="dxa"/>
            <w:tcBorders>
              <w:top w:val="nil"/>
              <w:left w:val="nil"/>
              <w:bottom w:val="nil"/>
              <w:right w:val="nil"/>
            </w:tcBorders>
            <w:shd w:val="clear" w:color="000000" w:fill="FFFFFF"/>
            <w:vAlign w:val="center"/>
            <w:hideMark/>
          </w:tcPr>
          <w:p w14:paraId="64FC8E1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C_FREQNEWGOODS_W</w:t>
            </w:r>
          </w:p>
        </w:tc>
      </w:tr>
      <w:tr w:rsidR="002E56C3" w:rsidRPr="002E56C3" w14:paraId="2F1C9B9C" w14:textId="77777777" w:rsidTr="0092649D">
        <w:trPr>
          <w:trHeight w:val="283"/>
        </w:trPr>
        <w:tc>
          <w:tcPr>
            <w:tcW w:w="3003" w:type="dxa"/>
            <w:tcBorders>
              <w:top w:val="nil"/>
              <w:left w:val="nil"/>
              <w:bottom w:val="nil"/>
              <w:right w:val="nil"/>
            </w:tcBorders>
            <w:shd w:val="clear" w:color="000000" w:fill="DEE8F1"/>
            <w:vAlign w:val="center"/>
            <w:hideMark/>
          </w:tcPr>
          <w:p w14:paraId="125165D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C_EXTENTCOLLAB</w:t>
            </w:r>
          </w:p>
        </w:tc>
        <w:tc>
          <w:tcPr>
            <w:tcW w:w="3003" w:type="dxa"/>
            <w:tcBorders>
              <w:top w:val="nil"/>
              <w:left w:val="nil"/>
              <w:bottom w:val="nil"/>
              <w:right w:val="nil"/>
            </w:tcBorders>
            <w:shd w:val="clear" w:color="000000" w:fill="DEE8F1"/>
            <w:vAlign w:val="center"/>
            <w:hideMark/>
          </w:tcPr>
          <w:p w14:paraId="57BBA29F"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C_FREQSUPCHAIN_A</w:t>
            </w:r>
          </w:p>
        </w:tc>
        <w:tc>
          <w:tcPr>
            <w:tcW w:w="3004" w:type="dxa"/>
            <w:tcBorders>
              <w:top w:val="nil"/>
              <w:left w:val="nil"/>
              <w:bottom w:val="nil"/>
              <w:right w:val="nil"/>
            </w:tcBorders>
            <w:shd w:val="clear" w:color="000000" w:fill="DEE8F1"/>
            <w:vAlign w:val="center"/>
            <w:hideMark/>
          </w:tcPr>
          <w:p w14:paraId="545A813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C_DIGTECMOBINT</w:t>
            </w:r>
          </w:p>
        </w:tc>
      </w:tr>
      <w:tr w:rsidR="002E56C3" w:rsidRPr="002E56C3" w14:paraId="2B7B3F66" w14:textId="77777777" w:rsidTr="0092649D">
        <w:trPr>
          <w:trHeight w:val="283"/>
        </w:trPr>
        <w:tc>
          <w:tcPr>
            <w:tcW w:w="3003" w:type="dxa"/>
            <w:tcBorders>
              <w:top w:val="nil"/>
              <w:left w:val="nil"/>
              <w:bottom w:val="nil"/>
              <w:right w:val="nil"/>
            </w:tcBorders>
            <w:shd w:val="clear" w:color="000000" w:fill="FFFFFF"/>
            <w:vAlign w:val="center"/>
            <w:hideMark/>
          </w:tcPr>
          <w:p w14:paraId="778A8E14"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C_FREQENVMAN_A</w:t>
            </w:r>
          </w:p>
        </w:tc>
        <w:tc>
          <w:tcPr>
            <w:tcW w:w="3003" w:type="dxa"/>
            <w:tcBorders>
              <w:top w:val="nil"/>
              <w:left w:val="nil"/>
              <w:bottom w:val="nil"/>
              <w:right w:val="nil"/>
            </w:tcBorders>
            <w:shd w:val="clear" w:color="000000" w:fill="FFFFFF"/>
            <w:vAlign w:val="center"/>
            <w:hideMark/>
          </w:tcPr>
          <w:p w14:paraId="1979906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C_FREQSUPCHAIN_AH</w:t>
            </w:r>
          </w:p>
        </w:tc>
        <w:tc>
          <w:tcPr>
            <w:tcW w:w="3004" w:type="dxa"/>
            <w:tcBorders>
              <w:top w:val="nil"/>
              <w:left w:val="nil"/>
              <w:bottom w:val="nil"/>
              <w:right w:val="nil"/>
            </w:tcBorders>
            <w:shd w:val="clear" w:color="000000" w:fill="FFFFFF"/>
            <w:vAlign w:val="center"/>
            <w:hideMark/>
          </w:tcPr>
          <w:p w14:paraId="67A47722"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C_PROJECTS</w:t>
            </w:r>
          </w:p>
        </w:tc>
      </w:tr>
      <w:tr w:rsidR="002E56C3" w:rsidRPr="002E56C3" w14:paraId="505F595E" w14:textId="77777777" w:rsidTr="0092649D">
        <w:trPr>
          <w:trHeight w:val="283"/>
        </w:trPr>
        <w:tc>
          <w:tcPr>
            <w:tcW w:w="3003" w:type="dxa"/>
            <w:tcBorders>
              <w:top w:val="nil"/>
              <w:left w:val="nil"/>
              <w:bottom w:val="nil"/>
              <w:right w:val="nil"/>
            </w:tcBorders>
            <w:shd w:val="clear" w:color="000000" w:fill="DEE8F1"/>
            <w:vAlign w:val="center"/>
            <w:hideMark/>
          </w:tcPr>
          <w:p w14:paraId="323C030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C_FREQENVMAN_AH</w:t>
            </w:r>
          </w:p>
        </w:tc>
        <w:tc>
          <w:tcPr>
            <w:tcW w:w="3003" w:type="dxa"/>
            <w:tcBorders>
              <w:top w:val="nil"/>
              <w:left w:val="nil"/>
              <w:bottom w:val="nil"/>
              <w:right w:val="nil"/>
            </w:tcBorders>
            <w:shd w:val="clear" w:color="000000" w:fill="DEE8F1"/>
            <w:vAlign w:val="center"/>
            <w:hideMark/>
          </w:tcPr>
          <w:p w14:paraId="434DB8C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C_FREQSUPCHAIN_D</w:t>
            </w:r>
          </w:p>
        </w:tc>
        <w:tc>
          <w:tcPr>
            <w:tcW w:w="3004" w:type="dxa"/>
            <w:tcBorders>
              <w:top w:val="nil"/>
              <w:left w:val="nil"/>
              <w:bottom w:val="nil"/>
              <w:right w:val="nil"/>
            </w:tcBorders>
            <w:shd w:val="clear" w:color="000000" w:fill="DEE8F1"/>
            <w:vAlign w:val="center"/>
            <w:hideMark/>
          </w:tcPr>
          <w:p w14:paraId="17B686D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C_MANPRACBUS</w:t>
            </w:r>
          </w:p>
        </w:tc>
      </w:tr>
      <w:tr w:rsidR="002E56C3" w:rsidRPr="002E56C3" w14:paraId="79DAA91C" w14:textId="77777777" w:rsidTr="0092649D">
        <w:trPr>
          <w:trHeight w:val="283"/>
        </w:trPr>
        <w:tc>
          <w:tcPr>
            <w:tcW w:w="3003" w:type="dxa"/>
            <w:tcBorders>
              <w:top w:val="nil"/>
              <w:left w:val="nil"/>
              <w:bottom w:val="nil"/>
              <w:right w:val="nil"/>
            </w:tcBorders>
            <w:shd w:val="clear" w:color="000000" w:fill="FFFFFF"/>
            <w:vAlign w:val="center"/>
            <w:hideMark/>
          </w:tcPr>
          <w:p w14:paraId="74F449A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C_FREQENVMAN_D</w:t>
            </w:r>
          </w:p>
        </w:tc>
        <w:tc>
          <w:tcPr>
            <w:tcW w:w="3003" w:type="dxa"/>
            <w:tcBorders>
              <w:top w:val="nil"/>
              <w:left w:val="nil"/>
              <w:bottom w:val="nil"/>
              <w:right w:val="nil"/>
            </w:tcBorders>
            <w:shd w:val="clear" w:color="000000" w:fill="FFFFFF"/>
            <w:vAlign w:val="center"/>
            <w:hideMark/>
          </w:tcPr>
          <w:p w14:paraId="5AB9A79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C_FREQSUPCHAIN_M</w:t>
            </w:r>
          </w:p>
        </w:tc>
        <w:tc>
          <w:tcPr>
            <w:tcW w:w="3004" w:type="dxa"/>
            <w:tcBorders>
              <w:top w:val="nil"/>
              <w:left w:val="nil"/>
              <w:bottom w:val="nil"/>
              <w:right w:val="nil"/>
            </w:tcBorders>
            <w:shd w:val="clear" w:color="000000" w:fill="FFFFFF"/>
            <w:vAlign w:val="center"/>
            <w:hideMark/>
          </w:tcPr>
          <w:p w14:paraId="1F5E25B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C_MANPRACCLIENT</w:t>
            </w:r>
          </w:p>
        </w:tc>
      </w:tr>
      <w:tr w:rsidR="002E56C3" w:rsidRPr="002E56C3" w14:paraId="72D63448" w14:textId="77777777" w:rsidTr="0092649D">
        <w:trPr>
          <w:trHeight w:val="283"/>
        </w:trPr>
        <w:tc>
          <w:tcPr>
            <w:tcW w:w="3003" w:type="dxa"/>
            <w:tcBorders>
              <w:top w:val="nil"/>
              <w:left w:val="nil"/>
              <w:bottom w:val="nil"/>
              <w:right w:val="nil"/>
            </w:tcBorders>
            <w:shd w:val="clear" w:color="000000" w:fill="DEE8F1"/>
            <w:vAlign w:val="center"/>
            <w:hideMark/>
          </w:tcPr>
          <w:p w14:paraId="5496952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C_FREQENVMAN_M</w:t>
            </w:r>
          </w:p>
        </w:tc>
        <w:tc>
          <w:tcPr>
            <w:tcW w:w="3003" w:type="dxa"/>
            <w:tcBorders>
              <w:top w:val="nil"/>
              <w:left w:val="nil"/>
              <w:bottom w:val="nil"/>
              <w:right w:val="nil"/>
            </w:tcBorders>
            <w:shd w:val="clear" w:color="000000" w:fill="DEE8F1"/>
            <w:vAlign w:val="center"/>
            <w:hideMark/>
          </w:tcPr>
          <w:p w14:paraId="2FE3D38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C_FREQSUPCHAIN_NA</w:t>
            </w:r>
          </w:p>
        </w:tc>
        <w:tc>
          <w:tcPr>
            <w:tcW w:w="3004" w:type="dxa"/>
            <w:tcBorders>
              <w:top w:val="nil"/>
              <w:left w:val="nil"/>
              <w:bottom w:val="nil"/>
              <w:right w:val="nil"/>
            </w:tcBorders>
            <w:shd w:val="clear" w:color="000000" w:fill="DEE8F1"/>
            <w:vAlign w:val="center"/>
            <w:hideMark/>
          </w:tcPr>
          <w:p w14:paraId="5235BE6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C_MANPRACCOMLAB</w:t>
            </w:r>
          </w:p>
        </w:tc>
      </w:tr>
      <w:tr w:rsidR="002E56C3" w:rsidRPr="002E56C3" w14:paraId="5ECC8886" w14:textId="77777777" w:rsidTr="0092649D">
        <w:trPr>
          <w:trHeight w:val="283"/>
        </w:trPr>
        <w:tc>
          <w:tcPr>
            <w:tcW w:w="3003" w:type="dxa"/>
            <w:tcBorders>
              <w:top w:val="nil"/>
              <w:left w:val="nil"/>
              <w:bottom w:val="nil"/>
              <w:right w:val="nil"/>
            </w:tcBorders>
            <w:shd w:val="clear" w:color="000000" w:fill="FFFFFF"/>
            <w:vAlign w:val="center"/>
            <w:hideMark/>
          </w:tcPr>
          <w:p w14:paraId="1EA0973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C_FREQENVMAN_NA</w:t>
            </w:r>
          </w:p>
        </w:tc>
        <w:tc>
          <w:tcPr>
            <w:tcW w:w="3003" w:type="dxa"/>
            <w:tcBorders>
              <w:top w:val="nil"/>
              <w:left w:val="nil"/>
              <w:bottom w:val="nil"/>
              <w:right w:val="nil"/>
            </w:tcBorders>
            <w:shd w:val="clear" w:color="000000" w:fill="FFFFFF"/>
            <w:vAlign w:val="center"/>
            <w:hideMark/>
          </w:tcPr>
          <w:p w14:paraId="11D5993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C_FREQSUPCHAIN_Q</w:t>
            </w:r>
          </w:p>
        </w:tc>
        <w:tc>
          <w:tcPr>
            <w:tcW w:w="3004" w:type="dxa"/>
            <w:tcBorders>
              <w:top w:val="nil"/>
              <w:left w:val="nil"/>
              <w:bottom w:val="nil"/>
              <w:right w:val="nil"/>
            </w:tcBorders>
            <w:shd w:val="clear" w:color="000000" w:fill="FFFFFF"/>
            <w:vAlign w:val="center"/>
            <w:hideMark/>
          </w:tcPr>
          <w:p w14:paraId="4A634EA2"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C_MANPRACCOMP</w:t>
            </w:r>
          </w:p>
        </w:tc>
      </w:tr>
      <w:tr w:rsidR="002E56C3" w:rsidRPr="002E56C3" w14:paraId="392AA606" w14:textId="77777777" w:rsidTr="0092649D">
        <w:trPr>
          <w:trHeight w:val="283"/>
        </w:trPr>
        <w:tc>
          <w:tcPr>
            <w:tcW w:w="3003" w:type="dxa"/>
            <w:tcBorders>
              <w:top w:val="nil"/>
              <w:left w:val="nil"/>
              <w:bottom w:val="nil"/>
              <w:right w:val="nil"/>
            </w:tcBorders>
            <w:shd w:val="clear" w:color="000000" w:fill="DEE8F1"/>
            <w:vAlign w:val="center"/>
            <w:hideMark/>
          </w:tcPr>
          <w:p w14:paraId="679E573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C_FREQENVMAN_Q</w:t>
            </w:r>
          </w:p>
        </w:tc>
        <w:tc>
          <w:tcPr>
            <w:tcW w:w="3003" w:type="dxa"/>
            <w:tcBorders>
              <w:top w:val="nil"/>
              <w:left w:val="nil"/>
              <w:bottom w:val="nil"/>
              <w:right w:val="nil"/>
            </w:tcBorders>
            <w:shd w:val="clear" w:color="000000" w:fill="DEE8F1"/>
            <w:vAlign w:val="center"/>
            <w:hideMark/>
          </w:tcPr>
          <w:p w14:paraId="4083DCD3"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C_FREQSUPCHAIN_W</w:t>
            </w:r>
          </w:p>
        </w:tc>
        <w:tc>
          <w:tcPr>
            <w:tcW w:w="3004" w:type="dxa"/>
            <w:tcBorders>
              <w:top w:val="nil"/>
              <w:left w:val="nil"/>
              <w:bottom w:val="nil"/>
              <w:right w:val="nil"/>
            </w:tcBorders>
            <w:shd w:val="clear" w:color="000000" w:fill="DEE8F1"/>
            <w:vAlign w:val="center"/>
            <w:hideMark/>
          </w:tcPr>
          <w:p w14:paraId="1DBB655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C_MANPRACCONS</w:t>
            </w:r>
          </w:p>
        </w:tc>
      </w:tr>
      <w:tr w:rsidR="002E56C3" w:rsidRPr="002E56C3" w14:paraId="69AD659F" w14:textId="77777777" w:rsidTr="0092649D">
        <w:trPr>
          <w:trHeight w:val="283"/>
        </w:trPr>
        <w:tc>
          <w:tcPr>
            <w:tcW w:w="3003" w:type="dxa"/>
            <w:tcBorders>
              <w:top w:val="nil"/>
              <w:left w:val="nil"/>
              <w:bottom w:val="nil"/>
              <w:right w:val="nil"/>
            </w:tcBorders>
            <w:shd w:val="clear" w:color="000000" w:fill="FFFFFF"/>
            <w:vAlign w:val="center"/>
            <w:hideMark/>
          </w:tcPr>
          <w:p w14:paraId="3430069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C_FREQENVMAN_W</w:t>
            </w:r>
          </w:p>
        </w:tc>
        <w:tc>
          <w:tcPr>
            <w:tcW w:w="3003" w:type="dxa"/>
            <w:tcBorders>
              <w:top w:val="nil"/>
              <w:left w:val="nil"/>
              <w:bottom w:val="nil"/>
              <w:right w:val="nil"/>
            </w:tcBorders>
            <w:shd w:val="clear" w:color="000000" w:fill="FFFFFF"/>
            <w:vAlign w:val="center"/>
            <w:hideMark/>
          </w:tcPr>
          <w:p w14:paraId="317A144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C_DATADECFEEDM_A</w:t>
            </w:r>
          </w:p>
        </w:tc>
        <w:tc>
          <w:tcPr>
            <w:tcW w:w="3004" w:type="dxa"/>
            <w:tcBorders>
              <w:top w:val="nil"/>
              <w:left w:val="nil"/>
              <w:bottom w:val="nil"/>
              <w:right w:val="nil"/>
            </w:tcBorders>
            <w:shd w:val="clear" w:color="000000" w:fill="FFFFFF"/>
            <w:vAlign w:val="center"/>
            <w:hideMark/>
          </w:tcPr>
          <w:p w14:paraId="33694CA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C_MANPRACGOVT</w:t>
            </w:r>
          </w:p>
        </w:tc>
      </w:tr>
      <w:tr w:rsidR="002E56C3" w:rsidRPr="002E56C3" w14:paraId="3EA4FF6E" w14:textId="77777777" w:rsidTr="0092649D">
        <w:trPr>
          <w:trHeight w:val="283"/>
        </w:trPr>
        <w:tc>
          <w:tcPr>
            <w:tcW w:w="3003" w:type="dxa"/>
            <w:tcBorders>
              <w:top w:val="nil"/>
              <w:left w:val="nil"/>
              <w:bottom w:val="nil"/>
              <w:right w:val="nil"/>
            </w:tcBorders>
            <w:shd w:val="clear" w:color="000000" w:fill="DEE8F1"/>
            <w:vAlign w:val="center"/>
            <w:hideMark/>
          </w:tcPr>
          <w:p w14:paraId="3C207A4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C_DATADECEXTERN_A</w:t>
            </w:r>
          </w:p>
        </w:tc>
        <w:tc>
          <w:tcPr>
            <w:tcW w:w="3003" w:type="dxa"/>
            <w:tcBorders>
              <w:top w:val="nil"/>
              <w:left w:val="nil"/>
              <w:bottom w:val="nil"/>
              <w:right w:val="nil"/>
            </w:tcBorders>
            <w:shd w:val="clear" w:color="000000" w:fill="DEE8F1"/>
            <w:vAlign w:val="center"/>
            <w:hideMark/>
          </w:tcPr>
          <w:p w14:paraId="44FEBBE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C_DATADECFEEDM_AH</w:t>
            </w:r>
          </w:p>
        </w:tc>
        <w:tc>
          <w:tcPr>
            <w:tcW w:w="3004" w:type="dxa"/>
            <w:tcBorders>
              <w:top w:val="nil"/>
              <w:left w:val="nil"/>
              <w:bottom w:val="nil"/>
              <w:right w:val="nil"/>
            </w:tcBorders>
            <w:shd w:val="clear" w:color="000000" w:fill="DEE8F1"/>
            <w:vAlign w:val="center"/>
            <w:hideMark/>
          </w:tcPr>
          <w:p w14:paraId="7B7B277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C_MANPRACINDASS</w:t>
            </w:r>
          </w:p>
        </w:tc>
      </w:tr>
      <w:tr w:rsidR="002E56C3" w:rsidRPr="002E56C3" w14:paraId="71AE06DD" w14:textId="77777777" w:rsidTr="0092649D">
        <w:trPr>
          <w:trHeight w:val="283"/>
        </w:trPr>
        <w:tc>
          <w:tcPr>
            <w:tcW w:w="3003" w:type="dxa"/>
            <w:tcBorders>
              <w:top w:val="nil"/>
              <w:left w:val="nil"/>
              <w:bottom w:val="nil"/>
              <w:right w:val="nil"/>
            </w:tcBorders>
            <w:shd w:val="clear" w:color="000000" w:fill="FFFFFF"/>
            <w:vAlign w:val="center"/>
            <w:hideMark/>
          </w:tcPr>
          <w:p w14:paraId="5AE7EFA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C_DATADECEXTERN_AH</w:t>
            </w:r>
          </w:p>
        </w:tc>
        <w:tc>
          <w:tcPr>
            <w:tcW w:w="3003" w:type="dxa"/>
            <w:tcBorders>
              <w:top w:val="nil"/>
              <w:left w:val="nil"/>
              <w:bottom w:val="nil"/>
              <w:right w:val="nil"/>
            </w:tcBorders>
            <w:shd w:val="clear" w:color="000000" w:fill="FFFFFF"/>
            <w:vAlign w:val="center"/>
            <w:hideMark/>
          </w:tcPr>
          <w:p w14:paraId="0EE1F1E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C_DATADECFEEDM_D</w:t>
            </w:r>
          </w:p>
        </w:tc>
        <w:tc>
          <w:tcPr>
            <w:tcW w:w="3004" w:type="dxa"/>
            <w:tcBorders>
              <w:top w:val="nil"/>
              <w:left w:val="nil"/>
              <w:bottom w:val="nil"/>
              <w:right w:val="nil"/>
            </w:tcBorders>
            <w:shd w:val="clear" w:color="000000" w:fill="FFFFFF"/>
            <w:vAlign w:val="center"/>
            <w:hideMark/>
          </w:tcPr>
          <w:p w14:paraId="0D0AC82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C_MANPRACMBA</w:t>
            </w:r>
          </w:p>
        </w:tc>
      </w:tr>
      <w:tr w:rsidR="002E56C3" w:rsidRPr="002E56C3" w14:paraId="490CDA7E" w14:textId="77777777" w:rsidTr="0092649D">
        <w:trPr>
          <w:trHeight w:val="283"/>
        </w:trPr>
        <w:tc>
          <w:tcPr>
            <w:tcW w:w="3003" w:type="dxa"/>
            <w:tcBorders>
              <w:top w:val="nil"/>
              <w:left w:val="nil"/>
              <w:bottom w:val="nil"/>
              <w:right w:val="nil"/>
            </w:tcBorders>
            <w:shd w:val="clear" w:color="000000" w:fill="DEE8F1"/>
            <w:vAlign w:val="center"/>
            <w:hideMark/>
          </w:tcPr>
          <w:p w14:paraId="3C4A460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C_DATADECEXTERN_D</w:t>
            </w:r>
          </w:p>
        </w:tc>
        <w:tc>
          <w:tcPr>
            <w:tcW w:w="3003" w:type="dxa"/>
            <w:tcBorders>
              <w:top w:val="nil"/>
              <w:left w:val="nil"/>
              <w:bottom w:val="nil"/>
              <w:right w:val="nil"/>
            </w:tcBorders>
            <w:shd w:val="clear" w:color="000000" w:fill="DEE8F1"/>
            <w:vAlign w:val="center"/>
            <w:hideMark/>
          </w:tcPr>
          <w:p w14:paraId="086DF44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C_DATADECFEEDM_M</w:t>
            </w:r>
          </w:p>
        </w:tc>
        <w:tc>
          <w:tcPr>
            <w:tcW w:w="3004" w:type="dxa"/>
            <w:tcBorders>
              <w:top w:val="nil"/>
              <w:left w:val="nil"/>
              <w:bottom w:val="nil"/>
              <w:right w:val="nil"/>
            </w:tcBorders>
            <w:shd w:val="clear" w:color="000000" w:fill="DEE8F1"/>
            <w:vAlign w:val="center"/>
            <w:hideMark/>
          </w:tcPr>
          <w:p w14:paraId="7D41314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C_MANPRACNEWEMP</w:t>
            </w:r>
          </w:p>
        </w:tc>
      </w:tr>
      <w:tr w:rsidR="002E56C3" w:rsidRPr="002E56C3" w14:paraId="443FFFA1" w14:textId="77777777" w:rsidTr="0092649D">
        <w:trPr>
          <w:trHeight w:val="283"/>
        </w:trPr>
        <w:tc>
          <w:tcPr>
            <w:tcW w:w="3003" w:type="dxa"/>
            <w:tcBorders>
              <w:top w:val="nil"/>
              <w:left w:val="nil"/>
              <w:bottom w:val="nil"/>
              <w:right w:val="nil"/>
            </w:tcBorders>
            <w:shd w:val="clear" w:color="000000" w:fill="FFFFFF"/>
            <w:vAlign w:val="center"/>
            <w:hideMark/>
          </w:tcPr>
          <w:p w14:paraId="0D27024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C_DATADECEXTERN_M</w:t>
            </w:r>
          </w:p>
        </w:tc>
        <w:tc>
          <w:tcPr>
            <w:tcW w:w="3003" w:type="dxa"/>
            <w:tcBorders>
              <w:top w:val="nil"/>
              <w:left w:val="nil"/>
              <w:bottom w:val="nil"/>
              <w:right w:val="nil"/>
            </w:tcBorders>
            <w:shd w:val="clear" w:color="000000" w:fill="FFFFFF"/>
            <w:vAlign w:val="center"/>
            <w:hideMark/>
          </w:tcPr>
          <w:p w14:paraId="2C8FCE04"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C_DATADECFEEDM_NA</w:t>
            </w:r>
          </w:p>
        </w:tc>
        <w:tc>
          <w:tcPr>
            <w:tcW w:w="3004" w:type="dxa"/>
            <w:tcBorders>
              <w:top w:val="nil"/>
              <w:left w:val="nil"/>
              <w:bottom w:val="nil"/>
              <w:right w:val="nil"/>
            </w:tcBorders>
            <w:shd w:val="clear" w:color="000000" w:fill="FFFFFF"/>
            <w:vAlign w:val="center"/>
            <w:hideMark/>
          </w:tcPr>
          <w:p w14:paraId="23DF2FF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C_MANPRACNONE</w:t>
            </w:r>
          </w:p>
        </w:tc>
      </w:tr>
      <w:tr w:rsidR="002E56C3" w:rsidRPr="002E56C3" w14:paraId="51DB8D0F" w14:textId="77777777" w:rsidTr="0092649D">
        <w:trPr>
          <w:trHeight w:val="283"/>
        </w:trPr>
        <w:tc>
          <w:tcPr>
            <w:tcW w:w="3003" w:type="dxa"/>
            <w:tcBorders>
              <w:top w:val="nil"/>
              <w:left w:val="nil"/>
              <w:bottom w:val="nil"/>
              <w:right w:val="nil"/>
            </w:tcBorders>
            <w:shd w:val="clear" w:color="000000" w:fill="DEE8F1"/>
            <w:vAlign w:val="center"/>
            <w:hideMark/>
          </w:tcPr>
          <w:p w14:paraId="663EA8B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C_DATADECEXTERN_NA</w:t>
            </w:r>
          </w:p>
        </w:tc>
        <w:tc>
          <w:tcPr>
            <w:tcW w:w="3003" w:type="dxa"/>
            <w:tcBorders>
              <w:top w:val="nil"/>
              <w:left w:val="nil"/>
              <w:bottom w:val="nil"/>
              <w:right w:val="nil"/>
            </w:tcBorders>
            <w:shd w:val="clear" w:color="000000" w:fill="DEE8F1"/>
            <w:vAlign w:val="center"/>
            <w:hideMark/>
          </w:tcPr>
          <w:p w14:paraId="0CDB5D89"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C_DATADECFEEDM_Q</w:t>
            </w:r>
          </w:p>
        </w:tc>
        <w:tc>
          <w:tcPr>
            <w:tcW w:w="3004" w:type="dxa"/>
            <w:tcBorders>
              <w:top w:val="nil"/>
              <w:left w:val="nil"/>
              <w:bottom w:val="nil"/>
              <w:right w:val="nil"/>
            </w:tcBorders>
            <w:shd w:val="clear" w:color="000000" w:fill="DEE8F1"/>
            <w:vAlign w:val="center"/>
            <w:hideMark/>
          </w:tcPr>
          <w:p w14:paraId="569FF73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C_MANPRACPNPRES</w:t>
            </w:r>
          </w:p>
        </w:tc>
      </w:tr>
      <w:tr w:rsidR="002E56C3" w:rsidRPr="002E56C3" w14:paraId="3EF46D5A" w14:textId="77777777" w:rsidTr="0092649D">
        <w:trPr>
          <w:trHeight w:val="283"/>
        </w:trPr>
        <w:tc>
          <w:tcPr>
            <w:tcW w:w="3003" w:type="dxa"/>
            <w:tcBorders>
              <w:top w:val="nil"/>
              <w:left w:val="nil"/>
              <w:bottom w:val="nil"/>
              <w:right w:val="nil"/>
            </w:tcBorders>
            <w:shd w:val="clear" w:color="000000" w:fill="FFFFFF"/>
            <w:vAlign w:val="center"/>
            <w:hideMark/>
          </w:tcPr>
          <w:p w14:paraId="6EBF6C5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C_DATADECEXTERN_Q</w:t>
            </w:r>
          </w:p>
        </w:tc>
        <w:tc>
          <w:tcPr>
            <w:tcW w:w="3003" w:type="dxa"/>
            <w:tcBorders>
              <w:top w:val="nil"/>
              <w:left w:val="nil"/>
              <w:bottom w:val="nil"/>
              <w:right w:val="nil"/>
            </w:tcBorders>
            <w:shd w:val="clear" w:color="000000" w:fill="FFFFFF"/>
            <w:vAlign w:val="center"/>
            <w:hideMark/>
          </w:tcPr>
          <w:p w14:paraId="40AD058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C_DATADECFEEDM_W</w:t>
            </w:r>
          </w:p>
        </w:tc>
        <w:tc>
          <w:tcPr>
            <w:tcW w:w="3004" w:type="dxa"/>
            <w:tcBorders>
              <w:top w:val="nil"/>
              <w:left w:val="nil"/>
              <w:bottom w:val="nil"/>
              <w:right w:val="nil"/>
            </w:tcBorders>
            <w:shd w:val="clear" w:color="000000" w:fill="FFFFFF"/>
            <w:vAlign w:val="center"/>
            <w:hideMark/>
          </w:tcPr>
          <w:p w14:paraId="48BABD13"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C_MANPRACPROFCONF</w:t>
            </w:r>
          </w:p>
        </w:tc>
      </w:tr>
      <w:tr w:rsidR="002E56C3" w:rsidRPr="002E56C3" w14:paraId="13225A88" w14:textId="77777777" w:rsidTr="0092649D">
        <w:trPr>
          <w:trHeight w:val="283"/>
        </w:trPr>
        <w:tc>
          <w:tcPr>
            <w:tcW w:w="3003" w:type="dxa"/>
            <w:tcBorders>
              <w:top w:val="nil"/>
              <w:left w:val="nil"/>
              <w:bottom w:val="nil"/>
              <w:right w:val="nil"/>
            </w:tcBorders>
            <w:shd w:val="clear" w:color="000000" w:fill="DEE8F1"/>
            <w:vAlign w:val="center"/>
            <w:hideMark/>
          </w:tcPr>
          <w:p w14:paraId="4213DB4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C_DATADECEXTERN_W</w:t>
            </w:r>
          </w:p>
        </w:tc>
        <w:tc>
          <w:tcPr>
            <w:tcW w:w="3003" w:type="dxa"/>
            <w:tcBorders>
              <w:top w:val="nil"/>
              <w:left w:val="nil"/>
              <w:bottom w:val="nil"/>
              <w:right w:val="nil"/>
            </w:tcBorders>
            <w:shd w:val="clear" w:color="000000" w:fill="DEE8F1"/>
            <w:vAlign w:val="center"/>
            <w:hideMark/>
          </w:tcPr>
          <w:p w14:paraId="0ED10F5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C_FREQDEMAND_A</w:t>
            </w:r>
          </w:p>
        </w:tc>
        <w:tc>
          <w:tcPr>
            <w:tcW w:w="3004" w:type="dxa"/>
            <w:tcBorders>
              <w:top w:val="nil"/>
              <w:left w:val="nil"/>
              <w:bottom w:val="nil"/>
              <w:right w:val="nil"/>
            </w:tcBorders>
            <w:shd w:val="clear" w:color="000000" w:fill="DEE8F1"/>
            <w:vAlign w:val="center"/>
            <w:hideMark/>
          </w:tcPr>
          <w:p w14:paraId="054715F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C_MANPRACSUPP</w:t>
            </w:r>
          </w:p>
        </w:tc>
      </w:tr>
      <w:tr w:rsidR="002E56C3" w:rsidRPr="002E56C3" w14:paraId="7775B967" w14:textId="77777777" w:rsidTr="0092649D">
        <w:trPr>
          <w:trHeight w:val="283"/>
        </w:trPr>
        <w:tc>
          <w:tcPr>
            <w:tcW w:w="3003" w:type="dxa"/>
            <w:tcBorders>
              <w:top w:val="nil"/>
              <w:left w:val="nil"/>
              <w:bottom w:val="nil"/>
              <w:right w:val="nil"/>
            </w:tcBorders>
            <w:shd w:val="clear" w:color="000000" w:fill="FFFFFF"/>
            <w:vAlign w:val="center"/>
            <w:hideMark/>
          </w:tcPr>
          <w:p w14:paraId="27F7D6E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C_DATADECPRDTEC_A</w:t>
            </w:r>
          </w:p>
        </w:tc>
        <w:tc>
          <w:tcPr>
            <w:tcW w:w="3003" w:type="dxa"/>
            <w:tcBorders>
              <w:top w:val="nil"/>
              <w:left w:val="nil"/>
              <w:bottom w:val="nil"/>
              <w:right w:val="nil"/>
            </w:tcBorders>
            <w:shd w:val="clear" w:color="000000" w:fill="FFFFFF"/>
            <w:vAlign w:val="center"/>
            <w:hideMark/>
          </w:tcPr>
          <w:p w14:paraId="69FCC21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C_FREQDEMAND_AH</w:t>
            </w:r>
          </w:p>
        </w:tc>
        <w:tc>
          <w:tcPr>
            <w:tcW w:w="3004" w:type="dxa"/>
            <w:tcBorders>
              <w:top w:val="nil"/>
              <w:left w:val="nil"/>
              <w:bottom w:val="nil"/>
              <w:right w:val="nil"/>
            </w:tcBorders>
            <w:shd w:val="clear" w:color="000000" w:fill="FFFFFF"/>
            <w:vAlign w:val="center"/>
            <w:hideMark/>
          </w:tcPr>
          <w:p w14:paraId="20AF12E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C_MANPRACUNI</w:t>
            </w:r>
          </w:p>
        </w:tc>
      </w:tr>
      <w:tr w:rsidR="002E56C3" w:rsidRPr="002E56C3" w14:paraId="68071340" w14:textId="77777777" w:rsidTr="0092649D">
        <w:trPr>
          <w:trHeight w:val="283"/>
        </w:trPr>
        <w:tc>
          <w:tcPr>
            <w:tcW w:w="3003" w:type="dxa"/>
            <w:tcBorders>
              <w:top w:val="nil"/>
              <w:left w:val="nil"/>
              <w:bottom w:val="nil"/>
              <w:right w:val="nil"/>
            </w:tcBorders>
            <w:shd w:val="clear" w:color="000000" w:fill="DEE8F1"/>
            <w:vAlign w:val="center"/>
            <w:hideMark/>
          </w:tcPr>
          <w:p w14:paraId="7A56A42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C_DATADECPRDTEC_AH</w:t>
            </w:r>
          </w:p>
        </w:tc>
        <w:tc>
          <w:tcPr>
            <w:tcW w:w="3003" w:type="dxa"/>
            <w:tcBorders>
              <w:top w:val="nil"/>
              <w:left w:val="nil"/>
              <w:bottom w:val="nil"/>
              <w:right w:val="nil"/>
            </w:tcBorders>
            <w:shd w:val="clear" w:color="000000" w:fill="DEE8F1"/>
            <w:vAlign w:val="center"/>
            <w:hideMark/>
          </w:tcPr>
          <w:p w14:paraId="68E4FA4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C_FREQDEMAND_D</w:t>
            </w:r>
          </w:p>
        </w:tc>
        <w:tc>
          <w:tcPr>
            <w:tcW w:w="3004" w:type="dxa"/>
            <w:tcBorders>
              <w:top w:val="nil"/>
              <w:left w:val="nil"/>
              <w:bottom w:val="nil"/>
              <w:right w:val="nil"/>
            </w:tcBorders>
            <w:shd w:val="clear" w:color="000000" w:fill="DEE8F1"/>
            <w:vAlign w:val="center"/>
            <w:hideMark/>
          </w:tcPr>
          <w:p w14:paraId="33629551"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C_MANPRACWEBPUB</w:t>
            </w:r>
          </w:p>
        </w:tc>
      </w:tr>
      <w:tr w:rsidR="002E56C3" w:rsidRPr="002E56C3" w14:paraId="677B74B6" w14:textId="77777777" w:rsidTr="0092649D">
        <w:trPr>
          <w:trHeight w:val="283"/>
        </w:trPr>
        <w:tc>
          <w:tcPr>
            <w:tcW w:w="3003" w:type="dxa"/>
            <w:tcBorders>
              <w:top w:val="nil"/>
              <w:left w:val="nil"/>
              <w:bottom w:val="nil"/>
              <w:right w:val="nil"/>
            </w:tcBorders>
            <w:shd w:val="clear" w:color="000000" w:fill="FFFFFF"/>
            <w:vAlign w:val="center"/>
            <w:hideMark/>
          </w:tcPr>
          <w:p w14:paraId="727A5B62"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C_DATADECPRDTEC_D</w:t>
            </w:r>
          </w:p>
        </w:tc>
        <w:tc>
          <w:tcPr>
            <w:tcW w:w="3003" w:type="dxa"/>
            <w:tcBorders>
              <w:top w:val="nil"/>
              <w:left w:val="nil"/>
              <w:bottom w:val="nil"/>
              <w:right w:val="nil"/>
            </w:tcBorders>
            <w:shd w:val="clear" w:color="000000" w:fill="FFFFFF"/>
            <w:vAlign w:val="center"/>
            <w:hideMark/>
          </w:tcPr>
          <w:p w14:paraId="5B10B65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C_FREQDEMAND_M</w:t>
            </w:r>
          </w:p>
        </w:tc>
        <w:tc>
          <w:tcPr>
            <w:tcW w:w="3004" w:type="dxa"/>
            <w:tcBorders>
              <w:top w:val="nil"/>
              <w:left w:val="nil"/>
              <w:bottom w:val="nil"/>
              <w:right w:val="nil"/>
            </w:tcBorders>
            <w:shd w:val="clear" w:color="000000" w:fill="FFFFFF"/>
            <w:vAlign w:val="center"/>
            <w:hideMark/>
          </w:tcPr>
          <w:p w14:paraId="2B2FE54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C_PREDANALADHOC</w:t>
            </w:r>
          </w:p>
        </w:tc>
      </w:tr>
      <w:tr w:rsidR="002E56C3" w:rsidRPr="002E56C3" w14:paraId="3126BEB9" w14:textId="77777777" w:rsidTr="0092649D">
        <w:trPr>
          <w:trHeight w:val="283"/>
        </w:trPr>
        <w:tc>
          <w:tcPr>
            <w:tcW w:w="3003" w:type="dxa"/>
            <w:tcBorders>
              <w:top w:val="nil"/>
              <w:left w:val="nil"/>
              <w:bottom w:val="nil"/>
              <w:right w:val="nil"/>
            </w:tcBorders>
            <w:shd w:val="clear" w:color="000000" w:fill="DEE8F1"/>
            <w:vAlign w:val="center"/>
            <w:hideMark/>
          </w:tcPr>
          <w:p w14:paraId="0639527F"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C_DATADECPRDTEC_M</w:t>
            </w:r>
          </w:p>
        </w:tc>
        <w:tc>
          <w:tcPr>
            <w:tcW w:w="3003" w:type="dxa"/>
            <w:tcBorders>
              <w:top w:val="nil"/>
              <w:left w:val="nil"/>
              <w:bottom w:val="nil"/>
              <w:right w:val="nil"/>
            </w:tcBorders>
            <w:shd w:val="clear" w:color="000000" w:fill="DEE8F1"/>
            <w:vAlign w:val="center"/>
            <w:hideMark/>
          </w:tcPr>
          <w:p w14:paraId="601E869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C_FREQDEMAND_NA</w:t>
            </w:r>
          </w:p>
        </w:tc>
        <w:tc>
          <w:tcPr>
            <w:tcW w:w="3004" w:type="dxa"/>
            <w:tcBorders>
              <w:top w:val="nil"/>
              <w:left w:val="nil"/>
              <w:bottom w:val="nil"/>
              <w:right w:val="nil"/>
            </w:tcBorders>
            <w:shd w:val="clear" w:color="000000" w:fill="DEE8F1"/>
            <w:vAlign w:val="center"/>
            <w:hideMark/>
          </w:tcPr>
          <w:p w14:paraId="0E1E080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C_PREDANALANNUAL</w:t>
            </w:r>
          </w:p>
        </w:tc>
      </w:tr>
      <w:tr w:rsidR="002E56C3" w:rsidRPr="002E56C3" w14:paraId="21FC66AA" w14:textId="77777777" w:rsidTr="0092649D">
        <w:trPr>
          <w:trHeight w:val="283"/>
        </w:trPr>
        <w:tc>
          <w:tcPr>
            <w:tcW w:w="3003" w:type="dxa"/>
            <w:tcBorders>
              <w:top w:val="nil"/>
              <w:left w:val="nil"/>
              <w:bottom w:val="nil"/>
              <w:right w:val="nil"/>
            </w:tcBorders>
            <w:shd w:val="clear" w:color="000000" w:fill="FFFFFF"/>
            <w:vAlign w:val="center"/>
            <w:hideMark/>
          </w:tcPr>
          <w:p w14:paraId="366F924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C_STRATPLAN</w:t>
            </w:r>
          </w:p>
        </w:tc>
        <w:tc>
          <w:tcPr>
            <w:tcW w:w="3003" w:type="dxa"/>
            <w:tcBorders>
              <w:top w:val="nil"/>
              <w:left w:val="nil"/>
              <w:bottom w:val="nil"/>
              <w:right w:val="nil"/>
            </w:tcBorders>
            <w:shd w:val="clear" w:color="000000" w:fill="FFFFFF"/>
            <w:vAlign w:val="center"/>
            <w:hideMark/>
          </w:tcPr>
          <w:p w14:paraId="714C7EA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C_FOCKPIENVMEASURE</w:t>
            </w:r>
          </w:p>
        </w:tc>
        <w:tc>
          <w:tcPr>
            <w:tcW w:w="3004" w:type="dxa"/>
            <w:tcBorders>
              <w:top w:val="nil"/>
              <w:left w:val="nil"/>
              <w:bottom w:val="nil"/>
              <w:right w:val="nil"/>
            </w:tcBorders>
            <w:shd w:val="clear" w:color="000000" w:fill="FFFFFF"/>
            <w:vAlign w:val="center"/>
            <w:hideMark/>
          </w:tcPr>
          <w:p w14:paraId="1EA45923"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C_FOCKPIHRMEASURE</w:t>
            </w:r>
          </w:p>
        </w:tc>
      </w:tr>
      <w:tr w:rsidR="002E56C3" w:rsidRPr="002E56C3" w14:paraId="56735B8D" w14:textId="77777777" w:rsidTr="0092649D">
        <w:trPr>
          <w:trHeight w:val="283"/>
        </w:trPr>
        <w:tc>
          <w:tcPr>
            <w:tcW w:w="3003" w:type="dxa"/>
            <w:tcBorders>
              <w:top w:val="nil"/>
              <w:left w:val="nil"/>
              <w:bottom w:val="nil"/>
              <w:right w:val="nil"/>
            </w:tcBorders>
            <w:shd w:val="clear" w:color="000000" w:fill="DEE8F1"/>
            <w:vAlign w:val="center"/>
            <w:hideMark/>
          </w:tcPr>
          <w:p w14:paraId="6AFB3E2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C_KPIMONITORED</w:t>
            </w:r>
          </w:p>
        </w:tc>
        <w:tc>
          <w:tcPr>
            <w:tcW w:w="3003" w:type="dxa"/>
            <w:tcBorders>
              <w:top w:val="nil"/>
              <w:left w:val="nil"/>
              <w:bottom w:val="nil"/>
              <w:right w:val="nil"/>
            </w:tcBorders>
            <w:shd w:val="clear" w:color="000000" w:fill="DEE8F1"/>
            <w:vAlign w:val="center"/>
            <w:hideMark/>
          </w:tcPr>
          <w:p w14:paraId="438C596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C_FOCKPIFINMEASURE</w:t>
            </w:r>
          </w:p>
        </w:tc>
        <w:tc>
          <w:tcPr>
            <w:tcW w:w="3004" w:type="dxa"/>
            <w:tcBorders>
              <w:top w:val="nil"/>
              <w:left w:val="nil"/>
              <w:bottom w:val="nil"/>
              <w:right w:val="nil"/>
            </w:tcBorders>
            <w:shd w:val="clear" w:color="000000" w:fill="DEE8F1"/>
            <w:vAlign w:val="center"/>
            <w:hideMark/>
          </w:tcPr>
          <w:p w14:paraId="7A4F7CC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C_FOCKPIHTHSAFMEAS</w:t>
            </w:r>
          </w:p>
        </w:tc>
      </w:tr>
      <w:tr w:rsidR="002E56C3" w:rsidRPr="002E56C3" w14:paraId="199D2850" w14:textId="77777777" w:rsidTr="0092649D">
        <w:trPr>
          <w:trHeight w:val="283"/>
        </w:trPr>
        <w:tc>
          <w:tcPr>
            <w:tcW w:w="3003" w:type="dxa"/>
            <w:tcBorders>
              <w:top w:val="nil"/>
              <w:left w:val="nil"/>
              <w:bottom w:val="nil"/>
              <w:right w:val="nil"/>
            </w:tcBorders>
            <w:shd w:val="clear" w:color="000000" w:fill="FFFFFF"/>
            <w:vAlign w:val="center"/>
            <w:hideMark/>
          </w:tcPr>
          <w:p w14:paraId="228C07F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C_DATACOLOTH</w:t>
            </w:r>
          </w:p>
        </w:tc>
        <w:tc>
          <w:tcPr>
            <w:tcW w:w="3003" w:type="dxa"/>
            <w:tcBorders>
              <w:top w:val="nil"/>
              <w:left w:val="nil"/>
              <w:bottom w:val="nil"/>
              <w:right w:val="nil"/>
            </w:tcBorders>
            <w:shd w:val="clear" w:color="000000" w:fill="FFFFFF"/>
            <w:vAlign w:val="center"/>
            <w:hideMark/>
          </w:tcPr>
          <w:p w14:paraId="711A5D1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C_STRATPLAN</w:t>
            </w:r>
          </w:p>
        </w:tc>
        <w:tc>
          <w:tcPr>
            <w:tcW w:w="3004" w:type="dxa"/>
            <w:tcBorders>
              <w:top w:val="nil"/>
              <w:left w:val="nil"/>
              <w:bottom w:val="nil"/>
              <w:right w:val="nil"/>
            </w:tcBorders>
            <w:shd w:val="clear" w:color="000000" w:fill="FFFFFF"/>
            <w:vAlign w:val="center"/>
            <w:hideMark/>
          </w:tcPr>
          <w:p w14:paraId="1B72AE8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C_KPIMONITORED</w:t>
            </w:r>
          </w:p>
        </w:tc>
      </w:tr>
      <w:tr w:rsidR="002E56C3" w:rsidRPr="002E56C3" w14:paraId="4F71DE3D" w14:textId="77777777" w:rsidTr="0092649D">
        <w:trPr>
          <w:trHeight w:val="283"/>
        </w:trPr>
        <w:tc>
          <w:tcPr>
            <w:tcW w:w="3003" w:type="dxa"/>
            <w:tcBorders>
              <w:top w:val="nil"/>
              <w:left w:val="nil"/>
              <w:bottom w:val="nil"/>
              <w:right w:val="nil"/>
            </w:tcBorders>
            <w:shd w:val="clear" w:color="000000" w:fill="DEE8F1"/>
            <w:vAlign w:val="center"/>
            <w:hideMark/>
          </w:tcPr>
          <w:p w14:paraId="3D20474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C_FOCKPISOCMEASURE</w:t>
            </w:r>
          </w:p>
        </w:tc>
        <w:tc>
          <w:tcPr>
            <w:tcW w:w="3003" w:type="dxa"/>
            <w:tcBorders>
              <w:top w:val="nil"/>
              <w:left w:val="nil"/>
              <w:bottom w:val="nil"/>
              <w:right w:val="nil"/>
            </w:tcBorders>
            <w:shd w:val="clear" w:color="000000" w:fill="DEE8F1"/>
            <w:vAlign w:val="center"/>
            <w:hideMark/>
          </w:tcPr>
          <w:p w14:paraId="1A5C1E5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C_ENVMANLIFECYCL</w:t>
            </w:r>
          </w:p>
        </w:tc>
        <w:tc>
          <w:tcPr>
            <w:tcW w:w="3004" w:type="dxa"/>
            <w:tcBorders>
              <w:top w:val="nil"/>
              <w:left w:val="nil"/>
              <w:bottom w:val="nil"/>
              <w:right w:val="nil"/>
            </w:tcBorders>
            <w:shd w:val="clear" w:color="000000" w:fill="DEE8F1"/>
            <w:vAlign w:val="center"/>
            <w:hideMark/>
          </w:tcPr>
          <w:p w14:paraId="5B044FAF"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C_ENVMANSTAFFRESP</w:t>
            </w:r>
          </w:p>
        </w:tc>
      </w:tr>
      <w:tr w:rsidR="002E56C3" w:rsidRPr="002E56C3" w14:paraId="71177893" w14:textId="77777777" w:rsidTr="0092649D">
        <w:trPr>
          <w:trHeight w:val="283"/>
        </w:trPr>
        <w:tc>
          <w:tcPr>
            <w:tcW w:w="3003" w:type="dxa"/>
            <w:tcBorders>
              <w:top w:val="nil"/>
              <w:left w:val="nil"/>
              <w:bottom w:val="nil"/>
              <w:right w:val="nil"/>
            </w:tcBorders>
            <w:shd w:val="clear" w:color="000000" w:fill="DEE8F1"/>
            <w:vAlign w:val="center"/>
            <w:hideMark/>
          </w:tcPr>
          <w:p w14:paraId="5E67B90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C_PREDANALDAY</w:t>
            </w:r>
          </w:p>
        </w:tc>
        <w:tc>
          <w:tcPr>
            <w:tcW w:w="3003" w:type="dxa"/>
            <w:tcBorders>
              <w:top w:val="nil"/>
              <w:left w:val="nil"/>
              <w:bottom w:val="nil"/>
              <w:right w:val="nil"/>
            </w:tcBorders>
            <w:shd w:val="clear" w:color="000000" w:fill="FFFFFF"/>
            <w:vAlign w:val="center"/>
            <w:hideMark/>
          </w:tcPr>
          <w:p w14:paraId="4C33215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C_ENVMANPRODDES</w:t>
            </w:r>
          </w:p>
        </w:tc>
        <w:tc>
          <w:tcPr>
            <w:tcW w:w="3004" w:type="dxa"/>
            <w:tcBorders>
              <w:top w:val="nil"/>
              <w:left w:val="nil"/>
              <w:bottom w:val="nil"/>
              <w:right w:val="nil"/>
            </w:tcBorders>
            <w:shd w:val="clear" w:color="000000" w:fill="FFFFFF"/>
            <w:vAlign w:val="center"/>
            <w:hideMark/>
          </w:tcPr>
          <w:p w14:paraId="60928C2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C_ENVMANSUSTCUST</w:t>
            </w:r>
          </w:p>
        </w:tc>
      </w:tr>
      <w:tr w:rsidR="002E56C3" w:rsidRPr="002E56C3" w14:paraId="784170CB" w14:textId="77777777" w:rsidTr="0092649D">
        <w:trPr>
          <w:trHeight w:val="283"/>
        </w:trPr>
        <w:tc>
          <w:tcPr>
            <w:tcW w:w="3003" w:type="dxa"/>
            <w:tcBorders>
              <w:top w:val="nil"/>
              <w:left w:val="nil"/>
              <w:bottom w:val="nil"/>
              <w:right w:val="nil"/>
            </w:tcBorders>
            <w:shd w:val="clear" w:color="000000" w:fill="FFFFFF"/>
            <w:vAlign w:val="center"/>
            <w:hideMark/>
          </w:tcPr>
          <w:p w14:paraId="2C799963"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C_PREDANALMONTH</w:t>
            </w:r>
          </w:p>
        </w:tc>
        <w:tc>
          <w:tcPr>
            <w:tcW w:w="3003" w:type="dxa"/>
            <w:tcBorders>
              <w:top w:val="nil"/>
              <w:left w:val="nil"/>
              <w:bottom w:val="nil"/>
              <w:right w:val="nil"/>
            </w:tcBorders>
            <w:shd w:val="clear" w:color="000000" w:fill="DEE8F1"/>
            <w:vAlign w:val="center"/>
            <w:hideMark/>
          </w:tcPr>
          <w:p w14:paraId="4FFE39B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C_ENVMANRECYCMAT</w:t>
            </w:r>
          </w:p>
        </w:tc>
        <w:tc>
          <w:tcPr>
            <w:tcW w:w="3004" w:type="dxa"/>
            <w:tcBorders>
              <w:top w:val="nil"/>
              <w:left w:val="nil"/>
              <w:bottom w:val="nil"/>
              <w:right w:val="nil"/>
            </w:tcBorders>
            <w:shd w:val="clear" w:color="000000" w:fill="DEE8F1"/>
            <w:vAlign w:val="center"/>
            <w:hideMark/>
          </w:tcPr>
          <w:p w14:paraId="66F8F7A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C_ENVMANWASTEAUD</w:t>
            </w:r>
          </w:p>
        </w:tc>
      </w:tr>
      <w:tr w:rsidR="002E56C3" w:rsidRPr="002E56C3" w14:paraId="529614F7" w14:textId="77777777" w:rsidTr="0092649D">
        <w:trPr>
          <w:trHeight w:val="283"/>
        </w:trPr>
        <w:tc>
          <w:tcPr>
            <w:tcW w:w="3003" w:type="dxa"/>
            <w:tcBorders>
              <w:top w:val="nil"/>
              <w:left w:val="nil"/>
              <w:bottom w:val="nil"/>
              <w:right w:val="nil"/>
            </w:tcBorders>
            <w:shd w:val="clear" w:color="000000" w:fill="DEE8F1"/>
            <w:vAlign w:val="center"/>
            <w:hideMark/>
          </w:tcPr>
          <w:p w14:paraId="0191259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C_PREDANALNEVER</w:t>
            </w:r>
          </w:p>
        </w:tc>
        <w:tc>
          <w:tcPr>
            <w:tcW w:w="3003" w:type="dxa"/>
            <w:tcBorders>
              <w:top w:val="nil"/>
              <w:left w:val="nil"/>
              <w:bottom w:val="nil"/>
              <w:right w:val="nil"/>
            </w:tcBorders>
            <w:shd w:val="clear" w:color="000000" w:fill="FFFFFF"/>
            <w:vAlign w:val="center"/>
            <w:hideMark/>
          </w:tcPr>
          <w:p w14:paraId="385CDA44"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C_ENVMANREDENGCON</w:t>
            </w:r>
          </w:p>
        </w:tc>
        <w:tc>
          <w:tcPr>
            <w:tcW w:w="3004" w:type="dxa"/>
            <w:tcBorders>
              <w:top w:val="nil"/>
              <w:left w:val="nil"/>
              <w:bottom w:val="nil"/>
              <w:right w:val="nil"/>
            </w:tcBorders>
            <w:shd w:val="clear" w:color="000000" w:fill="FFFFFF"/>
            <w:vAlign w:val="center"/>
            <w:hideMark/>
          </w:tcPr>
          <w:p w14:paraId="5D2E419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C_DATACOLCUST</w:t>
            </w:r>
          </w:p>
        </w:tc>
      </w:tr>
      <w:tr w:rsidR="002E56C3" w:rsidRPr="002E56C3" w14:paraId="6FFE4FF3" w14:textId="77777777" w:rsidTr="0092649D">
        <w:trPr>
          <w:trHeight w:val="283"/>
        </w:trPr>
        <w:tc>
          <w:tcPr>
            <w:tcW w:w="3003" w:type="dxa"/>
            <w:tcBorders>
              <w:top w:val="nil"/>
              <w:left w:val="nil"/>
              <w:bottom w:val="nil"/>
              <w:right w:val="nil"/>
            </w:tcBorders>
            <w:shd w:val="clear" w:color="000000" w:fill="FFFFFF"/>
            <w:vAlign w:val="center"/>
            <w:hideMark/>
          </w:tcPr>
          <w:p w14:paraId="62AF37E5"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C_PREDANALQURT</w:t>
            </w:r>
          </w:p>
        </w:tc>
        <w:tc>
          <w:tcPr>
            <w:tcW w:w="3003" w:type="dxa"/>
            <w:tcBorders>
              <w:top w:val="nil"/>
              <w:left w:val="nil"/>
              <w:bottom w:val="nil"/>
              <w:right w:val="nil"/>
            </w:tcBorders>
            <w:shd w:val="clear" w:color="000000" w:fill="DEE8F1"/>
            <w:vAlign w:val="center"/>
            <w:hideMark/>
          </w:tcPr>
          <w:p w14:paraId="7700492B"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C_ENVMANREDFPNGSP</w:t>
            </w:r>
          </w:p>
        </w:tc>
        <w:tc>
          <w:tcPr>
            <w:tcW w:w="3004" w:type="dxa"/>
            <w:tcBorders>
              <w:top w:val="nil"/>
              <w:left w:val="nil"/>
              <w:bottom w:val="nil"/>
              <w:right w:val="nil"/>
            </w:tcBorders>
            <w:shd w:val="clear" w:color="000000" w:fill="DEE8F1"/>
            <w:vAlign w:val="center"/>
            <w:hideMark/>
          </w:tcPr>
          <w:p w14:paraId="6103F5E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C_DATACOLEMP</w:t>
            </w:r>
          </w:p>
        </w:tc>
      </w:tr>
      <w:tr w:rsidR="002E56C3" w:rsidRPr="002E56C3" w14:paraId="6C16F2C4" w14:textId="77777777" w:rsidTr="0092649D">
        <w:trPr>
          <w:trHeight w:val="283"/>
        </w:trPr>
        <w:tc>
          <w:tcPr>
            <w:tcW w:w="3003" w:type="dxa"/>
            <w:tcBorders>
              <w:top w:val="nil"/>
              <w:left w:val="nil"/>
              <w:bottom w:val="nil"/>
              <w:right w:val="nil"/>
            </w:tcBorders>
            <w:shd w:val="clear" w:color="000000" w:fill="DEE8F1"/>
            <w:vAlign w:val="center"/>
            <w:hideMark/>
          </w:tcPr>
          <w:p w14:paraId="0A4E08B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C_PREDANALWEEK</w:t>
            </w:r>
          </w:p>
        </w:tc>
        <w:tc>
          <w:tcPr>
            <w:tcW w:w="3003" w:type="dxa"/>
            <w:tcBorders>
              <w:top w:val="nil"/>
              <w:left w:val="nil"/>
              <w:bottom w:val="nil"/>
              <w:right w:val="nil"/>
            </w:tcBorders>
            <w:shd w:val="clear" w:color="000000" w:fill="FFFFFF"/>
            <w:vAlign w:val="center"/>
            <w:hideMark/>
          </w:tcPr>
          <w:p w14:paraId="6EB18D53"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C_ENVMANREDFPRND</w:t>
            </w:r>
          </w:p>
        </w:tc>
        <w:tc>
          <w:tcPr>
            <w:tcW w:w="3004" w:type="dxa"/>
            <w:tcBorders>
              <w:top w:val="nil"/>
              <w:left w:val="nil"/>
              <w:bottom w:val="nil"/>
              <w:right w:val="nil"/>
            </w:tcBorders>
            <w:shd w:val="clear" w:color="000000" w:fill="FFFFFF"/>
            <w:vAlign w:val="center"/>
            <w:hideMark/>
          </w:tcPr>
          <w:p w14:paraId="2C87AD7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C_DATACOLGOVTREG</w:t>
            </w:r>
          </w:p>
        </w:tc>
      </w:tr>
      <w:tr w:rsidR="002E56C3" w:rsidRPr="002E56C3" w14:paraId="65F3749F" w14:textId="77777777" w:rsidTr="0092649D">
        <w:trPr>
          <w:trHeight w:val="283"/>
        </w:trPr>
        <w:tc>
          <w:tcPr>
            <w:tcW w:w="3003" w:type="dxa"/>
            <w:tcBorders>
              <w:top w:val="nil"/>
              <w:left w:val="nil"/>
              <w:bottom w:val="nil"/>
              <w:right w:val="nil"/>
            </w:tcBorders>
            <w:shd w:val="clear" w:color="000000" w:fill="FFFFFF"/>
            <w:vAlign w:val="center"/>
            <w:hideMark/>
          </w:tcPr>
          <w:p w14:paraId="476C340D"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C_ENVMANACTNONE</w:t>
            </w:r>
          </w:p>
        </w:tc>
        <w:tc>
          <w:tcPr>
            <w:tcW w:w="3003" w:type="dxa"/>
            <w:tcBorders>
              <w:top w:val="nil"/>
              <w:left w:val="nil"/>
              <w:bottom w:val="nil"/>
              <w:right w:val="nil"/>
            </w:tcBorders>
            <w:shd w:val="clear" w:color="000000" w:fill="DEE8F1"/>
            <w:vAlign w:val="center"/>
            <w:hideMark/>
          </w:tcPr>
          <w:p w14:paraId="1D15B177"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C_ENVMANREDH2OCON</w:t>
            </w:r>
          </w:p>
        </w:tc>
        <w:tc>
          <w:tcPr>
            <w:tcW w:w="3004" w:type="dxa"/>
            <w:tcBorders>
              <w:top w:val="nil"/>
              <w:left w:val="nil"/>
              <w:bottom w:val="nil"/>
              <w:right w:val="nil"/>
            </w:tcBorders>
            <w:shd w:val="clear" w:color="000000" w:fill="DEE8F1"/>
            <w:vAlign w:val="center"/>
            <w:hideMark/>
          </w:tcPr>
          <w:p w14:paraId="6445D46E"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C_DATACOLMANBUS</w:t>
            </w:r>
          </w:p>
        </w:tc>
      </w:tr>
      <w:tr w:rsidR="002E56C3" w:rsidRPr="002E56C3" w14:paraId="622F4829" w14:textId="77777777" w:rsidTr="0092649D">
        <w:trPr>
          <w:trHeight w:val="283"/>
        </w:trPr>
        <w:tc>
          <w:tcPr>
            <w:tcW w:w="3003" w:type="dxa"/>
            <w:tcBorders>
              <w:top w:val="nil"/>
              <w:left w:val="nil"/>
              <w:bottom w:val="nil"/>
              <w:right w:val="nil"/>
            </w:tcBorders>
            <w:shd w:val="clear" w:color="000000" w:fill="DEE8F1"/>
            <w:vAlign w:val="center"/>
            <w:hideMark/>
          </w:tcPr>
          <w:p w14:paraId="47CDF0D8"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C_ENVMANAIRPOLL</w:t>
            </w:r>
          </w:p>
        </w:tc>
        <w:tc>
          <w:tcPr>
            <w:tcW w:w="3003" w:type="dxa"/>
            <w:tcBorders>
              <w:top w:val="nil"/>
              <w:left w:val="nil"/>
              <w:bottom w:val="nil"/>
              <w:right w:val="nil"/>
            </w:tcBorders>
            <w:shd w:val="clear" w:color="000000" w:fill="FFFFFF"/>
            <w:vAlign w:val="center"/>
            <w:hideMark/>
          </w:tcPr>
          <w:p w14:paraId="429D7CB0"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C_ENVMANREDPOLL</w:t>
            </w:r>
          </w:p>
        </w:tc>
        <w:tc>
          <w:tcPr>
            <w:tcW w:w="3004" w:type="dxa"/>
            <w:tcBorders>
              <w:top w:val="nil"/>
              <w:left w:val="nil"/>
              <w:bottom w:val="nil"/>
              <w:right w:val="nil"/>
            </w:tcBorders>
            <w:shd w:val="clear" w:color="000000" w:fill="FFFFFF"/>
            <w:vAlign w:val="center"/>
            <w:hideMark/>
          </w:tcPr>
          <w:p w14:paraId="2EC54D32"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C_DATACOLMANOTHBUS</w:t>
            </w:r>
          </w:p>
        </w:tc>
      </w:tr>
      <w:tr w:rsidR="002E56C3" w:rsidRPr="002E56C3" w14:paraId="7D09921F" w14:textId="77777777" w:rsidTr="0092649D">
        <w:trPr>
          <w:trHeight w:val="283"/>
        </w:trPr>
        <w:tc>
          <w:tcPr>
            <w:tcW w:w="3003" w:type="dxa"/>
            <w:tcBorders>
              <w:top w:val="nil"/>
              <w:left w:val="nil"/>
              <w:bottom w:val="nil"/>
              <w:right w:val="nil"/>
            </w:tcBorders>
            <w:shd w:val="clear" w:color="000000" w:fill="FFFFFF"/>
            <w:vAlign w:val="center"/>
            <w:hideMark/>
          </w:tcPr>
          <w:p w14:paraId="4AF0344C"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C_ENVMANEDUSTAFF</w:t>
            </w:r>
          </w:p>
        </w:tc>
        <w:tc>
          <w:tcPr>
            <w:tcW w:w="3003" w:type="dxa"/>
            <w:tcBorders>
              <w:top w:val="nil"/>
              <w:left w:val="nil"/>
              <w:bottom w:val="nil"/>
              <w:right w:val="nil"/>
            </w:tcBorders>
            <w:shd w:val="clear" w:color="000000" w:fill="DEE8F1"/>
            <w:vAlign w:val="center"/>
            <w:hideMark/>
          </w:tcPr>
          <w:p w14:paraId="7C13148F"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C_ENVMANREDRAWMAT</w:t>
            </w:r>
          </w:p>
        </w:tc>
        <w:tc>
          <w:tcPr>
            <w:tcW w:w="3004" w:type="dxa"/>
            <w:tcBorders>
              <w:top w:val="nil"/>
              <w:left w:val="nil"/>
              <w:bottom w:val="nil"/>
              <w:right w:val="nil"/>
            </w:tcBorders>
            <w:shd w:val="clear" w:color="000000" w:fill="DEE8F1"/>
            <w:vAlign w:val="center"/>
            <w:hideMark/>
          </w:tcPr>
          <w:p w14:paraId="0308A0B3"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C_DATACOLNONE</w:t>
            </w:r>
          </w:p>
        </w:tc>
      </w:tr>
      <w:tr w:rsidR="002E56C3" w:rsidRPr="002E56C3" w14:paraId="61A896D7" w14:textId="77777777" w:rsidTr="0092649D">
        <w:trPr>
          <w:trHeight w:val="283"/>
        </w:trPr>
        <w:tc>
          <w:tcPr>
            <w:tcW w:w="3003" w:type="dxa"/>
            <w:tcBorders>
              <w:top w:val="nil"/>
              <w:left w:val="nil"/>
              <w:bottom w:val="nil"/>
              <w:right w:val="nil"/>
            </w:tcBorders>
            <w:shd w:val="clear" w:color="000000" w:fill="DEE8F1"/>
            <w:vAlign w:val="center"/>
            <w:hideMark/>
          </w:tcPr>
          <w:p w14:paraId="733797B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C_ENVMANGRNPURCH</w:t>
            </w:r>
          </w:p>
        </w:tc>
        <w:tc>
          <w:tcPr>
            <w:tcW w:w="3003" w:type="dxa"/>
            <w:tcBorders>
              <w:top w:val="nil"/>
              <w:left w:val="nil"/>
              <w:bottom w:val="nil"/>
              <w:right w:val="nil"/>
            </w:tcBorders>
            <w:shd w:val="clear" w:color="000000" w:fill="FFFFFF"/>
            <w:vAlign w:val="center"/>
            <w:hideMark/>
          </w:tcPr>
          <w:p w14:paraId="36C419FA"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C_ENVMANRISKASS</w:t>
            </w:r>
          </w:p>
        </w:tc>
        <w:tc>
          <w:tcPr>
            <w:tcW w:w="3004" w:type="dxa"/>
            <w:tcBorders>
              <w:top w:val="nil"/>
              <w:left w:val="nil"/>
              <w:bottom w:val="nil"/>
              <w:right w:val="nil"/>
            </w:tcBorders>
            <w:shd w:val="clear" w:color="000000" w:fill="FFFFFF"/>
            <w:vAlign w:val="center"/>
            <w:hideMark/>
          </w:tcPr>
          <w:p w14:paraId="1C256536"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C_FOCKPIINNOVMEAS</w:t>
            </w:r>
          </w:p>
        </w:tc>
      </w:tr>
      <w:tr w:rsidR="002E56C3" w:rsidRPr="002E56C3" w14:paraId="321B9D06" w14:textId="77777777" w:rsidTr="0092649D">
        <w:trPr>
          <w:trHeight w:val="283"/>
        </w:trPr>
        <w:tc>
          <w:tcPr>
            <w:tcW w:w="3003" w:type="dxa"/>
            <w:tcBorders>
              <w:top w:val="nil"/>
              <w:left w:val="nil"/>
              <w:bottom w:val="nil"/>
              <w:right w:val="nil"/>
            </w:tcBorders>
            <w:shd w:val="clear" w:color="000000" w:fill="FFFFFF"/>
            <w:vAlign w:val="center"/>
            <w:hideMark/>
          </w:tcPr>
          <w:p w14:paraId="1BAFA839"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C_ENVMANIMPPOL</w:t>
            </w:r>
          </w:p>
        </w:tc>
        <w:tc>
          <w:tcPr>
            <w:tcW w:w="3003" w:type="dxa"/>
            <w:tcBorders>
              <w:top w:val="nil"/>
              <w:left w:val="nil"/>
              <w:bottom w:val="nil"/>
              <w:right w:val="nil"/>
            </w:tcBorders>
            <w:shd w:val="clear" w:color="000000" w:fill="FFFFFF"/>
            <w:vAlign w:val="center"/>
            <w:hideMark/>
          </w:tcPr>
          <w:p w14:paraId="3CD55EAF"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C_FOCKPIQUALMEAS</w:t>
            </w:r>
          </w:p>
        </w:tc>
        <w:tc>
          <w:tcPr>
            <w:tcW w:w="3004" w:type="dxa"/>
            <w:tcBorders>
              <w:top w:val="nil"/>
              <w:left w:val="nil"/>
              <w:bottom w:val="nil"/>
              <w:right w:val="nil"/>
            </w:tcBorders>
            <w:shd w:val="clear" w:color="000000" w:fill="DEE8F1"/>
            <w:vAlign w:val="center"/>
            <w:hideMark/>
          </w:tcPr>
          <w:p w14:paraId="609E4074" w14:textId="77777777" w:rsidR="002E56C3" w:rsidRPr="002E56C3" w:rsidRDefault="002E56C3" w:rsidP="002E56C3">
            <w:pPr>
              <w:spacing w:after="0" w:line="240" w:lineRule="auto"/>
              <w:ind w:left="0"/>
              <w:jc w:val="left"/>
              <w:rPr>
                <w:rFonts w:eastAsia="Times New Roman" w:cs="Arial"/>
                <w:sz w:val="18"/>
                <w:szCs w:val="18"/>
                <w:lang w:eastAsia="en-AU"/>
              </w:rPr>
            </w:pPr>
            <w:r w:rsidRPr="002E56C3">
              <w:rPr>
                <w:rFonts w:eastAsia="Times New Roman" w:cs="Arial"/>
                <w:sz w:val="18"/>
                <w:szCs w:val="18"/>
                <w:lang w:eastAsia="en-AU"/>
              </w:rPr>
              <w:t>C_FOCKPIOPMEASURE</w:t>
            </w:r>
          </w:p>
        </w:tc>
      </w:tr>
    </w:tbl>
    <w:p w14:paraId="216A869E" w14:textId="2C9283AA" w:rsidR="00C663A7" w:rsidRPr="00457265" w:rsidRDefault="00C663A7" w:rsidP="0092649D">
      <w:pPr>
        <w:pStyle w:val="PlaceholderWide"/>
      </w:pPr>
    </w:p>
    <w:p w14:paraId="0EBB2B33" w14:textId="77777777" w:rsidR="00C663A7" w:rsidRPr="00DC5EFA" w:rsidRDefault="00C663A7" w:rsidP="00B9070F">
      <w:pPr>
        <w:pStyle w:val="SourceWide"/>
        <w:ind w:left="-2127"/>
      </w:pPr>
      <w:r>
        <w:t xml:space="preserve">Source: </w:t>
      </w:r>
      <w:r w:rsidRPr="00095563">
        <w:t>Business Longitudinal Analysis Data Environment (2018)</w:t>
      </w:r>
    </w:p>
    <w:p w14:paraId="1F9030F4" w14:textId="674B6D1B" w:rsidR="005F7EB4" w:rsidRDefault="005F7EB4" w:rsidP="002468C0">
      <w:pPr>
        <w:pStyle w:val="Heading1"/>
        <w:ind w:left="-1985" w:firstLine="0"/>
        <w:rPr>
          <w:lang w:val="en"/>
        </w:rPr>
      </w:pPr>
      <w:r>
        <w:rPr>
          <w:lang w:val="en"/>
        </w:rPr>
        <w:lastRenderedPageBreak/>
        <w:t xml:space="preserve">Appendix </w:t>
      </w:r>
      <w:r w:rsidR="00CB2D5A">
        <w:rPr>
          <w:lang w:val="en"/>
        </w:rPr>
        <w:t>F</w:t>
      </w:r>
      <w:r>
        <w:rPr>
          <w:lang w:val="en"/>
        </w:rPr>
        <w:t>: Logistic regression</w:t>
      </w:r>
    </w:p>
    <w:p w14:paraId="1DEFD6C4" w14:textId="7EF3697E" w:rsidR="00F35810" w:rsidRDefault="00F35810" w:rsidP="002468C0">
      <w:pPr>
        <w:pStyle w:val="CaptionWide"/>
      </w:pPr>
      <w:r w:rsidRPr="000618FB">
        <w:t xml:space="preserve">Table </w:t>
      </w:r>
      <w:r w:rsidR="00644285">
        <w:t>F</w:t>
      </w:r>
      <w:r w:rsidRPr="000618FB">
        <w:t>.</w:t>
      </w:r>
      <w:r w:rsidR="00C5233C">
        <w:rPr>
          <w:noProof/>
        </w:rPr>
        <w:fldChar w:fldCharType="begin"/>
      </w:r>
      <w:r w:rsidR="00C5233C">
        <w:rPr>
          <w:noProof/>
        </w:rPr>
        <w:instrText xml:space="preserve"> SEQ Table \* ARABIC \s 1 </w:instrText>
      </w:r>
      <w:r w:rsidR="00C5233C">
        <w:rPr>
          <w:noProof/>
        </w:rPr>
        <w:fldChar w:fldCharType="separate"/>
      </w:r>
      <w:r w:rsidR="0001154F">
        <w:rPr>
          <w:noProof/>
        </w:rPr>
        <w:t>1</w:t>
      </w:r>
      <w:r w:rsidR="00C5233C">
        <w:rPr>
          <w:noProof/>
        </w:rPr>
        <w:fldChar w:fldCharType="end"/>
      </w:r>
      <w:r>
        <w:t xml:space="preserve">: Logistic regression results </w:t>
      </w:r>
    </w:p>
    <w:tbl>
      <w:tblPr>
        <w:tblW w:w="8896" w:type="dxa"/>
        <w:tblInd w:w="-2058" w:type="dxa"/>
        <w:tblLook w:val="04A0" w:firstRow="1" w:lastRow="0" w:firstColumn="1" w:lastColumn="0" w:noHBand="0" w:noVBand="1"/>
        <w:tblCaption w:val="Table F.1"/>
        <w:tblDescription w:val="This table lists individual variables at the four levels (low engagement, ad hoc, narrow focus and strategic management). It also contains model statistics."/>
      </w:tblPr>
      <w:tblGrid>
        <w:gridCol w:w="2948"/>
        <w:gridCol w:w="1487"/>
        <w:gridCol w:w="1487"/>
        <w:gridCol w:w="1487"/>
        <w:gridCol w:w="1487"/>
      </w:tblGrid>
      <w:tr w:rsidR="00F35810" w:rsidRPr="009D6244" w14:paraId="4D45DCDC" w14:textId="77777777" w:rsidTr="00F91687">
        <w:trPr>
          <w:trHeight w:val="720"/>
          <w:tblHeader/>
        </w:trPr>
        <w:tc>
          <w:tcPr>
            <w:tcW w:w="2948" w:type="dxa"/>
            <w:tcBorders>
              <w:top w:val="nil"/>
              <w:left w:val="nil"/>
              <w:bottom w:val="nil"/>
              <w:right w:val="nil"/>
            </w:tcBorders>
            <w:shd w:val="clear" w:color="000000" w:fill="005CAF"/>
            <w:vAlign w:val="center"/>
            <w:hideMark/>
          </w:tcPr>
          <w:p w14:paraId="150EEB35" w14:textId="77777777" w:rsidR="00F35810" w:rsidRPr="009D6244" w:rsidRDefault="00F35810" w:rsidP="00223539">
            <w:pPr>
              <w:spacing w:after="0" w:line="240" w:lineRule="auto"/>
              <w:ind w:left="0"/>
              <w:jc w:val="left"/>
              <w:rPr>
                <w:rFonts w:eastAsia="Times New Roman" w:cs="Arial"/>
                <w:b/>
                <w:bCs/>
                <w:color w:val="FFFFFF"/>
                <w:sz w:val="18"/>
                <w:szCs w:val="18"/>
                <w:lang w:eastAsia="en-AU"/>
              </w:rPr>
            </w:pPr>
            <w:r w:rsidRPr="009D6244">
              <w:rPr>
                <w:rFonts w:eastAsia="Times New Roman" w:cs="Arial"/>
                <w:b/>
                <w:bCs/>
                <w:color w:val="FFFFFF"/>
                <w:sz w:val="18"/>
                <w:szCs w:val="18"/>
                <w:lang w:eastAsia="en-AU"/>
              </w:rPr>
              <w:t xml:space="preserve">Independent Variable </w:t>
            </w:r>
          </w:p>
        </w:tc>
        <w:tc>
          <w:tcPr>
            <w:tcW w:w="1487" w:type="dxa"/>
            <w:tcBorders>
              <w:top w:val="nil"/>
              <w:left w:val="nil"/>
              <w:bottom w:val="nil"/>
              <w:right w:val="nil"/>
            </w:tcBorders>
            <w:shd w:val="clear" w:color="000000" w:fill="005CAF"/>
            <w:vAlign w:val="center"/>
            <w:hideMark/>
          </w:tcPr>
          <w:p w14:paraId="78620719" w14:textId="77777777" w:rsidR="00F35810" w:rsidRPr="009D6244" w:rsidRDefault="00F35810" w:rsidP="00223539">
            <w:pPr>
              <w:spacing w:after="0" w:line="240" w:lineRule="auto"/>
              <w:ind w:left="0"/>
              <w:jc w:val="left"/>
              <w:rPr>
                <w:rFonts w:eastAsia="Times New Roman" w:cs="Arial"/>
                <w:b/>
                <w:bCs/>
                <w:color w:val="FFFFFF"/>
                <w:sz w:val="18"/>
                <w:szCs w:val="18"/>
                <w:lang w:eastAsia="en-AU"/>
              </w:rPr>
            </w:pPr>
            <w:r w:rsidRPr="009D6244">
              <w:rPr>
                <w:rFonts w:eastAsia="Times New Roman" w:cs="Arial"/>
                <w:b/>
                <w:bCs/>
                <w:color w:val="FFFFFF"/>
                <w:sz w:val="18"/>
                <w:szCs w:val="18"/>
                <w:lang w:eastAsia="en-AU"/>
              </w:rPr>
              <w:t>Low engagement</w:t>
            </w:r>
          </w:p>
        </w:tc>
        <w:tc>
          <w:tcPr>
            <w:tcW w:w="1487" w:type="dxa"/>
            <w:tcBorders>
              <w:top w:val="nil"/>
              <w:left w:val="nil"/>
              <w:bottom w:val="nil"/>
              <w:right w:val="nil"/>
            </w:tcBorders>
            <w:shd w:val="clear" w:color="000000" w:fill="005CAF"/>
            <w:vAlign w:val="center"/>
            <w:hideMark/>
          </w:tcPr>
          <w:p w14:paraId="63B748C9" w14:textId="77777777" w:rsidR="00F35810" w:rsidRPr="009D6244" w:rsidRDefault="00F35810" w:rsidP="00223539">
            <w:pPr>
              <w:spacing w:after="0" w:line="240" w:lineRule="auto"/>
              <w:ind w:left="0"/>
              <w:jc w:val="left"/>
              <w:rPr>
                <w:rFonts w:eastAsia="Times New Roman" w:cs="Arial"/>
                <w:b/>
                <w:bCs/>
                <w:color w:val="FFFFFF"/>
                <w:sz w:val="18"/>
                <w:szCs w:val="18"/>
                <w:lang w:eastAsia="en-AU"/>
              </w:rPr>
            </w:pPr>
            <w:r w:rsidRPr="009D6244">
              <w:rPr>
                <w:rFonts w:eastAsia="Times New Roman" w:cs="Arial"/>
                <w:b/>
                <w:bCs/>
                <w:color w:val="FFFFFF"/>
                <w:sz w:val="18"/>
                <w:szCs w:val="18"/>
                <w:lang w:eastAsia="en-AU"/>
              </w:rPr>
              <w:t>Ad hoc</w:t>
            </w:r>
          </w:p>
        </w:tc>
        <w:tc>
          <w:tcPr>
            <w:tcW w:w="1487" w:type="dxa"/>
            <w:tcBorders>
              <w:top w:val="nil"/>
              <w:left w:val="nil"/>
              <w:bottom w:val="nil"/>
              <w:right w:val="nil"/>
            </w:tcBorders>
            <w:shd w:val="clear" w:color="000000" w:fill="005CAF"/>
            <w:vAlign w:val="center"/>
            <w:hideMark/>
          </w:tcPr>
          <w:p w14:paraId="097026DB" w14:textId="77777777" w:rsidR="00F35810" w:rsidRPr="009D6244" w:rsidRDefault="00F35810" w:rsidP="00223539">
            <w:pPr>
              <w:spacing w:after="0" w:line="240" w:lineRule="auto"/>
              <w:ind w:left="0"/>
              <w:jc w:val="left"/>
              <w:rPr>
                <w:rFonts w:eastAsia="Times New Roman" w:cs="Arial"/>
                <w:b/>
                <w:bCs/>
                <w:color w:val="FFFFFF"/>
                <w:sz w:val="18"/>
                <w:szCs w:val="18"/>
                <w:lang w:eastAsia="en-AU"/>
              </w:rPr>
            </w:pPr>
            <w:r w:rsidRPr="009D6244">
              <w:rPr>
                <w:rFonts w:eastAsia="Times New Roman" w:cs="Arial"/>
                <w:b/>
                <w:bCs/>
                <w:color w:val="FFFFFF"/>
                <w:sz w:val="18"/>
                <w:szCs w:val="18"/>
                <w:lang w:eastAsia="en-AU"/>
              </w:rPr>
              <w:t xml:space="preserve">Narrow focus </w:t>
            </w:r>
          </w:p>
        </w:tc>
        <w:tc>
          <w:tcPr>
            <w:tcW w:w="1487" w:type="dxa"/>
            <w:tcBorders>
              <w:top w:val="nil"/>
              <w:left w:val="nil"/>
              <w:bottom w:val="nil"/>
              <w:right w:val="nil"/>
            </w:tcBorders>
            <w:shd w:val="clear" w:color="000000" w:fill="005CAF"/>
            <w:vAlign w:val="center"/>
            <w:hideMark/>
          </w:tcPr>
          <w:p w14:paraId="2E8F5F40" w14:textId="77777777" w:rsidR="00F35810" w:rsidRPr="009D6244" w:rsidRDefault="00F35810" w:rsidP="00223539">
            <w:pPr>
              <w:spacing w:after="0" w:line="240" w:lineRule="auto"/>
              <w:ind w:left="0"/>
              <w:jc w:val="left"/>
              <w:rPr>
                <w:rFonts w:eastAsia="Times New Roman" w:cs="Arial"/>
                <w:b/>
                <w:bCs/>
                <w:color w:val="FFFFFF"/>
                <w:sz w:val="18"/>
                <w:szCs w:val="18"/>
                <w:lang w:eastAsia="en-AU"/>
              </w:rPr>
            </w:pPr>
            <w:r w:rsidRPr="009D6244">
              <w:rPr>
                <w:rFonts w:eastAsia="Times New Roman" w:cs="Arial"/>
                <w:b/>
                <w:bCs/>
                <w:color w:val="FFFFFF"/>
                <w:sz w:val="18"/>
                <w:szCs w:val="18"/>
                <w:lang w:eastAsia="en-AU"/>
              </w:rPr>
              <w:t>Strategic management</w:t>
            </w:r>
          </w:p>
        </w:tc>
      </w:tr>
      <w:tr w:rsidR="00F35810" w:rsidRPr="009D6244" w14:paraId="26CCDE9D" w14:textId="77777777" w:rsidTr="0092649D">
        <w:trPr>
          <w:trHeight w:val="283"/>
        </w:trPr>
        <w:tc>
          <w:tcPr>
            <w:tcW w:w="2948" w:type="dxa"/>
            <w:tcBorders>
              <w:top w:val="nil"/>
              <w:left w:val="nil"/>
              <w:bottom w:val="nil"/>
              <w:right w:val="nil"/>
            </w:tcBorders>
            <w:shd w:val="clear" w:color="000000" w:fill="DEE8F1"/>
            <w:vAlign w:val="center"/>
            <w:hideMark/>
          </w:tcPr>
          <w:p w14:paraId="0C36D01F" w14:textId="77777777" w:rsidR="00F35810" w:rsidRPr="009D6244" w:rsidRDefault="00F35810" w:rsidP="00223539">
            <w:pPr>
              <w:spacing w:after="0" w:line="240" w:lineRule="auto"/>
              <w:ind w:left="0"/>
              <w:jc w:val="left"/>
              <w:rPr>
                <w:rFonts w:eastAsia="Times New Roman" w:cs="Arial"/>
                <w:b/>
                <w:bCs/>
                <w:sz w:val="18"/>
                <w:szCs w:val="18"/>
                <w:lang w:eastAsia="en-AU"/>
              </w:rPr>
            </w:pPr>
            <w:r w:rsidRPr="009D6244">
              <w:rPr>
                <w:rFonts w:eastAsia="Times New Roman" w:cs="Arial"/>
                <w:b/>
                <w:bCs/>
                <w:sz w:val="18"/>
                <w:szCs w:val="18"/>
                <w:lang w:eastAsia="en-AU"/>
              </w:rPr>
              <w:t>Foreign Ownership</w:t>
            </w:r>
          </w:p>
        </w:tc>
        <w:tc>
          <w:tcPr>
            <w:tcW w:w="1487" w:type="dxa"/>
            <w:tcBorders>
              <w:top w:val="nil"/>
              <w:left w:val="nil"/>
              <w:bottom w:val="nil"/>
              <w:right w:val="nil"/>
            </w:tcBorders>
            <w:shd w:val="clear" w:color="000000" w:fill="DEE8F1"/>
            <w:vAlign w:val="center"/>
            <w:hideMark/>
          </w:tcPr>
          <w:p w14:paraId="2DDAF3D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43C8D93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0B410A1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592CCD4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6B3F9C43" w14:textId="77777777" w:rsidTr="0092649D">
        <w:trPr>
          <w:trHeight w:val="283"/>
        </w:trPr>
        <w:tc>
          <w:tcPr>
            <w:tcW w:w="2948" w:type="dxa"/>
            <w:tcBorders>
              <w:top w:val="nil"/>
              <w:left w:val="nil"/>
              <w:bottom w:val="nil"/>
              <w:right w:val="nil"/>
            </w:tcBorders>
            <w:shd w:val="clear" w:color="000000" w:fill="FFFFFF"/>
            <w:vAlign w:val="center"/>
            <w:hideMark/>
          </w:tcPr>
          <w:p w14:paraId="1C84E62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Foreign ownership &gt; 50%</w:t>
            </w:r>
          </w:p>
        </w:tc>
        <w:tc>
          <w:tcPr>
            <w:tcW w:w="1487" w:type="dxa"/>
            <w:tcBorders>
              <w:top w:val="nil"/>
              <w:left w:val="nil"/>
              <w:bottom w:val="nil"/>
              <w:right w:val="nil"/>
            </w:tcBorders>
            <w:shd w:val="clear" w:color="000000" w:fill="FFFFFF"/>
            <w:vAlign w:val="center"/>
            <w:hideMark/>
          </w:tcPr>
          <w:p w14:paraId="317D699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-0.663***</w:t>
            </w:r>
          </w:p>
        </w:tc>
        <w:tc>
          <w:tcPr>
            <w:tcW w:w="1487" w:type="dxa"/>
            <w:tcBorders>
              <w:top w:val="nil"/>
              <w:left w:val="nil"/>
              <w:bottom w:val="nil"/>
              <w:right w:val="nil"/>
            </w:tcBorders>
            <w:shd w:val="clear" w:color="000000" w:fill="FFFFFF"/>
            <w:vAlign w:val="center"/>
            <w:hideMark/>
          </w:tcPr>
          <w:p w14:paraId="3347908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-0.111</w:t>
            </w:r>
          </w:p>
        </w:tc>
        <w:tc>
          <w:tcPr>
            <w:tcW w:w="1487" w:type="dxa"/>
            <w:tcBorders>
              <w:top w:val="nil"/>
              <w:left w:val="nil"/>
              <w:bottom w:val="nil"/>
              <w:right w:val="nil"/>
            </w:tcBorders>
            <w:shd w:val="clear" w:color="000000" w:fill="FFFFFF"/>
            <w:vAlign w:val="center"/>
            <w:hideMark/>
          </w:tcPr>
          <w:p w14:paraId="5B80755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-0.138</w:t>
            </w:r>
          </w:p>
        </w:tc>
        <w:tc>
          <w:tcPr>
            <w:tcW w:w="1487" w:type="dxa"/>
            <w:tcBorders>
              <w:top w:val="nil"/>
              <w:left w:val="nil"/>
              <w:bottom w:val="nil"/>
              <w:right w:val="nil"/>
            </w:tcBorders>
            <w:shd w:val="clear" w:color="000000" w:fill="FFFFFF"/>
            <w:vAlign w:val="center"/>
            <w:hideMark/>
          </w:tcPr>
          <w:p w14:paraId="6A23675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0.984***</w:t>
            </w:r>
          </w:p>
        </w:tc>
      </w:tr>
      <w:tr w:rsidR="00F35810" w:rsidRPr="009D6244" w14:paraId="5C07C867" w14:textId="77777777" w:rsidTr="0092649D">
        <w:trPr>
          <w:trHeight w:val="283"/>
        </w:trPr>
        <w:tc>
          <w:tcPr>
            <w:tcW w:w="2948" w:type="dxa"/>
            <w:tcBorders>
              <w:top w:val="nil"/>
              <w:left w:val="nil"/>
              <w:bottom w:val="nil"/>
              <w:right w:val="nil"/>
            </w:tcBorders>
            <w:shd w:val="clear" w:color="000000" w:fill="DEE8F1"/>
            <w:vAlign w:val="center"/>
            <w:hideMark/>
          </w:tcPr>
          <w:p w14:paraId="025AB0A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6C36AE6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(-5.58)</w:t>
            </w:r>
          </w:p>
        </w:tc>
        <w:tc>
          <w:tcPr>
            <w:tcW w:w="1487" w:type="dxa"/>
            <w:tcBorders>
              <w:top w:val="nil"/>
              <w:left w:val="nil"/>
              <w:bottom w:val="nil"/>
              <w:right w:val="nil"/>
            </w:tcBorders>
            <w:shd w:val="clear" w:color="000000" w:fill="DEE8F1"/>
            <w:vAlign w:val="center"/>
            <w:hideMark/>
          </w:tcPr>
          <w:p w14:paraId="08CCD1A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(-0.92)</w:t>
            </w:r>
          </w:p>
        </w:tc>
        <w:tc>
          <w:tcPr>
            <w:tcW w:w="1487" w:type="dxa"/>
            <w:tcBorders>
              <w:top w:val="nil"/>
              <w:left w:val="nil"/>
              <w:bottom w:val="nil"/>
              <w:right w:val="nil"/>
            </w:tcBorders>
            <w:shd w:val="clear" w:color="000000" w:fill="DEE8F1"/>
            <w:vAlign w:val="center"/>
            <w:hideMark/>
          </w:tcPr>
          <w:p w14:paraId="3493BB6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(-1.27)</w:t>
            </w:r>
          </w:p>
        </w:tc>
        <w:tc>
          <w:tcPr>
            <w:tcW w:w="1487" w:type="dxa"/>
            <w:tcBorders>
              <w:top w:val="nil"/>
              <w:left w:val="nil"/>
              <w:bottom w:val="nil"/>
              <w:right w:val="nil"/>
            </w:tcBorders>
            <w:shd w:val="clear" w:color="000000" w:fill="DEE8F1"/>
            <w:vAlign w:val="center"/>
            <w:hideMark/>
          </w:tcPr>
          <w:p w14:paraId="2288253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(10.21)</w:t>
            </w:r>
          </w:p>
        </w:tc>
      </w:tr>
      <w:tr w:rsidR="00F35810" w:rsidRPr="009D6244" w14:paraId="5CC5781B" w14:textId="77777777" w:rsidTr="0092649D">
        <w:trPr>
          <w:trHeight w:val="283"/>
        </w:trPr>
        <w:tc>
          <w:tcPr>
            <w:tcW w:w="2948" w:type="dxa"/>
            <w:tcBorders>
              <w:top w:val="nil"/>
              <w:left w:val="nil"/>
              <w:bottom w:val="nil"/>
              <w:right w:val="nil"/>
            </w:tcBorders>
            <w:shd w:val="clear" w:color="000000" w:fill="FFFFFF"/>
            <w:vAlign w:val="center"/>
            <w:hideMark/>
          </w:tcPr>
          <w:p w14:paraId="319FFE12" w14:textId="77777777" w:rsidR="00F35810" w:rsidRPr="009D6244" w:rsidRDefault="00F35810" w:rsidP="00223539">
            <w:pPr>
              <w:spacing w:after="0" w:line="240" w:lineRule="auto"/>
              <w:ind w:left="0"/>
              <w:jc w:val="left"/>
              <w:rPr>
                <w:rFonts w:eastAsia="Times New Roman" w:cs="Arial"/>
                <w:b/>
                <w:bCs/>
                <w:sz w:val="18"/>
                <w:szCs w:val="18"/>
                <w:lang w:eastAsia="en-AU"/>
              </w:rPr>
            </w:pPr>
            <w:r w:rsidRPr="009D6244">
              <w:rPr>
                <w:rFonts w:eastAsia="Times New Roman" w:cs="Arial"/>
                <w:b/>
                <w:bCs/>
                <w:sz w:val="18"/>
                <w:szCs w:val="18"/>
                <w:lang w:eastAsia="en-AU"/>
              </w:rPr>
              <w:t>Education of principle manager</w:t>
            </w:r>
          </w:p>
        </w:tc>
        <w:tc>
          <w:tcPr>
            <w:tcW w:w="1487" w:type="dxa"/>
            <w:tcBorders>
              <w:top w:val="nil"/>
              <w:left w:val="nil"/>
              <w:bottom w:val="nil"/>
              <w:right w:val="nil"/>
            </w:tcBorders>
            <w:shd w:val="clear" w:color="000000" w:fill="FFFFFF"/>
            <w:vAlign w:val="center"/>
            <w:hideMark/>
          </w:tcPr>
          <w:p w14:paraId="61E2CC8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54CD6EF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6828148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64A9AFA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1F508925" w14:textId="77777777" w:rsidTr="0092649D">
        <w:trPr>
          <w:trHeight w:val="283"/>
        </w:trPr>
        <w:tc>
          <w:tcPr>
            <w:tcW w:w="2948" w:type="dxa"/>
            <w:tcBorders>
              <w:top w:val="nil"/>
              <w:left w:val="nil"/>
              <w:bottom w:val="nil"/>
              <w:right w:val="nil"/>
            </w:tcBorders>
            <w:shd w:val="clear" w:color="000000" w:fill="DEE8F1"/>
            <w:vAlign w:val="center"/>
            <w:hideMark/>
          </w:tcPr>
          <w:p w14:paraId="1E9D921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Bachelor’s degree</w:t>
            </w:r>
          </w:p>
        </w:tc>
        <w:tc>
          <w:tcPr>
            <w:tcW w:w="1487" w:type="dxa"/>
            <w:tcBorders>
              <w:top w:val="nil"/>
              <w:left w:val="nil"/>
              <w:bottom w:val="nil"/>
              <w:right w:val="nil"/>
            </w:tcBorders>
            <w:shd w:val="clear" w:color="000000" w:fill="DEE8F1"/>
            <w:vAlign w:val="center"/>
            <w:hideMark/>
          </w:tcPr>
          <w:p w14:paraId="1DFAD7A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-1.700***</w:t>
            </w:r>
          </w:p>
        </w:tc>
        <w:tc>
          <w:tcPr>
            <w:tcW w:w="1487" w:type="dxa"/>
            <w:tcBorders>
              <w:top w:val="nil"/>
              <w:left w:val="nil"/>
              <w:bottom w:val="nil"/>
              <w:right w:val="nil"/>
            </w:tcBorders>
            <w:shd w:val="clear" w:color="000000" w:fill="DEE8F1"/>
            <w:vAlign w:val="center"/>
            <w:hideMark/>
          </w:tcPr>
          <w:p w14:paraId="3B30AE5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0.309</w:t>
            </w:r>
          </w:p>
        </w:tc>
        <w:tc>
          <w:tcPr>
            <w:tcW w:w="1487" w:type="dxa"/>
            <w:tcBorders>
              <w:top w:val="nil"/>
              <w:left w:val="nil"/>
              <w:bottom w:val="nil"/>
              <w:right w:val="nil"/>
            </w:tcBorders>
            <w:shd w:val="clear" w:color="000000" w:fill="DEE8F1"/>
            <w:vAlign w:val="center"/>
            <w:hideMark/>
          </w:tcPr>
          <w:p w14:paraId="559DE73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0.887</w:t>
            </w:r>
          </w:p>
        </w:tc>
        <w:tc>
          <w:tcPr>
            <w:tcW w:w="1487" w:type="dxa"/>
            <w:tcBorders>
              <w:top w:val="nil"/>
              <w:left w:val="nil"/>
              <w:bottom w:val="nil"/>
              <w:right w:val="nil"/>
            </w:tcBorders>
            <w:shd w:val="clear" w:color="000000" w:fill="DEE8F1"/>
            <w:vAlign w:val="center"/>
            <w:hideMark/>
          </w:tcPr>
          <w:p w14:paraId="25BB58F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1.930***</w:t>
            </w:r>
          </w:p>
        </w:tc>
      </w:tr>
      <w:tr w:rsidR="00F35810" w:rsidRPr="009D6244" w14:paraId="3FFDA00D" w14:textId="77777777" w:rsidTr="0092649D">
        <w:trPr>
          <w:trHeight w:val="283"/>
        </w:trPr>
        <w:tc>
          <w:tcPr>
            <w:tcW w:w="2948" w:type="dxa"/>
            <w:tcBorders>
              <w:top w:val="nil"/>
              <w:left w:val="nil"/>
              <w:bottom w:val="nil"/>
              <w:right w:val="nil"/>
            </w:tcBorders>
            <w:shd w:val="clear" w:color="000000" w:fill="FFFFFF"/>
            <w:vAlign w:val="center"/>
            <w:hideMark/>
          </w:tcPr>
          <w:p w14:paraId="6FAA179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6B591E0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(-4.60)</w:t>
            </w:r>
          </w:p>
        </w:tc>
        <w:tc>
          <w:tcPr>
            <w:tcW w:w="1487" w:type="dxa"/>
            <w:tcBorders>
              <w:top w:val="nil"/>
              <w:left w:val="nil"/>
              <w:bottom w:val="nil"/>
              <w:right w:val="nil"/>
            </w:tcBorders>
            <w:shd w:val="clear" w:color="000000" w:fill="FFFFFF"/>
            <w:vAlign w:val="center"/>
            <w:hideMark/>
          </w:tcPr>
          <w:p w14:paraId="54E1E8B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(0.74)</w:t>
            </w:r>
          </w:p>
        </w:tc>
        <w:tc>
          <w:tcPr>
            <w:tcW w:w="1487" w:type="dxa"/>
            <w:tcBorders>
              <w:top w:val="nil"/>
              <w:left w:val="nil"/>
              <w:bottom w:val="nil"/>
              <w:right w:val="nil"/>
            </w:tcBorders>
            <w:shd w:val="clear" w:color="000000" w:fill="FFFFFF"/>
            <w:vAlign w:val="center"/>
            <w:hideMark/>
          </w:tcPr>
          <w:p w14:paraId="79A92C7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(1.68)</w:t>
            </w:r>
          </w:p>
        </w:tc>
        <w:tc>
          <w:tcPr>
            <w:tcW w:w="1487" w:type="dxa"/>
            <w:tcBorders>
              <w:top w:val="nil"/>
              <w:left w:val="nil"/>
              <w:bottom w:val="nil"/>
              <w:right w:val="nil"/>
            </w:tcBorders>
            <w:shd w:val="clear" w:color="000000" w:fill="FFFFFF"/>
            <w:vAlign w:val="center"/>
            <w:hideMark/>
          </w:tcPr>
          <w:p w14:paraId="6A1B9A5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(11.70)</w:t>
            </w:r>
          </w:p>
        </w:tc>
      </w:tr>
      <w:tr w:rsidR="00F35810" w:rsidRPr="009D6244" w14:paraId="11EADC20" w14:textId="77777777" w:rsidTr="0092649D">
        <w:trPr>
          <w:trHeight w:val="283"/>
        </w:trPr>
        <w:tc>
          <w:tcPr>
            <w:tcW w:w="2948" w:type="dxa"/>
            <w:tcBorders>
              <w:top w:val="nil"/>
              <w:left w:val="nil"/>
              <w:bottom w:val="nil"/>
              <w:right w:val="nil"/>
            </w:tcBorders>
            <w:shd w:val="clear" w:color="000000" w:fill="DEE8F1"/>
            <w:vAlign w:val="center"/>
            <w:hideMark/>
          </w:tcPr>
          <w:p w14:paraId="7FF1EA6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Advanced diploma</w:t>
            </w:r>
          </w:p>
        </w:tc>
        <w:tc>
          <w:tcPr>
            <w:tcW w:w="1487" w:type="dxa"/>
            <w:tcBorders>
              <w:top w:val="nil"/>
              <w:left w:val="nil"/>
              <w:bottom w:val="nil"/>
              <w:right w:val="nil"/>
            </w:tcBorders>
            <w:shd w:val="clear" w:color="000000" w:fill="DEE8F1"/>
            <w:vAlign w:val="center"/>
            <w:hideMark/>
          </w:tcPr>
          <w:p w14:paraId="7EB9C5B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-1.459***</w:t>
            </w:r>
          </w:p>
        </w:tc>
        <w:tc>
          <w:tcPr>
            <w:tcW w:w="1487" w:type="dxa"/>
            <w:tcBorders>
              <w:top w:val="nil"/>
              <w:left w:val="nil"/>
              <w:bottom w:val="nil"/>
              <w:right w:val="nil"/>
            </w:tcBorders>
            <w:shd w:val="clear" w:color="000000" w:fill="DEE8F1"/>
            <w:vAlign w:val="center"/>
            <w:hideMark/>
          </w:tcPr>
          <w:p w14:paraId="37E39B2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0.548</w:t>
            </w:r>
          </w:p>
        </w:tc>
        <w:tc>
          <w:tcPr>
            <w:tcW w:w="1487" w:type="dxa"/>
            <w:tcBorders>
              <w:top w:val="nil"/>
              <w:left w:val="nil"/>
              <w:bottom w:val="nil"/>
              <w:right w:val="nil"/>
            </w:tcBorders>
            <w:shd w:val="clear" w:color="000000" w:fill="DEE8F1"/>
            <w:vAlign w:val="center"/>
            <w:hideMark/>
          </w:tcPr>
          <w:p w14:paraId="31C5247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0.711</w:t>
            </w:r>
          </w:p>
        </w:tc>
        <w:tc>
          <w:tcPr>
            <w:tcW w:w="1487" w:type="dxa"/>
            <w:tcBorders>
              <w:top w:val="nil"/>
              <w:left w:val="nil"/>
              <w:bottom w:val="nil"/>
              <w:right w:val="nil"/>
            </w:tcBorders>
            <w:shd w:val="clear" w:color="000000" w:fill="DEE8F1"/>
            <w:vAlign w:val="center"/>
            <w:hideMark/>
          </w:tcPr>
          <w:p w14:paraId="7315445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1.328***</w:t>
            </w:r>
          </w:p>
        </w:tc>
      </w:tr>
      <w:tr w:rsidR="00F35810" w:rsidRPr="009D6244" w14:paraId="3575D38C" w14:textId="77777777" w:rsidTr="0092649D">
        <w:trPr>
          <w:trHeight w:val="283"/>
        </w:trPr>
        <w:tc>
          <w:tcPr>
            <w:tcW w:w="2948" w:type="dxa"/>
            <w:tcBorders>
              <w:top w:val="nil"/>
              <w:left w:val="nil"/>
              <w:bottom w:val="nil"/>
              <w:right w:val="nil"/>
            </w:tcBorders>
            <w:shd w:val="clear" w:color="000000" w:fill="FFFFFF"/>
            <w:vAlign w:val="center"/>
            <w:hideMark/>
          </w:tcPr>
          <w:p w14:paraId="7A0B857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270C689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(-3.91)</w:t>
            </w:r>
          </w:p>
        </w:tc>
        <w:tc>
          <w:tcPr>
            <w:tcW w:w="1487" w:type="dxa"/>
            <w:tcBorders>
              <w:top w:val="nil"/>
              <w:left w:val="nil"/>
              <w:bottom w:val="nil"/>
              <w:right w:val="nil"/>
            </w:tcBorders>
            <w:shd w:val="clear" w:color="000000" w:fill="FFFFFF"/>
            <w:vAlign w:val="center"/>
            <w:hideMark/>
          </w:tcPr>
          <w:p w14:paraId="22156FF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(1.30)</w:t>
            </w:r>
          </w:p>
        </w:tc>
        <w:tc>
          <w:tcPr>
            <w:tcW w:w="1487" w:type="dxa"/>
            <w:tcBorders>
              <w:top w:val="nil"/>
              <w:left w:val="nil"/>
              <w:bottom w:val="nil"/>
              <w:right w:val="nil"/>
            </w:tcBorders>
            <w:shd w:val="clear" w:color="000000" w:fill="FFFFFF"/>
            <w:vAlign w:val="center"/>
            <w:hideMark/>
          </w:tcPr>
          <w:p w14:paraId="2B74AA3A"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(1.33)</w:t>
            </w:r>
          </w:p>
        </w:tc>
        <w:tc>
          <w:tcPr>
            <w:tcW w:w="1487" w:type="dxa"/>
            <w:tcBorders>
              <w:top w:val="nil"/>
              <w:left w:val="nil"/>
              <w:bottom w:val="nil"/>
              <w:right w:val="nil"/>
            </w:tcBorders>
            <w:shd w:val="clear" w:color="000000" w:fill="FFFFFF"/>
            <w:vAlign w:val="center"/>
            <w:hideMark/>
          </w:tcPr>
          <w:p w14:paraId="35B32A9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(7.32)</w:t>
            </w:r>
          </w:p>
        </w:tc>
      </w:tr>
      <w:tr w:rsidR="00F35810" w:rsidRPr="009D6244" w14:paraId="11D604BE" w14:textId="77777777" w:rsidTr="0092649D">
        <w:trPr>
          <w:trHeight w:val="283"/>
        </w:trPr>
        <w:tc>
          <w:tcPr>
            <w:tcW w:w="2948" w:type="dxa"/>
            <w:tcBorders>
              <w:top w:val="nil"/>
              <w:left w:val="nil"/>
              <w:bottom w:val="nil"/>
              <w:right w:val="nil"/>
            </w:tcBorders>
            <w:shd w:val="clear" w:color="000000" w:fill="DEE8F1"/>
            <w:vAlign w:val="center"/>
            <w:hideMark/>
          </w:tcPr>
          <w:p w14:paraId="044182E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Trade certificate</w:t>
            </w:r>
          </w:p>
        </w:tc>
        <w:tc>
          <w:tcPr>
            <w:tcW w:w="1487" w:type="dxa"/>
            <w:tcBorders>
              <w:top w:val="nil"/>
              <w:left w:val="nil"/>
              <w:bottom w:val="nil"/>
              <w:right w:val="nil"/>
            </w:tcBorders>
            <w:shd w:val="clear" w:color="000000" w:fill="DEE8F1"/>
            <w:vAlign w:val="center"/>
            <w:hideMark/>
          </w:tcPr>
          <w:p w14:paraId="6047474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-1.099**</w:t>
            </w:r>
          </w:p>
        </w:tc>
        <w:tc>
          <w:tcPr>
            <w:tcW w:w="1487" w:type="dxa"/>
            <w:tcBorders>
              <w:top w:val="nil"/>
              <w:left w:val="nil"/>
              <w:bottom w:val="nil"/>
              <w:right w:val="nil"/>
            </w:tcBorders>
            <w:shd w:val="clear" w:color="000000" w:fill="DEE8F1"/>
            <w:vAlign w:val="center"/>
            <w:hideMark/>
          </w:tcPr>
          <w:p w14:paraId="298688E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0.469</w:t>
            </w:r>
          </w:p>
        </w:tc>
        <w:tc>
          <w:tcPr>
            <w:tcW w:w="1487" w:type="dxa"/>
            <w:tcBorders>
              <w:top w:val="nil"/>
              <w:left w:val="nil"/>
              <w:bottom w:val="nil"/>
              <w:right w:val="nil"/>
            </w:tcBorders>
            <w:shd w:val="clear" w:color="000000" w:fill="DEE8F1"/>
            <w:vAlign w:val="center"/>
            <w:hideMark/>
          </w:tcPr>
          <w:p w14:paraId="293F919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0.556</w:t>
            </w:r>
          </w:p>
        </w:tc>
        <w:tc>
          <w:tcPr>
            <w:tcW w:w="1487" w:type="dxa"/>
            <w:tcBorders>
              <w:top w:val="nil"/>
              <w:left w:val="nil"/>
              <w:bottom w:val="nil"/>
              <w:right w:val="nil"/>
            </w:tcBorders>
            <w:shd w:val="clear" w:color="000000" w:fill="DEE8F1"/>
            <w:vAlign w:val="center"/>
            <w:hideMark/>
          </w:tcPr>
          <w:p w14:paraId="06C0144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0.536**</w:t>
            </w:r>
          </w:p>
        </w:tc>
      </w:tr>
      <w:tr w:rsidR="00F35810" w:rsidRPr="009D6244" w14:paraId="08F14BAF" w14:textId="77777777" w:rsidTr="0092649D">
        <w:trPr>
          <w:trHeight w:val="283"/>
        </w:trPr>
        <w:tc>
          <w:tcPr>
            <w:tcW w:w="2948" w:type="dxa"/>
            <w:tcBorders>
              <w:top w:val="nil"/>
              <w:left w:val="nil"/>
              <w:bottom w:val="nil"/>
              <w:right w:val="nil"/>
            </w:tcBorders>
            <w:shd w:val="clear" w:color="000000" w:fill="FFFFFF"/>
            <w:vAlign w:val="center"/>
            <w:hideMark/>
          </w:tcPr>
          <w:p w14:paraId="5A809B8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12DC68B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(-2.95)</w:t>
            </w:r>
          </w:p>
        </w:tc>
        <w:tc>
          <w:tcPr>
            <w:tcW w:w="1487" w:type="dxa"/>
            <w:tcBorders>
              <w:top w:val="nil"/>
              <w:left w:val="nil"/>
              <w:bottom w:val="nil"/>
              <w:right w:val="nil"/>
            </w:tcBorders>
            <w:shd w:val="clear" w:color="000000" w:fill="FFFFFF"/>
            <w:vAlign w:val="center"/>
            <w:hideMark/>
          </w:tcPr>
          <w:p w14:paraId="2CA9C49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(1.11)</w:t>
            </w:r>
          </w:p>
        </w:tc>
        <w:tc>
          <w:tcPr>
            <w:tcW w:w="1487" w:type="dxa"/>
            <w:tcBorders>
              <w:top w:val="nil"/>
              <w:left w:val="nil"/>
              <w:bottom w:val="nil"/>
              <w:right w:val="nil"/>
            </w:tcBorders>
            <w:shd w:val="clear" w:color="000000" w:fill="FFFFFF"/>
            <w:vAlign w:val="center"/>
            <w:hideMark/>
          </w:tcPr>
          <w:p w14:paraId="07E7B0B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(1.04)</w:t>
            </w:r>
          </w:p>
        </w:tc>
        <w:tc>
          <w:tcPr>
            <w:tcW w:w="1487" w:type="dxa"/>
            <w:tcBorders>
              <w:top w:val="nil"/>
              <w:left w:val="nil"/>
              <w:bottom w:val="nil"/>
              <w:right w:val="nil"/>
            </w:tcBorders>
            <w:shd w:val="clear" w:color="000000" w:fill="FFFFFF"/>
            <w:vAlign w:val="center"/>
            <w:hideMark/>
          </w:tcPr>
          <w:p w14:paraId="5E7350D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(2.81)</w:t>
            </w:r>
          </w:p>
        </w:tc>
      </w:tr>
      <w:tr w:rsidR="00F35810" w:rsidRPr="009D6244" w14:paraId="3DD40EE9" w14:textId="77777777" w:rsidTr="0092649D">
        <w:trPr>
          <w:trHeight w:val="283"/>
        </w:trPr>
        <w:tc>
          <w:tcPr>
            <w:tcW w:w="2948" w:type="dxa"/>
            <w:tcBorders>
              <w:top w:val="nil"/>
              <w:left w:val="nil"/>
              <w:bottom w:val="nil"/>
              <w:right w:val="nil"/>
            </w:tcBorders>
            <w:shd w:val="clear" w:color="000000" w:fill="DEE8F1"/>
            <w:vAlign w:val="center"/>
            <w:hideMark/>
          </w:tcPr>
          <w:p w14:paraId="2BF12A8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Year 12</w:t>
            </w:r>
          </w:p>
        </w:tc>
        <w:tc>
          <w:tcPr>
            <w:tcW w:w="1487" w:type="dxa"/>
            <w:tcBorders>
              <w:top w:val="nil"/>
              <w:left w:val="nil"/>
              <w:bottom w:val="nil"/>
              <w:right w:val="nil"/>
            </w:tcBorders>
            <w:shd w:val="clear" w:color="000000" w:fill="DEE8F1"/>
            <w:vAlign w:val="center"/>
            <w:hideMark/>
          </w:tcPr>
          <w:p w14:paraId="5DFA42F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-1.128**</w:t>
            </w:r>
          </w:p>
        </w:tc>
        <w:tc>
          <w:tcPr>
            <w:tcW w:w="1487" w:type="dxa"/>
            <w:tcBorders>
              <w:top w:val="nil"/>
              <w:left w:val="nil"/>
              <w:bottom w:val="nil"/>
              <w:right w:val="nil"/>
            </w:tcBorders>
            <w:shd w:val="clear" w:color="000000" w:fill="DEE8F1"/>
            <w:vAlign w:val="center"/>
            <w:hideMark/>
          </w:tcPr>
          <w:p w14:paraId="64E8764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0.407</w:t>
            </w:r>
          </w:p>
        </w:tc>
        <w:tc>
          <w:tcPr>
            <w:tcW w:w="1487" w:type="dxa"/>
            <w:tcBorders>
              <w:top w:val="nil"/>
              <w:left w:val="nil"/>
              <w:bottom w:val="nil"/>
              <w:right w:val="nil"/>
            </w:tcBorders>
            <w:shd w:val="clear" w:color="000000" w:fill="DEE8F1"/>
            <w:vAlign w:val="center"/>
            <w:hideMark/>
          </w:tcPr>
          <w:p w14:paraId="450DFBC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0.685</w:t>
            </w:r>
          </w:p>
        </w:tc>
        <w:tc>
          <w:tcPr>
            <w:tcW w:w="1487" w:type="dxa"/>
            <w:tcBorders>
              <w:top w:val="nil"/>
              <w:left w:val="nil"/>
              <w:bottom w:val="nil"/>
              <w:right w:val="nil"/>
            </w:tcBorders>
            <w:shd w:val="clear" w:color="000000" w:fill="DEE8F1"/>
            <w:vAlign w:val="center"/>
            <w:hideMark/>
          </w:tcPr>
          <w:p w14:paraId="4481ACE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0.819***</w:t>
            </w:r>
          </w:p>
        </w:tc>
      </w:tr>
      <w:tr w:rsidR="00F35810" w:rsidRPr="009D6244" w14:paraId="3A94FDE3" w14:textId="77777777" w:rsidTr="0092649D">
        <w:trPr>
          <w:trHeight w:val="283"/>
        </w:trPr>
        <w:tc>
          <w:tcPr>
            <w:tcW w:w="2948" w:type="dxa"/>
            <w:tcBorders>
              <w:top w:val="nil"/>
              <w:left w:val="nil"/>
              <w:bottom w:val="nil"/>
              <w:right w:val="nil"/>
            </w:tcBorders>
            <w:shd w:val="clear" w:color="000000" w:fill="FFFFFF"/>
            <w:vAlign w:val="center"/>
            <w:hideMark/>
          </w:tcPr>
          <w:p w14:paraId="0B4CE26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1F974B0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(-3.03)</w:t>
            </w:r>
          </w:p>
        </w:tc>
        <w:tc>
          <w:tcPr>
            <w:tcW w:w="1487" w:type="dxa"/>
            <w:tcBorders>
              <w:top w:val="nil"/>
              <w:left w:val="nil"/>
              <w:bottom w:val="nil"/>
              <w:right w:val="nil"/>
            </w:tcBorders>
            <w:shd w:val="clear" w:color="000000" w:fill="FFFFFF"/>
            <w:vAlign w:val="center"/>
            <w:hideMark/>
          </w:tcPr>
          <w:p w14:paraId="0A257CA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(0.96)</w:t>
            </w:r>
          </w:p>
        </w:tc>
        <w:tc>
          <w:tcPr>
            <w:tcW w:w="1487" w:type="dxa"/>
            <w:tcBorders>
              <w:top w:val="nil"/>
              <w:left w:val="nil"/>
              <w:bottom w:val="nil"/>
              <w:right w:val="nil"/>
            </w:tcBorders>
            <w:shd w:val="clear" w:color="000000" w:fill="FFFFFF"/>
            <w:vAlign w:val="center"/>
            <w:hideMark/>
          </w:tcPr>
          <w:p w14:paraId="5B2B958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(1.29)</w:t>
            </w:r>
          </w:p>
        </w:tc>
        <w:tc>
          <w:tcPr>
            <w:tcW w:w="1487" w:type="dxa"/>
            <w:tcBorders>
              <w:top w:val="nil"/>
              <w:left w:val="nil"/>
              <w:bottom w:val="nil"/>
              <w:right w:val="nil"/>
            </w:tcBorders>
            <w:shd w:val="clear" w:color="000000" w:fill="FFFFFF"/>
            <w:vAlign w:val="center"/>
            <w:hideMark/>
          </w:tcPr>
          <w:p w14:paraId="3213BF0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(4.38)</w:t>
            </w:r>
          </w:p>
        </w:tc>
      </w:tr>
      <w:tr w:rsidR="00F35810" w:rsidRPr="009D6244" w14:paraId="6D55F50D" w14:textId="77777777" w:rsidTr="0092649D">
        <w:trPr>
          <w:trHeight w:val="283"/>
        </w:trPr>
        <w:tc>
          <w:tcPr>
            <w:tcW w:w="2948" w:type="dxa"/>
            <w:tcBorders>
              <w:top w:val="nil"/>
              <w:left w:val="nil"/>
              <w:bottom w:val="nil"/>
              <w:right w:val="nil"/>
            </w:tcBorders>
            <w:shd w:val="clear" w:color="000000" w:fill="DEE8F1"/>
            <w:vAlign w:val="center"/>
            <w:hideMark/>
          </w:tcPr>
          <w:p w14:paraId="00DCAEB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Year 11 or less</w:t>
            </w:r>
          </w:p>
        </w:tc>
        <w:tc>
          <w:tcPr>
            <w:tcW w:w="1487" w:type="dxa"/>
            <w:tcBorders>
              <w:top w:val="nil"/>
              <w:left w:val="nil"/>
              <w:bottom w:val="nil"/>
              <w:right w:val="nil"/>
            </w:tcBorders>
            <w:shd w:val="clear" w:color="000000" w:fill="DEE8F1"/>
            <w:vAlign w:val="center"/>
            <w:hideMark/>
          </w:tcPr>
          <w:p w14:paraId="2D27F76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-0.678</w:t>
            </w:r>
          </w:p>
        </w:tc>
        <w:tc>
          <w:tcPr>
            <w:tcW w:w="1487" w:type="dxa"/>
            <w:tcBorders>
              <w:top w:val="nil"/>
              <w:left w:val="nil"/>
              <w:bottom w:val="nil"/>
              <w:right w:val="nil"/>
            </w:tcBorders>
            <w:shd w:val="clear" w:color="000000" w:fill="DEE8F1"/>
            <w:vAlign w:val="center"/>
            <w:hideMark/>
          </w:tcPr>
          <w:p w14:paraId="714BF2FA"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0.296</w:t>
            </w:r>
          </w:p>
        </w:tc>
        <w:tc>
          <w:tcPr>
            <w:tcW w:w="1487" w:type="dxa"/>
            <w:tcBorders>
              <w:top w:val="nil"/>
              <w:left w:val="nil"/>
              <w:bottom w:val="nil"/>
              <w:right w:val="nil"/>
            </w:tcBorders>
            <w:shd w:val="clear" w:color="000000" w:fill="DEE8F1"/>
            <w:vAlign w:val="center"/>
            <w:hideMark/>
          </w:tcPr>
          <w:p w14:paraId="09B5591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0.128</w:t>
            </w:r>
          </w:p>
        </w:tc>
        <w:tc>
          <w:tcPr>
            <w:tcW w:w="1487" w:type="dxa"/>
            <w:tcBorders>
              <w:top w:val="nil"/>
              <w:left w:val="nil"/>
              <w:bottom w:val="nil"/>
              <w:right w:val="nil"/>
            </w:tcBorders>
            <w:shd w:val="clear" w:color="000000" w:fill="DEE8F1"/>
            <w:vAlign w:val="center"/>
            <w:hideMark/>
          </w:tcPr>
          <w:p w14:paraId="0D28B289" w14:textId="2AEBA1EA" w:rsidR="00F35810" w:rsidRPr="009D6244" w:rsidRDefault="000156B4" w:rsidP="00223539">
            <w:pPr>
              <w:spacing w:after="0" w:line="240" w:lineRule="auto"/>
              <w:ind w:left="0"/>
              <w:jc w:val="left"/>
              <w:rPr>
                <w:rFonts w:eastAsia="Times New Roman" w:cs="Arial"/>
                <w:sz w:val="18"/>
                <w:szCs w:val="18"/>
                <w:lang w:eastAsia="en-AU"/>
              </w:rPr>
            </w:pPr>
            <w:r>
              <w:rPr>
                <w:rFonts w:eastAsia="Times New Roman" w:cs="Arial"/>
                <w:sz w:val="18"/>
                <w:szCs w:val="18"/>
                <w:lang w:eastAsia="en-AU"/>
              </w:rPr>
              <w:t>(Omitted)</w:t>
            </w:r>
          </w:p>
        </w:tc>
      </w:tr>
      <w:tr w:rsidR="00F35810" w:rsidRPr="009D6244" w14:paraId="69EFD35B" w14:textId="77777777" w:rsidTr="0092649D">
        <w:trPr>
          <w:trHeight w:val="283"/>
        </w:trPr>
        <w:tc>
          <w:tcPr>
            <w:tcW w:w="2948" w:type="dxa"/>
            <w:tcBorders>
              <w:top w:val="nil"/>
              <w:left w:val="nil"/>
              <w:bottom w:val="nil"/>
              <w:right w:val="nil"/>
            </w:tcBorders>
            <w:shd w:val="clear" w:color="000000" w:fill="FFFFFF"/>
            <w:vAlign w:val="center"/>
            <w:hideMark/>
          </w:tcPr>
          <w:p w14:paraId="15A6F84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418F555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(-1.81)</w:t>
            </w:r>
          </w:p>
        </w:tc>
        <w:tc>
          <w:tcPr>
            <w:tcW w:w="1487" w:type="dxa"/>
            <w:tcBorders>
              <w:top w:val="nil"/>
              <w:left w:val="nil"/>
              <w:bottom w:val="nil"/>
              <w:right w:val="nil"/>
            </w:tcBorders>
            <w:shd w:val="clear" w:color="000000" w:fill="FFFFFF"/>
            <w:vAlign w:val="center"/>
            <w:hideMark/>
          </w:tcPr>
          <w:p w14:paraId="32C9E87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(0.70)</w:t>
            </w:r>
          </w:p>
        </w:tc>
        <w:tc>
          <w:tcPr>
            <w:tcW w:w="1487" w:type="dxa"/>
            <w:tcBorders>
              <w:top w:val="nil"/>
              <w:left w:val="nil"/>
              <w:bottom w:val="nil"/>
              <w:right w:val="nil"/>
            </w:tcBorders>
            <w:shd w:val="clear" w:color="000000" w:fill="FFFFFF"/>
            <w:vAlign w:val="center"/>
            <w:hideMark/>
          </w:tcPr>
          <w:p w14:paraId="06E8BCE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(0.24)</w:t>
            </w:r>
          </w:p>
        </w:tc>
        <w:tc>
          <w:tcPr>
            <w:tcW w:w="1487" w:type="dxa"/>
            <w:tcBorders>
              <w:top w:val="nil"/>
              <w:left w:val="nil"/>
              <w:bottom w:val="nil"/>
              <w:right w:val="nil"/>
            </w:tcBorders>
            <w:shd w:val="clear" w:color="000000" w:fill="FFFFFF"/>
            <w:vAlign w:val="center"/>
            <w:hideMark/>
          </w:tcPr>
          <w:p w14:paraId="29A2E9CB" w14:textId="48B3754F" w:rsidR="00F35810" w:rsidRPr="009D6244" w:rsidRDefault="00F35810" w:rsidP="00223539">
            <w:pPr>
              <w:spacing w:after="0" w:line="240" w:lineRule="auto"/>
              <w:ind w:left="0"/>
              <w:jc w:val="left"/>
              <w:rPr>
                <w:rFonts w:eastAsia="Times New Roman" w:cs="Arial"/>
                <w:sz w:val="18"/>
                <w:szCs w:val="18"/>
                <w:lang w:eastAsia="en-AU"/>
              </w:rPr>
            </w:pPr>
          </w:p>
        </w:tc>
      </w:tr>
      <w:tr w:rsidR="00F35810" w:rsidRPr="009D6244" w14:paraId="4FA82103" w14:textId="77777777" w:rsidTr="0092649D">
        <w:trPr>
          <w:trHeight w:val="283"/>
        </w:trPr>
        <w:tc>
          <w:tcPr>
            <w:tcW w:w="2948" w:type="dxa"/>
            <w:tcBorders>
              <w:top w:val="nil"/>
              <w:left w:val="nil"/>
              <w:bottom w:val="nil"/>
              <w:right w:val="nil"/>
            </w:tcBorders>
            <w:shd w:val="clear" w:color="000000" w:fill="DEE8F1"/>
            <w:vAlign w:val="center"/>
            <w:hideMark/>
          </w:tcPr>
          <w:p w14:paraId="308C364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No schooling (baseline)</w:t>
            </w:r>
          </w:p>
        </w:tc>
        <w:tc>
          <w:tcPr>
            <w:tcW w:w="1487" w:type="dxa"/>
            <w:tcBorders>
              <w:top w:val="nil"/>
              <w:left w:val="nil"/>
              <w:bottom w:val="nil"/>
              <w:right w:val="nil"/>
            </w:tcBorders>
            <w:shd w:val="clear" w:color="000000" w:fill="DEE8F1"/>
            <w:vAlign w:val="center"/>
            <w:hideMark/>
          </w:tcPr>
          <w:p w14:paraId="0E0A408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3A5AE1A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4B9060C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7CDD44D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50955354" w14:textId="77777777" w:rsidTr="0092649D">
        <w:trPr>
          <w:trHeight w:val="283"/>
        </w:trPr>
        <w:tc>
          <w:tcPr>
            <w:tcW w:w="2948" w:type="dxa"/>
            <w:tcBorders>
              <w:top w:val="nil"/>
              <w:left w:val="nil"/>
              <w:bottom w:val="nil"/>
              <w:right w:val="nil"/>
            </w:tcBorders>
            <w:shd w:val="clear" w:color="000000" w:fill="FFFFFF"/>
            <w:vAlign w:val="center"/>
            <w:hideMark/>
          </w:tcPr>
          <w:p w14:paraId="00074FA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3386774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489BBE6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19E57A4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1391848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35B4D011" w14:textId="77777777" w:rsidTr="0092649D">
        <w:trPr>
          <w:trHeight w:val="283"/>
        </w:trPr>
        <w:tc>
          <w:tcPr>
            <w:tcW w:w="2948" w:type="dxa"/>
            <w:tcBorders>
              <w:top w:val="nil"/>
              <w:left w:val="nil"/>
              <w:bottom w:val="nil"/>
              <w:right w:val="nil"/>
            </w:tcBorders>
            <w:shd w:val="clear" w:color="000000" w:fill="DEE8F1"/>
            <w:vAlign w:val="center"/>
            <w:hideMark/>
          </w:tcPr>
          <w:p w14:paraId="0BAAB122" w14:textId="77777777" w:rsidR="00F35810" w:rsidRPr="009D6244" w:rsidRDefault="00F35810" w:rsidP="00223539">
            <w:pPr>
              <w:spacing w:after="0" w:line="240" w:lineRule="auto"/>
              <w:ind w:left="0"/>
              <w:jc w:val="left"/>
              <w:rPr>
                <w:rFonts w:eastAsia="Times New Roman" w:cs="Arial"/>
                <w:b/>
                <w:bCs/>
                <w:sz w:val="18"/>
                <w:szCs w:val="18"/>
                <w:lang w:eastAsia="en-AU"/>
              </w:rPr>
            </w:pPr>
            <w:r w:rsidRPr="009D6244">
              <w:rPr>
                <w:rFonts w:eastAsia="Times New Roman" w:cs="Arial"/>
                <w:b/>
                <w:bCs/>
                <w:sz w:val="18"/>
                <w:szCs w:val="18"/>
                <w:lang w:eastAsia="en-AU"/>
              </w:rPr>
              <w:t>Firm age</w:t>
            </w:r>
          </w:p>
        </w:tc>
        <w:tc>
          <w:tcPr>
            <w:tcW w:w="1487" w:type="dxa"/>
            <w:tcBorders>
              <w:top w:val="nil"/>
              <w:left w:val="nil"/>
              <w:bottom w:val="nil"/>
              <w:right w:val="nil"/>
            </w:tcBorders>
            <w:shd w:val="clear" w:color="000000" w:fill="DEE8F1"/>
            <w:vAlign w:val="center"/>
            <w:hideMark/>
          </w:tcPr>
          <w:p w14:paraId="2E5A233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5306DCB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494E0E2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5280E3E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77EA09A4" w14:textId="77777777" w:rsidTr="0092649D">
        <w:trPr>
          <w:trHeight w:val="283"/>
        </w:trPr>
        <w:tc>
          <w:tcPr>
            <w:tcW w:w="2948" w:type="dxa"/>
            <w:tcBorders>
              <w:top w:val="nil"/>
              <w:left w:val="nil"/>
              <w:bottom w:val="nil"/>
              <w:right w:val="nil"/>
            </w:tcBorders>
            <w:shd w:val="clear" w:color="000000" w:fill="FFFFFF"/>
            <w:vAlign w:val="center"/>
            <w:hideMark/>
          </w:tcPr>
          <w:p w14:paraId="749EF54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Years of operation</w:t>
            </w:r>
          </w:p>
        </w:tc>
        <w:tc>
          <w:tcPr>
            <w:tcW w:w="1487" w:type="dxa"/>
            <w:tcBorders>
              <w:top w:val="nil"/>
              <w:left w:val="nil"/>
              <w:bottom w:val="nil"/>
              <w:right w:val="nil"/>
            </w:tcBorders>
            <w:shd w:val="clear" w:color="000000" w:fill="FFFFFF"/>
            <w:vAlign w:val="center"/>
            <w:hideMark/>
          </w:tcPr>
          <w:p w14:paraId="11340A6C" w14:textId="48191E0A" w:rsidR="00F35810" w:rsidRPr="009D6244" w:rsidRDefault="00F35810" w:rsidP="000156B4">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-0.016***</w:t>
            </w:r>
          </w:p>
        </w:tc>
        <w:tc>
          <w:tcPr>
            <w:tcW w:w="1487" w:type="dxa"/>
            <w:tcBorders>
              <w:top w:val="nil"/>
              <w:left w:val="nil"/>
              <w:bottom w:val="nil"/>
              <w:right w:val="nil"/>
            </w:tcBorders>
            <w:shd w:val="clear" w:color="000000" w:fill="FFFFFF"/>
            <w:vAlign w:val="center"/>
            <w:hideMark/>
          </w:tcPr>
          <w:p w14:paraId="1480871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0.00161</w:t>
            </w:r>
          </w:p>
        </w:tc>
        <w:tc>
          <w:tcPr>
            <w:tcW w:w="1487" w:type="dxa"/>
            <w:tcBorders>
              <w:top w:val="nil"/>
              <w:left w:val="nil"/>
              <w:bottom w:val="nil"/>
              <w:right w:val="nil"/>
            </w:tcBorders>
            <w:shd w:val="clear" w:color="000000" w:fill="FFFFFF"/>
            <w:vAlign w:val="center"/>
            <w:hideMark/>
          </w:tcPr>
          <w:p w14:paraId="21CC07A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0.00152</w:t>
            </w:r>
          </w:p>
        </w:tc>
        <w:tc>
          <w:tcPr>
            <w:tcW w:w="1487" w:type="dxa"/>
            <w:tcBorders>
              <w:top w:val="nil"/>
              <w:left w:val="nil"/>
              <w:bottom w:val="nil"/>
              <w:right w:val="nil"/>
            </w:tcBorders>
            <w:shd w:val="clear" w:color="000000" w:fill="FFFFFF"/>
            <w:vAlign w:val="center"/>
            <w:hideMark/>
          </w:tcPr>
          <w:p w14:paraId="2B4E5A4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0.0203***</w:t>
            </w:r>
          </w:p>
        </w:tc>
      </w:tr>
      <w:tr w:rsidR="00F35810" w:rsidRPr="009D6244" w14:paraId="441A7800" w14:textId="77777777" w:rsidTr="0092649D">
        <w:trPr>
          <w:trHeight w:val="283"/>
        </w:trPr>
        <w:tc>
          <w:tcPr>
            <w:tcW w:w="2948" w:type="dxa"/>
            <w:tcBorders>
              <w:top w:val="nil"/>
              <w:left w:val="nil"/>
              <w:bottom w:val="nil"/>
              <w:right w:val="nil"/>
            </w:tcBorders>
            <w:shd w:val="clear" w:color="000000" w:fill="DEE8F1"/>
            <w:vAlign w:val="center"/>
            <w:hideMark/>
          </w:tcPr>
          <w:p w14:paraId="6880CD1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3048D69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(-6.38)</w:t>
            </w:r>
          </w:p>
        </w:tc>
        <w:tc>
          <w:tcPr>
            <w:tcW w:w="1487" w:type="dxa"/>
            <w:tcBorders>
              <w:top w:val="nil"/>
              <w:left w:val="nil"/>
              <w:bottom w:val="nil"/>
              <w:right w:val="nil"/>
            </w:tcBorders>
            <w:shd w:val="clear" w:color="000000" w:fill="DEE8F1"/>
            <w:vAlign w:val="center"/>
            <w:hideMark/>
          </w:tcPr>
          <w:p w14:paraId="755CC2D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(0.64)</w:t>
            </w:r>
          </w:p>
        </w:tc>
        <w:tc>
          <w:tcPr>
            <w:tcW w:w="1487" w:type="dxa"/>
            <w:tcBorders>
              <w:top w:val="nil"/>
              <w:left w:val="nil"/>
              <w:bottom w:val="nil"/>
              <w:right w:val="nil"/>
            </w:tcBorders>
            <w:shd w:val="clear" w:color="000000" w:fill="DEE8F1"/>
            <w:vAlign w:val="center"/>
            <w:hideMark/>
          </w:tcPr>
          <w:p w14:paraId="02AB41C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(0.65)</w:t>
            </w:r>
          </w:p>
        </w:tc>
        <w:tc>
          <w:tcPr>
            <w:tcW w:w="1487" w:type="dxa"/>
            <w:tcBorders>
              <w:top w:val="nil"/>
              <w:left w:val="nil"/>
              <w:bottom w:val="nil"/>
              <w:right w:val="nil"/>
            </w:tcBorders>
            <w:shd w:val="clear" w:color="000000" w:fill="DEE8F1"/>
            <w:vAlign w:val="center"/>
            <w:hideMark/>
          </w:tcPr>
          <w:p w14:paraId="7F06D4B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(8.55)</w:t>
            </w:r>
          </w:p>
        </w:tc>
      </w:tr>
      <w:tr w:rsidR="00F35810" w:rsidRPr="009D6244" w14:paraId="7DFB77DF" w14:textId="77777777" w:rsidTr="0092649D">
        <w:trPr>
          <w:trHeight w:val="283"/>
        </w:trPr>
        <w:tc>
          <w:tcPr>
            <w:tcW w:w="2948" w:type="dxa"/>
            <w:tcBorders>
              <w:top w:val="nil"/>
              <w:left w:val="nil"/>
              <w:bottom w:val="nil"/>
              <w:right w:val="nil"/>
            </w:tcBorders>
            <w:shd w:val="clear" w:color="000000" w:fill="FFFFFF"/>
            <w:vAlign w:val="center"/>
            <w:hideMark/>
          </w:tcPr>
          <w:p w14:paraId="467A5F8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Years of current ownership</w:t>
            </w:r>
          </w:p>
        </w:tc>
        <w:tc>
          <w:tcPr>
            <w:tcW w:w="1487" w:type="dxa"/>
            <w:tcBorders>
              <w:top w:val="nil"/>
              <w:left w:val="nil"/>
              <w:bottom w:val="nil"/>
              <w:right w:val="nil"/>
            </w:tcBorders>
            <w:shd w:val="clear" w:color="000000" w:fill="FFFFFF"/>
            <w:vAlign w:val="center"/>
            <w:hideMark/>
          </w:tcPr>
          <w:p w14:paraId="5FB0B65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0.0112***</w:t>
            </w:r>
          </w:p>
        </w:tc>
        <w:tc>
          <w:tcPr>
            <w:tcW w:w="1487" w:type="dxa"/>
            <w:tcBorders>
              <w:top w:val="nil"/>
              <w:left w:val="nil"/>
              <w:bottom w:val="nil"/>
              <w:right w:val="nil"/>
            </w:tcBorders>
            <w:shd w:val="clear" w:color="000000" w:fill="FFFFFF"/>
            <w:vAlign w:val="center"/>
            <w:hideMark/>
          </w:tcPr>
          <w:p w14:paraId="194FBC5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-0.00325</w:t>
            </w:r>
          </w:p>
        </w:tc>
        <w:tc>
          <w:tcPr>
            <w:tcW w:w="1487" w:type="dxa"/>
            <w:tcBorders>
              <w:top w:val="nil"/>
              <w:left w:val="nil"/>
              <w:bottom w:val="nil"/>
              <w:right w:val="nil"/>
            </w:tcBorders>
            <w:shd w:val="clear" w:color="000000" w:fill="FFFFFF"/>
            <w:vAlign w:val="center"/>
            <w:hideMark/>
          </w:tcPr>
          <w:p w14:paraId="22F9FB5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-0.00760**</w:t>
            </w:r>
          </w:p>
        </w:tc>
        <w:tc>
          <w:tcPr>
            <w:tcW w:w="1487" w:type="dxa"/>
            <w:tcBorders>
              <w:top w:val="nil"/>
              <w:left w:val="nil"/>
              <w:bottom w:val="nil"/>
              <w:right w:val="nil"/>
            </w:tcBorders>
            <w:shd w:val="clear" w:color="000000" w:fill="FFFFFF"/>
            <w:vAlign w:val="center"/>
            <w:hideMark/>
          </w:tcPr>
          <w:p w14:paraId="6B2B7A3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0.000480</w:t>
            </w:r>
          </w:p>
        </w:tc>
      </w:tr>
      <w:tr w:rsidR="00F35810" w:rsidRPr="009D6244" w14:paraId="043FA833" w14:textId="77777777" w:rsidTr="0092649D">
        <w:trPr>
          <w:trHeight w:val="283"/>
        </w:trPr>
        <w:tc>
          <w:tcPr>
            <w:tcW w:w="2948" w:type="dxa"/>
            <w:tcBorders>
              <w:top w:val="nil"/>
              <w:left w:val="nil"/>
              <w:bottom w:val="nil"/>
              <w:right w:val="nil"/>
            </w:tcBorders>
            <w:shd w:val="clear" w:color="000000" w:fill="DEE8F1"/>
            <w:vAlign w:val="center"/>
            <w:hideMark/>
          </w:tcPr>
          <w:p w14:paraId="3332B0B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3AB1CB9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(3.82)</w:t>
            </w:r>
          </w:p>
        </w:tc>
        <w:tc>
          <w:tcPr>
            <w:tcW w:w="1487" w:type="dxa"/>
            <w:tcBorders>
              <w:top w:val="nil"/>
              <w:left w:val="nil"/>
              <w:bottom w:val="nil"/>
              <w:right w:val="nil"/>
            </w:tcBorders>
            <w:shd w:val="clear" w:color="000000" w:fill="DEE8F1"/>
            <w:vAlign w:val="center"/>
            <w:hideMark/>
          </w:tcPr>
          <w:p w14:paraId="51DD719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(-1.07)</w:t>
            </w:r>
          </w:p>
        </w:tc>
        <w:tc>
          <w:tcPr>
            <w:tcW w:w="1487" w:type="dxa"/>
            <w:tcBorders>
              <w:top w:val="nil"/>
              <w:left w:val="nil"/>
              <w:bottom w:val="nil"/>
              <w:right w:val="nil"/>
            </w:tcBorders>
            <w:shd w:val="clear" w:color="000000" w:fill="DEE8F1"/>
            <w:vAlign w:val="center"/>
            <w:hideMark/>
          </w:tcPr>
          <w:p w14:paraId="375CB8F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(-2.63)</w:t>
            </w:r>
          </w:p>
        </w:tc>
        <w:tc>
          <w:tcPr>
            <w:tcW w:w="1487" w:type="dxa"/>
            <w:tcBorders>
              <w:top w:val="nil"/>
              <w:left w:val="nil"/>
              <w:bottom w:val="nil"/>
              <w:right w:val="nil"/>
            </w:tcBorders>
            <w:shd w:val="clear" w:color="000000" w:fill="DEE8F1"/>
            <w:vAlign w:val="center"/>
            <w:hideMark/>
          </w:tcPr>
          <w:p w14:paraId="7B303A7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(0.17)</w:t>
            </w:r>
          </w:p>
        </w:tc>
      </w:tr>
      <w:tr w:rsidR="00F35810" w:rsidRPr="009D6244" w14:paraId="32C292A2" w14:textId="77777777" w:rsidTr="0092649D">
        <w:trPr>
          <w:trHeight w:val="283"/>
        </w:trPr>
        <w:tc>
          <w:tcPr>
            <w:tcW w:w="2948" w:type="dxa"/>
            <w:tcBorders>
              <w:top w:val="nil"/>
              <w:left w:val="nil"/>
              <w:bottom w:val="nil"/>
              <w:right w:val="nil"/>
            </w:tcBorders>
            <w:shd w:val="clear" w:color="000000" w:fill="FFFFFF"/>
            <w:vAlign w:val="center"/>
            <w:hideMark/>
          </w:tcPr>
          <w:p w14:paraId="19244C3A" w14:textId="77777777" w:rsidR="00F35810" w:rsidRPr="009D6244" w:rsidRDefault="00F35810" w:rsidP="00223539">
            <w:pPr>
              <w:spacing w:after="0" w:line="240" w:lineRule="auto"/>
              <w:ind w:left="0"/>
              <w:jc w:val="left"/>
              <w:rPr>
                <w:rFonts w:eastAsia="Times New Roman" w:cs="Arial"/>
                <w:b/>
                <w:bCs/>
                <w:sz w:val="18"/>
                <w:szCs w:val="18"/>
                <w:lang w:eastAsia="en-AU"/>
              </w:rPr>
            </w:pPr>
            <w:r w:rsidRPr="009D6244">
              <w:rPr>
                <w:rFonts w:eastAsia="Times New Roman" w:cs="Arial"/>
                <w:b/>
                <w:bCs/>
                <w:sz w:val="18"/>
                <w:szCs w:val="18"/>
                <w:lang w:eastAsia="en-AU"/>
              </w:rPr>
              <w:t>Firm size</w:t>
            </w:r>
          </w:p>
        </w:tc>
        <w:tc>
          <w:tcPr>
            <w:tcW w:w="1487" w:type="dxa"/>
            <w:tcBorders>
              <w:top w:val="nil"/>
              <w:left w:val="nil"/>
              <w:bottom w:val="nil"/>
              <w:right w:val="nil"/>
            </w:tcBorders>
            <w:shd w:val="clear" w:color="000000" w:fill="FFFFFF"/>
            <w:vAlign w:val="center"/>
            <w:hideMark/>
          </w:tcPr>
          <w:p w14:paraId="208CFA2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5B66778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05042E1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0C68FD1A"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7110DACF" w14:textId="77777777" w:rsidTr="0092649D">
        <w:trPr>
          <w:trHeight w:val="283"/>
        </w:trPr>
        <w:tc>
          <w:tcPr>
            <w:tcW w:w="2948" w:type="dxa"/>
            <w:tcBorders>
              <w:top w:val="nil"/>
              <w:left w:val="nil"/>
              <w:bottom w:val="nil"/>
              <w:right w:val="nil"/>
            </w:tcBorders>
            <w:shd w:val="clear" w:color="000000" w:fill="DEE8F1"/>
            <w:vAlign w:val="center"/>
            <w:hideMark/>
          </w:tcPr>
          <w:p w14:paraId="6D800F9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Turnover ($millions)</w:t>
            </w:r>
          </w:p>
        </w:tc>
        <w:tc>
          <w:tcPr>
            <w:tcW w:w="1487" w:type="dxa"/>
            <w:tcBorders>
              <w:top w:val="nil"/>
              <w:left w:val="nil"/>
              <w:bottom w:val="nil"/>
              <w:right w:val="nil"/>
            </w:tcBorders>
            <w:shd w:val="clear" w:color="000000" w:fill="DEE8F1"/>
            <w:vAlign w:val="center"/>
            <w:hideMark/>
          </w:tcPr>
          <w:p w14:paraId="64E208C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-0.00538***</w:t>
            </w:r>
          </w:p>
        </w:tc>
        <w:tc>
          <w:tcPr>
            <w:tcW w:w="1487" w:type="dxa"/>
            <w:tcBorders>
              <w:top w:val="nil"/>
              <w:left w:val="nil"/>
              <w:bottom w:val="nil"/>
              <w:right w:val="nil"/>
            </w:tcBorders>
            <w:shd w:val="clear" w:color="000000" w:fill="DEE8F1"/>
            <w:vAlign w:val="center"/>
            <w:hideMark/>
          </w:tcPr>
          <w:p w14:paraId="4E78026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-0.000492</w:t>
            </w:r>
          </w:p>
        </w:tc>
        <w:tc>
          <w:tcPr>
            <w:tcW w:w="1487" w:type="dxa"/>
            <w:tcBorders>
              <w:top w:val="nil"/>
              <w:left w:val="nil"/>
              <w:bottom w:val="nil"/>
              <w:right w:val="nil"/>
            </w:tcBorders>
            <w:shd w:val="clear" w:color="000000" w:fill="DEE8F1"/>
            <w:vAlign w:val="center"/>
            <w:hideMark/>
          </w:tcPr>
          <w:p w14:paraId="6D01EFA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-0.000461**</w:t>
            </w:r>
          </w:p>
        </w:tc>
        <w:tc>
          <w:tcPr>
            <w:tcW w:w="1487" w:type="dxa"/>
            <w:tcBorders>
              <w:top w:val="nil"/>
              <w:left w:val="nil"/>
              <w:bottom w:val="nil"/>
              <w:right w:val="nil"/>
            </w:tcBorders>
            <w:shd w:val="clear" w:color="000000" w:fill="DEE8F1"/>
            <w:vAlign w:val="center"/>
            <w:hideMark/>
          </w:tcPr>
          <w:p w14:paraId="7E53D49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0.00153***</w:t>
            </w:r>
          </w:p>
        </w:tc>
      </w:tr>
      <w:tr w:rsidR="00F35810" w:rsidRPr="009D6244" w14:paraId="015F6F84" w14:textId="77777777" w:rsidTr="0092649D">
        <w:trPr>
          <w:trHeight w:val="283"/>
        </w:trPr>
        <w:tc>
          <w:tcPr>
            <w:tcW w:w="2948" w:type="dxa"/>
            <w:tcBorders>
              <w:top w:val="nil"/>
              <w:left w:val="nil"/>
              <w:bottom w:val="nil"/>
              <w:right w:val="nil"/>
            </w:tcBorders>
            <w:shd w:val="clear" w:color="000000" w:fill="FFFFFF"/>
            <w:vAlign w:val="center"/>
            <w:hideMark/>
          </w:tcPr>
          <w:p w14:paraId="2EA72B9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5E3F109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(-5.81)</w:t>
            </w:r>
          </w:p>
        </w:tc>
        <w:tc>
          <w:tcPr>
            <w:tcW w:w="1487" w:type="dxa"/>
            <w:tcBorders>
              <w:top w:val="nil"/>
              <w:left w:val="nil"/>
              <w:bottom w:val="nil"/>
              <w:right w:val="nil"/>
            </w:tcBorders>
            <w:shd w:val="clear" w:color="000000" w:fill="FFFFFF"/>
            <w:vAlign w:val="center"/>
            <w:hideMark/>
          </w:tcPr>
          <w:p w14:paraId="346C9CE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(-1.56)</w:t>
            </w:r>
          </w:p>
        </w:tc>
        <w:tc>
          <w:tcPr>
            <w:tcW w:w="1487" w:type="dxa"/>
            <w:tcBorders>
              <w:top w:val="nil"/>
              <w:left w:val="nil"/>
              <w:bottom w:val="nil"/>
              <w:right w:val="nil"/>
            </w:tcBorders>
            <w:shd w:val="clear" w:color="000000" w:fill="FFFFFF"/>
            <w:vAlign w:val="center"/>
            <w:hideMark/>
          </w:tcPr>
          <w:p w14:paraId="45CBB27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(-2.96)</w:t>
            </w:r>
          </w:p>
        </w:tc>
        <w:tc>
          <w:tcPr>
            <w:tcW w:w="1487" w:type="dxa"/>
            <w:tcBorders>
              <w:top w:val="nil"/>
              <w:left w:val="nil"/>
              <w:bottom w:val="nil"/>
              <w:right w:val="nil"/>
            </w:tcBorders>
            <w:shd w:val="clear" w:color="000000" w:fill="FFFFFF"/>
            <w:vAlign w:val="center"/>
            <w:hideMark/>
          </w:tcPr>
          <w:p w14:paraId="328A5EB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(6.41)</w:t>
            </w:r>
          </w:p>
        </w:tc>
      </w:tr>
      <w:tr w:rsidR="00F35810" w:rsidRPr="009D6244" w14:paraId="11F9A224" w14:textId="77777777" w:rsidTr="0092649D">
        <w:trPr>
          <w:trHeight w:val="283"/>
        </w:trPr>
        <w:tc>
          <w:tcPr>
            <w:tcW w:w="2948" w:type="dxa"/>
            <w:tcBorders>
              <w:top w:val="nil"/>
              <w:left w:val="nil"/>
              <w:bottom w:val="nil"/>
              <w:right w:val="nil"/>
            </w:tcBorders>
            <w:shd w:val="clear" w:color="000000" w:fill="DEE8F1"/>
            <w:vAlign w:val="center"/>
            <w:hideMark/>
          </w:tcPr>
          <w:p w14:paraId="4545CBC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Number of employees</w:t>
            </w:r>
          </w:p>
        </w:tc>
        <w:tc>
          <w:tcPr>
            <w:tcW w:w="1487" w:type="dxa"/>
            <w:tcBorders>
              <w:top w:val="nil"/>
              <w:left w:val="nil"/>
              <w:bottom w:val="nil"/>
              <w:right w:val="nil"/>
            </w:tcBorders>
            <w:shd w:val="clear" w:color="000000" w:fill="DEE8F1"/>
            <w:vAlign w:val="center"/>
            <w:hideMark/>
          </w:tcPr>
          <w:p w14:paraId="21A8882A" w14:textId="6D3DC78A" w:rsidR="00F35810" w:rsidRPr="009D6244" w:rsidRDefault="00F35810" w:rsidP="000156B4">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w:t>
            </w:r>
            <w:r w:rsidR="000156B4">
              <w:rPr>
                <w:rFonts w:eastAsia="Times New Roman" w:cs="Arial"/>
                <w:sz w:val="18"/>
                <w:szCs w:val="18"/>
                <w:lang w:eastAsia="en-AU"/>
              </w:rPr>
              <w:t>2</w:t>
            </w:r>
            <w:r w:rsidRPr="009D6244">
              <w:rPr>
                <w:rFonts w:eastAsia="Times New Roman" w:cs="Arial"/>
                <w:sz w:val="18"/>
                <w:szCs w:val="18"/>
                <w:lang w:eastAsia="en-AU"/>
              </w:rPr>
              <w:t>83***</w:t>
            </w:r>
          </w:p>
        </w:tc>
        <w:tc>
          <w:tcPr>
            <w:tcW w:w="1487" w:type="dxa"/>
            <w:tcBorders>
              <w:top w:val="nil"/>
              <w:left w:val="nil"/>
              <w:bottom w:val="nil"/>
              <w:right w:val="nil"/>
            </w:tcBorders>
            <w:shd w:val="clear" w:color="000000" w:fill="DEE8F1"/>
            <w:vAlign w:val="center"/>
            <w:hideMark/>
          </w:tcPr>
          <w:p w14:paraId="597C688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-0.00225***</w:t>
            </w:r>
          </w:p>
        </w:tc>
        <w:tc>
          <w:tcPr>
            <w:tcW w:w="1487" w:type="dxa"/>
            <w:tcBorders>
              <w:top w:val="nil"/>
              <w:left w:val="nil"/>
              <w:bottom w:val="nil"/>
              <w:right w:val="nil"/>
            </w:tcBorders>
            <w:shd w:val="clear" w:color="000000" w:fill="DEE8F1"/>
            <w:vAlign w:val="center"/>
            <w:hideMark/>
          </w:tcPr>
          <w:p w14:paraId="14C308D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-0.0000316</w:t>
            </w:r>
          </w:p>
        </w:tc>
        <w:tc>
          <w:tcPr>
            <w:tcW w:w="1487" w:type="dxa"/>
            <w:tcBorders>
              <w:top w:val="nil"/>
              <w:left w:val="nil"/>
              <w:bottom w:val="nil"/>
              <w:right w:val="nil"/>
            </w:tcBorders>
            <w:shd w:val="clear" w:color="000000" w:fill="DEE8F1"/>
            <w:vAlign w:val="center"/>
            <w:hideMark/>
          </w:tcPr>
          <w:p w14:paraId="1937EFD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0.00119***</w:t>
            </w:r>
          </w:p>
        </w:tc>
      </w:tr>
      <w:tr w:rsidR="00F35810" w:rsidRPr="009D6244" w14:paraId="6C8B49E1" w14:textId="77777777" w:rsidTr="0092649D">
        <w:trPr>
          <w:trHeight w:val="283"/>
        </w:trPr>
        <w:tc>
          <w:tcPr>
            <w:tcW w:w="2948" w:type="dxa"/>
            <w:tcBorders>
              <w:top w:val="nil"/>
              <w:left w:val="nil"/>
              <w:bottom w:val="nil"/>
              <w:right w:val="nil"/>
            </w:tcBorders>
            <w:shd w:val="clear" w:color="000000" w:fill="FFFFFF"/>
            <w:vAlign w:val="center"/>
            <w:hideMark/>
          </w:tcPr>
          <w:p w14:paraId="30CE030A"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6A5766C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(-6.66)</w:t>
            </w:r>
          </w:p>
        </w:tc>
        <w:tc>
          <w:tcPr>
            <w:tcW w:w="1487" w:type="dxa"/>
            <w:tcBorders>
              <w:top w:val="nil"/>
              <w:left w:val="nil"/>
              <w:bottom w:val="nil"/>
              <w:right w:val="nil"/>
            </w:tcBorders>
            <w:shd w:val="clear" w:color="000000" w:fill="FFFFFF"/>
            <w:vAlign w:val="center"/>
            <w:hideMark/>
          </w:tcPr>
          <w:p w14:paraId="360FD45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(-8.17)</w:t>
            </w:r>
          </w:p>
        </w:tc>
        <w:tc>
          <w:tcPr>
            <w:tcW w:w="1487" w:type="dxa"/>
            <w:tcBorders>
              <w:top w:val="nil"/>
              <w:left w:val="nil"/>
              <w:bottom w:val="nil"/>
              <w:right w:val="nil"/>
            </w:tcBorders>
            <w:shd w:val="clear" w:color="000000" w:fill="FFFFFF"/>
            <w:vAlign w:val="center"/>
            <w:hideMark/>
          </w:tcPr>
          <w:p w14:paraId="1850D4F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(-0.48)</w:t>
            </w:r>
          </w:p>
        </w:tc>
        <w:tc>
          <w:tcPr>
            <w:tcW w:w="1487" w:type="dxa"/>
            <w:tcBorders>
              <w:top w:val="nil"/>
              <w:left w:val="nil"/>
              <w:bottom w:val="nil"/>
              <w:right w:val="nil"/>
            </w:tcBorders>
            <w:shd w:val="clear" w:color="000000" w:fill="FFFFFF"/>
            <w:vAlign w:val="center"/>
            <w:hideMark/>
          </w:tcPr>
          <w:p w14:paraId="70078BC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(9.68)</w:t>
            </w:r>
          </w:p>
        </w:tc>
      </w:tr>
      <w:tr w:rsidR="00F35810" w:rsidRPr="009D6244" w14:paraId="74359EA2" w14:textId="77777777" w:rsidTr="0092649D">
        <w:trPr>
          <w:trHeight w:val="283"/>
        </w:trPr>
        <w:tc>
          <w:tcPr>
            <w:tcW w:w="2948" w:type="dxa"/>
            <w:tcBorders>
              <w:top w:val="nil"/>
              <w:left w:val="nil"/>
              <w:bottom w:val="nil"/>
              <w:right w:val="nil"/>
            </w:tcBorders>
            <w:shd w:val="clear" w:color="000000" w:fill="DEE8F1"/>
            <w:vAlign w:val="center"/>
            <w:hideMark/>
          </w:tcPr>
          <w:p w14:paraId="369E3A3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6F2D3FF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35FB4EE7"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050ED70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255CCD1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6D672A5C" w14:textId="77777777" w:rsidTr="0092649D">
        <w:trPr>
          <w:trHeight w:val="283"/>
        </w:trPr>
        <w:tc>
          <w:tcPr>
            <w:tcW w:w="2948" w:type="dxa"/>
            <w:tcBorders>
              <w:top w:val="nil"/>
              <w:left w:val="nil"/>
              <w:bottom w:val="nil"/>
              <w:right w:val="nil"/>
            </w:tcBorders>
            <w:shd w:val="clear" w:color="000000" w:fill="FFFFFF"/>
            <w:vAlign w:val="center"/>
            <w:hideMark/>
          </w:tcPr>
          <w:p w14:paraId="4813A988" w14:textId="77777777" w:rsidR="00F35810" w:rsidRPr="009D6244" w:rsidRDefault="00F35810" w:rsidP="00223539">
            <w:pPr>
              <w:spacing w:after="0" w:line="240" w:lineRule="auto"/>
              <w:ind w:left="0"/>
              <w:jc w:val="left"/>
              <w:rPr>
                <w:rFonts w:eastAsia="Times New Roman" w:cs="Arial"/>
                <w:b/>
                <w:bCs/>
                <w:sz w:val="18"/>
                <w:szCs w:val="18"/>
                <w:lang w:eastAsia="en-AU"/>
              </w:rPr>
            </w:pPr>
            <w:r w:rsidRPr="009D6244">
              <w:rPr>
                <w:rFonts w:eastAsia="Times New Roman" w:cs="Arial"/>
                <w:b/>
                <w:bCs/>
                <w:sz w:val="18"/>
                <w:szCs w:val="18"/>
                <w:lang w:eastAsia="en-AU"/>
              </w:rPr>
              <w:t>Industry Division</w:t>
            </w:r>
          </w:p>
        </w:tc>
        <w:tc>
          <w:tcPr>
            <w:tcW w:w="1487" w:type="dxa"/>
            <w:tcBorders>
              <w:top w:val="nil"/>
              <w:left w:val="nil"/>
              <w:bottom w:val="nil"/>
              <w:right w:val="nil"/>
            </w:tcBorders>
            <w:shd w:val="clear" w:color="000000" w:fill="FFFFFF"/>
            <w:vAlign w:val="center"/>
            <w:hideMark/>
          </w:tcPr>
          <w:p w14:paraId="355BA9D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188F520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4D49D35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243DAEC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0DAA0134" w14:textId="77777777" w:rsidTr="0092649D">
        <w:trPr>
          <w:trHeight w:val="283"/>
        </w:trPr>
        <w:tc>
          <w:tcPr>
            <w:tcW w:w="2948" w:type="dxa"/>
            <w:tcBorders>
              <w:top w:val="nil"/>
              <w:left w:val="nil"/>
              <w:bottom w:val="nil"/>
              <w:right w:val="nil"/>
            </w:tcBorders>
            <w:shd w:val="clear" w:color="000000" w:fill="DEE8F1"/>
            <w:vAlign w:val="center"/>
            <w:hideMark/>
          </w:tcPr>
          <w:p w14:paraId="29D1075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Not reported</w:t>
            </w:r>
          </w:p>
        </w:tc>
        <w:tc>
          <w:tcPr>
            <w:tcW w:w="1487" w:type="dxa"/>
            <w:tcBorders>
              <w:top w:val="nil"/>
              <w:left w:val="nil"/>
              <w:bottom w:val="nil"/>
              <w:right w:val="nil"/>
            </w:tcBorders>
            <w:shd w:val="clear" w:color="000000" w:fill="DEE8F1"/>
            <w:vAlign w:val="center"/>
            <w:hideMark/>
          </w:tcPr>
          <w:p w14:paraId="5313F25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3F43F979"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2DC66DF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DEE8F1"/>
            <w:vAlign w:val="center"/>
            <w:hideMark/>
          </w:tcPr>
          <w:p w14:paraId="3074D8B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D6244" w14:paraId="7425B867" w14:textId="77777777" w:rsidTr="0092649D">
        <w:trPr>
          <w:trHeight w:val="283"/>
        </w:trPr>
        <w:tc>
          <w:tcPr>
            <w:tcW w:w="2948" w:type="dxa"/>
            <w:tcBorders>
              <w:top w:val="nil"/>
              <w:left w:val="nil"/>
              <w:bottom w:val="nil"/>
              <w:right w:val="nil"/>
            </w:tcBorders>
            <w:shd w:val="clear" w:color="000000" w:fill="FFFFFF"/>
            <w:vAlign w:val="center"/>
            <w:hideMark/>
          </w:tcPr>
          <w:p w14:paraId="4DFCE7E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7A58813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3062436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44C1464C"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c>
          <w:tcPr>
            <w:tcW w:w="1487" w:type="dxa"/>
            <w:tcBorders>
              <w:top w:val="nil"/>
              <w:left w:val="nil"/>
              <w:bottom w:val="nil"/>
              <w:right w:val="nil"/>
            </w:tcBorders>
            <w:shd w:val="clear" w:color="000000" w:fill="FFFFFF"/>
            <w:vAlign w:val="center"/>
            <w:hideMark/>
          </w:tcPr>
          <w:p w14:paraId="45B2B71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 </w:t>
            </w:r>
          </w:p>
        </w:tc>
      </w:tr>
      <w:tr w:rsidR="00F35810" w:rsidRPr="009A7263" w14:paraId="280B41B4" w14:textId="77777777" w:rsidTr="0092649D">
        <w:trPr>
          <w:trHeight w:val="283"/>
        </w:trPr>
        <w:tc>
          <w:tcPr>
            <w:tcW w:w="2948" w:type="dxa"/>
            <w:tcBorders>
              <w:top w:val="nil"/>
              <w:left w:val="nil"/>
              <w:bottom w:val="nil"/>
              <w:right w:val="nil"/>
            </w:tcBorders>
            <w:shd w:val="clear" w:color="auto" w:fill="005CAF"/>
            <w:vAlign w:val="center"/>
            <w:hideMark/>
          </w:tcPr>
          <w:p w14:paraId="66202E38" w14:textId="77777777" w:rsidR="00F35810" w:rsidRPr="009A7263" w:rsidRDefault="00F35810" w:rsidP="00223539">
            <w:pPr>
              <w:spacing w:before="120" w:after="120" w:line="240" w:lineRule="auto"/>
              <w:ind w:left="0"/>
              <w:jc w:val="left"/>
              <w:rPr>
                <w:rFonts w:eastAsia="Times New Roman" w:cs="Arial"/>
                <w:b/>
                <w:bCs/>
                <w:color w:val="FFFFFF"/>
                <w:sz w:val="18"/>
                <w:szCs w:val="18"/>
                <w:lang w:eastAsia="en-AU"/>
              </w:rPr>
            </w:pPr>
            <w:r w:rsidRPr="009A7263">
              <w:rPr>
                <w:rFonts w:eastAsia="Times New Roman" w:cs="Arial"/>
                <w:b/>
                <w:bCs/>
                <w:color w:val="FFFFFF"/>
                <w:sz w:val="18"/>
                <w:szCs w:val="18"/>
                <w:lang w:eastAsia="en-AU"/>
              </w:rPr>
              <w:t xml:space="preserve">Model statistics </w:t>
            </w:r>
          </w:p>
        </w:tc>
        <w:tc>
          <w:tcPr>
            <w:tcW w:w="1487" w:type="dxa"/>
            <w:tcBorders>
              <w:top w:val="nil"/>
              <w:left w:val="nil"/>
              <w:bottom w:val="nil"/>
              <w:right w:val="nil"/>
            </w:tcBorders>
            <w:shd w:val="clear" w:color="auto" w:fill="005CAF"/>
            <w:vAlign w:val="center"/>
            <w:hideMark/>
          </w:tcPr>
          <w:p w14:paraId="7B99FC46" w14:textId="77777777" w:rsidR="00F35810" w:rsidRPr="009A7263" w:rsidRDefault="00F35810" w:rsidP="00223539">
            <w:pPr>
              <w:spacing w:before="120" w:after="120" w:line="240" w:lineRule="auto"/>
              <w:ind w:left="0"/>
              <w:jc w:val="left"/>
              <w:rPr>
                <w:rFonts w:eastAsia="Times New Roman" w:cs="Arial"/>
                <w:b/>
                <w:bCs/>
                <w:color w:val="FFFFFF"/>
                <w:sz w:val="18"/>
                <w:szCs w:val="18"/>
                <w:lang w:eastAsia="en-AU"/>
              </w:rPr>
            </w:pPr>
            <w:r w:rsidRPr="009A7263">
              <w:rPr>
                <w:rFonts w:eastAsia="Times New Roman" w:cs="Arial"/>
                <w:b/>
                <w:bCs/>
                <w:color w:val="FFFFFF"/>
                <w:sz w:val="18"/>
                <w:szCs w:val="18"/>
                <w:lang w:eastAsia="en-AU"/>
              </w:rPr>
              <w:t> </w:t>
            </w:r>
          </w:p>
        </w:tc>
        <w:tc>
          <w:tcPr>
            <w:tcW w:w="1487" w:type="dxa"/>
            <w:tcBorders>
              <w:top w:val="nil"/>
              <w:left w:val="nil"/>
              <w:bottom w:val="nil"/>
              <w:right w:val="nil"/>
            </w:tcBorders>
            <w:shd w:val="clear" w:color="auto" w:fill="005CAF"/>
            <w:vAlign w:val="center"/>
            <w:hideMark/>
          </w:tcPr>
          <w:p w14:paraId="5D6FF2C7" w14:textId="77777777" w:rsidR="00F35810" w:rsidRPr="009A7263" w:rsidRDefault="00F35810" w:rsidP="00223539">
            <w:pPr>
              <w:spacing w:before="120" w:after="120" w:line="240" w:lineRule="auto"/>
              <w:ind w:left="0"/>
              <w:jc w:val="left"/>
              <w:rPr>
                <w:rFonts w:eastAsia="Times New Roman" w:cs="Arial"/>
                <w:b/>
                <w:bCs/>
                <w:color w:val="FFFFFF"/>
                <w:sz w:val="18"/>
                <w:szCs w:val="18"/>
                <w:lang w:eastAsia="en-AU"/>
              </w:rPr>
            </w:pPr>
            <w:r w:rsidRPr="009A7263">
              <w:rPr>
                <w:rFonts w:eastAsia="Times New Roman" w:cs="Arial"/>
                <w:b/>
                <w:bCs/>
                <w:color w:val="FFFFFF"/>
                <w:sz w:val="18"/>
                <w:szCs w:val="18"/>
                <w:lang w:eastAsia="en-AU"/>
              </w:rPr>
              <w:t> </w:t>
            </w:r>
          </w:p>
        </w:tc>
        <w:tc>
          <w:tcPr>
            <w:tcW w:w="1487" w:type="dxa"/>
            <w:tcBorders>
              <w:top w:val="nil"/>
              <w:left w:val="nil"/>
              <w:bottom w:val="nil"/>
              <w:right w:val="nil"/>
            </w:tcBorders>
            <w:shd w:val="clear" w:color="auto" w:fill="005CAF"/>
            <w:vAlign w:val="center"/>
            <w:hideMark/>
          </w:tcPr>
          <w:p w14:paraId="2AC1A51F" w14:textId="77777777" w:rsidR="00F35810" w:rsidRPr="009A7263" w:rsidRDefault="00F35810" w:rsidP="00223539">
            <w:pPr>
              <w:spacing w:before="120" w:after="120" w:line="240" w:lineRule="auto"/>
              <w:ind w:left="0"/>
              <w:jc w:val="left"/>
              <w:rPr>
                <w:rFonts w:eastAsia="Times New Roman" w:cs="Arial"/>
                <w:b/>
                <w:bCs/>
                <w:color w:val="FFFFFF"/>
                <w:sz w:val="18"/>
                <w:szCs w:val="18"/>
                <w:lang w:eastAsia="en-AU"/>
              </w:rPr>
            </w:pPr>
            <w:r w:rsidRPr="009A7263">
              <w:rPr>
                <w:rFonts w:eastAsia="Times New Roman" w:cs="Arial"/>
                <w:b/>
                <w:bCs/>
                <w:color w:val="FFFFFF"/>
                <w:sz w:val="18"/>
                <w:szCs w:val="18"/>
                <w:lang w:eastAsia="en-AU"/>
              </w:rPr>
              <w:t> </w:t>
            </w:r>
          </w:p>
        </w:tc>
        <w:tc>
          <w:tcPr>
            <w:tcW w:w="1487" w:type="dxa"/>
            <w:tcBorders>
              <w:top w:val="nil"/>
              <w:left w:val="nil"/>
              <w:bottom w:val="nil"/>
              <w:right w:val="nil"/>
            </w:tcBorders>
            <w:shd w:val="clear" w:color="auto" w:fill="005CAF"/>
            <w:vAlign w:val="center"/>
            <w:hideMark/>
          </w:tcPr>
          <w:p w14:paraId="61E84E28" w14:textId="77777777" w:rsidR="00F35810" w:rsidRPr="009A7263" w:rsidRDefault="00F35810" w:rsidP="00223539">
            <w:pPr>
              <w:spacing w:before="120" w:after="120" w:line="240" w:lineRule="auto"/>
              <w:ind w:left="0"/>
              <w:jc w:val="left"/>
              <w:rPr>
                <w:rFonts w:eastAsia="Times New Roman" w:cs="Arial"/>
                <w:b/>
                <w:bCs/>
                <w:color w:val="FFFFFF"/>
                <w:sz w:val="18"/>
                <w:szCs w:val="18"/>
                <w:lang w:eastAsia="en-AU"/>
              </w:rPr>
            </w:pPr>
            <w:r w:rsidRPr="009A7263">
              <w:rPr>
                <w:rFonts w:eastAsia="Times New Roman" w:cs="Arial"/>
                <w:b/>
                <w:bCs/>
                <w:color w:val="FFFFFF"/>
                <w:sz w:val="18"/>
                <w:szCs w:val="18"/>
                <w:lang w:eastAsia="en-AU"/>
              </w:rPr>
              <w:t> </w:t>
            </w:r>
          </w:p>
        </w:tc>
      </w:tr>
      <w:tr w:rsidR="00F35810" w:rsidRPr="009D6244" w14:paraId="00DC6761" w14:textId="77777777" w:rsidTr="0092649D">
        <w:trPr>
          <w:trHeight w:val="283"/>
        </w:trPr>
        <w:tc>
          <w:tcPr>
            <w:tcW w:w="2948" w:type="dxa"/>
            <w:tcBorders>
              <w:top w:val="nil"/>
              <w:left w:val="nil"/>
              <w:bottom w:val="nil"/>
              <w:right w:val="nil"/>
            </w:tcBorders>
            <w:shd w:val="clear" w:color="000000" w:fill="FFFFFF"/>
            <w:vAlign w:val="center"/>
            <w:hideMark/>
          </w:tcPr>
          <w:p w14:paraId="52E462D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Observations</w:t>
            </w:r>
          </w:p>
        </w:tc>
        <w:tc>
          <w:tcPr>
            <w:tcW w:w="1487" w:type="dxa"/>
            <w:tcBorders>
              <w:top w:val="nil"/>
              <w:left w:val="nil"/>
              <w:bottom w:val="nil"/>
              <w:right w:val="nil"/>
            </w:tcBorders>
            <w:shd w:val="clear" w:color="000000" w:fill="FFFFFF"/>
            <w:vAlign w:val="center"/>
            <w:hideMark/>
          </w:tcPr>
          <w:p w14:paraId="1EAFD042"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8998</w:t>
            </w:r>
          </w:p>
        </w:tc>
        <w:tc>
          <w:tcPr>
            <w:tcW w:w="1487" w:type="dxa"/>
            <w:tcBorders>
              <w:top w:val="nil"/>
              <w:left w:val="nil"/>
              <w:bottom w:val="nil"/>
              <w:right w:val="nil"/>
            </w:tcBorders>
            <w:shd w:val="clear" w:color="000000" w:fill="FFFFFF"/>
            <w:vAlign w:val="center"/>
            <w:hideMark/>
          </w:tcPr>
          <w:p w14:paraId="59D52FC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8998</w:t>
            </w:r>
          </w:p>
        </w:tc>
        <w:tc>
          <w:tcPr>
            <w:tcW w:w="1487" w:type="dxa"/>
            <w:tcBorders>
              <w:top w:val="nil"/>
              <w:left w:val="nil"/>
              <w:bottom w:val="nil"/>
              <w:right w:val="nil"/>
            </w:tcBorders>
            <w:shd w:val="clear" w:color="000000" w:fill="FFFFFF"/>
            <w:vAlign w:val="center"/>
            <w:hideMark/>
          </w:tcPr>
          <w:p w14:paraId="62967075"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8998</w:t>
            </w:r>
          </w:p>
        </w:tc>
        <w:tc>
          <w:tcPr>
            <w:tcW w:w="1487" w:type="dxa"/>
            <w:tcBorders>
              <w:top w:val="nil"/>
              <w:left w:val="nil"/>
              <w:bottom w:val="nil"/>
              <w:right w:val="nil"/>
            </w:tcBorders>
            <w:shd w:val="clear" w:color="000000" w:fill="FFFFFF"/>
            <w:vAlign w:val="center"/>
            <w:hideMark/>
          </w:tcPr>
          <w:p w14:paraId="406514D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8955</w:t>
            </w:r>
          </w:p>
        </w:tc>
      </w:tr>
      <w:tr w:rsidR="00F35810" w:rsidRPr="009D6244" w14:paraId="470DC302" w14:textId="77777777" w:rsidTr="0092649D">
        <w:trPr>
          <w:trHeight w:val="283"/>
        </w:trPr>
        <w:tc>
          <w:tcPr>
            <w:tcW w:w="2948" w:type="dxa"/>
            <w:tcBorders>
              <w:top w:val="nil"/>
              <w:left w:val="nil"/>
              <w:bottom w:val="nil"/>
              <w:right w:val="nil"/>
            </w:tcBorders>
            <w:shd w:val="clear" w:color="000000" w:fill="DEE8F1"/>
            <w:vAlign w:val="center"/>
            <w:hideMark/>
          </w:tcPr>
          <w:p w14:paraId="2276925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Degrees of freedom</w:t>
            </w:r>
          </w:p>
        </w:tc>
        <w:tc>
          <w:tcPr>
            <w:tcW w:w="1487" w:type="dxa"/>
            <w:tcBorders>
              <w:top w:val="nil"/>
              <w:left w:val="nil"/>
              <w:bottom w:val="nil"/>
              <w:right w:val="nil"/>
            </w:tcBorders>
            <w:shd w:val="clear" w:color="000000" w:fill="DEE8F1"/>
            <w:vAlign w:val="center"/>
            <w:hideMark/>
          </w:tcPr>
          <w:p w14:paraId="39D9AE0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25</w:t>
            </w:r>
          </w:p>
        </w:tc>
        <w:tc>
          <w:tcPr>
            <w:tcW w:w="1487" w:type="dxa"/>
            <w:tcBorders>
              <w:top w:val="nil"/>
              <w:left w:val="nil"/>
              <w:bottom w:val="nil"/>
              <w:right w:val="nil"/>
            </w:tcBorders>
            <w:shd w:val="clear" w:color="000000" w:fill="DEE8F1"/>
            <w:vAlign w:val="center"/>
            <w:hideMark/>
          </w:tcPr>
          <w:p w14:paraId="6EF57F3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24</w:t>
            </w:r>
          </w:p>
        </w:tc>
        <w:tc>
          <w:tcPr>
            <w:tcW w:w="1487" w:type="dxa"/>
            <w:tcBorders>
              <w:top w:val="nil"/>
              <w:left w:val="nil"/>
              <w:bottom w:val="nil"/>
              <w:right w:val="nil"/>
            </w:tcBorders>
            <w:shd w:val="clear" w:color="000000" w:fill="DEE8F1"/>
            <w:vAlign w:val="center"/>
            <w:hideMark/>
          </w:tcPr>
          <w:p w14:paraId="5B1E6C7F"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24</w:t>
            </w:r>
          </w:p>
        </w:tc>
        <w:tc>
          <w:tcPr>
            <w:tcW w:w="1487" w:type="dxa"/>
            <w:tcBorders>
              <w:top w:val="nil"/>
              <w:left w:val="nil"/>
              <w:bottom w:val="nil"/>
              <w:right w:val="nil"/>
            </w:tcBorders>
            <w:shd w:val="clear" w:color="000000" w:fill="DEE8F1"/>
            <w:vAlign w:val="center"/>
            <w:hideMark/>
          </w:tcPr>
          <w:p w14:paraId="3935265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23</w:t>
            </w:r>
          </w:p>
        </w:tc>
      </w:tr>
      <w:tr w:rsidR="00F35810" w:rsidRPr="009D6244" w14:paraId="4D67704D" w14:textId="77777777" w:rsidTr="0092649D">
        <w:trPr>
          <w:trHeight w:val="283"/>
        </w:trPr>
        <w:tc>
          <w:tcPr>
            <w:tcW w:w="2948" w:type="dxa"/>
            <w:tcBorders>
              <w:top w:val="nil"/>
              <w:left w:val="nil"/>
              <w:bottom w:val="nil"/>
              <w:right w:val="nil"/>
            </w:tcBorders>
            <w:shd w:val="clear" w:color="000000" w:fill="FFFFFF"/>
            <w:vAlign w:val="center"/>
            <w:hideMark/>
          </w:tcPr>
          <w:p w14:paraId="75FEFBEA"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Chi</w:t>
            </w:r>
            <w:r w:rsidRPr="009D6244">
              <w:rPr>
                <w:rFonts w:eastAsia="Times New Roman" w:cs="Arial"/>
                <w:sz w:val="18"/>
                <w:szCs w:val="18"/>
                <w:vertAlign w:val="superscript"/>
                <w:lang w:eastAsia="en-AU"/>
              </w:rPr>
              <w:t xml:space="preserve">2 </w:t>
            </w:r>
            <w:r w:rsidRPr="009D6244">
              <w:rPr>
                <w:rFonts w:eastAsia="Times New Roman" w:cs="Arial"/>
                <w:sz w:val="18"/>
                <w:szCs w:val="18"/>
                <w:lang w:eastAsia="en-AU"/>
              </w:rPr>
              <w:t>statistic</w:t>
            </w:r>
          </w:p>
        </w:tc>
        <w:tc>
          <w:tcPr>
            <w:tcW w:w="1487" w:type="dxa"/>
            <w:tcBorders>
              <w:top w:val="nil"/>
              <w:left w:val="nil"/>
              <w:bottom w:val="nil"/>
              <w:right w:val="nil"/>
            </w:tcBorders>
            <w:shd w:val="clear" w:color="000000" w:fill="FFFFFF"/>
            <w:vAlign w:val="center"/>
            <w:hideMark/>
          </w:tcPr>
          <w:p w14:paraId="52133831"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1718.8</w:t>
            </w:r>
          </w:p>
        </w:tc>
        <w:tc>
          <w:tcPr>
            <w:tcW w:w="1487" w:type="dxa"/>
            <w:tcBorders>
              <w:top w:val="nil"/>
              <w:left w:val="nil"/>
              <w:bottom w:val="nil"/>
              <w:right w:val="nil"/>
            </w:tcBorders>
            <w:shd w:val="clear" w:color="000000" w:fill="FFFFFF"/>
            <w:vAlign w:val="center"/>
            <w:hideMark/>
          </w:tcPr>
          <w:p w14:paraId="465F972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409.9</w:t>
            </w:r>
          </w:p>
        </w:tc>
        <w:tc>
          <w:tcPr>
            <w:tcW w:w="1487" w:type="dxa"/>
            <w:tcBorders>
              <w:top w:val="nil"/>
              <w:left w:val="nil"/>
              <w:bottom w:val="nil"/>
              <w:right w:val="nil"/>
            </w:tcBorders>
            <w:shd w:val="clear" w:color="000000" w:fill="FFFFFF"/>
            <w:vAlign w:val="center"/>
            <w:hideMark/>
          </w:tcPr>
          <w:p w14:paraId="5C3592F8"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141.7</w:t>
            </w:r>
          </w:p>
        </w:tc>
        <w:tc>
          <w:tcPr>
            <w:tcW w:w="1487" w:type="dxa"/>
            <w:tcBorders>
              <w:top w:val="nil"/>
              <w:left w:val="nil"/>
              <w:bottom w:val="nil"/>
              <w:right w:val="nil"/>
            </w:tcBorders>
            <w:shd w:val="clear" w:color="000000" w:fill="FFFFFF"/>
            <w:vAlign w:val="center"/>
            <w:hideMark/>
          </w:tcPr>
          <w:p w14:paraId="0E5426F6"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2834.9</w:t>
            </w:r>
          </w:p>
        </w:tc>
      </w:tr>
      <w:tr w:rsidR="00F35810" w:rsidRPr="009D6244" w14:paraId="2415AF68" w14:textId="77777777" w:rsidTr="0092649D">
        <w:trPr>
          <w:trHeight w:val="283"/>
        </w:trPr>
        <w:tc>
          <w:tcPr>
            <w:tcW w:w="2948" w:type="dxa"/>
            <w:tcBorders>
              <w:top w:val="nil"/>
              <w:left w:val="nil"/>
              <w:bottom w:val="nil"/>
              <w:right w:val="nil"/>
            </w:tcBorders>
            <w:shd w:val="clear" w:color="000000" w:fill="DEE8F1"/>
            <w:vAlign w:val="center"/>
            <w:hideMark/>
          </w:tcPr>
          <w:p w14:paraId="144C180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P-value</w:t>
            </w:r>
          </w:p>
        </w:tc>
        <w:tc>
          <w:tcPr>
            <w:tcW w:w="1487" w:type="dxa"/>
            <w:tcBorders>
              <w:top w:val="nil"/>
              <w:left w:val="nil"/>
              <w:bottom w:val="nil"/>
              <w:right w:val="nil"/>
            </w:tcBorders>
            <w:shd w:val="clear" w:color="000000" w:fill="DEE8F1"/>
            <w:vAlign w:val="center"/>
            <w:hideMark/>
          </w:tcPr>
          <w:p w14:paraId="4641DCF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w:t>
            </w:r>
          </w:p>
        </w:tc>
        <w:tc>
          <w:tcPr>
            <w:tcW w:w="1487" w:type="dxa"/>
            <w:tcBorders>
              <w:top w:val="nil"/>
              <w:left w:val="nil"/>
              <w:bottom w:val="nil"/>
              <w:right w:val="nil"/>
            </w:tcBorders>
            <w:shd w:val="clear" w:color="000000" w:fill="DEE8F1"/>
            <w:vAlign w:val="center"/>
            <w:hideMark/>
          </w:tcPr>
          <w:p w14:paraId="67C7D510"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w:t>
            </w:r>
          </w:p>
        </w:tc>
        <w:tc>
          <w:tcPr>
            <w:tcW w:w="1487" w:type="dxa"/>
            <w:tcBorders>
              <w:top w:val="nil"/>
              <w:left w:val="nil"/>
              <w:bottom w:val="nil"/>
              <w:right w:val="nil"/>
            </w:tcBorders>
            <w:shd w:val="clear" w:color="000000" w:fill="DEE8F1"/>
            <w:vAlign w:val="center"/>
            <w:hideMark/>
          </w:tcPr>
          <w:p w14:paraId="7845AA04"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w:t>
            </w:r>
          </w:p>
        </w:tc>
        <w:tc>
          <w:tcPr>
            <w:tcW w:w="1487" w:type="dxa"/>
            <w:tcBorders>
              <w:top w:val="nil"/>
              <w:left w:val="nil"/>
              <w:bottom w:val="nil"/>
              <w:right w:val="nil"/>
            </w:tcBorders>
            <w:shd w:val="clear" w:color="000000" w:fill="DEE8F1"/>
            <w:vAlign w:val="center"/>
            <w:hideMark/>
          </w:tcPr>
          <w:p w14:paraId="2398482D"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0.00</w:t>
            </w:r>
          </w:p>
        </w:tc>
      </w:tr>
      <w:tr w:rsidR="00F35810" w:rsidRPr="009D6244" w14:paraId="482DFA8A" w14:textId="77777777" w:rsidTr="0092649D">
        <w:trPr>
          <w:trHeight w:val="283"/>
        </w:trPr>
        <w:tc>
          <w:tcPr>
            <w:tcW w:w="2948" w:type="dxa"/>
            <w:tcBorders>
              <w:top w:val="nil"/>
              <w:left w:val="nil"/>
              <w:bottom w:val="nil"/>
              <w:right w:val="nil"/>
            </w:tcBorders>
            <w:shd w:val="clear" w:color="000000" w:fill="FFFFFF"/>
            <w:vAlign w:val="center"/>
            <w:hideMark/>
          </w:tcPr>
          <w:p w14:paraId="6EF6E013"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Psuedo-R</w:t>
            </w:r>
            <w:r w:rsidRPr="009D6244">
              <w:rPr>
                <w:rFonts w:eastAsia="Times New Roman" w:cs="Arial"/>
                <w:sz w:val="18"/>
                <w:szCs w:val="18"/>
                <w:vertAlign w:val="superscript"/>
                <w:lang w:eastAsia="en-AU"/>
              </w:rPr>
              <w:t>2</w:t>
            </w:r>
          </w:p>
        </w:tc>
        <w:tc>
          <w:tcPr>
            <w:tcW w:w="1487" w:type="dxa"/>
            <w:tcBorders>
              <w:top w:val="nil"/>
              <w:left w:val="nil"/>
              <w:bottom w:val="nil"/>
              <w:right w:val="nil"/>
            </w:tcBorders>
            <w:shd w:val="clear" w:color="000000" w:fill="FFFFFF"/>
            <w:vAlign w:val="center"/>
            <w:hideMark/>
          </w:tcPr>
          <w:p w14:paraId="0FFF3B0E"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0.141</w:t>
            </w:r>
          </w:p>
        </w:tc>
        <w:tc>
          <w:tcPr>
            <w:tcW w:w="1487" w:type="dxa"/>
            <w:tcBorders>
              <w:top w:val="nil"/>
              <w:left w:val="nil"/>
              <w:bottom w:val="nil"/>
              <w:right w:val="nil"/>
            </w:tcBorders>
            <w:shd w:val="clear" w:color="000000" w:fill="FFFFFF"/>
            <w:vAlign w:val="center"/>
            <w:hideMark/>
          </w:tcPr>
          <w:p w14:paraId="4D894F31" w14:textId="4615DB9A" w:rsidR="00F35810" w:rsidRPr="009D6244" w:rsidRDefault="000156B4" w:rsidP="00223539">
            <w:pPr>
              <w:spacing w:after="0" w:line="240" w:lineRule="auto"/>
              <w:ind w:left="0"/>
              <w:jc w:val="left"/>
              <w:rPr>
                <w:rFonts w:eastAsia="Times New Roman" w:cs="Arial"/>
                <w:sz w:val="18"/>
                <w:szCs w:val="18"/>
                <w:lang w:eastAsia="en-AU"/>
              </w:rPr>
            </w:pPr>
            <w:r>
              <w:rPr>
                <w:rFonts w:eastAsia="Times New Roman" w:cs="Arial"/>
                <w:sz w:val="18"/>
                <w:szCs w:val="18"/>
                <w:lang w:eastAsia="en-AU"/>
              </w:rPr>
              <w:t>0.046</w:t>
            </w:r>
          </w:p>
        </w:tc>
        <w:tc>
          <w:tcPr>
            <w:tcW w:w="1487" w:type="dxa"/>
            <w:tcBorders>
              <w:top w:val="nil"/>
              <w:left w:val="nil"/>
              <w:bottom w:val="nil"/>
              <w:right w:val="nil"/>
            </w:tcBorders>
            <w:shd w:val="clear" w:color="000000" w:fill="FFFFFF"/>
            <w:vAlign w:val="center"/>
            <w:hideMark/>
          </w:tcPr>
          <w:p w14:paraId="27AFF31A" w14:textId="2EFD49A6" w:rsidR="00F35810" w:rsidRPr="009D6244" w:rsidRDefault="000156B4" w:rsidP="00223539">
            <w:pPr>
              <w:spacing w:after="0" w:line="240" w:lineRule="auto"/>
              <w:ind w:left="0"/>
              <w:jc w:val="left"/>
              <w:rPr>
                <w:rFonts w:eastAsia="Times New Roman" w:cs="Arial"/>
                <w:sz w:val="18"/>
                <w:szCs w:val="18"/>
                <w:lang w:eastAsia="en-AU"/>
              </w:rPr>
            </w:pPr>
            <w:r>
              <w:rPr>
                <w:rFonts w:eastAsia="Times New Roman" w:cs="Arial"/>
                <w:sz w:val="18"/>
                <w:szCs w:val="18"/>
                <w:lang w:eastAsia="en-AU"/>
              </w:rPr>
              <w:t>0.018</w:t>
            </w:r>
          </w:p>
        </w:tc>
        <w:tc>
          <w:tcPr>
            <w:tcW w:w="1487" w:type="dxa"/>
            <w:tcBorders>
              <w:top w:val="nil"/>
              <w:left w:val="nil"/>
              <w:bottom w:val="nil"/>
              <w:right w:val="nil"/>
            </w:tcBorders>
            <w:shd w:val="clear" w:color="000000" w:fill="FFFFFF"/>
            <w:vAlign w:val="center"/>
            <w:hideMark/>
          </w:tcPr>
          <w:p w14:paraId="240E004B" w14:textId="77777777" w:rsidR="00F35810" w:rsidRPr="009D6244" w:rsidRDefault="00F35810" w:rsidP="00223539">
            <w:pPr>
              <w:spacing w:after="0" w:line="240" w:lineRule="auto"/>
              <w:ind w:left="0"/>
              <w:jc w:val="left"/>
              <w:rPr>
                <w:rFonts w:eastAsia="Times New Roman" w:cs="Arial"/>
                <w:sz w:val="18"/>
                <w:szCs w:val="18"/>
                <w:lang w:eastAsia="en-AU"/>
              </w:rPr>
            </w:pPr>
            <w:r w:rsidRPr="009D6244">
              <w:rPr>
                <w:rFonts w:eastAsia="Times New Roman" w:cs="Arial"/>
                <w:sz w:val="18"/>
                <w:szCs w:val="18"/>
                <w:lang w:eastAsia="en-AU"/>
              </w:rPr>
              <w:t>0.293</w:t>
            </w:r>
          </w:p>
        </w:tc>
      </w:tr>
    </w:tbl>
    <w:p w14:paraId="26F149F0" w14:textId="77777777" w:rsidR="00F35810" w:rsidRPr="00457265" w:rsidRDefault="00F35810" w:rsidP="0092649D">
      <w:pPr>
        <w:pStyle w:val="PlaceholderWide"/>
      </w:pPr>
    </w:p>
    <w:p w14:paraId="0E878ABB" w14:textId="77777777" w:rsidR="00F35810" w:rsidRPr="00DC5EFA" w:rsidRDefault="00F35810" w:rsidP="00B9070F">
      <w:pPr>
        <w:pStyle w:val="SourceWide"/>
      </w:pPr>
      <w:r>
        <w:t xml:space="preserve">Source: </w:t>
      </w:r>
      <w:r w:rsidRPr="00095563">
        <w:t>Business Longitudinal Analysis Data Environment (2018)</w:t>
      </w:r>
    </w:p>
    <w:p w14:paraId="5C680920" w14:textId="5B2F444A" w:rsidR="0092649D" w:rsidRDefault="0092649D" w:rsidP="0092649D">
      <w:pPr>
        <w:pStyle w:val="BodyText"/>
        <w:rPr>
          <w:lang w:val="en"/>
        </w:rPr>
      </w:pPr>
      <w:r>
        <w:rPr>
          <w:lang w:val="en"/>
        </w:rPr>
        <w:br w:type="page"/>
      </w:r>
    </w:p>
    <w:sdt>
      <w:sdtPr>
        <w:rPr>
          <w:rFonts w:ascii="Arial" w:eastAsiaTheme="minorHAnsi" w:hAnsi="Arial" w:cstheme="minorBidi"/>
          <w:b w:val="0"/>
          <w:bCs w:val="0"/>
          <w:color w:val="373737"/>
          <w:kern w:val="0"/>
          <w:sz w:val="20"/>
          <w:szCs w:val="22"/>
        </w:rPr>
        <w:id w:val="-787891666"/>
        <w:docPartObj>
          <w:docPartGallery w:val="Bibliographies"/>
          <w:docPartUnique/>
        </w:docPartObj>
      </w:sdtPr>
      <w:sdtContent>
        <w:p w14:paraId="7142F869" w14:textId="23E3FD91" w:rsidR="0092649D" w:rsidRDefault="0092649D" w:rsidP="00B9070F">
          <w:pPr>
            <w:pStyle w:val="Heading1"/>
            <w:ind w:left="601" w:hanging="601"/>
          </w:pPr>
          <w:r>
            <w:t>References</w:t>
          </w:r>
        </w:p>
        <w:sdt>
          <w:sdtPr>
            <w:rPr>
              <w:rFonts w:eastAsiaTheme="minorHAnsi"/>
            </w:rPr>
            <w:id w:val="-573587230"/>
            <w:bibliography/>
          </w:sdtPr>
          <w:sdtContent>
            <w:p w14:paraId="7CABBB0A" w14:textId="77777777" w:rsidR="00CB2D5A" w:rsidRDefault="0092649D" w:rsidP="003F3567">
              <w:pPr>
                <w:pStyle w:val="Bibliography"/>
                <w:ind w:left="0"/>
                <w:rPr>
                  <w:noProof/>
                  <w:sz w:val="24"/>
                  <w:szCs w:val="24"/>
                </w:rPr>
              </w:pPr>
              <w:r>
                <w:fldChar w:fldCharType="begin"/>
              </w:r>
              <w:r>
                <w:instrText xml:space="preserve"> BIBLIOGRAPHY </w:instrText>
              </w:r>
              <w:r>
                <w:fldChar w:fldCharType="separate"/>
              </w:r>
              <w:r w:rsidR="00CB2D5A">
                <w:rPr>
                  <w:noProof/>
                </w:rPr>
                <w:t xml:space="preserve">Agarwal, R., Bajada, C., Brown, P. &amp; Green, R., 2015. Global Comparisons of Management Practices. In: A. Wilkinson, K. Townsend &amp; Suder, eds. </w:t>
              </w:r>
              <w:r w:rsidR="00CB2D5A">
                <w:rPr>
                  <w:i/>
                  <w:iCs/>
                  <w:noProof/>
                </w:rPr>
                <w:t xml:space="preserve">Handbook of Research on Managing Managers. </w:t>
              </w:r>
              <w:r w:rsidR="00CB2D5A">
                <w:rPr>
                  <w:noProof/>
                </w:rPr>
                <w:t>Cheltenham, UK: Edward Elgar.</w:t>
              </w:r>
            </w:p>
            <w:p w14:paraId="63337BF2" w14:textId="77777777" w:rsidR="00CB2D5A" w:rsidRDefault="00CB2D5A" w:rsidP="003F3567">
              <w:pPr>
                <w:pStyle w:val="Bibliography"/>
                <w:ind w:left="0"/>
                <w:rPr>
                  <w:noProof/>
                </w:rPr>
              </w:pPr>
              <w:r>
                <w:rPr>
                  <w:noProof/>
                </w:rPr>
                <w:t xml:space="preserve">Agarwal, R., Brown, P. J., Green, R. &amp; Randhawa, K., 2014. Management Practices of Australian manufacturing firms: Why are some firms more innovative?. </w:t>
              </w:r>
              <w:r>
                <w:rPr>
                  <w:i/>
                  <w:iCs/>
                  <w:noProof/>
                </w:rPr>
                <w:t xml:space="preserve">International Journal of Production Research, </w:t>
              </w:r>
              <w:r>
                <w:rPr>
                  <w:noProof/>
                </w:rPr>
                <w:t>52 (21), pp. 6496-6517.</w:t>
              </w:r>
            </w:p>
            <w:p w14:paraId="4926E2EE" w14:textId="77777777" w:rsidR="00CB2D5A" w:rsidRDefault="00CB2D5A" w:rsidP="003F3567">
              <w:pPr>
                <w:pStyle w:val="Bibliography"/>
                <w:ind w:left="0"/>
                <w:rPr>
                  <w:noProof/>
                </w:rPr>
              </w:pPr>
              <w:r>
                <w:rPr>
                  <w:noProof/>
                </w:rPr>
                <w:t xml:space="preserve">Agarwal, R. &amp; Green, R., 2011. The role of education and skills in Australian management practice and productivity. In: </w:t>
              </w:r>
              <w:r>
                <w:rPr>
                  <w:i/>
                  <w:iCs/>
                  <w:noProof/>
                </w:rPr>
                <w:t xml:space="preserve">Fostering enterprise: the innovation and skills nexus – research readings. </w:t>
              </w:r>
              <w:r>
                <w:rPr>
                  <w:noProof/>
                </w:rPr>
                <w:t>s.l.:NCVER, pp. 79-102.</w:t>
              </w:r>
            </w:p>
            <w:p w14:paraId="73DCB380" w14:textId="77777777" w:rsidR="00CB2D5A" w:rsidRDefault="00CB2D5A" w:rsidP="003F3567">
              <w:pPr>
                <w:pStyle w:val="Bibliography"/>
                <w:ind w:left="0"/>
                <w:rPr>
                  <w:noProof/>
                </w:rPr>
              </w:pPr>
              <w:r>
                <w:rPr>
                  <w:noProof/>
                </w:rPr>
                <w:t xml:space="preserve">Agarwal, R. et al., 2013. Determinants of quality management practices: An empirical study of New Zealand manufacturing firms. </w:t>
              </w:r>
              <w:r>
                <w:rPr>
                  <w:i/>
                  <w:iCs/>
                  <w:noProof/>
                </w:rPr>
                <w:t xml:space="preserve">International Journal of Production Economics, </w:t>
              </w:r>
              <w:r>
                <w:rPr>
                  <w:noProof/>
                </w:rPr>
                <w:t>142(1), pp. 130-145 .</w:t>
              </w:r>
            </w:p>
            <w:p w14:paraId="74DF3D0B" w14:textId="77777777" w:rsidR="00CB2D5A" w:rsidRDefault="00CB2D5A" w:rsidP="003F3567">
              <w:pPr>
                <w:pStyle w:val="Bibliography"/>
                <w:ind w:left="0"/>
                <w:rPr>
                  <w:noProof/>
                </w:rPr>
              </w:pPr>
              <w:r>
                <w:rPr>
                  <w:noProof/>
                </w:rPr>
                <w:t xml:space="preserve">Arasa, R. &amp; K'Obonyo, P., 2012. The Relationship between Strategic Planning and Firm Performance. </w:t>
              </w:r>
              <w:r>
                <w:rPr>
                  <w:i/>
                  <w:iCs/>
                  <w:noProof/>
                </w:rPr>
                <w:t xml:space="preserve">International Journal of Humanities and Science, </w:t>
              </w:r>
              <w:r>
                <w:rPr>
                  <w:noProof/>
                </w:rPr>
                <w:t>2(12), pp. 201-213.</w:t>
              </w:r>
            </w:p>
            <w:p w14:paraId="3335BF77" w14:textId="77777777" w:rsidR="00CB2D5A" w:rsidRDefault="00CB2D5A" w:rsidP="003F3567">
              <w:pPr>
                <w:pStyle w:val="Bibliography"/>
                <w:ind w:left="0"/>
                <w:rPr>
                  <w:noProof/>
                </w:rPr>
              </w:pPr>
              <w:r>
                <w:rPr>
                  <w:noProof/>
                </w:rPr>
                <w:t xml:space="preserve">Arundel, A. &amp; Hollanders, H., 2004. </w:t>
              </w:r>
              <w:r>
                <w:rPr>
                  <w:i/>
                  <w:iCs/>
                  <w:noProof/>
                </w:rPr>
                <w:t xml:space="preserve">European Innovation Scoreboard - EXIS: An Exploratory Approach to Innovation Scoreboards. </w:t>
              </w:r>
              <w:r>
                <w:rPr>
                  <w:noProof/>
                </w:rPr>
                <w:t>Brussels: European Commission.</w:t>
              </w:r>
            </w:p>
            <w:p w14:paraId="2FFF046F" w14:textId="77777777" w:rsidR="00CB2D5A" w:rsidRDefault="00CB2D5A" w:rsidP="003F3567">
              <w:pPr>
                <w:pStyle w:val="Bibliography"/>
                <w:ind w:left="0"/>
                <w:rPr>
                  <w:noProof/>
                </w:rPr>
              </w:pPr>
              <w:r>
                <w:rPr>
                  <w:noProof/>
                </w:rPr>
                <w:t xml:space="preserve">Arundel, A. &amp; O’Brien, K., 2012. Innovation Metrics for Australia. In: </w:t>
              </w:r>
              <w:r>
                <w:rPr>
                  <w:i/>
                  <w:iCs/>
                  <w:noProof/>
                </w:rPr>
                <w:t xml:space="preserve">Innovation Metrics Framework . </w:t>
              </w:r>
              <w:r>
                <w:rPr>
                  <w:noProof/>
                </w:rPr>
                <w:t>Canberra, Australia.: Department of Innovation, Industry, Science and Research.</w:t>
              </w:r>
            </w:p>
            <w:p w14:paraId="6559E5BF" w14:textId="77777777" w:rsidR="00CB2D5A" w:rsidRDefault="00CB2D5A" w:rsidP="003F3567">
              <w:pPr>
                <w:pStyle w:val="Bibliography"/>
                <w:ind w:left="0"/>
                <w:rPr>
                  <w:noProof/>
                </w:rPr>
              </w:pPr>
              <w:r>
                <w:rPr>
                  <w:noProof/>
                </w:rPr>
                <w:t xml:space="preserve">Bloom, N. et al., 2017. </w:t>
              </w:r>
              <w:r>
                <w:rPr>
                  <w:i/>
                  <w:iCs/>
                  <w:noProof/>
                </w:rPr>
                <w:t xml:space="preserve">What Drives Differences in Management. </w:t>
              </w:r>
              <w:r>
                <w:rPr>
                  <w:noProof/>
                </w:rPr>
                <w:t>s.l., CEP Discussion Papers dp1470, Centre for Economic Performance, LSE.</w:t>
              </w:r>
            </w:p>
            <w:p w14:paraId="44CFBEE8" w14:textId="77777777" w:rsidR="00CB2D5A" w:rsidRDefault="00CB2D5A" w:rsidP="003F3567">
              <w:pPr>
                <w:pStyle w:val="Bibliography"/>
                <w:ind w:left="0"/>
                <w:rPr>
                  <w:noProof/>
                </w:rPr>
              </w:pPr>
              <w:r>
                <w:rPr>
                  <w:noProof/>
                </w:rPr>
                <w:t xml:space="preserve">Bloom, N., Drgan , S., Downdy, J. &amp; Van Reenen, J., 2007. </w:t>
              </w:r>
              <w:r>
                <w:rPr>
                  <w:i/>
                  <w:iCs/>
                  <w:noProof/>
                </w:rPr>
                <w:t xml:space="preserve">Management Practice and Productivity: Why They Matter, </w:t>
              </w:r>
              <w:r>
                <w:rPr>
                  <w:noProof/>
                </w:rPr>
                <w:t>s.l.: McKinsey &amp; Company Operations Extranet.</w:t>
              </w:r>
            </w:p>
            <w:p w14:paraId="70DBA10C" w14:textId="77777777" w:rsidR="00CB2D5A" w:rsidRDefault="00CB2D5A" w:rsidP="003F3567">
              <w:pPr>
                <w:pStyle w:val="Bibliography"/>
                <w:ind w:left="0"/>
                <w:rPr>
                  <w:noProof/>
                </w:rPr>
              </w:pPr>
              <w:r>
                <w:rPr>
                  <w:noProof/>
                </w:rPr>
                <w:t xml:space="preserve">Bloom, N., Lemos, R. &amp; Sadun, R., 2013. </w:t>
              </w:r>
              <w:r>
                <w:rPr>
                  <w:i/>
                  <w:iCs/>
                  <w:noProof/>
                </w:rPr>
                <w:t xml:space="preserve">Does Management Matter in Schools?, </w:t>
              </w:r>
              <w:r>
                <w:rPr>
                  <w:noProof/>
                </w:rPr>
                <w:t>s.l.: Discussion Papers 13-032, Stanford Institute for Economic Policy Research..</w:t>
              </w:r>
            </w:p>
            <w:p w14:paraId="34BE303D" w14:textId="77777777" w:rsidR="00CB2D5A" w:rsidRDefault="00CB2D5A" w:rsidP="003F3567">
              <w:pPr>
                <w:pStyle w:val="Bibliography"/>
                <w:ind w:left="0"/>
                <w:rPr>
                  <w:noProof/>
                </w:rPr>
              </w:pPr>
              <w:r>
                <w:rPr>
                  <w:noProof/>
                </w:rPr>
                <w:t xml:space="preserve">Bloom, N., Sadun, R. &amp; Van Reenen, J., 2013. </w:t>
              </w:r>
              <w:r>
                <w:rPr>
                  <w:i/>
                  <w:iCs/>
                  <w:noProof/>
                </w:rPr>
                <w:t xml:space="preserve">Does Management Matter in Healthcare. </w:t>
              </w:r>
              <w:r>
                <w:rPr>
                  <w:noProof/>
                </w:rPr>
                <w:t>s.l., Discussion Papers 13-032, Stanford Institute for Economic Policy Research.</w:t>
              </w:r>
            </w:p>
            <w:p w14:paraId="7F4D56C5" w14:textId="77777777" w:rsidR="00CB2D5A" w:rsidRDefault="00CB2D5A" w:rsidP="003F3567">
              <w:pPr>
                <w:pStyle w:val="Bibliography"/>
                <w:ind w:left="0"/>
                <w:rPr>
                  <w:noProof/>
                </w:rPr>
              </w:pPr>
              <w:r>
                <w:rPr>
                  <w:noProof/>
                </w:rPr>
                <w:t xml:space="preserve">Bloom, N., Sadun, R. &amp; Van Reenen, J., 2017. </w:t>
              </w:r>
              <w:r>
                <w:rPr>
                  <w:i/>
                  <w:iCs/>
                  <w:noProof/>
                </w:rPr>
                <w:t xml:space="preserve">Management as a Technology?, </w:t>
              </w:r>
              <w:r>
                <w:rPr>
                  <w:noProof/>
                </w:rPr>
                <w:t>s.l.: NBER Working Papers 22327, National Bureau of Economic Research, Inc..</w:t>
              </w:r>
            </w:p>
            <w:p w14:paraId="5506AFC3" w14:textId="77777777" w:rsidR="00CB2D5A" w:rsidRDefault="00CB2D5A" w:rsidP="003F3567">
              <w:pPr>
                <w:pStyle w:val="Bibliography"/>
                <w:ind w:left="0"/>
                <w:rPr>
                  <w:noProof/>
                </w:rPr>
              </w:pPr>
              <w:r>
                <w:rPr>
                  <w:noProof/>
                </w:rPr>
                <w:t xml:space="preserve">Bloom, N. &amp; Van Reenen, J., 2006. </w:t>
              </w:r>
              <w:r>
                <w:rPr>
                  <w:i/>
                  <w:iCs/>
                  <w:noProof/>
                </w:rPr>
                <w:t xml:space="preserve">Measuring and Explaining Management Practices Across Firms and Countries, </w:t>
              </w:r>
              <w:r>
                <w:rPr>
                  <w:noProof/>
                </w:rPr>
                <w:t>s.l.: NBER Working Papers 12216, National Bureau of Economic Research, Inc..</w:t>
              </w:r>
            </w:p>
            <w:p w14:paraId="7C91B0C4" w14:textId="77777777" w:rsidR="00CB2D5A" w:rsidRDefault="00CB2D5A" w:rsidP="003F3567">
              <w:pPr>
                <w:pStyle w:val="Bibliography"/>
                <w:ind w:left="0"/>
                <w:rPr>
                  <w:noProof/>
                </w:rPr>
              </w:pPr>
              <w:r>
                <w:rPr>
                  <w:noProof/>
                </w:rPr>
                <w:t xml:space="preserve">Brown, P. J., Matolcsy, Z. P. &amp; Wells , P., 2014. Group versus individual compensation schemes for senior executives and firm performance: Some </w:t>
              </w:r>
              <w:r>
                <w:rPr>
                  <w:noProof/>
                </w:rPr>
                <w:lastRenderedPageBreak/>
                <w:t xml:space="preserve">evidence based on archival data. </w:t>
              </w:r>
              <w:r>
                <w:rPr>
                  <w:i/>
                  <w:iCs/>
                  <w:noProof/>
                </w:rPr>
                <w:t xml:space="preserve">Journal of Contemporary Accounting and Economics, </w:t>
              </w:r>
              <w:r>
                <w:rPr>
                  <w:noProof/>
                </w:rPr>
                <w:t>10(2), pp. 100-114.</w:t>
              </w:r>
            </w:p>
            <w:p w14:paraId="7C3742BD" w14:textId="77777777" w:rsidR="00CB2D5A" w:rsidRDefault="00CB2D5A" w:rsidP="003F3567">
              <w:pPr>
                <w:pStyle w:val="Bibliography"/>
                <w:ind w:left="0"/>
                <w:rPr>
                  <w:noProof/>
                </w:rPr>
              </w:pPr>
              <w:r>
                <w:rPr>
                  <w:noProof/>
                </w:rPr>
                <w:t xml:space="preserve">Chandler, A., 1977. </w:t>
              </w:r>
              <w:r>
                <w:rPr>
                  <w:i/>
                  <w:iCs/>
                  <w:noProof/>
                </w:rPr>
                <w:t xml:space="preserve">The Visible Hand: The Managerial Revolution in American Business. </w:t>
              </w:r>
              <w:r>
                <w:rPr>
                  <w:noProof/>
                </w:rPr>
                <w:t>s.l.:The Belknap Press of Harvard University Press.</w:t>
              </w:r>
            </w:p>
            <w:p w14:paraId="6F085075" w14:textId="77777777" w:rsidR="00CB2D5A" w:rsidRDefault="00CB2D5A" w:rsidP="003F3567">
              <w:pPr>
                <w:pStyle w:val="Bibliography"/>
                <w:ind w:left="0"/>
                <w:rPr>
                  <w:noProof/>
                </w:rPr>
              </w:pPr>
              <w:r>
                <w:rPr>
                  <w:noProof/>
                </w:rPr>
                <w:t xml:space="preserve">Davis, S. &amp; Albright, T., 2004. An investigation of the effect of balanced scorecard implementation on financial performance. </w:t>
              </w:r>
              <w:r>
                <w:rPr>
                  <w:i/>
                  <w:iCs/>
                  <w:noProof/>
                </w:rPr>
                <w:t xml:space="preserve">Management accounting research, </w:t>
              </w:r>
              <w:r>
                <w:rPr>
                  <w:noProof/>
                </w:rPr>
                <w:t>15(2), pp. 135-153.</w:t>
              </w:r>
            </w:p>
            <w:p w14:paraId="2D0385D3" w14:textId="77777777" w:rsidR="00CB2D5A" w:rsidRDefault="00CB2D5A" w:rsidP="003F3567">
              <w:pPr>
                <w:pStyle w:val="Bibliography"/>
                <w:ind w:left="0"/>
                <w:rPr>
                  <w:noProof/>
                </w:rPr>
              </w:pPr>
              <w:r>
                <w:rPr>
                  <w:noProof/>
                </w:rPr>
                <w:t xml:space="preserve">De Geuser, F., Mooraj, S. &amp; Oyon, D., 2009. Does the Balanced Scorecard Add Value? Empirical Evidence on its Effect on Performance. </w:t>
              </w:r>
              <w:r>
                <w:rPr>
                  <w:i/>
                  <w:iCs/>
                  <w:noProof/>
                </w:rPr>
                <w:t xml:space="preserve">European Accounting Review, </w:t>
              </w:r>
              <w:r>
                <w:rPr>
                  <w:noProof/>
                </w:rPr>
                <w:t>18(1), pp. 93-122.</w:t>
              </w:r>
            </w:p>
            <w:p w14:paraId="7B31CA16" w14:textId="77777777" w:rsidR="00CB2D5A" w:rsidRDefault="00CB2D5A" w:rsidP="003F3567">
              <w:pPr>
                <w:pStyle w:val="Bibliography"/>
                <w:ind w:left="0"/>
                <w:rPr>
                  <w:noProof/>
                </w:rPr>
              </w:pPr>
              <w:r>
                <w:rPr>
                  <w:noProof/>
                </w:rPr>
                <w:t xml:space="preserve">Feldman, M. S. &amp; Pentland , B. T., 2003. Reconceptualizing Organizational Routines as a Source of Flexibility and Change. </w:t>
              </w:r>
              <w:r>
                <w:rPr>
                  <w:i/>
                  <w:iCs/>
                  <w:noProof/>
                </w:rPr>
                <w:t xml:space="preserve">Administrative Science Quarterly, </w:t>
              </w:r>
              <w:r>
                <w:rPr>
                  <w:noProof/>
                </w:rPr>
                <w:t>48(1), pp. 94-118.</w:t>
              </w:r>
            </w:p>
            <w:p w14:paraId="4022B769" w14:textId="77777777" w:rsidR="00CB2D5A" w:rsidRDefault="00CB2D5A" w:rsidP="003F3567">
              <w:pPr>
                <w:pStyle w:val="Bibliography"/>
                <w:ind w:left="0"/>
                <w:rPr>
                  <w:noProof/>
                </w:rPr>
              </w:pPr>
              <w:r>
                <w:rPr>
                  <w:noProof/>
                </w:rPr>
                <w:t xml:space="preserve">Hsu, C. C., Tan, K. C. &amp; Kannan, V., 2009. Supply chain management practices as a mediator of the relationship between operations capability and firm performance. </w:t>
              </w:r>
              <w:r>
                <w:rPr>
                  <w:i/>
                  <w:iCs/>
                  <w:noProof/>
                </w:rPr>
                <w:t xml:space="preserve">International Journal of Production Research, </w:t>
              </w:r>
              <w:r>
                <w:rPr>
                  <w:noProof/>
                </w:rPr>
                <w:t>47(3), pp. 835-855.</w:t>
              </w:r>
            </w:p>
            <w:p w14:paraId="0EE31615" w14:textId="77777777" w:rsidR="00CB2D5A" w:rsidRDefault="00CB2D5A" w:rsidP="003F3567">
              <w:pPr>
                <w:pStyle w:val="Bibliography"/>
                <w:ind w:left="0"/>
                <w:rPr>
                  <w:noProof/>
                </w:rPr>
              </w:pPr>
              <w:r>
                <w:rPr>
                  <w:noProof/>
                </w:rPr>
                <w:t xml:space="preserve">Kaplan, R. S. &amp; Norton, D. P., 1992. The Balanced Scorecard: Measures that Drive Performance. </w:t>
              </w:r>
              <w:r>
                <w:rPr>
                  <w:i/>
                  <w:iCs/>
                  <w:noProof/>
                </w:rPr>
                <w:t xml:space="preserve">Harvard Business Review, </w:t>
              </w:r>
              <w:r>
                <w:rPr>
                  <w:noProof/>
                </w:rPr>
                <w:t>pp. 71-79.</w:t>
              </w:r>
            </w:p>
            <w:p w14:paraId="38D2DC6D" w14:textId="77777777" w:rsidR="00CB2D5A" w:rsidRDefault="00CB2D5A" w:rsidP="003F3567">
              <w:pPr>
                <w:pStyle w:val="Bibliography"/>
                <w:ind w:left="0"/>
                <w:rPr>
                  <w:noProof/>
                </w:rPr>
              </w:pPr>
              <w:r>
                <w:rPr>
                  <w:noProof/>
                </w:rPr>
                <w:t xml:space="preserve">Karpin, D., 1995. </w:t>
              </w:r>
              <w:r>
                <w:rPr>
                  <w:i/>
                  <w:iCs/>
                  <w:noProof/>
                </w:rPr>
                <w:t xml:space="preserve">Enterprising Nation: Reviewing Australia’s Mangers to Meet the Challenges of the Asia-Pacific Century: Report of the Industry Task Force on Leadership and Management Skills, </w:t>
              </w:r>
              <w:r>
                <w:rPr>
                  <w:noProof/>
                </w:rPr>
                <w:t>Canberra: Commonwealth of Australia..</w:t>
              </w:r>
            </w:p>
            <w:p w14:paraId="0C5F0F4D" w14:textId="77777777" w:rsidR="00CB2D5A" w:rsidRDefault="00CB2D5A" w:rsidP="003F3567">
              <w:pPr>
                <w:pStyle w:val="Bibliography"/>
                <w:ind w:left="0"/>
                <w:rPr>
                  <w:noProof/>
                </w:rPr>
              </w:pPr>
              <w:r>
                <w:rPr>
                  <w:noProof/>
                </w:rPr>
                <w:t xml:space="preserve">Majeed, O. et al., forthcoming. </w:t>
              </w:r>
              <w:r>
                <w:rPr>
                  <w:i/>
                  <w:iCs/>
                  <w:noProof/>
                </w:rPr>
                <w:t xml:space="preserve">What drives high-growth? Characterics of Australian firms. </w:t>
              </w:r>
              <w:r>
                <w:rPr>
                  <w:noProof/>
                </w:rPr>
                <w:t>Canberra, Department of Industry, Innovation and Science Office of the Chief Economist.</w:t>
              </w:r>
            </w:p>
            <w:p w14:paraId="35DABE50" w14:textId="77777777" w:rsidR="00CB2D5A" w:rsidRDefault="00CB2D5A" w:rsidP="003F3567">
              <w:pPr>
                <w:pStyle w:val="Bibliography"/>
                <w:ind w:left="0"/>
                <w:rPr>
                  <w:noProof/>
                </w:rPr>
              </w:pPr>
              <w:r>
                <w:rPr>
                  <w:noProof/>
                </w:rPr>
                <w:t xml:space="preserve">Nelson, R. R. &amp; Winter, S. G., 1982. </w:t>
              </w:r>
              <w:r>
                <w:rPr>
                  <w:i/>
                  <w:iCs/>
                  <w:noProof/>
                </w:rPr>
                <w:t xml:space="preserve">An Evolutionary Theory of Economic Change, </w:t>
              </w:r>
              <w:r>
                <w:rPr>
                  <w:noProof/>
                </w:rPr>
                <w:t>Cambridge: The Belknap Press.</w:t>
              </w:r>
            </w:p>
            <w:p w14:paraId="23C3C587" w14:textId="77777777" w:rsidR="00CB2D5A" w:rsidRDefault="00CB2D5A" w:rsidP="003F3567">
              <w:pPr>
                <w:pStyle w:val="Bibliography"/>
                <w:ind w:left="0"/>
                <w:rPr>
                  <w:noProof/>
                </w:rPr>
              </w:pPr>
              <w:r>
                <w:rPr>
                  <w:noProof/>
                </w:rPr>
                <w:t xml:space="preserve">New Zealand Department of Inland Revenue, 2017. </w:t>
              </w:r>
              <w:r>
                <w:rPr>
                  <w:i/>
                  <w:iCs/>
                  <w:noProof/>
                </w:rPr>
                <w:t xml:space="preserve">Industry benchmarks. </w:t>
              </w:r>
              <w:r>
                <w:rPr>
                  <w:noProof/>
                </w:rPr>
                <w:t xml:space="preserve">[Online] </w:t>
              </w:r>
              <w:r>
                <w:rPr>
                  <w:noProof/>
                </w:rPr>
                <w:br/>
                <w:t xml:space="preserve">Available at: </w:t>
              </w:r>
              <w:r>
                <w:rPr>
                  <w:noProof/>
                  <w:u w:val="single"/>
                </w:rPr>
                <w:t>https://www.ird.govt.nz/industry-benchmarks/bm-about-benchmarks/benchmarks-about.html</w:t>
              </w:r>
              <w:r>
                <w:rPr>
                  <w:noProof/>
                </w:rPr>
                <w:br/>
                <w:t>[Accessed 20 November 2018].</w:t>
              </w:r>
            </w:p>
            <w:p w14:paraId="287D83F1" w14:textId="77777777" w:rsidR="00CB2D5A" w:rsidRDefault="00CB2D5A" w:rsidP="003F3567">
              <w:pPr>
                <w:pStyle w:val="Bibliography"/>
                <w:ind w:left="0"/>
                <w:rPr>
                  <w:noProof/>
                </w:rPr>
              </w:pPr>
              <w:r>
                <w:rPr>
                  <w:noProof/>
                </w:rPr>
                <w:t xml:space="preserve">Office of the Chief Economist, 2018. </w:t>
              </w:r>
              <w:r>
                <w:rPr>
                  <w:i/>
                  <w:iCs/>
                  <w:noProof/>
                </w:rPr>
                <w:t xml:space="preserve">Program Insights, </w:t>
              </w:r>
              <w:r>
                <w:rPr>
                  <w:noProof/>
                </w:rPr>
                <w:t>s.l.: Department of Industry, Innovation and Science.</w:t>
              </w:r>
            </w:p>
            <w:p w14:paraId="723B7B5B" w14:textId="77777777" w:rsidR="00CB2D5A" w:rsidRDefault="00CB2D5A" w:rsidP="003F3567">
              <w:pPr>
                <w:pStyle w:val="Bibliography"/>
                <w:ind w:left="0"/>
                <w:rPr>
                  <w:noProof/>
                </w:rPr>
              </w:pPr>
              <w:r>
                <w:rPr>
                  <w:noProof/>
                </w:rPr>
                <w:t xml:space="preserve">Penrose, E., 1959. </w:t>
              </w:r>
              <w:r>
                <w:rPr>
                  <w:i/>
                  <w:iCs/>
                  <w:noProof/>
                </w:rPr>
                <w:t xml:space="preserve">The Theory of Growth of the Firm, </w:t>
              </w:r>
              <w:r>
                <w:rPr>
                  <w:noProof/>
                </w:rPr>
                <w:t>Oxford: Blackwell.</w:t>
              </w:r>
            </w:p>
            <w:p w14:paraId="6EF844D9" w14:textId="77777777" w:rsidR="00CB2D5A" w:rsidRDefault="00CB2D5A" w:rsidP="003F3567">
              <w:pPr>
                <w:pStyle w:val="Bibliography"/>
                <w:ind w:left="0"/>
                <w:rPr>
                  <w:noProof/>
                </w:rPr>
              </w:pPr>
              <w:r>
                <w:rPr>
                  <w:noProof/>
                </w:rPr>
                <w:t xml:space="preserve">Teece, D., 1987. Technological Change and the Nature of the Firm. In: D. Teece, ed. </w:t>
              </w:r>
              <w:r>
                <w:rPr>
                  <w:i/>
                  <w:iCs/>
                  <w:noProof/>
                </w:rPr>
                <w:t xml:space="preserve">The Competitive Challenge. </w:t>
              </w:r>
              <w:r>
                <w:rPr>
                  <w:noProof/>
                </w:rPr>
                <w:t>New York: Harper and Row, pp. 256-281.</w:t>
              </w:r>
            </w:p>
            <w:p w14:paraId="45761D29" w14:textId="77777777" w:rsidR="00CB2D5A" w:rsidRDefault="00CB2D5A" w:rsidP="003F3567">
              <w:pPr>
                <w:pStyle w:val="Bibliography"/>
                <w:ind w:left="0"/>
                <w:rPr>
                  <w:noProof/>
                </w:rPr>
              </w:pPr>
              <w:r>
                <w:rPr>
                  <w:noProof/>
                </w:rPr>
                <w:t xml:space="preserve">Tett, R. P., Guterman, H. A., Bleier , A. &amp; Murphy, P. J., 2000. Development and Content Validation of a "Hyperdeminsional" Taxonomy of Managerial Competence. </w:t>
              </w:r>
              <w:r>
                <w:rPr>
                  <w:i/>
                  <w:iCs/>
                  <w:noProof/>
                </w:rPr>
                <w:t xml:space="preserve">Human Performance, </w:t>
              </w:r>
              <w:r>
                <w:rPr>
                  <w:noProof/>
                </w:rPr>
                <w:t>13(3), pp. 205-251.</w:t>
              </w:r>
            </w:p>
            <w:p w14:paraId="5F499020" w14:textId="77777777" w:rsidR="00CB2D5A" w:rsidRDefault="00CB2D5A" w:rsidP="003F3567">
              <w:pPr>
                <w:pStyle w:val="Bibliography"/>
                <w:ind w:left="0"/>
                <w:rPr>
                  <w:noProof/>
                </w:rPr>
              </w:pPr>
              <w:r>
                <w:rPr>
                  <w:noProof/>
                </w:rPr>
                <w:lastRenderedPageBreak/>
                <w:t xml:space="preserve">Yukl, G., Gordon, A. &amp; Taber, T., 2002. A Hierarchical Taxonomy of Leadership Behavior: Integrating a Half Century of Behavior. </w:t>
              </w:r>
              <w:r>
                <w:rPr>
                  <w:i/>
                  <w:iCs/>
                  <w:noProof/>
                </w:rPr>
                <w:t xml:space="preserve">Journal of Leadership and Organizational Studies, </w:t>
              </w:r>
              <w:r>
                <w:rPr>
                  <w:noProof/>
                </w:rPr>
                <w:t>7(1), pp. 15-32.</w:t>
              </w:r>
            </w:p>
            <w:p w14:paraId="039CA492" w14:textId="00CF47D6" w:rsidR="0092649D" w:rsidRPr="00F91687" w:rsidRDefault="0092649D" w:rsidP="00F91687">
              <w:pPr>
                <w:ind w:left="0"/>
              </w:pPr>
              <w:r>
                <w:rPr>
                  <w:b/>
                  <w:bCs/>
                  <w:noProof/>
                </w:rPr>
                <w:fldChar w:fldCharType="end"/>
              </w:r>
            </w:p>
          </w:sdtContent>
        </w:sdt>
      </w:sdtContent>
    </w:sdt>
    <w:sectPr w:rsidR="0092649D" w:rsidRPr="00F91687" w:rsidSect="00D744AA">
      <w:footerReference w:type="default" r:id="rId50"/>
      <w:footerReference w:type="first" r:id="rId51"/>
      <w:pgSz w:w="11906" w:h="16838" w:code="9"/>
      <w:pgMar w:top="1440" w:right="1440" w:bottom="1440" w:left="3572"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42C53" w14:textId="77777777" w:rsidR="00A72A61" w:rsidRDefault="00A72A61" w:rsidP="00F244EA">
      <w:pPr>
        <w:spacing w:after="0" w:line="240" w:lineRule="auto"/>
      </w:pPr>
      <w:r>
        <w:separator/>
      </w:r>
    </w:p>
  </w:endnote>
  <w:endnote w:type="continuationSeparator" w:id="0">
    <w:p w14:paraId="1F98B6B7" w14:textId="77777777" w:rsidR="00A72A61" w:rsidRDefault="00A72A61" w:rsidP="00F244EA">
      <w:pPr>
        <w:spacing w:after="0" w:line="240" w:lineRule="auto"/>
      </w:pPr>
      <w:r>
        <w:continuationSeparator/>
      </w:r>
    </w:p>
  </w:endnote>
  <w:endnote w:type="continuationNotice" w:id="1">
    <w:p w14:paraId="46419F0E" w14:textId="77777777" w:rsidR="00A72A61" w:rsidRDefault="00A72A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BC3F2" w14:textId="421AD2EA" w:rsidR="00A72A61" w:rsidRDefault="00A72A61" w:rsidP="00885392">
    <w:pPr>
      <w:pStyle w:val="Footer"/>
      <w:tabs>
        <w:tab w:val="clear" w:pos="9680"/>
        <w:tab w:val="left" w:pos="2151"/>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ADA" w14:textId="77777777" w:rsidR="00A72A61" w:rsidRPr="001C2E57" w:rsidRDefault="00A72A61" w:rsidP="00753FA2">
    <w:pPr>
      <w:pStyle w:val="Footer"/>
      <w:tabs>
        <w:tab w:val="clear" w:pos="9680"/>
      </w:tabs>
      <w:ind w:left="-2268" w:firstLine="2268"/>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201765">
      <w:rPr>
        <w:noProof/>
      </w:rPr>
      <w:instrText>Strategic management in Australian firms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201765">
      <w:rPr>
        <w:noProof/>
      </w:rPr>
      <w:instrText>Strategic management in Australian firms</w:instrText>
    </w:r>
    <w:r>
      <w:rPr>
        <w:noProof/>
      </w:rPr>
      <w:fldChar w:fldCharType="end"/>
    </w:r>
    <w:r w:rsidRPr="001C2E57">
      <w:instrText xml:space="preserve"> </w:instrText>
    </w:r>
    <w:r w:rsidRPr="001C2E57">
      <w:fldChar w:fldCharType="separate"/>
    </w:r>
    <w:r w:rsidR="00201765">
      <w:rPr>
        <w:noProof/>
      </w:rPr>
      <w:t>Strategic management in Australian firms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201765">
      <w:rPr>
        <w:noProof/>
      </w:rPr>
      <w:t>29</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2C47" w14:textId="6A24D5CE" w:rsidR="00A72A61" w:rsidRPr="001C2E57" w:rsidRDefault="00A72A61" w:rsidP="00E35ECE">
    <w:pPr>
      <w:pStyle w:val="Footer"/>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Pr>
        <w:noProof/>
      </w:rPr>
      <w:instrText>Strategic management in Australian firms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Strategic management in Australian firms</w:instrText>
    </w:r>
    <w:r>
      <w:rPr>
        <w:noProof/>
      </w:rPr>
      <w:fldChar w:fldCharType="end"/>
    </w:r>
    <w:r w:rsidRPr="001C2E57">
      <w:instrText xml:space="preserve"> </w:instrText>
    </w:r>
    <w:r w:rsidRPr="001C2E57">
      <w:fldChar w:fldCharType="separate"/>
    </w:r>
    <w:r>
      <w:rPr>
        <w:noProof/>
      </w:rPr>
      <w:t>Strategic management in Australian firms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3DCA6" w14:textId="77777777" w:rsidR="00A72A61" w:rsidRDefault="00A72A61" w:rsidP="001F16BB">
      <w:pPr>
        <w:spacing w:after="0" w:line="240" w:lineRule="auto"/>
        <w:ind w:left="0"/>
      </w:pPr>
      <w:r>
        <w:separator/>
      </w:r>
    </w:p>
  </w:footnote>
  <w:footnote w:type="continuationSeparator" w:id="0">
    <w:p w14:paraId="08FC560E" w14:textId="77777777" w:rsidR="00A72A61" w:rsidRDefault="00A72A61" w:rsidP="00F244EA">
      <w:pPr>
        <w:spacing w:after="0" w:line="240" w:lineRule="auto"/>
      </w:pPr>
      <w:r>
        <w:continuationSeparator/>
      </w:r>
    </w:p>
  </w:footnote>
  <w:footnote w:type="continuationNotice" w:id="1">
    <w:p w14:paraId="23685F02" w14:textId="77777777" w:rsidR="00A72A61" w:rsidRDefault="00A72A61">
      <w:pPr>
        <w:spacing w:after="0" w:line="240" w:lineRule="auto"/>
      </w:pPr>
    </w:p>
  </w:footnote>
  <w:footnote w:id="2">
    <w:p w14:paraId="5D63E8F9" w14:textId="655DA831" w:rsidR="00A72A61" w:rsidRDefault="00A72A61" w:rsidP="00CE6E18">
      <w:pPr>
        <w:pStyle w:val="FootnoteText"/>
        <w:spacing w:line="240" w:lineRule="auto"/>
        <w:ind w:left="108"/>
      </w:pPr>
      <w:r>
        <w:rPr>
          <w:rStyle w:val="FootnoteReference"/>
        </w:rPr>
        <w:footnoteRef/>
      </w:r>
      <w:r w:rsidRPr="00F352E4">
        <w:rPr>
          <w:rStyle w:val="FootnoteReference"/>
        </w:rPr>
        <w:t xml:space="preserve"> </w:t>
      </w:r>
      <w:r w:rsidRPr="00F352E4">
        <w:t>Bl</w:t>
      </w:r>
      <w:r>
        <w:t>oom, N., Lemos, R. &amp; Sadun, R. (2013)</w:t>
      </w:r>
      <w:r w:rsidRPr="00F352E4">
        <w:t xml:space="preserve"> Does Management Matter in Schools</w:t>
      </w:r>
      <w:r>
        <w:t>?</w:t>
      </w:r>
      <w:r w:rsidRPr="00F352E4">
        <w:t xml:space="preserve"> </w:t>
      </w:r>
      <w:r w:rsidRPr="00447140">
        <w:t>Discussion Papers 13-032, Stanford Institute for Economic Policy Research.</w:t>
      </w:r>
    </w:p>
  </w:footnote>
  <w:footnote w:id="3">
    <w:p w14:paraId="5CED7DE9" w14:textId="25C4C259" w:rsidR="00A72A61" w:rsidRDefault="00A72A61" w:rsidP="00CE6E18">
      <w:pPr>
        <w:pStyle w:val="FootnoteText"/>
        <w:spacing w:line="240" w:lineRule="auto"/>
        <w:ind w:left="108"/>
      </w:pPr>
      <w:r>
        <w:rPr>
          <w:rStyle w:val="FootnoteReference"/>
        </w:rPr>
        <w:footnoteRef/>
      </w:r>
      <w:r w:rsidRPr="00F352E4">
        <w:rPr>
          <w:rStyle w:val="FootnoteReference"/>
        </w:rPr>
        <w:t xml:space="preserve"> </w:t>
      </w:r>
      <w:r>
        <w:t>Bloom, N. &amp; Van Reenen, J. (2006)</w:t>
      </w:r>
      <w:r w:rsidRPr="00F352E4">
        <w:t xml:space="preserve"> Measuring and Explaining Management Practices Across Firms and Countries</w:t>
      </w:r>
      <w:r>
        <w:t xml:space="preserve">. </w:t>
      </w:r>
      <w:r w:rsidRPr="00F00805">
        <w:t>NBER Working Papers 12216, National Bureau of Economic Research, Inc.</w:t>
      </w:r>
    </w:p>
  </w:footnote>
  <w:footnote w:id="4">
    <w:p w14:paraId="1E042B3D" w14:textId="71093852" w:rsidR="00A72A61" w:rsidRDefault="00A72A61" w:rsidP="00CE6E18">
      <w:pPr>
        <w:pStyle w:val="FootnoteText"/>
        <w:spacing w:line="240" w:lineRule="auto"/>
        <w:ind w:left="108"/>
      </w:pPr>
      <w:r>
        <w:rPr>
          <w:rStyle w:val="FootnoteReference"/>
        </w:rPr>
        <w:footnoteRef/>
      </w:r>
      <w:r w:rsidRPr="00F352E4">
        <w:rPr>
          <w:rStyle w:val="FootnoteReference"/>
        </w:rPr>
        <w:t xml:space="preserve"> </w:t>
      </w:r>
      <w:r w:rsidRPr="00F352E4">
        <w:t xml:space="preserve">Bloom, </w:t>
      </w:r>
      <w:r>
        <w:t>N., Sadun, R. &amp; Van Reenen, J. (2013)</w:t>
      </w:r>
      <w:r w:rsidRPr="00F352E4">
        <w:t xml:space="preserve"> Does Management Matter in Healthcare</w:t>
      </w:r>
      <w:r>
        <w:t xml:space="preserve">. </w:t>
      </w:r>
      <w:r w:rsidRPr="00F00805">
        <w:t>Discussion Papers 13-032, Stanford Institute for Economic Policy Research.</w:t>
      </w:r>
    </w:p>
  </w:footnote>
  <w:footnote w:id="5">
    <w:p w14:paraId="709A9E33" w14:textId="130CF879" w:rsidR="00A72A61" w:rsidRDefault="00A72A61" w:rsidP="009F06EC">
      <w:pPr>
        <w:pStyle w:val="FootnoteText"/>
        <w:spacing w:line="240" w:lineRule="auto"/>
        <w:ind w:left="108"/>
      </w:pPr>
      <w:r>
        <w:rPr>
          <w:rStyle w:val="FootnoteReference"/>
        </w:rPr>
        <w:footnoteRef/>
      </w:r>
      <w:r w:rsidRPr="002F071C">
        <w:rPr>
          <w:rStyle w:val="FootnoteReference"/>
        </w:rPr>
        <w:t xml:space="preserve"> </w:t>
      </w:r>
      <w:r w:rsidRPr="00F352E4">
        <w:t>Bloom, N., Drgan , S</w:t>
      </w:r>
      <w:r>
        <w:t>., Downdy, J. &amp; Van Reenen, J. (2007)</w:t>
      </w:r>
      <w:r w:rsidRPr="00F352E4">
        <w:t xml:space="preserve"> Management Practice and Productivity: Why They Matter</w:t>
      </w:r>
      <w:r>
        <w:t>; A Mckinsey Report.</w:t>
      </w:r>
    </w:p>
  </w:footnote>
  <w:footnote w:id="6">
    <w:p w14:paraId="1FB2FB24" w14:textId="77777777" w:rsidR="00A72A61" w:rsidRDefault="00A72A61" w:rsidP="00B02DC4">
      <w:pPr>
        <w:pStyle w:val="FootnoteText"/>
        <w:spacing w:line="240" w:lineRule="auto"/>
        <w:ind w:left="108"/>
      </w:pPr>
      <w:r>
        <w:rPr>
          <w:rStyle w:val="FootnoteReference"/>
        </w:rPr>
        <w:footnoteRef/>
      </w:r>
      <w:r w:rsidRPr="00B25344">
        <w:rPr>
          <w:rStyle w:val="FootnoteReference"/>
        </w:rPr>
        <w:t xml:space="preserve"> </w:t>
      </w:r>
      <w:r w:rsidRPr="00B25344">
        <w:t>Agarwal, R., Bajada, C., Brown, P. and Green, R. (2015)</w:t>
      </w:r>
      <w:r>
        <w:t xml:space="preserve"> </w:t>
      </w:r>
      <w:r w:rsidRPr="00307650">
        <w:t>Global Comparisons of Management Practices, in Handbook of Research on Managing Managers, Editors: Wilkinson, A., Townsend, K. and Suder., Edward Elgar, Cheltenham, UK.</w:t>
      </w:r>
    </w:p>
  </w:footnote>
  <w:footnote w:id="7">
    <w:p w14:paraId="0915201F" w14:textId="77777777" w:rsidR="00A72A61" w:rsidRPr="003F3567" w:rsidRDefault="00A72A61" w:rsidP="003F3567">
      <w:pPr>
        <w:pStyle w:val="FootnoteText"/>
        <w:spacing w:line="240" w:lineRule="auto"/>
        <w:ind w:left="108"/>
        <w:rPr>
          <w:rStyle w:val="FootnoteReference"/>
        </w:rPr>
      </w:pPr>
      <w:r>
        <w:rPr>
          <w:rStyle w:val="FootnoteReference"/>
        </w:rPr>
        <w:footnoteRef/>
      </w:r>
      <w:r w:rsidRPr="003F3567">
        <w:rPr>
          <w:rStyle w:val="FootnoteReference"/>
        </w:rPr>
        <w:t xml:space="preserve"> </w:t>
      </w:r>
      <w:r w:rsidRPr="00343B2B">
        <w:t>Kaplan, R. S. &amp; Norton, D. P. (1992) The Balanced Scorecard: Measures that Drive Performance. Harvard Business Review, pp. 71–79.</w:t>
      </w:r>
    </w:p>
  </w:footnote>
  <w:footnote w:id="8">
    <w:p w14:paraId="0A7DF0CC" w14:textId="77777777" w:rsidR="00A72A61" w:rsidRPr="003F3567" w:rsidRDefault="00A72A61" w:rsidP="003F3567">
      <w:pPr>
        <w:pStyle w:val="FootnoteText"/>
        <w:spacing w:line="240" w:lineRule="auto"/>
        <w:ind w:left="108"/>
        <w:rPr>
          <w:rStyle w:val="FootnoteReference"/>
        </w:rPr>
      </w:pPr>
      <w:r>
        <w:rPr>
          <w:rStyle w:val="FootnoteReference"/>
        </w:rPr>
        <w:footnoteRef/>
      </w:r>
      <w:r w:rsidRPr="00C6695E">
        <w:rPr>
          <w:rStyle w:val="FootnoteReference"/>
        </w:rPr>
        <w:t xml:space="preserve"> </w:t>
      </w:r>
      <w:r w:rsidRPr="00343B2B">
        <w:t>De Geuser, F., Mooraj, S. &amp; Oyon, D. (2009) Does the Balanced Scorecard Add Value? Empirical   Evidence on its Effect on Performance. European Accounting Review, 18(1), pp. 93–122.</w:t>
      </w:r>
    </w:p>
  </w:footnote>
  <w:footnote w:id="9">
    <w:p w14:paraId="1C8B8A0B" w14:textId="77777777" w:rsidR="00A72A61" w:rsidRDefault="00A72A61" w:rsidP="003F3567">
      <w:pPr>
        <w:pStyle w:val="FootnoteText"/>
        <w:spacing w:line="240" w:lineRule="auto"/>
        <w:ind w:left="108"/>
      </w:pPr>
      <w:r>
        <w:rPr>
          <w:rStyle w:val="FootnoteReference"/>
        </w:rPr>
        <w:footnoteRef/>
      </w:r>
      <w:r w:rsidRPr="003F3567">
        <w:rPr>
          <w:rStyle w:val="FootnoteReference"/>
        </w:rPr>
        <w:t xml:space="preserve"> </w:t>
      </w:r>
      <w:r w:rsidRPr="00343B2B">
        <w:t>Davis, S. &amp; Albright, T. (2004) An investigation of the effect of balanced scorecard implementation on financial performance. Management accounting research, 15(2), pp. 135–153.</w:t>
      </w:r>
    </w:p>
  </w:footnote>
  <w:footnote w:id="10">
    <w:p w14:paraId="783C055B" w14:textId="317A021B" w:rsidR="00A72A61" w:rsidRDefault="00A72A61" w:rsidP="00EA5908">
      <w:pPr>
        <w:pStyle w:val="FootnoteText"/>
        <w:ind w:left="0"/>
      </w:pPr>
      <w:r>
        <w:rPr>
          <w:rStyle w:val="FootnoteReference"/>
        </w:rPr>
        <w:footnoteRef/>
      </w:r>
      <w:r>
        <w:t xml:space="preserve"> Penrose E. </w:t>
      </w:r>
      <w:r w:rsidRPr="000515BB">
        <w:t>(1959) The Theory of Growth of the Firm. Blackwell: Oxford.</w:t>
      </w:r>
      <w:r>
        <w:t xml:space="preserve"> </w:t>
      </w:r>
    </w:p>
  </w:footnote>
  <w:footnote w:id="11">
    <w:p w14:paraId="296D94FA" w14:textId="794C8E34" w:rsidR="00A72A61" w:rsidRDefault="00A72A61" w:rsidP="00EA5908">
      <w:pPr>
        <w:pStyle w:val="FootnoteText"/>
        <w:ind w:left="0" w:hanging="142"/>
        <w:jc w:val="left"/>
      </w:pPr>
      <w:r>
        <w:rPr>
          <w:rStyle w:val="FootnoteReference"/>
        </w:rPr>
        <w:footnoteRef/>
      </w:r>
      <w:r>
        <w:t xml:space="preserve"> Ibid.</w:t>
      </w:r>
    </w:p>
  </w:footnote>
  <w:footnote w:id="12">
    <w:p w14:paraId="7DE4A187" w14:textId="77777777" w:rsidR="00A72A61" w:rsidRDefault="00A72A61" w:rsidP="001B37AA">
      <w:pPr>
        <w:pStyle w:val="FootnoteText"/>
        <w:spacing w:line="240" w:lineRule="auto"/>
        <w:ind w:left="0" w:hanging="142"/>
      </w:pPr>
      <w:r>
        <w:rPr>
          <w:rStyle w:val="FootnoteReference"/>
        </w:rPr>
        <w:footnoteRef/>
      </w:r>
      <w:r>
        <w:rPr>
          <w:rFonts w:asciiTheme="majorHAnsi" w:hAnsiTheme="majorHAnsi" w:cstheme="majorHAnsi"/>
        </w:rPr>
        <w:t>A</w:t>
      </w:r>
      <w:r w:rsidRPr="00D774FB">
        <w:rPr>
          <w:rFonts w:asciiTheme="majorHAnsi" w:hAnsiTheme="majorHAnsi" w:cstheme="majorHAnsi"/>
        </w:rPr>
        <w:t>n organizational routine is a repeated action sequence which has its roots in organizational procedures and systems, one that informs how the firm is to get things done</w:t>
      </w:r>
      <w:r>
        <w:rPr>
          <w:rFonts w:asciiTheme="majorHAnsi" w:hAnsiTheme="majorHAnsi" w:cstheme="majorHAnsi"/>
        </w:rPr>
        <w:t xml:space="preserve">. See </w:t>
      </w:r>
      <w:r w:rsidRPr="000E1BD7">
        <w:rPr>
          <w:rFonts w:cs="Times New Roman"/>
          <w:bCs/>
          <w:szCs w:val="16"/>
        </w:rPr>
        <w:t xml:space="preserve">Feldman, M. S. and Pentland, B. T., (2003) </w:t>
      </w:r>
      <w:r w:rsidRPr="000E1BD7">
        <w:rPr>
          <w:rFonts w:cs="Times New Roman"/>
          <w:szCs w:val="16"/>
        </w:rPr>
        <w:t xml:space="preserve"> Reconceptualizing Organizational Routines as a Source of Flexibility and Change,  Administrative Science Quarterly, Vol. 48, No. 1 (Mar., 2003), pp. 94</w:t>
      </w:r>
      <w:r w:rsidRPr="00E4321C">
        <w:rPr>
          <w:rFonts w:cs="Times New Roman"/>
          <w:szCs w:val="16"/>
        </w:rPr>
        <w:t>–</w:t>
      </w:r>
      <w:r w:rsidRPr="000E1BD7">
        <w:rPr>
          <w:rFonts w:cs="Times New Roman"/>
          <w:szCs w:val="16"/>
        </w:rPr>
        <w:t>118</w:t>
      </w:r>
      <w:r>
        <w:rPr>
          <w:rFonts w:cs="Times New Roman"/>
          <w:szCs w:val="16"/>
        </w:rPr>
        <w:t>.</w:t>
      </w:r>
    </w:p>
  </w:footnote>
  <w:footnote w:id="13">
    <w:p w14:paraId="7581ED81" w14:textId="07304691" w:rsidR="00A72A61" w:rsidRDefault="00A72A61" w:rsidP="00EA5908">
      <w:pPr>
        <w:autoSpaceDE w:val="0"/>
        <w:autoSpaceDN w:val="0"/>
        <w:adjustRightInd w:val="0"/>
        <w:spacing w:after="0" w:line="240" w:lineRule="auto"/>
        <w:ind w:left="0" w:hanging="142"/>
        <w:jc w:val="left"/>
        <w:rPr>
          <w:sz w:val="16"/>
        </w:rPr>
      </w:pPr>
      <w:r w:rsidRPr="00E23EFE">
        <w:rPr>
          <w:rStyle w:val="FootnoteReference"/>
          <w:sz w:val="16"/>
        </w:rPr>
        <w:footnoteRef/>
      </w:r>
      <w:r>
        <w:t xml:space="preserve"> </w:t>
      </w:r>
      <w:r w:rsidRPr="000515BB">
        <w:rPr>
          <w:rFonts w:eastAsia="Times New Roman"/>
          <w:sz w:val="16"/>
        </w:rPr>
        <w:t xml:space="preserve">Nelson and Winter Nelson, R. R. and Winter, S. G. </w:t>
      </w:r>
      <w:r>
        <w:rPr>
          <w:rFonts w:eastAsia="Times New Roman"/>
          <w:sz w:val="16"/>
        </w:rPr>
        <w:t>(</w:t>
      </w:r>
      <w:r w:rsidRPr="000515BB">
        <w:rPr>
          <w:rFonts w:eastAsia="Times New Roman"/>
          <w:sz w:val="16"/>
        </w:rPr>
        <w:t>1982</w:t>
      </w:r>
      <w:r>
        <w:rPr>
          <w:rFonts w:eastAsia="Times New Roman"/>
          <w:sz w:val="16"/>
        </w:rPr>
        <w:t>)</w:t>
      </w:r>
      <w:r w:rsidRPr="000515BB">
        <w:rPr>
          <w:rFonts w:eastAsia="Times New Roman"/>
          <w:sz w:val="16"/>
        </w:rPr>
        <w:t xml:space="preserve"> An Evolutionary Theory of Economic Change, Cambridge: The</w:t>
      </w:r>
      <w:r>
        <w:rPr>
          <w:rFonts w:eastAsia="Times New Roman"/>
          <w:sz w:val="16"/>
        </w:rPr>
        <w:t xml:space="preserve"> </w:t>
      </w:r>
      <w:r w:rsidRPr="000515BB">
        <w:rPr>
          <w:sz w:val="16"/>
        </w:rPr>
        <w:t>Belknap Press</w:t>
      </w:r>
    </w:p>
    <w:p w14:paraId="6210FACA" w14:textId="59325118" w:rsidR="00A72A61" w:rsidRPr="000515BB" w:rsidRDefault="00A72A61" w:rsidP="00EA5908">
      <w:pPr>
        <w:autoSpaceDE w:val="0"/>
        <w:autoSpaceDN w:val="0"/>
        <w:adjustRightInd w:val="0"/>
        <w:spacing w:after="0" w:line="240" w:lineRule="auto"/>
        <w:ind w:left="0" w:hanging="142"/>
        <w:jc w:val="left"/>
        <w:rPr>
          <w:rFonts w:eastAsia="Times New Roman"/>
          <w:sz w:val="16"/>
        </w:rPr>
      </w:pPr>
    </w:p>
  </w:footnote>
  <w:footnote w:id="14">
    <w:p w14:paraId="6808A096" w14:textId="571DE424" w:rsidR="00A72A61" w:rsidRDefault="00A72A61" w:rsidP="0080614A">
      <w:pPr>
        <w:pStyle w:val="FootnoteText"/>
        <w:spacing w:line="240" w:lineRule="auto"/>
        <w:ind w:left="0" w:hanging="142"/>
      </w:pPr>
      <w:r>
        <w:rPr>
          <w:rStyle w:val="FootnoteReference"/>
        </w:rPr>
        <w:footnoteRef/>
      </w:r>
      <w:r w:rsidRPr="0080614A">
        <w:rPr>
          <w:rStyle w:val="FootnoteReference"/>
        </w:rPr>
        <w:t xml:space="preserve"> </w:t>
      </w:r>
      <w:r w:rsidRPr="0080614A">
        <w:t>Management capabilities in this context are often referred to as “dynamic capabilities”</w:t>
      </w:r>
      <w:r>
        <w:t>.</w:t>
      </w:r>
    </w:p>
  </w:footnote>
  <w:footnote w:id="15">
    <w:p w14:paraId="49E2F7D9" w14:textId="4E7EF3A1" w:rsidR="00A72A61" w:rsidRDefault="00A72A61" w:rsidP="00EA5908">
      <w:pPr>
        <w:pStyle w:val="FootnoteText"/>
        <w:spacing w:line="240" w:lineRule="auto"/>
        <w:ind w:left="0" w:hanging="142"/>
      </w:pPr>
      <w:r>
        <w:rPr>
          <w:rStyle w:val="FootnoteReference"/>
        </w:rPr>
        <w:footnoteRef/>
      </w:r>
      <w:r>
        <w:t xml:space="preserve"> Chandler A. </w:t>
      </w:r>
      <w:r w:rsidRPr="00661997">
        <w:t xml:space="preserve">(1977) </w:t>
      </w:r>
      <w:hyperlink r:id="rId1" w:tooltip="The Visible Hand: The Managerial Revolution in American Business" w:history="1">
        <w:r w:rsidRPr="000515BB">
          <w:t>The Visible Hand: The Managerial Revolution in American Business</w:t>
        </w:r>
      </w:hyperlink>
      <w:r w:rsidRPr="000515BB">
        <w:t xml:space="preserve"> (The Belknap Press of Harvard University Press</w:t>
      </w:r>
    </w:p>
  </w:footnote>
  <w:footnote w:id="16">
    <w:p w14:paraId="7B55F6E0" w14:textId="0149472F" w:rsidR="00A72A61" w:rsidRPr="00CB24B7" w:rsidRDefault="00A72A61" w:rsidP="00EA5908">
      <w:pPr>
        <w:autoSpaceDE w:val="0"/>
        <w:autoSpaceDN w:val="0"/>
        <w:adjustRightInd w:val="0"/>
        <w:spacing w:after="120" w:line="240" w:lineRule="auto"/>
        <w:ind w:left="0" w:hanging="142"/>
        <w:jc w:val="left"/>
        <w:rPr>
          <w:rFonts w:eastAsia="Times New Roman"/>
          <w:sz w:val="16"/>
        </w:rPr>
      </w:pPr>
      <w:r>
        <w:rPr>
          <w:rStyle w:val="FootnoteReference"/>
        </w:rPr>
        <w:footnoteRef/>
      </w:r>
      <w:r w:rsidRPr="00CB24B7">
        <w:rPr>
          <w:rStyle w:val="FootnoteReference"/>
        </w:rPr>
        <w:t xml:space="preserve"> </w:t>
      </w:r>
      <w:r w:rsidRPr="00CB24B7">
        <w:rPr>
          <w:rFonts w:eastAsia="Times New Roman"/>
          <w:sz w:val="16"/>
        </w:rPr>
        <w:t xml:space="preserve">Teece D. (1987). Technological Change and the Nature of the Firm, in D. Teece (ed.) The </w:t>
      </w:r>
      <w:r>
        <w:rPr>
          <w:rFonts w:eastAsia="Times New Roman"/>
          <w:sz w:val="16"/>
        </w:rPr>
        <w:t xml:space="preserve"> </w:t>
      </w:r>
      <w:r w:rsidRPr="00CB24B7">
        <w:rPr>
          <w:rFonts w:eastAsia="Times New Roman"/>
          <w:sz w:val="16"/>
        </w:rPr>
        <w:t>Competitive Challenge, pp. 256</w:t>
      </w:r>
      <w:r w:rsidRPr="00E4321C">
        <w:rPr>
          <w:rFonts w:eastAsia="Times New Roman"/>
          <w:sz w:val="16"/>
        </w:rPr>
        <w:t>–</w:t>
      </w:r>
      <w:r w:rsidRPr="00CB24B7">
        <w:rPr>
          <w:rFonts w:eastAsia="Times New Roman"/>
          <w:sz w:val="16"/>
        </w:rPr>
        <w:t>281. Harper and Row: New York</w:t>
      </w:r>
    </w:p>
  </w:footnote>
  <w:footnote w:id="17">
    <w:p w14:paraId="3B9D658B" w14:textId="77777777" w:rsidR="00A72A61" w:rsidRDefault="00A72A61" w:rsidP="00EE5D42">
      <w:pPr>
        <w:pStyle w:val="FootnoteText"/>
        <w:spacing w:line="240" w:lineRule="auto"/>
        <w:ind w:left="108"/>
      </w:pPr>
      <w:r>
        <w:rPr>
          <w:rStyle w:val="FootnoteReference"/>
        </w:rPr>
        <w:footnoteRef/>
      </w:r>
      <w:r>
        <w:t xml:space="preserve"> Karpin, D. (1995) Enterprising Nation: Reviewing Australia’s Mangers to Meet the Challenges of the Asia-Pacific Century: Report of the Industry Task Force on Leadership and Management Skills. Canberra: Commonwealth of Australia.</w:t>
      </w:r>
    </w:p>
  </w:footnote>
  <w:footnote w:id="18">
    <w:p w14:paraId="5A24192E" w14:textId="77777777" w:rsidR="00A72A61" w:rsidRDefault="00A72A61" w:rsidP="00D67D26">
      <w:pPr>
        <w:pStyle w:val="FootnoteText"/>
        <w:spacing w:line="240" w:lineRule="auto"/>
        <w:ind w:left="108"/>
      </w:pPr>
      <w:r>
        <w:rPr>
          <w:rStyle w:val="FootnoteReference"/>
        </w:rPr>
        <w:footnoteRef/>
      </w:r>
      <w:r>
        <w:rPr>
          <w:rStyle w:val="FootnoteReference"/>
        </w:rPr>
        <w:t xml:space="preserve"> </w:t>
      </w:r>
      <w:r>
        <w:t>Bloom, N., Drgan</w:t>
      </w:r>
      <w:r w:rsidRPr="00F352E4">
        <w:t>, S</w:t>
      </w:r>
      <w:r>
        <w:t>., Downdy, J. &amp; Van Reenen, J. (</w:t>
      </w:r>
      <w:r w:rsidRPr="00F352E4">
        <w:t>2007</w:t>
      </w:r>
      <w:r>
        <w:t>)</w:t>
      </w:r>
      <w:r w:rsidRPr="00F352E4">
        <w:t xml:space="preserve"> Management Practice and Productivity: Why They Matter</w:t>
      </w:r>
      <w:r>
        <w:t>; A Mckinsey Report.</w:t>
      </w:r>
    </w:p>
  </w:footnote>
  <w:footnote w:id="19">
    <w:p w14:paraId="35E6D3B3" w14:textId="77777777" w:rsidR="00A72A61" w:rsidRPr="00E63D7D" w:rsidRDefault="00A72A61" w:rsidP="00D67D26">
      <w:pPr>
        <w:pStyle w:val="FootnoteText"/>
        <w:spacing w:line="240" w:lineRule="auto"/>
        <w:ind w:left="108"/>
      </w:pPr>
      <w:r>
        <w:rPr>
          <w:rStyle w:val="FootnoteReference"/>
        </w:rPr>
        <w:footnoteRef/>
      </w:r>
      <w:r>
        <w:t xml:space="preserve"> </w:t>
      </w:r>
      <w:r w:rsidRPr="00E63D7D">
        <w:t>Brown, P. J., Matolcsy, Z. P. and Wells, P.</w:t>
      </w:r>
      <w:r>
        <w:t xml:space="preserve"> (</w:t>
      </w:r>
      <w:r w:rsidRPr="00E63D7D">
        <w:t>2014</w:t>
      </w:r>
      <w:r>
        <w:t>)</w:t>
      </w:r>
      <w:r w:rsidRPr="00E63D7D">
        <w:t xml:space="preserve"> Group versus individual compensation schemes for senior executives and firm performance: Some evidence based on archival data. Journal of Contemporary Accounting and Economics, 10 (2), pp. 100</w:t>
      </w:r>
      <w:r>
        <w:t>–</w:t>
      </w:r>
      <w:r w:rsidRPr="00E63D7D">
        <w:t>114.</w:t>
      </w:r>
    </w:p>
  </w:footnote>
  <w:footnote w:id="20">
    <w:p w14:paraId="735459A2" w14:textId="77777777" w:rsidR="00A72A61" w:rsidRPr="009B6538" w:rsidRDefault="00A72A61" w:rsidP="00D67D26">
      <w:pPr>
        <w:pStyle w:val="FootnoteText"/>
        <w:spacing w:line="240" w:lineRule="auto"/>
        <w:ind w:left="108"/>
      </w:pPr>
      <w:r>
        <w:rPr>
          <w:rStyle w:val="FootnoteReference"/>
        </w:rPr>
        <w:footnoteRef/>
      </w:r>
      <w:r w:rsidRPr="009B6538">
        <w:t>Agarwal, R., Brown, P. J., Green, R., Randhawa, K. and Tan, H</w:t>
      </w:r>
      <w:r>
        <w:t>. (</w:t>
      </w:r>
      <w:r w:rsidRPr="009B6538">
        <w:t>2014</w:t>
      </w:r>
      <w:r>
        <w:t>)</w:t>
      </w:r>
      <w:r w:rsidRPr="009B6538">
        <w:t xml:space="preserve"> Management Practices of Australian manufacturing firms: Why are some firms more innovative</w:t>
      </w:r>
      <w:r>
        <w:t>?</w:t>
      </w:r>
      <w:r w:rsidRPr="009B6538">
        <w:t xml:space="preserve"> International Journal of Production Research, 52 (21), pp. 6496-6517.</w:t>
      </w:r>
    </w:p>
  </w:footnote>
  <w:footnote w:id="21">
    <w:p w14:paraId="56B76898" w14:textId="22C3240E" w:rsidR="00A72A61" w:rsidRDefault="00A72A61" w:rsidP="003172DC">
      <w:pPr>
        <w:pStyle w:val="FootnoteText"/>
        <w:spacing w:line="240" w:lineRule="auto"/>
        <w:ind w:left="108"/>
      </w:pPr>
      <w:r>
        <w:rPr>
          <w:rStyle w:val="FootnoteReference"/>
        </w:rPr>
        <w:footnoteRef/>
      </w:r>
      <w:r>
        <w:t xml:space="preserve"> The Management and Organisational Capabilities Survey questionnaire was created in a collaboration between the Australian Bureau of Statistics, the Department of Industry, Innovation and Science’s Office of the Chief Economist, the University of Technology Sydney, and with the technical assistance of Professor Nick Bloom of Stanford University in the United States. </w:t>
      </w:r>
    </w:p>
  </w:footnote>
  <w:footnote w:id="22">
    <w:p w14:paraId="694AD20E" w14:textId="4B8D3968" w:rsidR="00A72A61" w:rsidRDefault="00A72A61" w:rsidP="009B2EEE">
      <w:pPr>
        <w:pStyle w:val="FootnoteText"/>
        <w:ind w:left="216"/>
      </w:pPr>
      <w:r>
        <w:rPr>
          <w:rStyle w:val="FootnoteReference"/>
        </w:rPr>
        <w:footnoteRef/>
      </w:r>
      <w:r>
        <w:t xml:space="preserve"> T</w:t>
      </w:r>
      <w:r w:rsidRPr="009B2EEE">
        <w:t>he number of contributing units was just over 12,500</w:t>
      </w:r>
      <w:r>
        <w:t>. The difference between the number of surveyed firms and contributing units is due to non-response, inclusion of firms no longer in operation in the survey sample, and issues with data verification.</w:t>
      </w:r>
    </w:p>
  </w:footnote>
  <w:footnote w:id="23">
    <w:p w14:paraId="3B05208F" w14:textId="17DF010A" w:rsidR="00A72A61" w:rsidRDefault="00A72A61" w:rsidP="00B3679B">
      <w:pPr>
        <w:pStyle w:val="FootnoteText"/>
        <w:ind w:left="216"/>
      </w:pPr>
      <w:r>
        <w:rPr>
          <w:rStyle w:val="FootnoteReference"/>
        </w:rPr>
        <w:footnoteRef/>
      </w:r>
      <w:r>
        <w:t xml:space="preserve"> </w:t>
      </w:r>
      <w:hyperlink r:id="rId2" w:history="1">
        <w:r w:rsidRPr="00E23100">
          <w:rPr>
            <w:rStyle w:val="Hyperlink"/>
          </w:rPr>
          <w:t>https://www.census.gov/programs-surveys/mops.html</w:t>
        </w:r>
      </w:hyperlink>
    </w:p>
  </w:footnote>
  <w:footnote w:id="24">
    <w:p w14:paraId="6DF2ED54" w14:textId="26DD4532" w:rsidR="00A72A61" w:rsidRDefault="00A72A61" w:rsidP="006703F6">
      <w:pPr>
        <w:pStyle w:val="FootnoteText"/>
        <w:ind w:left="108"/>
      </w:pPr>
      <w:r>
        <w:rPr>
          <w:rStyle w:val="FootnoteReference"/>
        </w:rPr>
        <w:footnoteRef/>
      </w:r>
      <w:r w:rsidRPr="006703F6">
        <w:rPr>
          <w:rStyle w:val="FootnoteReference"/>
        </w:rPr>
        <w:t xml:space="preserve"> </w:t>
      </w:r>
      <w:r w:rsidRPr="00C41405">
        <w:t>Especially in terms of helping businesses gauge their own management capability.</w:t>
      </w:r>
      <w:r>
        <w:t xml:space="preserve"> </w:t>
      </w:r>
    </w:p>
  </w:footnote>
  <w:footnote w:id="25">
    <w:p w14:paraId="36865697" w14:textId="3F8B7507" w:rsidR="00A72A61" w:rsidRDefault="00A72A61" w:rsidP="00F8182E">
      <w:pPr>
        <w:pStyle w:val="FootnoteText"/>
        <w:spacing w:line="240" w:lineRule="auto"/>
        <w:ind w:left="108"/>
      </w:pPr>
      <w:r>
        <w:rPr>
          <w:rStyle w:val="FootnoteReference"/>
        </w:rPr>
        <w:footnoteRef/>
      </w:r>
      <w:r w:rsidRPr="00F352E4">
        <w:rPr>
          <w:rStyle w:val="FootnoteReference"/>
        </w:rPr>
        <w:t xml:space="preserve"> </w:t>
      </w:r>
      <w:r w:rsidRPr="004C7814">
        <w:t>Despite the limited inputs into the classification, we demonstrate below that our levels of strategic management correspond closely to other measures of structured management</w:t>
      </w:r>
      <w:r>
        <w:t xml:space="preserve">. </w:t>
      </w:r>
    </w:p>
  </w:footnote>
  <w:footnote w:id="26">
    <w:p w14:paraId="472B9D8C" w14:textId="0248A4B0" w:rsidR="00A72A61" w:rsidRDefault="00A72A61" w:rsidP="00E05E0E">
      <w:pPr>
        <w:pStyle w:val="FootnoteText"/>
        <w:spacing w:line="240" w:lineRule="auto"/>
        <w:ind w:left="108"/>
      </w:pPr>
      <w:r>
        <w:rPr>
          <w:rStyle w:val="FootnoteReference"/>
        </w:rPr>
        <w:footnoteRef/>
      </w:r>
      <w:r w:rsidRPr="00F352E4">
        <w:rPr>
          <w:rStyle w:val="FootnoteReference"/>
        </w:rPr>
        <w:t xml:space="preserve"> </w:t>
      </w:r>
      <w:r w:rsidRPr="00F352E4">
        <w:t>Yukl, G., Gordon, A. &amp; Taber, T., 2002. A Hierarchical Taxonomy of Leadership Behavior: Integrating a Half Century of Behavior. Journal of Leadership and Organizational Studies, 7(1), pp. 15</w:t>
      </w:r>
      <w:r>
        <w:t>–</w:t>
      </w:r>
      <w:r w:rsidRPr="00F352E4">
        <w:t>32.</w:t>
      </w:r>
    </w:p>
  </w:footnote>
  <w:footnote w:id="27">
    <w:p w14:paraId="1C4BBCC5" w14:textId="2740D88F" w:rsidR="00A72A61" w:rsidRPr="00F352E4" w:rsidRDefault="00A72A61" w:rsidP="00E05E0E">
      <w:pPr>
        <w:pStyle w:val="FootnoteText"/>
        <w:spacing w:line="240" w:lineRule="auto"/>
        <w:ind w:left="108"/>
        <w:rPr>
          <w:rStyle w:val="FootnoteReference"/>
        </w:rPr>
      </w:pPr>
      <w:r>
        <w:rPr>
          <w:rStyle w:val="FootnoteReference"/>
        </w:rPr>
        <w:footnoteRef/>
      </w:r>
      <w:r w:rsidRPr="00F352E4">
        <w:rPr>
          <w:rStyle w:val="FootnoteReference"/>
        </w:rPr>
        <w:t xml:space="preserve"> </w:t>
      </w:r>
      <w:r w:rsidRPr="00F352E4">
        <w:t>Tett, R. P., Guterman, H. A., Bleier , A. &amp; Murphy, P. J</w:t>
      </w:r>
      <w:r>
        <w:t>. (</w:t>
      </w:r>
      <w:r w:rsidRPr="00F352E4">
        <w:t>2000</w:t>
      </w:r>
      <w:r>
        <w:t>)</w:t>
      </w:r>
      <w:r w:rsidRPr="00F352E4">
        <w:t xml:space="preserve"> Development and Content Validation of a "Hyperdeminsional" Taxonomy of Managerial Competence. Human Performance, 13(3), pp. 205</w:t>
      </w:r>
      <w:r>
        <w:t>–</w:t>
      </w:r>
      <w:r w:rsidRPr="00F352E4">
        <w:t>251.</w:t>
      </w:r>
    </w:p>
  </w:footnote>
  <w:footnote w:id="28">
    <w:p w14:paraId="396C048A" w14:textId="1043CA3A" w:rsidR="00A72A61" w:rsidRDefault="00A72A61" w:rsidP="003F3567">
      <w:pPr>
        <w:pStyle w:val="FootnoteText"/>
        <w:spacing w:line="240" w:lineRule="auto"/>
        <w:ind w:left="108"/>
      </w:pPr>
      <w:r>
        <w:rPr>
          <w:rStyle w:val="FootnoteReference"/>
        </w:rPr>
        <w:footnoteRef/>
      </w:r>
      <w:r w:rsidRPr="003F3567">
        <w:rPr>
          <w:rStyle w:val="FootnoteReference"/>
        </w:rPr>
        <w:t xml:space="preserve"> </w:t>
      </w:r>
      <w:r w:rsidRPr="00C123C4">
        <w:t>See appendix</w:t>
      </w:r>
      <w:r>
        <w:t> </w:t>
      </w:r>
      <w:r w:rsidRPr="00C123C4">
        <w:t>C for</w:t>
      </w:r>
      <w:r>
        <w:t xml:space="preserve"> the</w:t>
      </w:r>
      <w:r w:rsidRPr="00C123C4">
        <w:t xml:space="preserve"> distribution</w:t>
      </w:r>
      <w:r>
        <w:t>s</w:t>
      </w:r>
      <w:r w:rsidRPr="00C123C4">
        <w:t xml:space="preserve"> of firms e</w:t>
      </w:r>
      <w:r>
        <w:t>n</w:t>
      </w:r>
      <w:r w:rsidRPr="00C123C4">
        <w:t>gaged in each level of these management practices.</w:t>
      </w:r>
    </w:p>
  </w:footnote>
  <w:footnote w:id="29">
    <w:p w14:paraId="5D9337BE" w14:textId="3E62598A" w:rsidR="00A72A61" w:rsidRDefault="00A72A61" w:rsidP="00E05E0E">
      <w:pPr>
        <w:pStyle w:val="FootnoteText"/>
        <w:spacing w:line="240" w:lineRule="auto"/>
        <w:ind w:left="108"/>
      </w:pPr>
      <w:r>
        <w:rPr>
          <w:rStyle w:val="FootnoteReference"/>
        </w:rPr>
        <w:footnoteRef/>
      </w:r>
      <w:r w:rsidRPr="00F352E4">
        <w:rPr>
          <w:rStyle w:val="FootnoteReference"/>
        </w:rPr>
        <w:t xml:space="preserve"> </w:t>
      </w:r>
      <w:r w:rsidRPr="00F352E4">
        <w:t>Kaplan, R. S. &amp; Norton, D. P</w:t>
      </w:r>
      <w:r>
        <w:t>. (</w:t>
      </w:r>
      <w:r w:rsidRPr="00F352E4">
        <w:t>1992</w:t>
      </w:r>
      <w:r>
        <w:t>)</w:t>
      </w:r>
      <w:r w:rsidRPr="00F352E4">
        <w:t xml:space="preserve"> The Balanced Scorecard: Measures that Drive Performance. Harvard Business Review, pp. 71</w:t>
      </w:r>
      <w:r>
        <w:t>–</w:t>
      </w:r>
      <w:r w:rsidRPr="00F352E4">
        <w:t>79.</w:t>
      </w:r>
    </w:p>
  </w:footnote>
  <w:footnote w:id="30">
    <w:p w14:paraId="09E47688" w14:textId="0C62E904" w:rsidR="00A72A61" w:rsidRDefault="00A72A61" w:rsidP="00F31A98">
      <w:pPr>
        <w:pStyle w:val="FootnoteText"/>
        <w:spacing w:line="240" w:lineRule="auto"/>
        <w:ind w:left="108"/>
      </w:pPr>
      <w:r>
        <w:rPr>
          <w:rStyle w:val="FootnoteReference"/>
        </w:rPr>
        <w:footnoteRef/>
      </w:r>
      <w:r w:rsidRPr="00F352E4">
        <w:rPr>
          <w:rStyle w:val="FootnoteReference"/>
        </w:rPr>
        <w:t xml:space="preserve"> </w:t>
      </w:r>
      <w:r w:rsidRPr="00F352E4">
        <w:t>De Geuser, F., Mooraj, S. &amp; Oyon, D</w:t>
      </w:r>
      <w:r>
        <w:t>. (</w:t>
      </w:r>
      <w:r w:rsidRPr="00F352E4">
        <w:t>2009</w:t>
      </w:r>
      <w:r>
        <w:t>)</w:t>
      </w:r>
      <w:r w:rsidRPr="00F352E4">
        <w:t xml:space="preserve"> Does the Balanced Scorecard Add Value? Empirical Evidence on its Effect on Performance. European Accounting Review, 18(1), pp. 93</w:t>
      </w:r>
      <w:r>
        <w:t>–</w:t>
      </w:r>
      <w:r w:rsidRPr="00F352E4">
        <w:t>122.</w:t>
      </w:r>
    </w:p>
  </w:footnote>
  <w:footnote w:id="31">
    <w:p w14:paraId="20E3EC07" w14:textId="77777777" w:rsidR="00A72A61" w:rsidRDefault="00A72A61" w:rsidP="00224A6C">
      <w:pPr>
        <w:pStyle w:val="FootnoteText"/>
        <w:spacing w:line="240" w:lineRule="auto"/>
        <w:ind w:left="108"/>
      </w:pPr>
      <w:r>
        <w:rPr>
          <w:rStyle w:val="FootnoteReference"/>
        </w:rPr>
        <w:footnoteRef/>
      </w:r>
      <w:r w:rsidRPr="00F352E4">
        <w:rPr>
          <w:rStyle w:val="FootnoteReference"/>
        </w:rPr>
        <w:t xml:space="preserve"> </w:t>
      </w:r>
      <w:r w:rsidRPr="00F352E4">
        <w:t>Davis, S. &amp; Albright, T</w:t>
      </w:r>
      <w:r>
        <w:t>. (</w:t>
      </w:r>
      <w:r w:rsidRPr="00F352E4">
        <w:t>2004</w:t>
      </w:r>
      <w:r>
        <w:t>)</w:t>
      </w:r>
      <w:r w:rsidRPr="00F352E4">
        <w:t xml:space="preserve"> An investigation of the effect of balanced scorecard implementation on financial performance. Management accounting research, 15(2), pp. 135</w:t>
      </w:r>
      <w:r>
        <w:t>–</w:t>
      </w:r>
      <w:r w:rsidRPr="00F352E4">
        <w:t>153.</w:t>
      </w:r>
    </w:p>
  </w:footnote>
  <w:footnote w:id="32">
    <w:p w14:paraId="305CE364" w14:textId="77777777" w:rsidR="00A72A61" w:rsidRPr="0046064F" w:rsidRDefault="00A72A61" w:rsidP="009A2E8B">
      <w:pPr>
        <w:pStyle w:val="FootnoteText"/>
        <w:spacing w:after="120" w:line="240" w:lineRule="auto"/>
        <w:ind w:left="108"/>
        <w:rPr>
          <w:lang w:val="en-US"/>
        </w:rPr>
      </w:pPr>
      <w:r>
        <w:rPr>
          <w:rStyle w:val="FootnoteReference"/>
        </w:rPr>
        <w:footnoteRef/>
      </w:r>
      <w:r w:rsidRPr="0046064F">
        <w:rPr>
          <w:rStyle w:val="FootnoteReference"/>
        </w:rPr>
        <w:t xml:space="preserve"> </w:t>
      </w:r>
      <w:r w:rsidRPr="0046064F">
        <w:t>This section classifies large firms as those employing more than 100 employees</w:t>
      </w:r>
      <w:r>
        <w:t xml:space="preserve">. This is the cut-off provided in the CURF. In later analysis we use a cut-off of 200, a more commonly used criteria. </w:t>
      </w:r>
    </w:p>
  </w:footnote>
  <w:footnote w:id="33">
    <w:p w14:paraId="768C41DA" w14:textId="77777777" w:rsidR="00A72A61" w:rsidRDefault="00A72A61" w:rsidP="009A2E8B">
      <w:pPr>
        <w:pStyle w:val="FootnoteText"/>
        <w:spacing w:after="0" w:line="240" w:lineRule="auto"/>
        <w:ind w:left="108"/>
      </w:pPr>
      <w:r>
        <w:rPr>
          <w:rStyle w:val="FootnoteReference"/>
        </w:rPr>
        <w:footnoteRef/>
      </w:r>
      <w:r w:rsidRPr="00F352E4">
        <w:rPr>
          <w:rStyle w:val="FootnoteReference"/>
        </w:rPr>
        <w:t xml:space="preserve"> </w:t>
      </w:r>
      <w:r w:rsidRPr="00C169A2">
        <w:t xml:space="preserve">Bloom N. &amp; Brynjolfsson E., Foster L., Jarmin R, Patnaik M, Saporta-Eksten I &amp; Van Reenen J. </w:t>
      </w:r>
      <w:r>
        <w:t>(</w:t>
      </w:r>
      <w:r w:rsidRPr="00C169A2">
        <w:t>2017</w:t>
      </w:r>
      <w:r>
        <w:t>)</w:t>
      </w:r>
      <w:r w:rsidRPr="00C169A2">
        <w:t xml:space="preserve"> "What Drives Differences in Management</w:t>
      </w:r>
      <w:r>
        <w:t>?”</w:t>
      </w:r>
      <w:r w:rsidRPr="00C169A2">
        <w:t xml:space="preserve"> CEP Discussion Papers dp1470, Centre for Economic Performance, LSE.</w:t>
      </w:r>
    </w:p>
  </w:footnote>
  <w:footnote w:id="34">
    <w:p w14:paraId="6499570D" w14:textId="6B84B196" w:rsidR="00A72A61" w:rsidRDefault="00A72A61" w:rsidP="00E05E0E">
      <w:pPr>
        <w:pStyle w:val="FootnoteText"/>
        <w:spacing w:line="240" w:lineRule="auto"/>
        <w:ind w:left="108"/>
      </w:pPr>
      <w:r>
        <w:rPr>
          <w:rStyle w:val="FootnoteReference"/>
        </w:rPr>
        <w:footnoteRef/>
      </w:r>
      <w:r w:rsidRPr="00F352E4">
        <w:rPr>
          <w:rStyle w:val="FootnoteReference"/>
        </w:rPr>
        <w:t xml:space="preserve"> </w:t>
      </w:r>
      <w:r w:rsidRPr="00F352E4">
        <w:t>Bloom, N. &amp; Van Reenen, J</w:t>
      </w:r>
      <w:r>
        <w:t>. (</w:t>
      </w:r>
      <w:r w:rsidRPr="00F352E4">
        <w:t>2006</w:t>
      </w:r>
      <w:r>
        <w:t>)</w:t>
      </w:r>
      <w:r w:rsidRPr="00F352E4">
        <w:t xml:space="preserve"> Measuring and Explaining Management Practices Across Firms and Countries</w:t>
      </w:r>
    </w:p>
  </w:footnote>
  <w:footnote w:id="35">
    <w:p w14:paraId="670CA003" w14:textId="77777777" w:rsidR="00A72A61" w:rsidRDefault="00A72A61" w:rsidP="00E05E0E">
      <w:pPr>
        <w:pStyle w:val="FootnoteText"/>
        <w:spacing w:line="240" w:lineRule="auto"/>
        <w:ind w:left="108"/>
      </w:pPr>
      <w:r>
        <w:rPr>
          <w:rStyle w:val="FootnoteReference"/>
        </w:rPr>
        <w:footnoteRef/>
      </w:r>
      <w:r w:rsidRPr="00F352E4">
        <w:rPr>
          <w:rStyle w:val="FootnoteReference"/>
        </w:rPr>
        <w:t xml:space="preserve"> </w:t>
      </w:r>
      <w:r>
        <w:t xml:space="preserve">Further analysis needs to be undertaken to understand the causal relationship between management capability and labour productivity. </w:t>
      </w:r>
    </w:p>
  </w:footnote>
  <w:footnote w:id="36">
    <w:p w14:paraId="26E3AC2C" w14:textId="77777777" w:rsidR="00A72A61" w:rsidRDefault="00A72A61" w:rsidP="00AE4E15">
      <w:pPr>
        <w:pStyle w:val="FootnoteText"/>
        <w:spacing w:line="240" w:lineRule="auto"/>
        <w:ind w:left="108"/>
      </w:pPr>
      <w:r>
        <w:rPr>
          <w:rStyle w:val="FootnoteReference"/>
        </w:rPr>
        <w:footnoteRef/>
      </w:r>
      <w:r w:rsidRPr="002A4DCE">
        <w:rPr>
          <w:rStyle w:val="FootnoteReference"/>
        </w:rPr>
        <w:t xml:space="preserve"> </w:t>
      </w:r>
      <w:r w:rsidRPr="002A4DCE">
        <w:t>Arasa , R. &amp; K'Obonyo, P</w:t>
      </w:r>
      <w:r>
        <w:t>. (</w:t>
      </w:r>
      <w:r w:rsidRPr="002A4DCE">
        <w:t>2012</w:t>
      </w:r>
      <w:r>
        <w:t>)</w:t>
      </w:r>
      <w:r w:rsidRPr="002A4DCE">
        <w:t xml:space="preserve"> The Relationship between Strategic Planning and Firm Performance. International Journal of Humanities and Science, 2(12), pp. 201-213.</w:t>
      </w:r>
    </w:p>
  </w:footnote>
  <w:footnote w:id="37">
    <w:p w14:paraId="68F305B0" w14:textId="77777777" w:rsidR="00A72A61" w:rsidRDefault="00A72A61" w:rsidP="00AE4E15">
      <w:pPr>
        <w:pStyle w:val="FootnoteText"/>
        <w:spacing w:line="240" w:lineRule="auto"/>
        <w:ind w:left="108"/>
      </w:pPr>
      <w:r>
        <w:rPr>
          <w:rStyle w:val="FootnoteReference"/>
        </w:rPr>
        <w:footnoteRef/>
      </w:r>
      <w:r w:rsidRPr="00340580">
        <w:rPr>
          <w:rStyle w:val="FootnoteReference"/>
        </w:rPr>
        <w:t xml:space="preserve"> </w:t>
      </w:r>
      <w:r>
        <w:t>Rates of innovation reported are higher than typically population estimates because these figures are derived from the BLADE datasets for which population weights are not available.</w:t>
      </w:r>
    </w:p>
  </w:footnote>
  <w:footnote w:id="38">
    <w:p w14:paraId="4208583C" w14:textId="60A29AB2" w:rsidR="00A72A61" w:rsidRDefault="00A72A61" w:rsidP="00B9070F">
      <w:pPr>
        <w:pStyle w:val="FootnoteText"/>
        <w:spacing w:line="240" w:lineRule="auto"/>
        <w:ind w:left="142" w:hanging="142"/>
        <w:jc w:val="left"/>
      </w:pPr>
      <w:r>
        <w:rPr>
          <w:rStyle w:val="FootnoteReference"/>
        </w:rPr>
        <w:footnoteRef/>
      </w:r>
      <w:r w:rsidRPr="002A4DCE">
        <w:rPr>
          <w:rStyle w:val="FootnoteReference"/>
        </w:rPr>
        <w:t xml:space="preserve"> </w:t>
      </w:r>
      <w:r w:rsidRPr="002A4DCE">
        <w:t>Hsu, C. C., Tan, K. C. &amp; Kannan, V.</w:t>
      </w:r>
      <w:r>
        <w:t>(</w:t>
      </w:r>
      <w:r w:rsidRPr="002A4DCE">
        <w:t>2009</w:t>
      </w:r>
      <w:r>
        <w:t>)</w:t>
      </w:r>
      <w:r w:rsidRPr="002A4DCE">
        <w:t xml:space="preserve"> Supply chain management practices as a mediator </w:t>
      </w:r>
      <w:r>
        <w:t xml:space="preserve"> </w:t>
      </w:r>
      <w:r w:rsidRPr="002A4DCE">
        <w:t>of the relationship between operations capability and firm performance. International Journal of Production Research, 47(3), pp. 835-855.</w:t>
      </w:r>
    </w:p>
  </w:footnote>
  <w:footnote w:id="39">
    <w:p w14:paraId="72910720" w14:textId="77777777" w:rsidR="00A72A61" w:rsidRDefault="00A72A61" w:rsidP="00AE4E15">
      <w:pPr>
        <w:pStyle w:val="FootnoteText"/>
        <w:spacing w:line="240" w:lineRule="auto"/>
        <w:ind w:left="108"/>
      </w:pPr>
      <w:r>
        <w:rPr>
          <w:rStyle w:val="FootnoteReference"/>
        </w:rPr>
        <w:footnoteRef/>
      </w:r>
      <w:r w:rsidRPr="00366BFE">
        <w:rPr>
          <w:rStyle w:val="FootnoteReference"/>
        </w:rPr>
        <w:t xml:space="preserve"> </w:t>
      </w:r>
      <w:r w:rsidRPr="00CE229A">
        <w:t>Bloom</w:t>
      </w:r>
      <w:r>
        <w:t xml:space="preserve"> N.</w:t>
      </w:r>
      <w:r w:rsidRPr="00CE229A">
        <w:t xml:space="preserve"> &amp; Brynjolfsson E</w:t>
      </w:r>
      <w:r>
        <w:t>.,</w:t>
      </w:r>
      <w:r w:rsidRPr="00CE229A">
        <w:t xml:space="preserve"> Foster</w:t>
      </w:r>
      <w:r>
        <w:t xml:space="preserve"> </w:t>
      </w:r>
      <w:r w:rsidRPr="00CE229A">
        <w:t>L</w:t>
      </w:r>
      <w:r>
        <w:t>.,</w:t>
      </w:r>
      <w:r w:rsidRPr="00CE229A">
        <w:t xml:space="preserve"> </w:t>
      </w:r>
      <w:r>
        <w:t>J</w:t>
      </w:r>
      <w:r w:rsidRPr="00CE229A">
        <w:t>armin</w:t>
      </w:r>
      <w:r>
        <w:t xml:space="preserve"> </w:t>
      </w:r>
      <w:r w:rsidRPr="00CE229A">
        <w:t>R</w:t>
      </w:r>
      <w:r>
        <w:t>,</w:t>
      </w:r>
      <w:r w:rsidRPr="00CE229A">
        <w:t xml:space="preserve"> Patnaik</w:t>
      </w:r>
      <w:r>
        <w:t xml:space="preserve"> </w:t>
      </w:r>
      <w:r w:rsidRPr="00CE229A">
        <w:t>M</w:t>
      </w:r>
      <w:r>
        <w:t xml:space="preserve">, </w:t>
      </w:r>
      <w:r w:rsidRPr="00CE229A">
        <w:t xml:space="preserve">Saporta-Eksten I &amp; </w:t>
      </w:r>
      <w:r>
        <w:t>Van Reenen</w:t>
      </w:r>
      <w:r w:rsidRPr="00CE229A">
        <w:t xml:space="preserve"> J</w:t>
      </w:r>
      <w:r>
        <w:t>.</w:t>
      </w:r>
      <w:r w:rsidRPr="00CE229A">
        <w:t xml:space="preserve"> </w:t>
      </w:r>
      <w:r>
        <w:t>(</w:t>
      </w:r>
      <w:r w:rsidRPr="00CE229A">
        <w:t>2017</w:t>
      </w:r>
      <w:r>
        <w:t>)</w:t>
      </w:r>
      <w:r w:rsidRPr="00CE229A">
        <w:t xml:space="preserve"> "What Drives Differences in Management?," CEP Discussion Papers dp1470, Centre for Economic Performance, LSE.</w:t>
      </w:r>
    </w:p>
  </w:footnote>
  <w:footnote w:id="40">
    <w:p w14:paraId="7E7FC0B4" w14:textId="77777777" w:rsidR="00A72A61" w:rsidRDefault="00A72A61" w:rsidP="00F11BF9">
      <w:pPr>
        <w:pStyle w:val="FootnoteText"/>
        <w:spacing w:line="240" w:lineRule="auto"/>
        <w:ind w:left="142" w:hanging="142"/>
      </w:pPr>
      <w:r>
        <w:rPr>
          <w:rStyle w:val="FootnoteReference"/>
        </w:rPr>
        <w:footnoteRef/>
      </w:r>
      <w:r>
        <w:t xml:space="preserve"> </w:t>
      </w:r>
      <w:r w:rsidRPr="00D56DA3">
        <w:rPr>
          <w:rFonts w:asciiTheme="majorHAnsi" w:hAnsiTheme="majorHAnsi" w:cstheme="majorHAnsi"/>
          <w:szCs w:val="16"/>
        </w:rPr>
        <w:t>Agarwal, R. &amp; Green, R. (2011) “</w:t>
      </w:r>
      <w:r w:rsidRPr="00D56DA3">
        <w:rPr>
          <w:rFonts w:asciiTheme="majorHAnsi" w:hAnsiTheme="majorHAnsi" w:cstheme="majorHAnsi"/>
          <w:i/>
          <w:szCs w:val="16"/>
        </w:rPr>
        <w:t>The role of education and skills in Australian management practice and productivity</w:t>
      </w:r>
      <w:r w:rsidRPr="00D56DA3">
        <w:rPr>
          <w:rFonts w:asciiTheme="majorHAnsi" w:hAnsiTheme="majorHAnsi" w:cstheme="majorHAnsi"/>
          <w:szCs w:val="16"/>
        </w:rPr>
        <w:t>” published in the NCVER innovation book of readings titled “Fostering enterprise: the innovation and skills nexus – research readings”; ISBN: web edition – 978 1 921809 83 5, Print edition – 978 1 921809 84 2, June 2011; pp 79-102</w:t>
      </w:r>
    </w:p>
  </w:footnote>
  <w:footnote w:id="41">
    <w:p w14:paraId="0610C489" w14:textId="67B8B044" w:rsidR="00A72A61" w:rsidRDefault="00A72A61" w:rsidP="00F11BF9">
      <w:pPr>
        <w:pStyle w:val="FootnoteText"/>
        <w:spacing w:line="240" w:lineRule="auto"/>
        <w:ind w:left="142" w:hanging="142"/>
      </w:pPr>
      <w:r>
        <w:rPr>
          <w:rStyle w:val="FootnoteReference"/>
        </w:rPr>
        <w:footnoteRef/>
      </w:r>
      <w:r>
        <w:t xml:space="preserve"> </w:t>
      </w:r>
      <w:r w:rsidRPr="009B6538">
        <w:t>Agarwal, R., Brown, P. J., Green, R., Randhawa, K. and Tan, H</w:t>
      </w:r>
      <w:r>
        <w:t>. (</w:t>
      </w:r>
      <w:r w:rsidRPr="009B6538">
        <w:t>2014</w:t>
      </w:r>
      <w:r>
        <w:t>)</w:t>
      </w:r>
      <w:r w:rsidRPr="009B6538">
        <w:t xml:space="preserve"> Management Practices of Australian manufacturing firms: Why are some firms more innovative?, International Journal of Production Research, 52 (21), pp. 6496-6517</w:t>
      </w:r>
    </w:p>
  </w:footnote>
  <w:footnote w:id="42">
    <w:p w14:paraId="44662028" w14:textId="65BB3502" w:rsidR="00A72A61" w:rsidRDefault="00A72A61" w:rsidP="00366BFE">
      <w:pPr>
        <w:pStyle w:val="FootnoteText"/>
        <w:ind w:left="108"/>
      </w:pPr>
      <w:r>
        <w:rPr>
          <w:rStyle w:val="FootnoteReference"/>
        </w:rPr>
        <w:footnoteRef/>
      </w:r>
      <w:r w:rsidRPr="00366BFE">
        <w:rPr>
          <w:rStyle w:val="FootnoteReference"/>
        </w:rPr>
        <w:t xml:space="preserve"> </w:t>
      </w:r>
      <w:r w:rsidRPr="00CC5892">
        <w:t>Bloom</w:t>
      </w:r>
      <w:r>
        <w:t xml:space="preserve"> N.,</w:t>
      </w:r>
      <w:r w:rsidRPr="00CC5892">
        <w:t xml:space="preserve"> Sadun </w:t>
      </w:r>
      <w:r>
        <w:t xml:space="preserve">R. </w:t>
      </w:r>
      <w:r w:rsidRPr="00CC5892">
        <w:t>&amp; John Van Reenen</w:t>
      </w:r>
      <w:r>
        <w:t xml:space="preserve"> J., 2016. </w:t>
      </w:r>
      <w:r w:rsidRPr="00CC5892">
        <w:t>Management as a Technology? NBER Working Papers 22327, National Bureau of Economic Research, Inc.</w:t>
      </w:r>
    </w:p>
  </w:footnote>
  <w:footnote w:id="43">
    <w:p w14:paraId="4FA49D45" w14:textId="1A8F4120" w:rsidR="00A72A61" w:rsidRDefault="00A72A61" w:rsidP="005063C6">
      <w:pPr>
        <w:pStyle w:val="FootnoteText"/>
        <w:spacing w:line="240" w:lineRule="auto"/>
        <w:ind w:left="108"/>
      </w:pPr>
      <w:r>
        <w:rPr>
          <w:rStyle w:val="FootnoteReference"/>
        </w:rPr>
        <w:footnoteRef/>
      </w:r>
      <w:r>
        <w:t xml:space="preserve"> </w:t>
      </w:r>
      <w:r w:rsidRPr="009B6538">
        <w:t>Agarwal, R., Brown, P. J., Green, R., Randhawa, K. and Tan, H</w:t>
      </w:r>
      <w:r>
        <w:t>. (</w:t>
      </w:r>
      <w:r w:rsidRPr="009B6538">
        <w:t>2014</w:t>
      </w:r>
      <w:r>
        <w:t>)</w:t>
      </w:r>
      <w:r w:rsidRPr="009B6538">
        <w:t xml:space="preserve"> Management Practices of Australian manufacturing firms: Why are some firms more innovative</w:t>
      </w:r>
      <w:r>
        <w:t>?</w:t>
      </w:r>
      <w:r w:rsidRPr="009B6538">
        <w:t xml:space="preserve"> International Journal of Production Research, 52 (21), pp. 6496</w:t>
      </w:r>
      <w:r>
        <w:t>–</w:t>
      </w:r>
      <w:r w:rsidRPr="009B6538">
        <w:t>6517.</w:t>
      </w:r>
    </w:p>
  </w:footnote>
  <w:footnote w:id="44">
    <w:p w14:paraId="231A3065" w14:textId="53A2D827" w:rsidR="00A72A61" w:rsidRDefault="00A72A61" w:rsidP="003C2E57">
      <w:pPr>
        <w:pStyle w:val="FootnoteText"/>
        <w:ind w:left="108"/>
      </w:pPr>
      <w:r>
        <w:rPr>
          <w:rStyle w:val="FootnoteReference"/>
        </w:rPr>
        <w:footnoteRef/>
      </w:r>
      <w:r w:rsidRPr="00CE229A">
        <w:t>Bloom</w:t>
      </w:r>
      <w:r>
        <w:t xml:space="preserve"> N.</w:t>
      </w:r>
      <w:r w:rsidRPr="00CE229A">
        <w:t xml:space="preserve"> &amp; Brynjolfsson E</w:t>
      </w:r>
      <w:r>
        <w:t>.,</w:t>
      </w:r>
      <w:r w:rsidRPr="00CE229A">
        <w:t xml:space="preserve"> Foster</w:t>
      </w:r>
      <w:r>
        <w:t xml:space="preserve"> </w:t>
      </w:r>
      <w:r w:rsidRPr="00CE229A">
        <w:t>L</w:t>
      </w:r>
      <w:r>
        <w:t>.,</w:t>
      </w:r>
      <w:r w:rsidRPr="00CE229A">
        <w:t xml:space="preserve"> </w:t>
      </w:r>
      <w:r>
        <w:t>J</w:t>
      </w:r>
      <w:r w:rsidRPr="00CE229A">
        <w:t>armin</w:t>
      </w:r>
      <w:r>
        <w:t xml:space="preserve"> </w:t>
      </w:r>
      <w:r w:rsidRPr="00CE229A">
        <w:t>R</w:t>
      </w:r>
      <w:r>
        <w:t>,</w:t>
      </w:r>
      <w:r w:rsidRPr="00CE229A">
        <w:t xml:space="preserve"> Patnaik</w:t>
      </w:r>
      <w:r>
        <w:t xml:space="preserve"> </w:t>
      </w:r>
      <w:r w:rsidRPr="00CE229A">
        <w:t>M</w:t>
      </w:r>
      <w:r>
        <w:t xml:space="preserve">, </w:t>
      </w:r>
      <w:r w:rsidRPr="00CE229A">
        <w:t xml:space="preserve">Saporta-Eksten I &amp; </w:t>
      </w:r>
      <w:r>
        <w:t>Van Reenen</w:t>
      </w:r>
      <w:r w:rsidRPr="00CE229A">
        <w:t xml:space="preserve"> J</w:t>
      </w:r>
      <w:r>
        <w:t>.</w:t>
      </w:r>
      <w:r w:rsidRPr="00CE229A">
        <w:t xml:space="preserve"> </w:t>
      </w:r>
      <w:r>
        <w:t>(</w:t>
      </w:r>
      <w:r w:rsidRPr="00CE229A">
        <w:t>2017</w:t>
      </w:r>
      <w:r>
        <w:t>)</w:t>
      </w:r>
      <w:r w:rsidRPr="00CE229A">
        <w:t xml:space="preserve"> "What Drives Differences in Management?," CEP Discussion Papers dp1470, Centre for Economic Performance, LSE.</w:t>
      </w:r>
    </w:p>
  </w:footnote>
  <w:footnote w:id="45">
    <w:p w14:paraId="7EFF3CF8" w14:textId="4F6E05FB" w:rsidR="00A72A61" w:rsidRDefault="00A72A61" w:rsidP="004E3651">
      <w:pPr>
        <w:pStyle w:val="FootnoteText"/>
        <w:spacing w:line="240" w:lineRule="auto"/>
        <w:ind w:left="108"/>
      </w:pPr>
      <w:r>
        <w:rPr>
          <w:rStyle w:val="FootnoteReference"/>
        </w:rPr>
        <w:footnoteRef/>
      </w:r>
      <w:r>
        <w:t xml:space="preserve"> </w:t>
      </w:r>
      <w:r w:rsidRPr="009B6538">
        <w:t>Agarwal, R., Brown, P. J., Green, R., Randhawa, K. and Tan, H</w:t>
      </w:r>
      <w:r>
        <w:t>. (</w:t>
      </w:r>
      <w:r w:rsidRPr="009B6538">
        <w:t>2014</w:t>
      </w:r>
      <w:r>
        <w:t>)</w:t>
      </w:r>
      <w:r w:rsidRPr="009B6538">
        <w:t xml:space="preserve"> Management Practices of Australian manufacturing firms: Why are some firms more innovative?, International Journal of Production Research, 52 (21), pp. 6496</w:t>
      </w:r>
      <w:r>
        <w:t>–</w:t>
      </w:r>
      <w:r w:rsidRPr="009B6538">
        <w:t>6517.</w:t>
      </w:r>
    </w:p>
  </w:footnote>
  <w:footnote w:id="46">
    <w:p w14:paraId="20D2F3AD" w14:textId="77777777" w:rsidR="00A72A61" w:rsidRPr="009155A0" w:rsidRDefault="00A72A61" w:rsidP="004E3651">
      <w:pPr>
        <w:pStyle w:val="FootnoteText"/>
        <w:spacing w:line="240" w:lineRule="auto"/>
        <w:ind w:left="108"/>
      </w:pPr>
      <w:r>
        <w:rPr>
          <w:rStyle w:val="FootnoteReference"/>
        </w:rPr>
        <w:footnoteRef/>
      </w:r>
      <w:r>
        <w:t xml:space="preserve"> </w:t>
      </w:r>
      <w:r w:rsidRPr="009155A0">
        <w:t>Agarwal, R., Green, R., Brown, P. J., Tan, H. and Randhawa, K., 2013, Determinants of quality management practices: An empirical study of New Zealand manufacturing firms, International Journal of Production Economics, 142 (1) March, pp. 130-145.</w:t>
      </w:r>
    </w:p>
  </w:footnote>
  <w:footnote w:id="47">
    <w:p w14:paraId="398CDB2D" w14:textId="77777777" w:rsidR="00A72A61" w:rsidRDefault="00A72A61" w:rsidP="00366BFE">
      <w:pPr>
        <w:pStyle w:val="FootnoteText"/>
        <w:ind w:left="108"/>
      </w:pPr>
      <w:r>
        <w:rPr>
          <w:rStyle w:val="FootnoteReference"/>
        </w:rPr>
        <w:footnoteRef/>
      </w:r>
      <w:r w:rsidRPr="00366BFE">
        <w:rPr>
          <w:rStyle w:val="FootnoteReference"/>
        </w:rPr>
        <w:t xml:space="preserve"> </w:t>
      </w:r>
      <w:r w:rsidRPr="00421A3B">
        <w:t>This may contribute the inconsistencies between our findings and those of Bloom et al.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48259A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43C788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323B38"/>
    <w:multiLevelType w:val="multilevel"/>
    <w:tmpl w:val="D5BAF582"/>
    <w:styleLink w:val="OCE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lvlText w:val="Appendix %6"/>
      <w:lvlJc w:val="left"/>
      <w:pPr>
        <w:ind w:left="2381" w:hanging="2381"/>
      </w:pPr>
      <w:rPr>
        <w:rFonts w:hint="default"/>
      </w:rPr>
    </w:lvl>
    <w:lvl w:ilvl="6">
      <w:start w:val="1"/>
      <w:numFmt w:val="decimal"/>
      <w:lvlText w:val="%6.%7"/>
      <w:lvlJc w:val="left"/>
      <w:pPr>
        <w:ind w:left="709" w:hanging="709"/>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7A3A93"/>
    <w:multiLevelType w:val="multilevel"/>
    <w:tmpl w:val="7D22E52C"/>
    <w:numStyleLink w:val="OCEBulletedList"/>
  </w:abstractNum>
  <w:abstractNum w:abstractNumId="4" w15:restartNumberingAfterBreak="0">
    <w:nsid w:val="05B7681B"/>
    <w:multiLevelType w:val="multilevel"/>
    <w:tmpl w:val="A3F6872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4F788D"/>
    <w:multiLevelType w:val="hybridMultilevel"/>
    <w:tmpl w:val="2256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F6185"/>
    <w:multiLevelType w:val="hybridMultilevel"/>
    <w:tmpl w:val="138E88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8A0124"/>
    <w:multiLevelType w:val="hybridMultilevel"/>
    <w:tmpl w:val="B41C2540"/>
    <w:lvl w:ilvl="0" w:tplc="C9369E48">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8933F4"/>
    <w:multiLevelType w:val="multilevel"/>
    <w:tmpl w:val="7D22E52C"/>
    <w:numStyleLink w:val="OCEBulletedList"/>
  </w:abstractNum>
  <w:abstractNum w:abstractNumId="9" w15:restartNumberingAfterBreak="0">
    <w:nsid w:val="159A6EC1"/>
    <w:multiLevelType w:val="multilevel"/>
    <w:tmpl w:val="3BFA39A6"/>
    <w:numStyleLink w:val="OCENumberedList"/>
  </w:abstractNum>
  <w:abstractNum w:abstractNumId="10"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11"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12"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13" w15:restartNumberingAfterBreak="0">
    <w:nsid w:val="1A32179C"/>
    <w:multiLevelType w:val="hybridMultilevel"/>
    <w:tmpl w:val="CD96A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572D9B"/>
    <w:multiLevelType w:val="multilevel"/>
    <w:tmpl w:val="2FAC326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none"/>
      <w:suff w:val="nothing"/>
      <w:lvlText w:val=""/>
      <w:lvlJc w:val="left"/>
      <w:pPr>
        <w:ind w:left="0" w:firstLine="0"/>
      </w:pPr>
      <w:rPr>
        <w:rFonts w:hint="default"/>
      </w:rPr>
    </w:lvl>
    <w:lvl w:ilvl="3">
      <w:start w:val="1"/>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9."/>
      <w:lvlJc w:val="left"/>
      <w:pPr>
        <w:ind w:left="-32767" w:firstLine="0"/>
      </w:pPr>
      <w:rPr>
        <w:rFonts w:hint="default"/>
      </w:rPr>
    </w:lvl>
  </w:abstractNum>
  <w:abstractNum w:abstractNumId="15" w15:restartNumberingAfterBreak="0">
    <w:nsid w:val="202F719D"/>
    <w:multiLevelType w:val="hybridMultilevel"/>
    <w:tmpl w:val="B52A7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0F05F4"/>
    <w:multiLevelType w:val="hybridMultilevel"/>
    <w:tmpl w:val="09929F4E"/>
    <w:lvl w:ilvl="0" w:tplc="AF225E1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620F8B"/>
    <w:multiLevelType w:val="hybridMultilevel"/>
    <w:tmpl w:val="0D92FD0C"/>
    <w:lvl w:ilvl="0" w:tplc="0C090005">
      <w:start w:val="1"/>
      <w:numFmt w:val="bullet"/>
      <w:lvlText w:val=""/>
      <w:lvlJc w:val="left"/>
      <w:pPr>
        <w:ind w:left="1089" w:hanging="360"/>
      </w:pPr>
      <w:rPr>
        <w:rFonts w:ascii="Wingdings" w:hAnsi="Wingdings" w:hint="default"/>
      </w:rPr>
    </w:lvl>
    <w:lvl w:ilvl="1" w:tplc="0C090003" w:tentative="1">
      <w:start w:val="1"/>
      <w:numFmt w:val="bullet"/>
      <w:lvlText w:val="o"/>
      <w:lvlJc w:val="left"/>
      <w:pPr>
        <w:ind w:left="1809" w:hanging="360"/>
      </w:pPr>
      <w:rPr>
        <w:rFonts w:ascii="Courier New" w:hAnsi="Courier New" w:cs="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cs="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cs="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18" w15:restartNumberingAfterBreak="0">
    <w:nsid w:val="27686BD4"/>
    <w:multiLevelType w:val="hybridMultilevel"/>
    <w:tmpl w:val="7EF4C74E"/>
    <w:lvl w:ilvl="0" w:tplc="94A2897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670433"/>
    <w:multiLevelType w:val="hybridMultilevel"/>
    <w:tmpl w:val="5D0287D2"/>
    <w:lvl w:ilvl="0" w:tplc="101C5160">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655CCD"/>
    <w:multiLevelType w:val="hybridMultilevel"/>
    <w:tmpl w:val="C07C0FD8"/>
    <w:lvl w:ilvl="0" w:tplc="390865B4">
      <w:start w:val="1"/>
      <w:numFmt w:val="lowerLetter"/>
      <w:lvlText w:val="(%1)"/>
      <w:lvlJc w:val="left"/>
      <w:pPr>
        <w:ind w:left="720" w:hanging="360"/>
      </w:pPr>
      <w:rPr>
        <w:rFonts w:hint="default"/>
        <w:b/>
        <w:color w:val="005CA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43D5378"/>
    <w:multiLevelType w:val="multilevel"/>
    <w:tmpl w:val="7D22E52C"/>
    <w:numStyleLink w:val="OCEBulletedList"/>
  </w:abstractNum>
  <w:abstractNum w:abstractNumId="22" w15:restartNumberingAfterBreak="0">
    <w:nsid w:val="36017958"/>
    <w:multiLevelType w:val="hybridMultilevel"/>
    <w:tmpl w:val="CCB6E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B2484E"/>
    <w:multiLevelType w:val="hybridMultilevel"/>
    <w:tmpl w:val="76C00B88"/>
    <w:lvl w:ilvl="0" w:tplc="579A12B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25" w15:restartNumberingAfterBreak="0">
    <w:nsid w:val="41081EF3"/>
    <w:multiLevelType w:val="hybridMultilevel"/>
    <w:tmpl w:val="939E9BB0"/>
    <w:lvl w:ilvl="0" w:tplc="8E8E5CE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3C507C"/>
    <w:multiLevelType w:val="multilevel"/>
    <w:tmpl w:val="7D22E52C"/>
    <w:numStyleLink w:val="OCEBulletedList"/>
  </w:abstractNum>
  <w:abstractNum w:abstractNumId="27" w15:restartNumberingAfterBreak="0">
    <w:nsid w:val="427C52AC"/>
    <w:multiLevelType w:val="hybridMultilevel"/>
    <w:tmpl w:val="DDFA706A"/>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927"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28" w15:restartNumberingAfterBreak="0">
    <w:nsid w:val="48C91A6A"/>
    <w:multiLevelType w:val="hybridMultilevel"/>
    <w:tmpl w:val="E66E9758"/>
    <w:lvl w:ilvl="0" w:tplc="9C90DEC8">
      <w:start w:val="1"/>
      <w:numFmt w:val="lowerLetter"/>
      <w:lvlText w:val="(%1)"/>
      <w:lvlJc w:val="left"/>
      <w:pPr>
        <w:ind w:left="720" w:hanging="360"/>
      </w:pPr>
      <w:rPr>
        <w:rFonts w:hint="default"/>
        <w:color w:val="005CA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B7D3C03"/>
    <w:multiLevelType w:val="hybridMultilevel"/>
    <w:tmpl w:val="3A5E9112"/>
    <w:lvl w:ilvl="0" w:tplc="F3C8C40C">
      <w:start w:val="1"/>
      <w:numFmt w:val="lowerLetter"/>
      <w:lvlText w:val="(%1)"/>
      <w:lvlJc w:val="left"/>
      <w:pPr>
        <w:ind w:left="720" w:hanging="360"/>
      </w:pPr>
      <w:rPr>
        <w:rFonts w:hint="default"/>
        <w:b/>
        <w:color w:val="005CA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94390E"/>
    <w:multiLevelType w:val="multilevel"/>
    <w:tmpl w:val="7D22E52C"/>
    <w:styleLink w:val="OCEBulletedList"/>
    <w:lvl w:ilvl="0">
      <w:start w:val="1"/>
      <w:numFmt w:val="bullet"/>
      <w:lvlText w:val=""/>
      <w:lvlJc w:val="left"/>
      <w:pPr>
        <w:ind w:left="340" w:hanging="340"/>
      </w:pPr>
      <w:rPr>
        <w:rFonts w:ascii="Wingdings" w:hAnsi="Wingdings" w:hint="default"/>
        <w:color w:val="005CAF"/>
      </w:rPr>
    </w:lvl>
    <w:lvl w:ilvl="1">
      <w:start w:val="1"/>
      <w:numFmt w:val="bullet"/>
      <w:lvlText w:val=""/>
      <w:lvlJc w:val="left"/>
      <w:pPr>
        <w:ind w:left="1050" w:hanging="340"/>
      </w:pPr>
      <w:rPr>
        <w:rFonts w:ascii="Wingdings" w:hAnsi="Wingdings" w:hint="default"/>
        <w:b w:val="0"/>
        <w:i w:val="0"/>
        <w:color w:val="005CAF"/>
        <w:w w:val="100"/>
        <w:position w:val="0"/>
        <w:sz w:val="20"/>
        <w:vertAlign w:val="baseline"/>
      </w:rPr>
    </w:lvl>
    <w:lvl w:ilvl="2">
      <w:start w:val="1"/>
      <w:numFmt w:val="bullet"/>
      <w:lvlText w:val="-"/>
      <w:lvlJc w:val="left"/>
      <w:pPr>
        <w:ind w:left="964" w:hanging="255"/>
      </w:pPr>
      <w:rPr>
        <w:rFonts w:ascii="Courier New" w:hAnsi="Courier New" w:hint="default"/>
        <w:color w:val="005CAF"/>
      </w:rPr>
    </w:lvl>
    <w:lvl w:ilvl="3">
      <w:start w:val="1"/>
      <w:numFmt w:val="none"/>
      <w:suff w:val="nothing"/>
      <w:lvlText w:val=""/>
      <w:lvlJc w:val="left"/>
      <w:pPr>
        <w:ind w:left="1134"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4BD55F3C"/>
    <w:multiLevelType w:val="hybridMultilevel"/>
    <w:tmpl w:val="7098F86C"/>
    <w:lvl w:ilvl="0" w:tplc="5F3CE0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C2E3B74"/>
    <w:multiLevelType w:val="hybridMultilevel"/>
    <w:tmpl w:val="1B42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866E0B"/>
    <w:multiLevelType w:val="hybridMultilevel"/>
    <w:tmpl w:val="FA4A70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30D508C"/>
    <w:multiLevelType w:val="hybridMultilevel"/>
    <w:tmpl w:val="5D642F26"/>
    <w:lvl w:ilvl="0" w:tplc="0FC09D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813CDC"/>
    <w:multiLevelType w:val="multilevel"/>
    <w:tmpl w:val="D5BAF582"/>
    <w:numStyleLink w:val="OCEHeadings"/>
  </w:abstractNum>
  <w:abstractNum w:abstractNumId="36" w15:restartNumberingAfterBreak="0">
    <w:nsid w:val="54FF0B5A"/>
    <w:multiLevelType w:val="hybridMultilevel"/>
    <w:tmpl w:val="21924A28"/>
    <w:lvl w:ilvl="0" w:tplc="3CB0A34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7AC73F3"/>
    <w:multiLevelType w:val="hybridMultilevel"/>
    <w:tmpl w:val="BE8C8DD6"/>
    <w:lvl w:ilvl="0" w:tplc="0C090005">
      <w:start w:val="1"/>
      <w:numFmt w:val="bullet"/>
      <w:lvlText w:val=""/>
      <w:lvlJc w:val="left"/>
      <w:pPr>
        <w:ind w:left="776" w:hanging="360"/>
      </w:pPr>
      <w:rPr>
        <w:rFonts w:ascii="Wingdings" w:hAnsi="Wingding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8" w15:restartNumberingAfterBreak="0">
    <w:nsid w:val="69925004"/>
    <w:multiLevelType w:val="multilevel"/>
    <w:tmpl w:val="7D22E52C"/>
    <w:numStyleLink w:val="OCEBulletedList"/>
  </w:abstractNum>
  <w:abstractNum w:abstractNumId="39" w15:restartNumberingAfterBreak="0">
    <w:nsid w:val="70A244F6"/>
    <w:multiLevelType w:val="hybridMultilevel"/>
    <w:tmpl w:val="BF54B1D4"/>
    <w:lvl w:ilvl="0" w:tplc="CC36C02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5C274A"/>
    <w:multiLevelType w:val="multilevel"/>
    <w:tmpl w:val="7D22E52C"/>
    <w:numStyleLink w:val="OCEBulletedList"/>
  </w:abstractNum>
  <w:abstractNum w:abstractNumId="41" w15:restartNumberingAfterBreak="0">
    <w:nsid w:val="768D4473"/>
    <w:multiLevelType w:val="multilevel"/>
    <w:tmpl w:val="7D22E52C"/>
    <w:numStyleLink w:val="OCEBulletedList"/>
  </w:abstractNum>
  <w:abstractNum w:abstractNumId="42" w15:restartNumberingAfterBreak="0">
    <w:nsid w:val="7752665D"/>
    <w:multiLevelType w:val="hybridMultilevel"/>
    <w:tmpl w:val="9CD070CE"/>
    <w:lvl w:ilvl="0" w:tplc="CC36C02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AF61C4"/>
    <w:multiLevelType w:val="multilevel"/>
    <w:tmpl w:val="7D22E52C"/>
    <w:numStyleLink w:val="OCEBulletedList"/>
  </w:abstractNum>
  <w:abstractNum w:abstractNumId="44"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44"/>
  </w:num>
  <w:num w:numId="3">
    <w:abstractNumId w:val="2"/>
  </w:num>
  <w:num w:numId="4">
    <w:abstractNumId w:val="30"/>
  </w:num>
  <w:num w:numId="5">
    <w:abstractNumId w:val="12"/>
  </w:num>
  <w:num w:numId="6">
    <w:abstractNumId w:val="11"/>
  </w:num>
  <w:num w:numId="7">
    <w:abstractNumId w:val="27"/>
  </w:num>
  <w:num w:numId="8">
    <w:abstractNumId w:val="10"/>
  </w:num>
  <w:num w:numId="9">
    <w:abstractNumId w:val="35"/>
    <w:lvlOverride w:ilvl="0">
      <w:lvl w:ilvl="0">
        <w:start w:val="1"/>
        <w:numFmt w:val="decimal"/>
        <w:lvlText w:val="%1."/>
        <w:lvlJc w:val="left"/>
        <w:pPr>
          <w:ind w:left="709" w:hanging="709"/>
        </w:pPr>
        <w:rPr>
          <w:rFonts w:hint="default"/>
        </w:rPr>
      </w:lvl>
    </w:lvlOverride>
  </w:num>
  <w:num w:numId="10">
    <w:abstractNumId w:val="35"/>
  </w:num>
  <w:num w:numId="11">
    <w:abstractNumId w:val="9"/>
  </w:num>
  <w:num w:numId="12">
    <w:abstractNumId w:val="10"/>
  </w:num>
  <w:num w:numId="13">
    <w:abstractNumId w:val="35"/>
  </w:num>
  <w:num w:numId="14">
    <w:abstractNumId w:val="17"/>
  </w:num>
  <w:num w:numId="15">
    <w:abstractNumId w:val="31"/>
  </w:num>
  <w:num w:numId="16">
    <w:abstractNumId w:val="25"/>
  </w:num>
  <w:num w:numId="17">
    <w:abstractNumId w:val="40"/>
  </w:num>
  <w:num w:numId="18">
    <w:abstractNumId w:val="14"/>
  </w:num>
  <w:num w:numId="19">
    <w:abstractNumId w:val="4"/>
  </w:num>
  <w:num w:numId="20">
    <w:abstractNumId w:val="38"/>
  </w:num>
  <w:num w:numId="21">
    <w:abstractNumId w:val="3"/>
  </w:num>
  <w:num w:numId="22">
    <w:abstractNumId w:val="26"/>
  </w:num>
  <w:num w:numId="23">
    <w:abstractNumId w:val="21"/>
  </w:num>
  <w:num w:numId="24">
    <w:abstractNumId w:val="41"/>
  </w:num>
  <w:num w:numId="25">
    <w:abstractNumId w:val="43"/>
  </w:num>
  <w:num w:numId="26">
    <w:abstractNumId w:val="8"/>
  </w:num>
  <w:num w:numId="27">
    <w:abstractNumId w:val="23"/>
  </w:num>
  <w:num w:numId="28">
    <w:abstractNumId w:val="19"/>
  </w:num>
  <w:num w:numId="29">
    <w:abstractNumId w:val="7"/>
  </w:num>
  <w:num w:numId="30">
    <w:abstractNumId w:val="1"/>
  </w:num>
  <w:num w:numId="31">
    <w:abstractNumId w:val="15"/>
  </w:num>
  <w:num w:numId="32">
    <w:abstractNumId w:val="13"/>
  </w:num>
  <w:num w:numId="33">
    <w:abstractNumId w:val="22"/>
  </w:num>
  <w:num w:numId="34">
    <w:abstractNumId w:val="33"/>
  </w:num>
  <w:num w:numId="35">
    <w:abstractNumId w:val="0"/>
  </w:num>
  <w:num w:numId="36">
    <w:abstractNumId w:val="32"/>
  </w:num>
  <w:num w:numId="37">
    <w:abstractNumId w:val="42"/>
  </w:num>
  <w:num w:numId="38">
    <w:abstractNumId w:val="39"/>
  </w:num>
  <w:num w:numId="39">
    <w:abstractNumId w:val="27"/>
  </w:num>
  <w:num w:numId="40">
    <w:abstractNumId w:val="27"/>
  </w:num>
  <w:num w:numId="41">
    <w:abstractNumId w:val="29"/>
  </w:num>
  <w:num w:numId="42">
    <w:abstractNumId w:val="36"/>
  </w:num>
  <w:num w:numId="43">
    <w:abstractNumId w:val="16"/>
  </w:num>
  <w:num w:numId="44">
    <w:abstractNumId w:val="37"/>
  </w:num>
  <w:num w:numId="45">
    <w:abstractNumId w:val="34"/>
  </w:num>
  <w:num w:numId="46">
    <w:abstractNumId w:val="18"/>
  </w:num>
  <w:num w:numId="47">
    <w:abstractNumId w:val="6"/>
  </w:num>
  <w:num w:numId="48">
    <w:abstractNumId w:val="28"/>
  </w:num>
  <w:num w:numId="49">
    <w:abstractNumId w:val="20"/>
  </w:num>
  <w:num w:numId="50">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6"/>
    <w:rsid w:val="0000007D"/>
    <w:rsid w:val="00000A47"/>
    <w:rsid w:val="000018FD"/>
    <w:rsid w:val="00002F55"/>
    <w:rsid w:val="000036F1"/>
    <w:rsid w:val="00003B81"/>
    <w:rsid w:val="000041A5"/>
    <w:rsid w:val="00004365"/>
    <w:rsid w:val="00004BF6"/>
    <w:rsid w:val="00004C01"/>
    <w:rsid w:val="0000511C"/>
    <w:rsid w:val="00007EBB"/>
    <w:rsid w:val="00010903"/>
    <w:rsid w:val="0001154F"/>
    <w:rsid w:val="0001161C"/>
    <w:rsid w:val="00011BE7"/>
    <w:rsid w:val="000120C0"/>
    <w:rsid w:val="000122D8"/>
    <w:rsid w:val="00012B65"/>
    <w:rsid w:val="00013F4A"/>
    <w:rsid w:val="00013F80"/>
    <w:rsid w:val="00014388"/>
    <w:rsid w:val="000156B4"/>
    <w:rsid w:val="000156BD"/>
    <w:rsid w:val="00017BB5"/>
    <w:rsid w:val="00021E6F"/>
    <w:rsid w:val="0002247A"/>
    <w:rsid w:val="000238B9"/>
    <w:rsid w:val="00024504"/>
    <w:rsid w:val="00024C04"/>
    <w:rsid w:val="0002596D"/>
    <w:rsid w:val="0002648C"/>
    <w:rsid w:val="0002764E"/>
    <w:rsid w:val="00030E4B"/>
    <w:rsid w:val="00033A8B"/>
    <w:rsid w:val="00035325"/>
    <w:rsid w:val="000376C7"/>
    <w:rsid w:val="00037815"/>
    <w:rsid w:val="00037B42"/>
    <w:rsid w:val="0004002A"/>
    <w:rsid w:val="00041FE3"/>
    <w:rsid w:val="000429D0"/>
    <w:rsid w:val="00043051"/>
    <w:rsid w:val="00043BA7"/>
    <w:rsid w:val="000455E8"/>
    <w:rsid w:val="00047373"/>
    <w:rsid w:val="0004748D"/>
    <w:rsid w:val="000515BB"/>
    <w:rsid w:val="00051E39"/>
    <w:rsid w:val="00052AC0"/>
    <w:rsid w:val="00056AA5"/>
    <w:rsid w:val="0005753A"/>
    <w:rsid w:val="0005798D"/>
    <w:rsid w:val="00057EFA"/>
    <w:rsid w:val="00060184"/>
    <w:rsid w:val="00060761"/>
    <w:rsid w:val="0006088D"/>
    <w:rsid w:val="00060CE1"/>
    <w:rsid w:val="000614AF"/>
    <w:rsid w:val="000614F1"/>
    <w:rsid w:val="000618FB"/>
    <w:rsid w:val="0006352B"/>
    <w:rsid w:val="000641E0"/>
    <w:rsid w:val="0006492D"/>
    <w:rsid w:val="00064CCA"/>
    <w:rsid w:val="00067812"/>
    <w:rsid w:val="00070749"/>
    <w:rsid w:val="00070C82"/>
    <w:rsid w:val="0007137D"/>
    <w:rsid w:val="000728D2"/>
    <w:rsid w:val="00075C97"/>
    <w:rsid w:val="00076E42"/>
    <w:rsid w:val="00080BFD"/>
    <w:rsid w:val="00081048"/>
    <w:rsid w:val="000811A3"/>
    <w:rsid w:val="0008270C"/>
    <w:rsid w:val="00082BF4"/>
    <w:rsid w:val="00082EC2"/>
    <w:rsid w:val="00083C38"/>
    <w:rsid w:val="0008606E"/>
    <w:rsid w:val="00086868"/>
    <w:rsid w:val="00090174"/>
    <w:rsid w:val="000904D3"/>
    <w:rsid w:val="000920D2"/>
    <w:rsid w:val="00094782"/>
    <w:rsid w:val="00095F44"/>
    <w:rsid w:val="000960CB"/>
    <w:rsid w:val="00096482"/>
    <w:rsid w:val="0009665D"/>
    <w:rsid w:val="000A011E"/>
    <w:rsid w:val="000A0741"/>
    <w:rsid w:val="000A1037"/>
    <w:rsid w:val="000A29BA"/>
    <w:rsid w:val="000A3D7F"/>
    <w:rsid w:val="000A3F10"/>
    <w:rsid w:val="000A4E45"/>
    <w:rsid w:val="000A5452"/>
    <w:rsid w:val="000A5CFF"/>
    <w:rsid w:val="000A6370"/>
    <w:rsid w:val="000A63C0"/>
    <w:rsid w:val="000A6E1A"/>
    <w:rsid w:val="000A6F5B"/>
    <w:rsid w:val="000B279E"/>
    <w:rsid w:val="000B2C1B"/>
    <w:rsid w:val="000B2DFC"/>
    <w:rsid w:val="000B31AF"/>
    <w:rsid w:val="000B3A9A"/>
    <w:rsid w:val="000B55DE"/>
    <w:rsid w:val="000B5813"/>
    <w:rsid w:val="000B5BC7"/>
    <w:rsid w:val="000B70B9"/>
    <w:rsid w:val="000B7AEB"/>
    <w:rsid w:val="000B7F7A"/>
    <w:rsid w:val="000C03CF"/>
    <w:rsid w:val="000C0DD7"/>
    <w:rsid w:val="000C19CB"/>
    <w:rsid w:val="000C271A"/>
    <w:rsid w:val="000C2A89"/>
    <w:rsid w:val="000C5C3C"/>
    <w:rsid w:val="000C649B"/>
    <w:rsid w:val="000C68B2"/>
    <w:rsid w:val="000C6AD6"/>
    <w:rsid w:val="000C7397"/>
    <w:rsid w:val="000D05AD"/>
    <w:rsid w:val="000D33DA"/>
    <w:rsid w:val="000D39F3"/>
    <w:rsid w:val="000D5123"/>
    <w:rsid w:val="000E284E"/>
    <w:rsid w:val="000E2B5B"/>
    <w:rsid w:val="000E415F"/>
    <w:rsid w:val="000E5727"/>
    <w:rsid w:val="000F0460"/>
    <w:rsid w:val="000F0E5C"/>
    <w:rsid w:val="000F250B"/>
    <w:rsid w:val="000F35B4"/>
    <w:rsid w:val="000F3F3F"/>
    <w:rsid w:val="000F61DF"/>
    <w:rsid w:val="000F69EF"/>
    <w:rsid w:val="000F7EA0"/>
    <w:rsid w:val="00100516"/>
    <w:rsid w:val="00100B74"/>
    <w:rsid w:val="00101A29"/>
    <w:rsid w:val="00104236"/>
    <w:rsid w:val="00105D0F"/>
    <w:rsid w:val="00105E4E"/>
    <w:rsid w:val="00106040"/>
    <w:rsid w:val="00107A3F"/>
    <w:rsid w:val="00107ADD"/>
    <w:rsid w:val="00110570"/>
    <w:rsid w:val="00112208"/>
    <w:rsid w:val="00113C4E"/>
    <w:rsid w:val="00114BB1"/>
    <w:rsid w:val="00116241"/>
    <w:rsid w:val="0011640A"/>
    <w:rsid w:val="00116E58"/>
    <w:rsid w:val="00117319"/>
    <w:rsid w:val="00120299"/>
    <w:rsid w:val="0012045F"/>
    <w:rsid w:val="00120C40"/>
    <w:rsid w:val="00120E94"/>
    <w:rsid w:val="001243D4"/>
    <w:rsid w:val="001246EC"/>
    <w:rsid w:val="0012593E"/>
    <w:rsid w:val="00125971"/>
    <w:rsid w:val="00126249"/>
    <w:rsid w:val="00126752"/>
    <w:rsid w:val="001269D0"/>
    <w:rsid w:val="00127C1E"/>
    <w:rsid w:val="0013066A"/>
    <w:rsid w:val="00132756"/>
    <w:rsid w:val="00134B28"/>
    <w:rsid w:val="00135E19"/>
    <w:rsid w:val="00142375"/>
    <w:rsid w:val="00146B5B"/>
    <w:rsid w:val="0015000D"/>
    <w:rsid w:val="001517A1"/>
    <w:rsid w:val="0015302A"/>
    <w:rsid w:val="001541A9"/>
    <w:rsid w:val="00155D06"/>
    <w:rsid w:val="001566F4"/>
    <w:rsid w:val="00156B5B"/>
    <w:rsid w:val="00157917"/>
    <w:rsid w:val="0016161D"/>
    <w:rsid w:val="00163D6E"/>
    <w:rsid w:val="001648FC"/>
    <w:rsid w:val="001658D2"/>
    <w:rsid w:val="00165C0D"/>
    <w:rsid w:val="00166576"/>
    <w:rsid w:val="00166996"/>
    <w:rsid w:val="00167253"/>
    <w:rsid w:val="00170354"/>
    <w:rsid w:val="001705A5"/>
    <w:rsid w:val="00170AAD"/>
    <w:rsid w:val="001714DA"/>
    <w:rsid w:val="00171948"/>
    <w:rsid w:val="001722FE"/>
    <w:rsid w:val="0017293E"/>
    <w:rsid w:val="001732B4"/>
    <w:rsid w:val="00174624"/>
    <w:rsid w:val="0017468E"/>
    <w:rsid w:val="00180994"/>
    <w:rsid w:val="00180E4F"/>
    <w:rsid w:val="00182B15"/>
    <w:rsid w:val="0018561F"/>
    <w:rsid w:val="001862AC"/>
    <w:rsid w:val="00186D3D"/>
    <w:rsid w:val="001872CA"/>
    <w:rsid w:val="001900EE"/>
    <w:rsid w:val="00190406"/>
    <w:rsid w:val="0019168F"/>
    <w:rsid w:val="00192BF6"/>
    <w:rsid w:val="00193BAC"/>
    <w:rsid w:val="00195C83"/>
    <w:rsid w:val="00197668"/>
    <w:rsid w:val="00197D8A"/>
    <w:rsid w:val="00197DA2"/>
    <w:rsid w:val="001A00B0"/>
    <w:rsid w:val="001A07CF"/>
    <w:rsid w:val="001A10E8"/>
    <w:rsid w:val="001A138E"/>
    <w:rsid w:val="001A1515"/>
    <w:rsid w:val="001A1B07"/>
    <w:rsid w:val="001A302D"/>
    <w:rsid w:val="001A322A"/>
    <w:rsid w:val="001A3451"/>
    <w:rsid w:val="001A47BF"/>
    <w:rsid w:val="001A48B2"/>
    <w:rsid w:val="001A4E10"/>
    <w:rsid w:val="001A5943"/>
    <w:rsid w:val="001A6352"/>
    <w:rsid w:val="001B032F"/>
    <w:rsid w:val="001B04BC"/>
    <w:rsid w:val="001B1862"/>
    <w:rsid w:val="001B2C4F"/>
    <w:rsid w:val="001B345E"/>
    <w:rsid w:val="001B37AA"/>
    <w:rsid w:val="001B3F96"/>
    <w:rsid w:val="001B54B9"/>
    <w:rsid w:val="001B59BB"/>
    <w:rsid w:val="001B6316"/>
    <w:rsid w:val="001B6554"/>
    <w:rsid w:val="001B7BA3"/>
    <w:rsid w:val="001C125D"/>
    <w:rsid w:val="001C2E72"/>
    <w:rsid w:val="001C3D0B"/>
    <w:rsid w:val="001C4622"/>
    <w:rsid w:val="001C4733"/>
    <w:rsid w:val="001C4FFC"/>
    <w:rsid w:val="001C5291"/>
    <w:rsid w:val="001C5F60"/>
    <w:rsid w:val="001C7CDD"/>
    <w:rsid w:val="001D07A5"/>
    <w:rsid w:val="001D0D12"/>
    <w:rsid w:val="001D1B60"/>
    <w:rsid w:val="001D204F"/>
    <w:rsid w:val="001D2784"/>
    <w:rsid w:val="001D2E2D"/>
    <w:rsid w:val="001D4374"/>
    <w:rsid w:val="001D564D"/>
    <w:rsid w:val="001E0986"/>
    <w:rsid w:val="001E1096"/>
    <w:rsid w:val="001E2136"/>
    <w:rsid w:val="001E2E1F"/>
    <w:rsid w:val="001E3962"/>
    <w:rsid w:val="001E3A83"/>
    <w:rsid w:val="001E4942"/>
    <w:rsid w:val="001E535D"/>
    <w:rsid w:val="001E5AB6"/>
    <w:rsid w:val="001E7444"/>
    <w:rsid w:val="001F0CA3"/>
    <w:rsid w:val="001F0D9C"/>
    <w:rsid w:val="001F16BB"/>
    <w:rsid w:val="001F1E5D"/>
    <w:rsid w:val="001F551B"/>
    <w:rsid w:val="001F5BC1"/>
    <w:rsid w:val="001F5F85"/>
    <w:rsid w:val="001F61C6"/>
    <w:rsid w:val="001F6FAB"/>
    <w:rsid w:val="001F7477"/>
    <w:rsid w:val="001F74CA"/>
    <w:rsid w:val="00200B77"/>
    <w:rsid w:val="00201765"/>
    <w:rsid w:val="002029E0"/>
    <w:rsid w:val="00202A92"/>
    <w:rsid w:val="00206BB0"/>
    <w:rsid w:val="002076C8"/>
    <w:rsid w:val="00207D37"/>
    <w:rsid w:val="00207ED1"/>
    <w:rsid w:val="00213463"/>
    <w:rsid w:val="00214241"/>
    <w:rsid w:val="0021627B"/>
    <w:rsid w:val="00222AA7"/>
    <w:rsid w:val="00222E6D"/>
    <w:rsid w:val="00223539"/>
    <w:rsid w:val="0022373F"/>
    <w:rsid w:val="0022378D"/>
    <w:rsid w:val="00224A6C"/>
    <w:rsid w:val="00225842"/>
    <w:rsid w:val="00231EB0"/>
    <w:rsid w:val="00232A47"/>
    <w:rsid w:val="002336F3"/>
    <w:rsid w:val="002338BE"/>
    <w:rsid w:val="00234896"/>
    <w:rsid w:val="00234CEA"/>
    <w:rsid w:val="0023703D"/>
    <w:rsid w:val="002378C6"/>
    <w:rsid w:val="00237D68"/>
    <w:rsid w:val="002400CF"/>
    <w:rsid w:val="00244960"/>
    <w:rsid w:val="00244F01"/>
    <w:rsid w:val="002468C0"/>
    <w:rsid w:val="00246F21"/>
    <w:rsid w:val="00247B26"/>
    <w:rsid w:val="00251254"/>
    <w:rsid w:val="00252C28"/>
    <w:rsid w:val="00254588"/>
    <w:rsid w:val="00254AF1"/>
    <w:rsid w:val="00255773"/>
    <w:rsid w:val="00256BD3"/>
    <w:rsid w:val="00257D74"/>
    <w:rsid w:val="002630DD"/>
    <w:rsid w:val="00264E1B"/>
    <w:rsid w:val="0026535D"/>
    <w:rsid w:val="00265515"/>
    <w:rsid w:val="0026576F"/>
    <w:rsid w:val="00265A53"/>
    <w:rsid w:val="0026658D"/>
    <w:rsid w:val="00267507"/>
    <w:rsid w:val="002719FB"/>
    <w:rsid w:val="00272659"/>
    <w:rsid w:val="00272952"/>
    <w:rsid w:val="0027329F"/>
    <w:rsid w:val="00275235"/>
    <w:rsid w:val="002757A5"/>
    <w:rsid w:val="00275844"/>
    <w:rsid w:val="00280DDA"/>
    <w:rsid w:val="00280EB9"/>
    <w:rsid w:val="0028182F"/>
    <w:rsid w:val="002830F6"/>
    <w:rsid w:val="0028490D"/>
    <w:rsid w:val="00285A2F"/>
    <w:rsid w:val="002862F9"/>
    <w:rsid w:val="002866DE"/>
    <w:rsid w:val="00287509"/>
    <w:rsid w:val="002908A1"/>
    <w:rsid w:val="00292128"/>
    <w:rsid w:val="0029234D"/>
    <w:rsid w:val="00292AE8"/>
    <w:rsid w:val="002932E3"/>
    <w:rsid w:val="00294919"/>
    <w:rsid w:val="00294E4E"/>
    <w:rsid w:val="00296E28"/>
    <w:rsid w:val="002A04A3"/>
    <w:rsid w:val="002A0C29"/>
    <w:rsid w:val="002A1054"/>
    <w:rsid w:val="002A20A1"/>
    <w:rsid w:val="002A244E"/>
    <w:rsid w:val="002A33E7"/>
    <w:rsid w:val="002A4664"/>
    <w:rsid w:val="002A4DCE"/>
    <w:rsid w:val="002A6979"/>
    <w:rsid w:val="002A7F2D"/>
    <w:rsid w:val="002B1DD2"/>
    <w:rsid w:val="002B3220"/>
    <w:rsid w:val="002B3322"/>
    <w:rsid w:val="002B42EE"/>
    <w:rsid w:val="002B54D7"/>
    <w:rsid w:val="002B637A"/>
    <w:rsid w:val="002B63AB"/>
    <w:rsid w:val="002B7612"/>
    <w:rsid w:val="002B779D"/>
    <w:rsid w:val="002C062E"/>
    <w:rsid w:val="002C1206"/>
    <w:rsid w:val="002C328E"/>
    <w:rsid w:val="002C46C9"/>
    <w:rsid w:val="002C4B38"/>
    <w:rsid w:val="002C64B9"/>
    <w:rsid w:val="002C6E12"/>
    <w:rsid w:val="002C7B38"/>
    <w:rsid w:val="002D0127"/>
    <w:rsid w:val="002D322E"/>
    <w:rsid w:val="002D4188"/>
    <w:rsid w:val="002D4A84"/>
    <w:rsid w:val="002D4DC6"/>
    <w:rsid w:val="002D56BA"/>
    <w:rsid w:val="002D5C65"/>
    <w:rsid w:val="002D60F4"/>
    <w:rsid w:val="002D64CF"/>
    <w:rsid w:val="002D7DC4"/>
    <w:rsid w:val="002E2287"/>
    <w:rsid w:val="002E3270"/>
    <w:rsid w:val="002E43BD"/>
    <w:rsid w:val="002E56C3"/>
    <w:rsid w:val="002E57B1"/>
    <w:rsid w:val="002E59E7"/>
    <w:rsid w:val="002E66C2"/>
    <w:rsid w:val="002E74DD"/>
    <w:rsid w:val="002E75C8"/>
    <w:rsid w:val="002E7828"/>
    <w:rsid w:val="002F071C"/>
    <w:rsid w:val="002F0EEF"/>
    <w:rsid w:val="002F2208"/>
    <w:rsid w:val="002F25EE"/>
    <w:rsid w:val="002F487F"/>
    <w:rsid w:val="002F4E98"/>
    <w:rsid w:val="002F56EE"/>
    <w:rsid w:val="002F6C30"/>
    <w:rsid w:val="003006E9"/>
    <w:rsid w:val="00300738"/>
    <w:rsid w:val="00301D88"/>
    <w:rsid w:val="0030442F"/>
    <w:rsid w:val="00305420"/>
    <w:rsid w:val="003068AA"/>
    <w:rsid w:val="003076BF"/>
    <w:rsid w:val="00307AD6"/>
    <w:rsid w:val="00307C0C"/>
    <w:rsid w:val="00310075"/>
    <w:rsid w:val="003101C2"/>
    <w:rsid w:val="0031026E"/>
    <w:rsid w:val="00311A07"/>
    <w:rsid w:val="00311B71"/>
    <w:rsid w:val="003146F0"/>
    <w:rsid w:val="00315AE5"/>
    <w:rsid w:val="00315B65"/>
    <w:rsid w:val="00315C5C"/>
    <w:rsid w:val="003172DC"/>
    <w:rsid w:val="00320889"/>
    <w:rsid w:val="0032236E"/>
    <w:rsid w:val="003223EF"/>
    <w:rsid w:val="00322656"/>
    <w:rsid w:val="00322885"/>
    <w:rsid w:val="00326704"/>
    <w:rsid w:val="00326C47"/>
    <w:rsid w:val="00331699"/>
    <w:rsid w:val="003322B1"/>
    <w:rsid w:val="00332F27"/>
    <w:rsid w:val="00335EFE"/>
    <w:rsid w:val="00336DF4"/>
    <w:rsid w:val="00336ECE"/>
    <w:rsid w:val="00340580"/>
    <w:rsid w:val="00340E62"/>
    <w:rsid w:val="00341B2F"/>
    <w:rsid w:val="00342181"/>
    <w:rsid w:val="00343B2B"/>
    <w:rsid w:val="00345516"/>
    <w:rsid w:val="00345686"/>
    <w:rsid w:val="003460A1"/>
    <w:rsid w:val="00347A7F"/>
    <w:rsid w:val="00350C19"/>
    <w:rsid w:val="00352356"/>
    <w:rsid w:val="00352E4E"/>
    <w:rsid w:val="00354E7E"/>
    <w:rsid w:val="00354EA2"/>
    <w:rsid w:val="003578A6"/>
    <w:rsid w:val="003605DB"/>
    <w:rsid w:val="003641D9"/>
    <w:rsid w:val="0036472B"/>
    <w:rsid w:val="00364BAD"/>
    <w:rsid w:val="00365F56"/>
    <w:rsid w:val="00366739"/>
    <w:rsid w:val="00366BFE"/>
    <w:rsid w:val="0036707A"/>
    <w:rsid w:val="003671FC"/>
    <w:rsid w:val="003709A8"/>
    <w:rsid w:val="00370CD0"/>
    <w:rsid w:val="003712D9"/>
    <w:rsid w:val="00371F36"/>
    <w:rsid w:val="00374FDA"/>
    <w:rsid w:val="00375AEE"/>
    <w:rsid w:val="0037708E"/>
    <w:rsid w:val="0038179E"/>
    <w:rsid w:val="00382BE7"/>
    <w:rsid w:val="00382EB4"/>
    <w:rsid w:val="00383FBE"/>
    <w:rsid w:val="00384F61"/>
    <w:rsid w:val="00385BB6"/>
    <w:rsid w:val="00386DBA"/>
    <w:rsid w:val="00387724"/>
    <w:rsid w:val="00387F73"/>
    <w:rsid w:val="003905A9"/>
    <w:rsid w:val="00390EBB"/>
    <w:rsid w:val="0039346F"/>
    <w:rsid w:val="0039472B"/>
    <w:rsid w:val="00394BCA"/>
    <w:rsid w:val="003960C5"/>
    <w:rsid w:val="003963DA"/>
    <w:rsid w:val="003967EE"/>
    <w:rsid w:val="00396E87"/>
    <w:rsid w:val="003A0434"/>
    <w:rsid w:val="003A253A"/>
    <w:rsid w:val="003A33D9"/>
    <w:rsid w:val="003A564E"/>
    <w:rsid w:val="003A5A88"/>
    <w:rsid w:val="003A6D6D"/>
    <w:rsid w:val="003B12F3"/>
    <w:rsid w:val="003B141B"/>
    <w:rsid w:val="003B4704"/>
    <w:rsid w:val="003B479B"/>
    <w:rsid w:val="003B5EAF"/>
    <w:rsid w:val="003B6155"/>
    <w:rsid w:val="003B6F3C"/>
    <w:rsid w:val="003B7ABC"/>
    <w:rsid w:val="003B7C70"/>
    <w:rsid w:val="003C0FAA"/>
    <w:rsid w:val="003C2C78"/>
    <w:rsid w:val="003C2E57"/>
    <w:rsid w:val="003C5819"/>
    <w:rsid w:val="003C587D"/>
    <w:rsid w:val="003C7AB7"/>
    <w:rsid w:val="003D0E4F"/>
    <w:rsid w:val="003D1CCE"/>
    <w:rsid w:val="003D547B"/>
    <w:rsid w:val="003D61FB"/>
    <w:rsid w:val="003D7074"/>
    <w:rsid w:val="003E02FC"/>
    <w:rsid w:val="003E19D1"/>
    <w:rsid w:val="003E1B10"/>
    <w:rsid w:val="003E246C"/>
    <w:rsid w:val="003E32D9"/>
    <w:rsid w:val="003E36C8"/>
    <w:rsid w:val="003E50C4"/>
    <w:rsid w:val="003E7263"/>
    <w:rsid w:val="003E72DE"/>
    <w:rsid w:val="003E762E"/>
    <w:rsid w:val="003E7BBF"/>
    <w:rsid w:val="003F07CE"/>
    <w:rsid w:val="003F0ED6"/>
    <w:rsid w:val="003F1017"/>
    <w:rsid w:val="003F2E77"/>
    <w:rsid w:val="003F3567"/>
    <w:rsid w:val="003F3E38"/>
    <w:rsid w:val="003F48E5"/>
    <w:rsid w:val="003F5FAD"/>
    <w:rsid w:val="003F7E51"/>
    <w:rsid w:val="004011AB"/>
    <w:rsid w:val="00401FBA"/>
    <w:rsid w:val="00405651"/>
    <w:rsid w:val="0040587C"/>
    <w:rsid w:val="00406155"/>
    <w:rsid w:val="00406CDD"/>
    <w:rsid w:val="00407BFB"/>
    <w:rsid w:val="00410B42"/>
    <w:rsid w:val="00410D5D"/>
    <w:rsid w:val="00410FC3"/>
    <w:rsid w:val="00411861"/>
    <w:rsid w:val="0041256E"/>
    <w:rsid w:val="0041456A"/>
    <w:rsid w:val="00415F74"/>
    <w:rsid w:val="004203E6"/>
    <w:rsid w:val="004210DE"/>
    <w:rsid w:val="00421A3B"/>
    <w:rsid w:val="00423245"/>
    <w:rsid w:val="004253A5"/>
    <w:rsid w:val="00426883"/>
    <w:rsid w:val="00427A66"/>
    <w:rsid w:val="0043078B"/>
    <w:rsid w:val="00430947"/>
    <w:rsid w:val="00430E39"/>
    <w:rsid w:val="00431C6A"/>
    <w:rsid w:val="00432830"/>
    <w:rsid w:val="00432ABB"/>
    <w:rsid w:val="0043456D"/>
    <w:rsid w:val="00434C78"/>
    <w:rsid w:val="0043531C"/>
    <w:rsid w:val="004355CA"/>
    <w:rsid w:val="00435FDB"/>
    <w:rsid w:val="00436EED"/>
    <w:rsid w:val="00441C3B"/>
    <w:rsid w:val="004425E9"/>
    <w:rsid w:val="0044360D"/>
    <w:rsid w:val="004459B3"/>
    <w:rsid w:val="00445DE2"/>
    <w:rsid w:val="00446C1F"/>
    <w:rsid w:val="00447140"/>
    <w:rsid w:val="00447193"/>
    <w:rsid w:val="0044730A"/>
    <w:rsid w:val="00447972"/>
    <w:rsid w:val="00447B15"/>
    <w:rsid w:val="00450E95"/>
    <w:rsid w:val="00453B24"/>
    <w:rsid w:val="00453DB8"/>
    <w:rsid w:val="004552D4"/>
    <w:rsid w:val="004561DA"/>
    <w:rsid w:val="0045635D"/>
    <w:rsid w:val="00456546"/>
    <w:rsid w:val="004575D5"/>
    <w:rsid w:val="00457C6A"/>
    <w:rsid w:val="00457D05"/>
    <w:rsid w:val="004600EE"/>
    <w:rsid w:val="0046064F"/>
    <w:rsid w:val="0046406C"/>
    <w:rsid w:val="00464C8C"/>
    <w:rsid w:val="00464F71"/>
    <w:rsid w:val="0046504D"/>
    <w:rsid w:val="004658DA"/>
    <w:rsid w:val="00465C36"/>
    <w:rsid w:val="00466F13"/>
    <w:rsid w:val="00467043"/>
    <w:rsid w:val="00467B56"/>
    <w:rsid w:val="0047180F"/>
    <w:rsid w:val="00474C4B"/>
    <w:rsid w:val="0047513D"/>
    <w:rsid w:val="004753F7"/>
    <w:rsid w:val="0047563C"/>
    <w:rsid w:val="00476464"/>
    <w:rsid w:val="00476BBA"/>
    <w:rsid w:val="00477C01"/>
    <w:rsid w:val="0048023B"/>
    <w:rsid w:val="00480CAF"/>
    <w:rsid w:val="004812C0"/>
    <w:rsid w:val="004823F8"/>
    <w:rsid w:val="00483169"/>
    <w:rsid w:val="00483F96"/>
    <w:rsid w:val="00484581"/>
    <w:rsid w:val="0048705D"/>
    <w:rsid w:val="00487326"/>
    <w:rsid w:val="00487524"/>
    <w:rsid w:val="00492C19"/>
    <w:rsid w:val="0049310C"/>
    <w:rsid w:val="00493446"/>
    <w:rsid w:val="004939EA"/>
    <w:rsid w:val="004942C4"/>
    <w:rsid w:val="00495C1B"/>
    <w:rsid w:val="00496236"/>
    <w:rsid w:val="00496875"/>
    <w:rsid w:val="00496DA4"/>
    <w:rsid w:val="00496F5A"/>
    <w:rsid w:val="004A23AF"/>
    <w:rsid w:val="004A3270"/>
    <w:rsid w:val="004A32F3"/>
    <w:rsid w:val="004A386A"/>
    <w:rsid w:val="004A46E3"/>
    <w:rsid w:val="004A4C0B"/>
    <w:rsid w:val="004A5598"/>
    <w:rsid w:val="004A570F"/>
    <w:rsid w:val="004A6042"/>
    <w:rsid w:val="004A6EE4"/>
    <w:rsid w:val="004A752B"/>
    <w:rsid w:val="004A756B"/>
    <w:rsid w:val="004A7E99"/>
    <w:rsid w:val="004B0073"/>
    <w:rsid w:val="004B0207"/>
    <w:rsid w:val="004B0E4F"/>
    <w:rsid w:val="004B2C98"/>
    <w:rsid w:val="004B2FEA"/>
    <w:rsid w:val="004B3356"/>
    <w:rsid w:val="004B3DA9"/>
    <w:rsid w:val="004B4249"/>
    <w:rsid w:val="004B4D3A"/>
    <w:rsid w:val="004B4E62"/>
    <w:rsid w:val="004B520A"/>
    <w:rsid w:val="004B53E7"/>
    <w:rsid w:val="004B5D98"/>
    <w:rsid w:val="004B70E3"/>
    <w:rsid w:val="004B72EB"/>
    <w:rsid w:val="004B7AEA"/>
    <w:rsid w:val="004B7E8C"/>
    <w:rsid w:val="004C0193"/>
    <w:rsid w:val="004C154C"/>
    <w:rsid w:val="004C1602"/>
    <w:rsid w:val="004C1693"/>
    <w:rsid w:val="004C2892"/>
    <w:rsid w:val="004C301F"/>
    <w:rsid w:val="004C3A58"/>
    <w:rsid w:val="004C522E"/>
    <w:rsid w:val="004C7203"/>
    <w:rsid w:val="004C7814"/>
    <w:rsid w:val="004D4A0D"/>
    <w:rsid w:val="004D4C09"/>
    <w:rsid w:val="004E0B4D"/>
    <w:rsid w:val="004E0B7E"/>
    <w:rsid w:val="004E10F2"/>
    <w:rsid w:val="004E1CA5"/>
    <w:rsid w:val="004E2E6A"/>
    <w:rsid w:val="004E33DE"/>
    <w:rsid w:val="004E3651"/>
    <w:rsid w:val="004E3D67"/>
    <w:rsid w:val="004E5CA6"/>
    <w:rsid w:val="004E603A"/>
    <w:rsid w:val="004E744E"/>
    <w:rsid w:val="004F0343"/>
    <w:rsid w:val="004F0959"/>
    <w:rsid w:val="004F234B"/>
    <w:rsid w:val="004F3AB0"/>
    <w:rsid w:val="004F3F11"/>
    <w:rsid w:val="004F4952"/>
    <w:rsid w:val="004F4EE3"/>
    <w:rsid w:val="004F5699"/>
    <w:rsid w:val="004F6A5D"/>
    <w:rsid w:val="004F6E0D"/>
    <w:rsid w:val="004F7D5E"/>
    <w:rsid w:val="00501375"/>
    <w:rsid w:val="005013CF"/>
    <w:rsid w:val="00501A0C"/>
    <w:rsid w:val="005026C5"/>
    <w:rsid w:val="00502804"/>
    <w:rsid w:val="00502BBD"/>
    <w:rsid w:val="00503403"/>
    <w:rsid w:val="00503C02"/>
    <w:rsid w:val="00505701"/>
    <w:rsid w:val="005063C6"/>
    <w:rsid w:val="005067F6"/>
    <w:rsid w:val="00506884"/>
    <w:rsid w:val="00506EFA"/>
    <w:rsid w:val="0051017B"/>
    <w:rsid w:val="005102BA"/>
    <w:rsid w:val="0051079B"/>
    <w:rsid w:val="0051099B"/>
    <w:rsid w:val="00511756"/>
    <w:rsid w:val="005126DB"/>
    <w:rsid w:val="00512830"/>
    <w:rsid w:val="0051306E"/>
    <w:rsid w:val="00513F90"/>
    <w:rsid w:val="005141A1"/>
    <w:rsid w:val="005149AA"/>
    <w:rsid w:val="00516A09"/>
    <w:rsid w:val="00516D57"/>
    <w:rsid w:val="00521151"/>
    <w:rsid w:val="00522523"/>
    <w:rsid w:val="00522EBD"/>
    <w:rsid w:val="00523B54"/>
    <w:rsid w:val="00524D34"/>
    <w:rsid w:val="00525CAD"/>
    <w:rsid w:val="00527CD7"/>
    <w:rsid w:val="005305FB"/>
    <w:rsid w:val="00530869"/>
    <w:rsid w:val="00532498"/>
    <w:rsid w:val="005324B4"/>
    <w:rsid w:val="0053289C"/>
    <w:rsid w:val="00532A04"/>
    <w:rsid w:val="005332B4"/>
    <w:rsid w:val="005332CB"/>
    <w:rsid w:val="0054032F"/>
    <w:rsid w:val="00541AE1"/>
    <w:rsid w:val="0054265A"/>
    <w:rsid w:val="005453E2"/>
    <w:rsid w:val="00545E06"/>
    <w:rsid w:val="005470CA"/>
    <w:rsid w:val="0055060A"/>
    <w:rsid w:val="005509F0"/>
    <w:rsid w:val="00550C82"/>
    <w:rsid w:val="00554CCB"/>
    <w:rsid w:val="00556C76"/>
    <w:rsid w:val="00556CF7"/>
    <w:rsid w:val="005577F2"/>
    <w:rsid w:val="00560F5C"/>
    <w:rsid w:val="005616ED"/>
    <w:rsid w:val="00562489"/>
    <w:rsid w:val="005626B3"/>
    <w:rsid w:val="00562D00"/>
    <w:rsid w:val="00564CAB"/>
    <w:rsid w:val="00565722"/>
    <w:rsid w:val="005663F0"/>
    <w:rsid w:val="00566EE9"/>
    <w:rsid w:val="00570C8E"/>
    <w:rsid w:val="0057169D"/>
    <w:rsid w:val="00573F05"/>
    <w:rsid w:val="00574DF2"/>
    <w:rsid w:val="0057634F"/>
    <w:rsid w:val="00576504"/>
    <w:rsid w:val="00576B53"/>
    <w:rsid w:val="0058129C"/>
    <w:rsid w:val="005812F7"/>
    <w:rsid w:val="00581B20"/>
    <w:rsid w:val="00583E07"/>
    <w:rsid w:val="00584542"/>
    <w:rsid w:val="005855D4"/>
    <w:rsid w:val="00585BB3"/>
    <w:rsid w:val="005862E9"/>
    <w:rsid w:val="0058654F"/>
    <w:rsid w:val="00586AE4"/>
    <w:rsid w:val="00587701"/>
    <w:rsid w:val="005878B7"/>
    <w:rsid w:val="00587FC9"/>
    <w:rsid w:val="00591263"/>
    <w:rsid w:val="0059232D"/>
    <w:rsid w:val="005930D9"/>
    <w:rsid w:val="005950C0"/>
    <w:rsid w:val="00595265"/>
    <w:rsid w:val="0059645A"/>
    <w:rsid w:val="005971FA"/>
    <w:rsid w:val="00597463"/>
    <w:rsid w:val="00597DA7"/>
    <w:rsid w:val="00597E30"/>
    <w:rsid w:val="005A09DF"/>
    <w:rsid w:val="005A0B39"/>
    <w:rsid w:val="005A39A1"/>
    <w:rsid w:val="005A3A30"/>
    <w:rsid w:val="005A409E"/>
    <w:rsid w:val="005A65AA"/>
    <w:rsid w:val="005A6FF8"/>
    <w:rsid w:val="005B0506"/>
    <w:rsid w:val="005B0ECC"/>
    <w:rsid w:val="005B24C1"/>
    <w:rsid w:val="005B42EA"/>
    <w:rsid w:val="005B525D"/>
    <w:rsid w:val="005B5786"/>
    <w:rsid w:val="005B5914"/>
    <w:rsid w:val="005C1E7E"/>
    <w:rsid w:val="005C1F52"/>
    <w:rsid w:val="005C4185"/>
    <w:rsid w:val="005C4D29"/>
    <w:rsid w:val="005C4FE9"/>
    <w:rsid w:val="005C551B"/>
    <w:rsid w:val="005C5D37"/>
    <w:rsid w:val="005C68F0"/>
    <w:rsid w:val="005C6908"/>
    <w:rsid w:val="005C6FB9"/>
    <w:rsid w:val="005D067E"/>
    <w:rsid w:val="005D0BB0"/>
    <w:rsid w:val="005D0DE5"/>
    <w:rsid w:val="005D3502"/>
    <w:rsid w:val="005D50DD"/>
    <w:rsid w:val="005D7981"/>
    <w:rsid w:val="005E121F"/>
    <w:rsid w:val="005E5AE3"/>
    <w:rsid w:val="005E5FB3"/>
    <w:rsid w:val="005E61CA"/>
    <w:rsid w:val="005E6AC0"/>
    <w:rsid w:val="005E7981"/>
    <w:rsid w:val="005E7F39"/>
    <w:rsid w:val="005F2A57"/>
    <w:rsid w:val="005F338E"/>
    <w:rsid w:val="005F4627"/>
    <w:rsid w:val="005F5226"/>
    <w:rsid w:val="005F6D85"/>
    <w:rsid w:val="005F74B5"/>
    <w:rsid w:val="005F7EB4"/>
    <w:rsid w:val="00601986"/>
    <w:rsid w:val="00602928"/>
    <w:rsid w:val="00603F30"/>
    <w:rsid w:val="00604241"/>
    <w:rsid w:val="006043C0"/>
    <w:rsid w:val="00604EE1"/>
    <w:rsid w:val="00611312"/>
    <w:rsid w:val="0061140B"/>
    <w:rsid w:val="006128D9"/>
    <w:rsid w:val="00613607"/>
    <w:rsid w:val="00614714"/>
    <w:rsid w:val="006153E0"/>
    <w:rsid w:val="00615E39"/>
    <w:rsid w:val="006169F9"/>
    <w:rsid w:val="00616A03"/>
    <w:rsid w:val="0062058C"/>
    <w:rsid w:val="00620945"/>
    <w:rsid w:val="00620B21"/>
    <w:rsid w:val="00621A5C"/>
    <w:rsid w:val="006236A9"/>
    <w:rsid w:val="00624C61"/>
    <w:rsid w:val="00624D5B"/>
    <w:rsid w:val="006302FC"/>
    <w:rsid w:val="0063036B"/>
    <w:rsid w:val="00630925"/>
    <w:rsid w:val="00630EFB"/>
    <w:rsid w:val="006321E5"/>
    <w:rsid w:val="00632C94"/>
    <w:rsid w:val="00632D93"/>
    <w:rsid w:val="006346A5"/>
    <w:rsid w:val="00634AA5"/>
    <w:rsid w:val="00635987"/>
    <w:rsid w:val="0063683C"/>
    <w:rsid w:val="006370E6"/>
    <w:rsid w:val="00637D2F"/>
    <w:rsid w:val="00640B00"/>
    <w:rsid w:val="00641BBD"/>
    <w:rsid w:val="00644285"/>
    <w:rsid w:val="006446EF"/>
    <w:rsid w:val="00644D7A"/>
    <w:rsid w:val="00646834"/>
    <w:rsid w:val="00646C51"/>
    <w:rsid w:val="00646E0A"/>
    <w:rsid w:val="00646FAE"/>
    <w:rsid w:val="0065093E"/>
    <w:rsid w:val="0065213F"/>
    <w:rsid w:val="00652394"/>
    <w:rsid w:val="00652796"/>
    <w:rsid w:val="00652811"/>
    <w:rsid w:val="006547CE"/>
    <w:rsid w:val="00654E17"/>
    <w:rsid w:val="0065696F"/>
    <w:rsid w:val="00657C3D"/>
    <w:rsid w:val="0066111A"/>
    <w:rsid w:val="006614DE"/>
    <w:rsid w:val="00661997"/>
    <w:rsid w:val="00665664"/>
    <w:rsid w:val="00665B3D"/>
    <w:rsid w:val="006660F5"/>
    <w:rsid w:val="006703F6"/>
    <w:rsid w:val="00670810"/>
    <w:rsid w:val="00671491"/>
    <w:rsid w:val="00671B11"/>
    <w:rsid w:val="00671DBD"/>
    <w:rsid w:val="00672152"/>
    <w:rsid w:val="006721A2"/>
    <w:rsid w:val="00673EA9"/>
    <w:rsid w:val="00675206"/>
    <w:rsid w:val="00682CDE"/>
    <w:rsid w:val="006839E9"/>
    <w:rsid w:val="00684893"/>
    <w:rsid w:val="00684C5D"/>
    <w:rsid w:val="00685AC3"/>
    <w:rsid w:val="00685B67"/>
    <w:rsid w:val="00685F6E"/>
    <w:rsid w:val="00687DDB"/>
    <w:rsid w:val="006915ED"/>
    <w:rsid w:val="00692166"/>
    <w:rsid w:val="0069265D"/>
    <w:rsid w:val="00694906"/>
    <w:rsid w:val="00694AB7"/>
    <w:rsid w:val="006971CE"/>
    <w:rsid w:val="006A0030"/>
    <w:rsid w:val="006A08B0"/>
    <w:rsid w:val="006A12D8"/>
    <w:rsid w:val="006A1B28"/>
    <w:rsid w:val="006A3983"/>
    <w:rsid w:val="006A553E"/>
    <w:rsid w:val="006A6873"/>
    <w:rsid w:val="006B08AB"/>
    <w:rsid w:val="006B0B8F"/>
    <w:rsid w:val="006B1504"/>
    <w:rsid w:val="006B7962"/>
    <w:rsid w:val="006C0A8C"/>
    <w:rsid w:val="006C1528"/>
    <w:rsid w:val="006C295D"/>
    <w:rsid w:val="006C4F65"/>
    <w:rsid w:val="006C5B8B"/>
    <w:rsid w:val="006C5E1A"/>
    <w:rsid w:val="006C604E"/>
    <w:rsid w:val="006C63BC"/>
    <w:rsid w:val="006C6782"/>
    <w:rsid w:val="006C7EC1"/>
    <w:rsid w:val="006D3274"/>
    <w:rsid w:val="006D47CB"/>
    <w:rsid w:val="006D5617"/>
    <w:rsid w:val="006D622B"/>
    <w:rsid w:val="006D6C5F"/>
    <w:rsid w:val="006D7102"/>
    <w:rsid w:val="006D747F"/>
    <w:rsid w:val="006D7511"/>
    <w:rsid w:val="006D7B80"/>
    <w:rsid w:val="006E04A4"/>
    <w:rsid w:val="006E1824"/>
    <w:rsid w:val="006E4627"/>
    <w:rsid w:val="006E66F8"/>
    <w:rsid w:val="006E6C44"/>
    <w:rsid w:val="006E7FE0"/>
    <w:rsid w:val="006F1F8D"/>
    <w:rsid w:val="006F2117"/>
    <w:rsid w:val="006F2C54"/>
    <w:rsid w:val="006F398D"/>
    <w:rsid w:val="006F4153"/>
    <w:rsid w:val="006F685A"/>
    <w:rsid w:val="006F740F"/>
    <w:rsid w:val="007016A1"/>
    <w:rsid w:val="007028F9"/>
    <w:rsid w:val="00702F73"/>
    <w:rsid w:val="00703105"/>
    <w:rsid w:val="00703A18"/>
    <w:rsid w:val="00703A2B"/>
    <w:rsid w:val="00705D89"/>
    <w:rsid w:val="007074AF"/>
    <w:rsid w:val="00710227"/>
    <w:rsid w:val="007104E0"/>
    <w:rsid w:val="00712467"/>
    <w:rsid w:val="00712743"/>
    <w:rsid w:val="00712E54"/>
    <w:rsid w:val="00712F84"/>
    <w:rsid w:val="00714EE5"/>
    <w:rsid w:val="00715374"/>
    <w:rsid w:val="007160F4"/>
    <w:rsid w:val="00716894"/>
    <w:rsid w:val="0071736C"/>
    <w:rsid w:val="00717F5E"/>
    <w:rsid w:val="0072128F"/>
    <w:rsid w:val="00721739"/>
    <w:rsid w:val="007221AF"/>
    <w:rsid w:val="00722986"/>
    <w:rsid w:val="00722C04"/>
    <w:rsid w:val="00722E1B"/>
    <w:rsid w:val="007230BD"/>
    <w:rsid w:val="0072328B"/>
    <w:rsid w:val="007243DB"/>
    <w:rsid w:val="00727D3D"/>
    <w:rsid w:val="00730ADA"/>
    <w:rsid w:val="00731E8B"/>
    <w:rsid w:val="0073211A"/>
    <w:rsid w:val="00732BB5"/>
    <w:rsid w:val="0073384B"/>
    <w:rsid w:val="00733C78"/>
    <w:rsid w:val="0073459E"/>
    <w:rsid w:val="007352CB"/>
    <w:rsid w:val="007354DF"/>
    <w:rsid w:val="0073624F"/>
    <w:rsid w:val="00736D7F"/>
    <w:rsid w:val="00737D31"/>
    <w:rsid w:val="007402CE"/>
    <w:rsid w:val="00745256"/>
    <w:rsid w:val="00746272"/>
    <w:rsid w:val="00746291"/>
    <w:rsid w:val="00746DCC"/>
    <w:rsid w:val="00746F69"/>
    <w:rsid w:val="0074732B"/>
    <w:rsid w:val="00750800"/>
    <w:rsid w:val="00750B2F"/>
    <w:rsid w:val="00751128"/>
    <w:rsid w:val="00752049"/>
    <w:rsid w:val="007529B4"/>
    <w:rsid w:val="0075355B"/>
    <w:rsid w:val="00753FA2"/>
    <w:rsid w:val="00754819"/>
    <w:rsid w:val="007602FD"/>
    <w:rsid w:val="00760645"/>
    <w:rsid w:val="00762951"/>
    <w:rsid w:val="00763342"/>
    <w:rsid w:val="00765582"/>
    <w:rsid w:val="00765AEA"/>
    <w:rsid w:val="00765BAA"/>
    <w:rsid w:val="00766967"/>
    <w:rsid w:val="00766E58"/>
    <w:rsid w:val="00767248"/>
    <w:rsid w:val="007719E5"/>
    <w:rsid w:val="0077274E"/>
    <w:rsid w:val="00772EA8"/>
    <w:rsid w:val="0077427E"/>
    <w:rsid w:val="007765E4"/>
    <w:rsid w:val="00777CE0"/>
    <w:rsid w:val="007812AE"/>
    <w:rsid w:val="0078176F"/>
    <w:rsid w:val="00781EE7"/>
    <w:rsid w:val="0078250F"/>
    <w:rsid w:val="007828E0"/>
    <w:rsid w:val="00782FCB"/>
    <w:rsid w:val="00783933"/>
    <w:rsid w:val="0078522B"/>
    <w:rsid w:val="0079046B"/>
    <w:rsid w:val="00792884"/>
    <w:rsid w:val="00792D85"/>
    <w:rsid w:val="00793E63"/>
    <w:rsid w:val="0079400B"/>
    <w:rsid w:val="007948E7"/>
    <w:rsid w:val="00795CA9"/>
    <w:rsid w:val="00796467"/>
    <w:rsid w:val="007A59E6"/>
    <w:rsid w:val="007A6224"/>
    <w:rsid w:val="007A6BA0"/>
    <w:rsid w:val="007A7202"/>
    <w:rsid w:val="007A7D5A"/>
    <w:rsid w:val="007B00AF"/>
    <w:rsid w:val="007B0181"/>
    <w:rsid w:val="007B179A"/>
    <w:rsid w:val="007B2B95"/>
    <w:rsid w:val="007B315F"/>
    <w:rsid w:val="007B3737"/>
    <w:rsid w:val="007B3AAC"/>
    <w:rsid w:val="007B3C2F"/>
    <w:rsid w:val="007B5DF2"/>
    <w:rsid w:val="007B69C9"/>
    <w:rsid w:val="007B74ED"/>
    <w:rsid w:val="007C125F"/>
    <w:rsid w:val="007C361D"/>
    <w:rsid w:val="007C4047"/>
    <w:rsid w:val="007C4C8A"/>
    <w:rsid w:val="007C5B6E"/>
    <w:rsid w:val="007C654C"/>
    <w:rsid w:val="007C6F2D"/>
    <w:rsid w:val="007D5418"/>
    <w:rsid w:val="007D5E09"/>
    <w:rsid w:val="007D7031"/>
    <w:rsid w:val="007D7C0B"/>
    <w:rsid w:val="007D7D86"/>
    <w:rsid w:val="007E05FF"/>
    <w:rsid w:val="007E3DCC"/>
    <w:rsid w:val="007E4136"/>
    <w:rsid w:val="007E42AC"/>
    <w:rsid w:val="007E533F"/>
    <w:rsid w:val="007E6036"/>
    <w:rsid w:val="007E6320"/>
    <w:rsid w:val="007E6469"/>
    <w:rsid w:val="007F06F5"/>
    <w:rsid w:val="007F095D"/>
    <w:rsid w:val="007F13C4"/>
    <w:rsid w:val="007F194E"/>
    <w:rsid w:val="007F747E"/>
    <w:rsid w:val="007F75D3"/>
    <w:rsid w:val="008006BA"/>
    <w:rsid w:val="00801DC6"/>
    <w:rsid w:val="00802621"/>
    <w:rsid w:val="008038B6"/>
    <w:rsid w:val="008057E6"/>
    <w:rsid w:val="00806009"/>
    <w:rsid w:val="0080614A"/>
    <w:rsid w:val="00807D1F"/>
    <w:rsid w:val="00810F3D"/>
    <w:rsid w:val="00811008"/>
    <w:rsid w:val="00811315"/>
    <w:rsid w:val="008174F6"/>
    <w:rsid w:val="00817A6A"/>
    <w:rsid w:val="00820F49"/>
    <w:rsid w:val="008233B0"/>
    <w:rsid w:val="0082355B"/>
    <w:rsid w:val="00823C28"/>
    <w:rsid w:val="00823F43"/>
    <w:rsid w:val="008240FF"/>
    <w:rsid w:val="00824F64"/>
    <w:rsid w:val="0082578F"/>
    <w:rsid w:val="008263F6"/>
    <w:rsid w:val="008300A6"/>
    <w:rsid w:val="00832BCA"/>
    <w:rsid w:val="00832CAA"/>
    <w:rsid w:val="00832D9D"/>
    <w:rsid w:val="008338C6"/>
    <w:rsid w:val="00833FDD"/>
    <w:rsid w:val="008345FC"/>
    <w:rsid w:val="008355CF"/>
    <w:rsid w:val="00836B71"/>
    <w:rsid w:val="00836BF4"/>
    <w:rsid w:val="00847122"/>
    <w:rsid w:val="00847500"/>
    <w:rsid w:val="00847E2D"/>
    <w:rsid w:val="00850C5D"/>
    <w:rsid w:val="00850D58"/>
    <w:rsid w:val="00850F3E"/>
    <w:rsid w:val="008515B0"/>
    <w:rsid w:val="00851A3A"/>
    <w:rsid w:val="00852829"/>
    <w:rsid w:val="00855182"/>
    <w:rsid w:val="00857506"/>
    <w:rsid w:val="00860CF7"/>
    <w:rsid w:val="00861B19"/>
    <w:rsid w:val="008620BF"/>
    <w:rsid w:val="0086365A"/>
    <w:rsid w:val="0086611B"/>
    <w:rsid w:val="008710A4"/>
    <w:rsid w:val="0087267D"/>
    <w:rsid w:val="008729B5"/>
    <w:rsid w:val="008733DC"/>
    <w:rsid w:val="008735F6"/>
    <w:rsid w:val="00876BAA"/>
    <w:rsid w:val="00876D5C"/>
    <w:rsid w:val="008777C1"/>
    <w:rsid w:val="008777EF"/>
    <w:rsid w:val="00880D4C"/>
    <w:rsid w:val="00881C1C"/>
    <w:rsid w:val="0088317C"/>
    <w:rsid w:val="00884453"/>
    <w:rsid w:val="00885392"/>
    <w:rsid w:val="00885453"/>
    <w:rsid w:val="00885C5F"/>
    <w:rsid w:val="008866A2"/>
    <w:rsid w:val="00890F2D"/>
    <w:rsid w:val="00891510"/>
    <w:rsid w:val="008919B7"/>
    <w:rsid w:val="00891B0D"/>
    <w:rsid w:val="0089465B"/>
    <w:rsid w:val="00895006"/>
    <w:rsid w:val="00895030"/>
    <w:rsid w:val="00895BAE"/>
    <w:rsid w:val="008964E5"/>
    <w:rsid w:val="0089657F"/>
    <w:rsid w:val="00897C99"/>
    <w:rsid w:val="008A1F4D"/>
    <w:rsid w:val="008A25C6"/>
    <w:rsid w:val="008A2954"/>
    <w:rsid w:val="008A3D49"/>
    <w:rsid w:val="008A545D"/>
    <w:rsid w:val="008A6E25"/>
    <w:rsid w:val="008A782B"/>
    <w:rsid w:val="008A7FFD"/>
    <w:rsid w:val="008B07EF"/>
    <w:rsid w:val="008B0AB2"/>
    <w:rsid w:val="008B1123"/>
    <w:rsid w:val="008B3F8F"/>
    <w:rsid w:val="008B4103"/>
    <w:rsid w:val="008B4FA8"/>
    <w:rsid w:val="008B5EA3"/>
    <w:rsid w:val="008B6BC8"/>
    <w:rsid w:val="008C3484"/>
    <w:rsid w:val="008C3E24"/>
    <w:rsid w:val="008C6145"/>
    <w:rsid w:val="008C6930"/>
    <w:rsid w:val="008C6E23"/>
    <w:rsid w:val="008C6FCF"/>
    <w:rsid w:val="008C7439"/>
    <w:rsid w:val="008D0685"/>
    <w:rsid w:val="008D15E3"/>
    <w:rsid w:val="008D1F5D"/>
    <w:rsid w:val="008D2054"/>
    <w:rsid w:val="008D219A"/>
    <w:rsid w:val="008D2877"/>
    <w:rsid w:val="008D2E53"/>
    <w:rsid w:val="008D2F8B"/>
    <w:rsid w:val="008D33D8"/>
    <w:rsid w:val="008D4E56"/>
    <w:rsid w:val="008D5B59"/>
    <w:rsid w:val="008D7786"/>
    <w:rsid w:val="008D7FE8"/>
    <w:rsid w:val="008E1134"/>
    <w:rsid w:val="008E17EC"/>
    <w:rsid w:val="008E1D81"/>
    <w:rsid w:val="008E24EC"/>
    <w:rsid w:val="008E3578"/>
    <w:rsid w:val="008E4D04"/>
    <w:rsid w:val="008E5667"/>
    <w:rsid w:val="008E705D"/>
    <w:rsid w:val="008E74F5"/>
    <w:rsid w:val="008F03FE"/>
    <w:rsid w:val="008F0709"/>
    <w:rsid w:val="008F28CD"/>
    <w:rsid w:val="008F3372"/>
    <w:rsid w:val="008F357E"/>
    <w:rsid w:val="008F3EAE"/>
    <w:rsid w:val="008F4093"/>
    <w:rsid w:val="008F49A7"/>
    <w:rsid w:val="008F55F3"/>
    <w:rsid w:val="008F5AC4"/>
    <w:rsid w:val="008F5EDB"/>
    <w:rsid w:val="008F7373"/>
    <w:rsid w:val="009022AC"/>
    <w:rsid w:val="0090240E"/>
    <w:rsid w:val="00903774"/>
    <w:rsid w:val="00903E9B"/>
    <w:rsid w:val="009061B6"/>
    <w:rsid w:val="00907D9A"/>
    <w:rsid w:val="00910702"/>
    <w:rsid w:val="00912644"/>
    <w:rsid w:val="009134EA"/>
    <w:rsid w:val="00913D79"/>
    <w:rsid w:val="0091782F"/>
    <w:rsid w:val="00917C8D"/>
    <w:rsid w:val="00917F97"/>
    <w:rsid w:val="009200DF"/>
    <w:rsid w:val="00920FF0"/>
    <w:rsid w:val="00921365"/>
    <w:rsid w:val="00921942"/>
    <w:rsid w:val="00924203"/>
    <w:rsid w:val="0092504F"/>
    <w:rsid w:val="009255C6"/>
    <w:rsid w:val="0092649D"/>
    <w:rsid w:val="00927975"/>
    <w:rsid w:val="009301C2"/>
    <w:rsid w:val="0093309C"/>
    <w:rsid w:val="0093364D"/>
    <w:rsid w:val="0093411F"/>
    <w:rsid w:val="00934B14"/>
    <w:rsid w:val="00935433"/>
    <w:rsid w:val="009366BF"/>
    <w:rsid w:val="00936B96"/>
    <w:rsid w:val="00936F0E"/>
    <w:rsid w:val="00940A3B"/>
    <w:rsid w:val="009435B1"/>
    <w:rsid w:val="00944C03"/>
    <w:rsid w:val="00944CC1"/>
    <w:rsid w:val="00945E21"/>
    <w:rsid w:val="00947AD1"/>
    <w:rsid w:val="00951561"/>
    <w:rsid w:val="009532CF"/>
    <w:rsid w:val="00953FFE"/>
    <w:rsid w:val="009547E5"/>
    <w:rsid w:val="00960F04"/>
    <w:rsid w:val="009635EF"/>
    <w:rsid w:val="00965FB1"/>
    <w:rsid w:val="00965FF7"/>
    <w:rsid w:val="00967BA8"/>
    <w:rsid w:val="00971C3E"/>
    <w:rsid w:val="00973C7C"/>
    <w:rsid w:val="0097493F"/>
    <w:rsid w:val="0097555C"/>
    <w:rsid w:val="00977843"/>
    <w:rsid w:val="00981622"/>
    <w:rsid w:val="009828CA"/>
    <w:rsid w:val="00983693"/>
    <w:rsid w:val="00983E71"/>
    <w:rsid w:val="009845B4"/>
    <w:rsid w:val="00984631"/>
    <w:rsid w:val="009861EC"/>
    <w:rsid w:val="00986587"/>
    <w:rsid w:val="0098732B"/>
    <w:rsid w:val="009874BC"/>
    <w:rsid w:val="0099012D"/>
    <w:rsid w:val="009944D4"/>
    <w:rsid w:val="0099586E"/>
    <w:rsid w:val="009A0FDD"/>
    <w:rsid w:val="009A1863"/>
    <w:rsid w:val="009A2E39"/>
    <w:rsid w:val="009A2E8B"/>
    <w:rsid w:val="009A3B62"/>
    <w:rsid w:val="009A4952"/>
    <w:rsid w:val="009A5A74"/>
    <w:rsid w:val="009A6AD5"/>
    <w:rsid w:val="009A6F4F"/>
    <w:rsid w:val="009A7263"/>
    <w:rsid w:val="009B05CA"/>
    <w:rsid w:val="009B0F9C"/>
    <w:rsid w:val="009B2EEE"/>
    <w:rsid w:val="009B3448"/>
    <w:rsid w:val="009B5C1C"/>
    <w:rsid w:val="009B7A3E"/>
    <w:rsid w:val="009C05F5"/>
    <w:rsid w:val="009C0978"/>
    <w:rsid w:val="009C187E"/>
    <w:rsid w:val="009C1C27"/>
    <w:rsid w:val="009C25FD"/>
    <w:rsid w:val="009C3B91"/>
    <w:rsid w:val="009D0A50"/>
    <w:rsid w:val="009D11DA"/>
    <w:rsid w:val="009D1323"/>
    <w:rsid w:val="009D18CC"/>
    <w:rsid w:val="009D2505"/>
    <w:rsid w:val="009D2673"/>
    <w:rsid w:val="009D2D91"/>
    <w:rsid w:val="009D3D08"/>
    <w:rsid w:val="009D42DF"/>
    <w:rsid w:val="009D42E6"/>
    <w:rsid w:val="009D59BE"/>
    <w:rsid w:val="009D6167"/>
    <w:rsid w:val="009D6244"/>
    <w:rsid w:val="009D6B76"/>
    <w:rsid w:val="009D6D28"/>
    <w:rsid w:val="009D77BC"/>
    <w:rsid w:val="009E01B6"/>
    <w:rsid w:val="009E0D85"/>
    <w:rsid w:val="009E16E5"/>
    <w:rsid w:val="009E21B0"/>
    <w:rsid w:val="009E29F9"/>
    <w:rsid w:val="009E410B"/>
    <w:rsid w:val="009E42B5"/>
    <w:rsid w:val="009E5DBE"/>
    <w:rsid w:val="009E6C31"/>
    <w:rsid w:val="009F02A0"/>
    <w:rsid w:val="009F06EC"/>
    <w:rsid w:val="009F070B"/>
    <w:rsid w:val="009F0C37"/>
    <w:rsid w:val="009F1E40"/>
    <w:rsid w:val="009F2590"/>
    <w:rsid w:val="009F3429"/>
    <w:rsid w:val="009F4181"/>
    <w:rsid w:val="009F5FB3"/>
    <w:rsid w:val="009F6483"/>
    <w:rsid w:val="009F6A9C"/>
    <w:rsid w:val="009F6D66"/>
    <w:rsid w:val="009F77E6"/>
    <w:rsid w:val="009F78F1"/>
    <w:rsid w:val="00A001C7"/>
    <w:rsid w:val="00A00629"/>
    <w:rsid w:val="00A00839"/>
    <w:rsid w:val="00A00884"/>
    <w:rsid w:val="00A01741"/>
    <w:rsid w:val="00A01991"/>
    <w:rsid w:val="00A01FBE"/>
    <w:rsid w:val="00A0257F"/>
    <w:rsid w:val="00A02836"/>
    <w:rsid w:val="00A03095"/>
    <w:rsid w:val="00A03212"/>
    <w:rsid w:val="00A03582"/>
    <w:rsid w:val="00A03C28"/>
    <w:rsid w:val="00A03E80"/>
    <w:rsid w:val="00A04621"/>
    <w:rsid w:val="00A05049"/>
    <w:rsid w:val="00A05086"/>
    <w:rsid w:val="00A0522A"/>
    <w:rsid w:val="00A0712A"/>
    <w:rsid w:val="00A07FE5"/>
    <w:rsid w:val="00A10140"/>
    <w:rsid w:val="00A11AF6"/>
    <w:rsid w:val="00A13119"/>
    <w:rsid w:val="00A15233"/>
    <w:rsid w:val="00A15A6F"/>
    <w:rsid w:val="00A15DBB"/>
    <w:rsid w:val="00A17402"/>
    <w:rsid w:val="00A2132A"/>
    <w:rsid w:val="00A22938"/>
    <w:rsid w:val="00A22B7A"/>
    <w:rsid w:val="00A24469"/>
    <w:rsid w:val="00A25395"/>
    <w:rsid w:val="00A279C8"/>
    <w:rsid w:val="00A30089"/>
    <w:rsid w:val="00A30A6A"/>
    <w:rsid w:val="00A32C6A"/>
    <w:rsid w:val="00A339A5"/>
    <w:rsid w:val="00A34E2A"/>
    <w:rsid w:val="00A35E4C"/>
    <w:rsid w:val="00A36404"/>
    <w:rsid w:val="00A364E7"/>
    <w:rsid w:val="00A36592"/>
    <w:rsid w:val="00A3736F"/>
    <w:rsid w:val="00A3749F"/>
    <w:rsid w:val="00A374F9"/>
    <w:rsid w:val="00A4074C"/>
    <w:rsid w:val="00A41E16"/>
    <w:rsid w:val="00A426CF"/>
    <w:rsid w:val="00A43EC9"/>
    <w:rsid w:val="00A44ED4"/>
    <w:rsid w:val="00A45C3D"/>
    <w:rsid w:val="00A46192"/>
    <w:rsid w:val="00A5004E"/>
    <w:rsid w:val="00A50183"/>
    <w:rsid w:val="00A503BF"/>
    <w:rsid w:val="00A527F7"/>
    <w:rsid w:val="00A52AFD"/>
    <w:rsid w:val="00A52C88"/>
    <w:rsid w:val="00A53F0C"/>
    <w:rsid w:val="00A56D66"/>
    <w:rsid w:val="00A5742D"/>
    <w:rsid w:val="00A60A82"/>
    <w:rsid w:val="00A61083"/>
    <w:rsid w:val="00A61A4F"/>
    <w:rsid w:val="00A62873"/>
    <w:rsid w:val="00A646CC"/>
    <w:rsid w:val="00A65155"/>
    <w:rsid w:val="00A653EF"/>
    <w:rsid w:val="00A655BA"/>
    <w:rsid w:val="00A657AB"/>
    <w:rsid w:val="00A65B5F"/>
    <w:rsid w:val="00A6755B"/>
    <w:rsid w:val="00A677CC"/>
    <w:rsid w:val="00A67E97"/>
    <w:rsid w:val="00A7007D"/>
    <w:rsid w:val="00A7025A"/>
    <w:rsid w:val="00A702BC"/>
    <w:rsid w:val="00A7049C"/>
    <w:rsid w:val="00A70ECE"/>
    <w:rsid w:val="00A7149A"/>
    <w:rsid w:val="00A71905"/>
    <w:rsid w:val="00A71A91"/>
    <w:rsid w:val="00A729D3"/>
    <w:rsid w:val="00A72A61"/>
    <w:rsid w:val="00A73309"/>
    <w:rsid w:val="00A81B68"/>
    <w:rsid w:val="00A82FD4"/>
    <w:rsid w:val="00A84789"/>
    <w:rsid w:val="00A84879"/>
    <w:rsid w:val="00A84BD9"/>
    <w:rsid w:val="00A84D04"/>
    <w:rsid w:val="00A874E5"/>
    <w:rsid w:val="00A87C5A"/>
    <w:rsid w:val="00A90D4B"/>
    <w:rsid w:val="00A9116F"/>
    <w:rsid w:val="00A9133A"/>
    <w:rsid w:val="00A91C7E"/>
    <w:rsid w:val="00A91CA8"/>
    <w:rsid w:val="00A92C1D"/>
    <w:rsid w:val="00A93D44"/>
    <w:rsid w:val="00A940B0"/>
    <w:rsid w:val="00A955B9"/>
    <w:rsid w:val="00A955F0"/>
    <w:rsid w:val="00A95F9C"/>
    <w:rsid w:val="00A978EA"/>
    <w:rsid w:val="00AA0A94"/>
    <w:rsid w:val="00AA2612"/>
    <w:rsid w:val="00AA28CD"/>
    <w:rsid w:val="00AA548C"/>
    <w:rsid w:val="00AA6182"/>
    <w:rsid w:val="00AA71B0"/>
    <w:rsid w:val="00AA7485"/>
    <w:rsid w:val="00AA785F"/>
    <w:rsid w:val="00AB0A60"/>
    <w:rsid w:val="00AB28E0"/>
    <w:rsid w:val="00AB3E3D"/>
    <w:rsid w:val="00AB3F23"/>
    <w:rsid w:val="00AB46B7"/>
    <w:rsid w:val="00AB46E6"/>
    <w:rsid w:val="00AB4844"/>
    <w:rsid w:val="00AB4C03"/>
    <w:rsid w:val="00AB4D42"/>
    <w:rsid w:val="00AB5A57"/>
    <w:rsid w:val="00AC0A27"/>
    <w:rsid w:val="00AC0EE4"/>
    <w:rsid w:val="00AC32F3"/>
    <w:rsid w:val="00AC4866"/>
    <w:rsid w:val="00AC4DFD"/>
    <w:rsid w:val="00AC4E14"/>
    <w:rsid w:val="00AC6352"/>
    <w:rsid w:val="00AC6535"/>
    <w:rsid w:val="00AD0224"/>
    <w:rsid w:val="00AD1C5C"/>
    <w:rsid w:val="00AD2F39"/>
    <w:rsid w:val="00AD4C04"/>
    <w:rsid w:val="00AD5204"/>
    <w:rsid w:val="00AD56BD"/>
    <w:rsid w:val="00AD5AE8"/>
    <w:rsid w:val="00AD5EB3"/>
    <w:rsid w:val="00AD5F91"/>
    <w:rsid w:val="00AD6E41"/>
    <w:rsid w:val="00AD78E3"/>
    <w:rsid w:val="00AE0749"/>
    <w:rsid w:val="00AE0E86"/>
    <w:rsid w:val="00AE10CF"/>
    <w:rsid w:val="00AE3349"/>
    <w:rsid w:val="00AE3635"/>
    <w:rsid w:val="00AE42A3"/>
    <w:rsid w:val="00AE42CA"/>
    <w:rsid w:val="00AE46E9"/>
    <w:rsid w:val="00AE4E15"/>
    <w:rsid w:val="00AF0526"/>
    <w:rsid w:val="00AF1D6E"/>
    <w:rsid w:val="00AF2F00"/>
    <w:rsid w:val="00B00BA8"/>
    <w:rsid w:val="00B01D15"/>
    <w:rsid w:val="00B02DC4"/>
    <w:rsid w:val="00B0306F"/>
    <w:rsid w:val="00B0602D"/>
    <w:rsid w:val="00B060FC"/>
    <w:rsid w:val="00B065BE"/>
    <w:rsid w:val="00B07B35"/>
    <w:rsid w:val="00B10034"/>
    <w:rsid w:val="00B124FA"/>
    <w:rsid w:val="00B15477"/>
    <w:rsid w:val="00B16326"/>
    <w:rsid w:val="00B16F86"/>
    <w:rsid w:val="00B17FB5"/>
    <w:rsid w:val="00B21842"/>
    <w:rsid w:val="00B22ADA"/>
    <w:rsid w:val="00B2365E"/>
    <w:rsid w:val="00B2498D"/>
    <w:rsid w:val="00B25344"/>
    <w:rsid w:val="00B278A0"/>
    <w:rsid w:val="00B27CBF"/>
    <w:rsid w:val="00B3101B"/>
    <w:rsid w:val="00B3104D"/>
    <w:rsid w:val="00B31763"/>
    <w:rsid w:val="00B3264E"/>
    <w:rsid w:val="00B3291A"/>
    <w:rsid w:val="00B33391"/>
    <w:rsid w:val="00B3411E"/>
    <w:rsid w:val="00B343CA"/>
    <w:rsid w:val="00B34547"/>
    <w:rsid w:val="00B34BA8"/>
    <w:rsid w:val="00B366B8"/>
    <w:rsid w:val="00B3679B"/>
    <w:rsid w:val="00B42D88"/>
    <w:rsid w:val="00B438A3"/>
    <w:rsid w:val="00B44F7B"/>
    <w:rsid w:val="00B4687F"/>
    <w:rsid w:val="00B5012B"/>
    <w:rsid w:val="00B5036C"/>
    <w:rsid w:val="00B51CF2"/>
    <w:rsid w:val="00B53158"/>
    <w:rsid w:val="00B5340C"/>
    <w:rsid w:val="00B53EA3"/>
    <w:rsid w:val="00B54563"/>
    <w:rsid w:val="00B54FF9"/>
    <w:rsid w:val="00B56354"/>
    <w:rsid w:val="00B5752F"/>
    <w:rsid w:val="00B57B78"/>
    <w:rsid w:val="00B6022F"/>
    <w:rsid w:val="00B61D4B"/>
    <w:rsid w:val="00B63220"/>
    <w:rsid w:val="00B67312"/>
    <w:rsid w:val="00B676DB"/>
    <w:rsid w:val="00B67813"/>
    <w:rsid w:val="00B72200"/>
    <w:rsid w:val="00B726B4"/>
    <w:rsid w:val="00B72E9A"/>
    <w:rsid w:val="00B737B0"/>
    <w:rsid w:val="00B73969"/>
    <w:rsid w:val="00B76076"/>
    <w:rsid w:val="00B762FC"/>
    <w:rsid w:val="00B7657C"/>
    <w:rsid w:val="00B766F7"/>
    <w:rsid w:val="00B76E6A"/>
    <w:rsid w:val="00B80788"/>
    <w:rsid w:val="00B80B54"/>
    <w:rsid w:val="00B824B1"/>
    <w:rsid w:val="00B83752"/>
    <w:rsid w:val="00B83E6D"/>
    <w:rsid w:val="00B84180"/>
    <w:rsid w:val="00B8438C"/>
    <w:rsid w:val="00B84DB9"/>
    <w:rsid w:val="00B857CA"/>
    <w:rsid w:val="00B85DB5"/>
    <w:rsid w:val="00B85F5F"/>
    <w:rsid w:val="00B872FB"/>
    <w:rsid w:val="00B873A9"/>
    <w:rsid w:val="00B9070F"/>
    <w:rsid w:val="00B90CDE"/>
    <w:rsid w:val="00B9127E"/>
    <w:rsid w:val="00B924F0"/>
    <w:rsid w:val="00B92F8F"/>
    <w:rsid w:val="00B937B0"/>
    <w:rsid w:val="00B940DA"/>
    <w:rsid w:val="00B94250"/>
    <w:rsid w:val="00B96F46"/>
    <w:rsid w:val="00BA0045"/>
    <w:rsid w:val="00BA05AA"/>
    <w:rsid w:val="00BA23F7"/>
    <w:rsid w:val="00BA31B0"/>
    <w:rsid w:val="00BA3844"/>
    <w:rsid w:val="00BA478A"/>
    <w:rsid w:val="00BA757C"/>
    <w:rsid w:val="00BB087B"/>
    <w:rsid w:val="00BB2970"/>
    <w:rsid w:val="00BB394D"/>
    <w:rsid w:val="00BB395C"/>
    <w:rsid w:val="00BB7281"/>
    <w:rsid w:val="00BB73FC"/>
    <w:rsid w:val="00BB792C"/>
    <w:rsid w:val="00BC05D4"/>
    <w:rsid w:val="00BC1EBA"/>
    <w:rsid w:val="00BC2E4F"/>
    <w:rsid w:val="00BC412E"/>
    <w:rsid w:val="00BC5202"/>
    <w:rsid w:val="00BD0917"/>
    <w:rsid w:val="00BD10FC"/>
    <w:rsid w:val="00BD1765"/>
    <w:rsid w:val="00BD34D3"/>
    <w:rsid w:val="00BD4DF0"/>
    <w:rsid w:val="00BD6E20"/>
    <w:rsid w:val="00BD771A"/>
    <w:rsid w:val="00BD7D60"/>
    <w:rsid w:val="00BE121B"/>
    <w:rsid w:val="00BE1B53"/>
    <w:rsid w:val="00BE20E0"/>
    <w:rsid w:val="00BE2A46"/>
    <w:rsid w:val="00BE748E"/>
    <w:rsid w:val="00BF2554"/>
    <w:rsid w:val="00BF59B3"/>
    <w:rsid w:val="00BF7420"/>
    <w:rsid w:val="00BF744C"/>
    <w:rsid w:val="00C003CB"/>
    <w:rsid w:val="00C00493"/>
    <w:rsid w:val="00C005AE"/>
    <w:rsid w:val="00C0070E"/>
    <w:rsid w:val="00C00BFE"/>
    <w:rsid w:val="00C0179D"/>
    <w:rsid w:val="00C023FF"/>
    <w:rsid w:val="00C0403F"/>
    <w:rsid w:val="00C05DA9"/>
    <w:rsid w:val="00C074C2"/>
    <w:rsid w:val="00C11491"/>
    <w:rsid w:val="00C123C4"/>
    <w:rsid w:val="00C1395D"/>
    <w:rsid w:val="00C1412F"/>
    <w:rsid w:val="00C1475C"/>
    <w:rsid w:val="00C14BE7"/>
    <w:rsid w:val="00C15777"/>
    <w:rsid w:val="00C169A2"/>
    <w:rsid w:val="00C16EC7"/>
    <w:rsid w:val="00C21AAD"/>
    <w:rsid w:val="00C2262E"/>
    <w:rsid w:val="00C238A8"/>
    <w:rsid w:val="00C24CEA"/>
    <w:rsid w:val="00C2526B"/>
    <w:rsid w:val="00C27274"/>
    <w:rsid w:val="00C3014C"/>
    <w:rsid w:val="00C325FC"/>
    <w:rsid w:val="00C3363B"/>
    <w:rsid w:val="00C347B5"/>
    <w:rsid w:val="00C34CFB"/>
    <w:rsid w:val="00C34D8B"/>
    <w:rsid w:val="00C3645B"/>
    <w:rsid w:val="00C36E29"/>
    <w:rsid w:val="00C36EE4"/>
    <w:rsid w:val="00C37557"/>
    <w:rsid w:val="00C41405"/>
    <w:rsid w:val="00C41A1D"/>
    <w:rsid w:val="00C42400"/>
    <w:rsid w:val="00C4324F"/>
    <w:rsid w:val="00C4445F"/>
    <w:rsid w:val="00C44A93"/>
    <w:rsid w:val="00C45184"/>
    <w:rsid w:val="00C50571"/>
    <w:rsid w:val="00C51D12"/>
    <w:rsid w:val="00C5233C"/>
    <w:rsid w:val="00C527E6"/>
    <w:rsid w:val="00C55C83"/>
    <w:rsid w:val="00C57069"/>
    <w:rsid w:val="00C5719E"/>
    <w:rsid w:val="00C57384"/>
    <w:rsid w:val="00C5799E"/>
    <w:rsid w:val="00C60BE6"/>
    <w:rsid w:val="00C615BD"/>
    <w:rsid w:val="00C648E0"/>
    <w:rsid w:val="00C64B6E"/>
    <w:rsid w:val="00C65595"/>
    <w:rsid w:val="00C66048"/>
    <w:rsid w:val="00C661CA"/>
    <w:rsid w:val="00C663A7"/>
    <w:rsid w:val="00C6695E"/>
    <w:rsid w:val="00C66EEA"/>
    <w:rsid w:val="00C726CD"/>
    <w:rsid w:val="00C7300D"/>
    <w:rsid w:val="00C73580"/>
    <w:rsid w:val="00C73F3F"/>
    <w:rsid w:val="00C74A18"/>
    <w:rsid w:val="00C74A3E"/>
    <w:rsid w:val="00C76A08"/>
    <w:rsid w:val="00C77133"/>
    <w:rsid w:val="00C80090"/>
    <w:rsid w:val="00C8039D"/>
    <w:rsid w:val="00C80E38"/>
    <w:rsid w:val="00C8154A"/>
    <w:rsid w:val="00C81BE3"/>
    <w:rsid w:val="00C81D04"/>
    <w:rsid w:val="00C83E94"/>
    <w:rsid w:val="00C8566D"/>
    <w:rsid w:val="00C8621D"/>
    <w:rsid w:val="00C878FB"/>
    <w:rsid w:val="00C87B34"/>
    <w:rsid w:val="00C9326C"/>
    <w:rsid w:val="00C93959"/>
    <w:rsid w:val="00C94495"/>
    <w:rsid w:val="00C9498B"/>
    <w:rsid w:val="00C95743"/>
    <w:rsid w:val="00C963B0"/>
    <w:rsid w:val="00C96D95"/>
    <w:rsid w:val="00CA001F"/>
    <w:rsid w:val="00CA1216"/>
    <w:rsid w:val="00CA23B9"/>
    <w:rsid w:val="00CA2ABF"/>
    <w:rsid w:val="00CA33FB"/>
    <w:rsid w:val="00CA366C"/>
    <w:rsid w:val="00CA47F3"/>
    <w:rsid w:val="00CB24B7"/>
    <w:rsid w:val="00CB267B"/>
    <w:rsid w:val="00CB2D5A"/>
    <w:rsid w:val="00CB448F"/>
    <w:rsid w:val="00CB4C24"/>
    <w:rsid w:val="00CC0E97"/>
    <w:rsid w:val="00CC237A"/>
    <w:rsid w:val="00CC2785"/>
    <w:rsid w:val="00CC2CAB"/>
    <w:rsid w:val="00CC38E3"/>
    <w:rsid w:val="00CC5892"/>
    <w:rsid w:val="00CC6865"/>
    <w:rsid w:val="00CD00E3"/>
    <w:rsid w:val="00CD1346"/>
    <w:rsid w:val="00CD165F"/>
    <w:rsid w:val="00CD1D49"/>
    <w:rsid w:val="00CD2D8A"/>
    <w:rsid w:val="00CD3477"/>
    <w:rsid w:val="00CD5086"/>
    <w:rsid w:val="00CD5250"/>
    <w:rsid w:val="00CD595F"/>
    <w:rsid w:val="00CE0D47"/>
    <w:rsid w:val="00CE229A"/>
    <w:rsid w:val="00CE2C82"/>
    <w:rsid w:val="00CE3255"/>
    <w:rsid w:val="00CE3400"/>
    <w:rsid w:val="00CE51A0"/>
    <w:rsid w:val="00CE5E1B"/>
    <w:rsid w:val="00CE5FF8"/>
    <w:rsid w:val="00CE6E18"/>
    <w:rsid w:val="00CF0D8C"/>
    <w:rsid w:val="00CF0FB2"/>
    <w:rsid w:val="00CF2EBC"/>
    <w:rsid w:val="00CF30D8"/>
    <w:rsid w:val="00CF357C"/>
    <w:rsid w:val="00CF3BE0"/>
    <w:rsid w:val="00CF3EEA"/>
    <w:rsid w:val="00CF4215"/>
    <w:rsid w:val="00CF4D53"/>
    <w:rsid w:val="00CF52CC"/>
    <w:rsid w:val="00CF63FA"/>
    <w:rsid w:val="00CF6976"/>
    <w:rsid w:val="00CF7BB2"/>
    <w:rsid w:val="00D006FC"/>
    <w:rsid w:val="00D010F6"/>
    <w:rsid w:val="00D01FAB"/>
    <w:rsid w:val="00D028AC"/>
    <w:rsid w:val="00D03244"/>
    <w:rsid w:val="00D03BEB"/>
    <w:rsid w:val="00D041EB"/>
    <w:rsid w:val="00D078C6"/>
    <w:rsid w:val="00D100FB"/>
    <w:rsid w:val="00D116AB"/>
    <w:rsid w:val="00D118D0"/>
    <w:rsid w:val="00D12B36"/>
    <w:rsid w:val="00D1409A"/>
    <w:rsid w:val="00D1580C"/>
    <w:rsid w:val="00D15F7F"/>
    <w:rsid w:val="00D1663A"/>
    <w:rsid w:val="00D16DBB"/>
    <w:rsid w:val="00D1753C"/>
    <w:rsid w:val="00D25F4D"/>
    <w:rsid w:val="00D2611F"/>
    <w:rsid w:val="00D30438"/>
    <w:rsid w:val="00D3152E"/>
    <w:rsid w:val="00D32A54"/>
    <w:rsid w:val="00D32F5C"/>
    <w:rsid w:val="00D32FA7"/>
    <w:rsid w:val="00D33D5F"/>
    <w:rsid w:val="00D35D6F"/>
    <w:rsid w:val="00D35F58"/>
    <w:rsid w:val="00D367B5"/>
    <w:rsid w:val="00D36AE1"/>
    <w:rsid w:val="00D37E46"/>
    <w:rsid w:val="00D4113F"/>
    <w:rsid w:val="00D4149D"/>
    <w:rsid w:val="00D41C2A"/>
    <w:rsid w:val="00D43764"/>
    <w:rsid w:val="00D437D7"/>
    <w:rsid w:val="00D45BAF"/>
    <w:rsid w:val="00D45F2A"/>
    <w:rsid w:val="00D460A5"/>
    <w:rsid w:val="00D50174"/>
    <w:rsid w:val="00D509AF"/>
    <w:rsid w:val="00D5121F"/>
    <w:rsid w:val="00D519D2"/>
    <w:rsid w:val="00D53AAF"/>
    <w:rsid w:val="00D53B4E"/>
    <w:rsid w:val="00D53B84"/>
    <w:rsid w:val="00D54E6B"/>
    <w:rsid w:val="00D56066"/>
    <w:rsid w:val="00D56EFB"/>
    <w:rsid w:val="00D57549"/>
    <w:rsid w:val="00D57AB4"/>
    <w:rsid w:val="00D60406"/>
    <w:rsid w:val="00D60BAC"/>
    <w:rsid w:val="00D60DD7"/>
    <w:rsid w:val="00D620AE"/>
    <w:rsid w:val="00D63884"/>
    <w:rsid w:val="00D65424"/>
    <w:rsid w:val="00D66B6D"/>
    <w:rsid w:val="00D67873"/>
    <w:rsid w:val="00D67D26"/>
    <w:rsid w:val="00D704D9"/>
    <w:rsid w:val="00D70AF6"/>
    <w:rsid w:val="00D71A31"/>
    <w:rsid w:val="00D71BBF"/>
    <w:rsid w:val="00D744AA"/>
    <w:rsid w:val="00D755C0"/>
    <w:rsid w:val="00D77C76"/>
    <w:rsid w:val="00D77D5B"/>
    <w:rsid w:val="00D80D0A"/>
    <w:rsid w:val="00D81276"/>
    <w:rsid w:val="00D813BE"/>
    <w:rsid w:val="00D830C1"/>
    <w:rsid w:val="00D841A9"/>
    <w:rsid w:val="00D84778"/>
    <w:rsid w:val="00D84868"/>
    <w:rsid w:val="00D84AAE"/>
    <w:rsid w:val="00D8534F"/>
    <w:rsid w:val="00D85A06"/>
    <w:rsid w:val="00D85F56"/>
    <w:rsid w:val="00D86837"/>
    <w:rsid w:val="00D869EB"/>
    <w:rsid w:val="00D924A8"/>
    <w:rsid w:val="00D9288D"/>
    <w:rsid w:val="00D92F4F"/>
    <w:rsid w:val="00D942F5"/>
    <w:rsid w:val="00D96258"/>
    <w:rsid w:val="00D9649E"/>
    <w:rsid w:val="00DA046E"/>
    <w:rsid w:val="00DA04D0"/>
    <w:rsid w:val="00DA09A1"/>
    <w:rsid w:val="00DA14F2"/>
    <w:rsid w:val="00DA22F6"/>
    <w:rsid w:val="00DA3645"/>
    <w:rsid w:val="00DA3A6E"/>
    <w:rsid w:val="00DA3B32"/>
    <w:rsid w:val="00DA3E71"/>
    <w:rsid w:val="00DA4DD9"/>
    <w:rsid w:val="00DA7831"/>
    <w:rsid w:val="00DB2638"/>
    <w:rsid w:val="00DB6D06"/>
    <w:rsid w:val="00DC0B30"/>
    <w:rsid w:val="00DC0E9F"/>
    <w:rsid w:val="00DC10F5"/>
    <w:rsid w:val="00DC5EFA"/>
    <w:rsid w:val="00DC637E"/>
    <w:rsid w:val="00DC73F5"/>
    <w:rsid w:val="00DD13D1"/>
    <w:rsid w:val="00DD2175"/>
    <w:rsid w:val="00DD2763"/>
    <w:rsid w:val="00DD3BFE"/>
    <w:rsid w:val="00DD43BB"/>
    <w:rsid w:val="00DD4AAB"/>
    <w:rsid w:val="00DD50F8"/>
    <w:rsid w:val="00DD6DAF"/>
    <w:rsid w:val="00DD7005"/>
    <w:rsid w:val="00DE1337"/>
    <w:rsid w:val="00DE32D2"/>
    <w:rsid w:val="00DE40EE"/>
    <w:rsid w:val="00DE45CB"/>
    <w:rsid w:val="00DE4703"/>
    <w:rsid w:val="00DE4D82"/>
    <w:rsid w:val="00DE5F71"/>
    <w:rsid w:val="00DE67C1"/>
    <w:rsid w:val="00DE7755"/>
    <w:rsid w:val="00DF189A"/>
    <w:rsid w:val="00DF1E20"/>
    <w:rsid w:val="00DF3634"/>
    <w:rsid w:val="00DF38C3"/>
    <w:rsid w:val="00DF53F2"/>
    <w:rsid w:val="00DF64BA"/>
    <w:rsid w:val="00DF6C89"/>
    <w:rsid w:val="00DF7BBA"/>
    <w:rsid w:val="00E0066D"/>
    <w:rsid w:val="00E00A8D"/>
    <w:rsid w:val="00E01D29"/>
    <w:rsid w:val="00E03969"/>
    <w:rsid w:val="00E053A0"/>
    <w:rsid w:val="00E05E0E"/>
    <w:rsid w:val="00E06800"/>
    <w:rsid w:val="00E11567"/>
    <w:rsid w:val="00E122F2"/>
    <w:rsid w:val="00E12B1D"/>
    <w:rsid w:val="00E13FD9"/>
    <w:rsid w:val="00E16D45"/>
    <w:rsid w:val="00E17105"/>
    <w:rsid w:val="00E2097B"/>
    <w:rsid w:val="00E215E6"/>
    <w:rsid w:val="00E22F89"/>
    <w:rsid w:val="00E23100"/>
    <w:rsid w:val="00E23EFE"/>
    <w:rsid w:val="00E2468F"/>
    <w:rsid w:val="00E255C4"/>
    <w:rsid w:val="00E26606"/>
    <w:rsid w:val="00E26E73"/>
    <w:rsid w:val="00E27448"/>
    <w:rsid w:val="00E2785A"/>
    <w:rsid w:val="00E278C0"/>
    <w:rsid w:val="00E30186"/>
    <w:rsid w:val="00E3102C"/>
    <w:rsid w:val="00E3240D"/>
    <w:rsid w:val="00E32D2C"/>
    <w:rsid w:val="00E3314E"/>
    <w:rsid w:val="00E335DE"/>
    <w:rsid w:val="00E337E5"/>
    <w:rsid w:val="00E356E6"/>
    <w:rsid w:val="00E357CA"/>
    <w:rsid w:val="00E35ECE"/>
    <w:rsid w:val="00E36AB3"/>
    <w:rsid w:val="00E378BF"/>
    <w:rsid w:val="00E379FD"/>
    <w:rsid w:val="00E37B53"/>
    <w:rsid w:val="00E37C47"/>
    <w:rsid w:val="00E37D17"/>
    <w:rsid w:val="00E4080F"/>
    <w:rsid w:val="00E40827"/>
    <w:rsid w:val="00E42758"/>
    <w:rsid w:val="00E429B4"/>
    <w:rsid w:val="00E4321C"/>
    <w:rsid w:val="00E445D4"/>
    <w:rsid w:val="00E45C78"/>
    <w:rsid w:val="00E46010"/>
    <w:rsid w:val="00E501EA"/>
    <w:rsid w:val="00E5189B"/>
    <w:rsid w:val="00E52C9F"/>
    <w:rsid w:val="00E530CD"/>
    <w:rsid w:val="00E531E4"/>
    <w:rsid w:val="00E5401D"/>
    <w:rsid w:val="00E56594"/>
    <w:rsid w:val="00E56F37"/>
    <w:rsid w:val="00E57835"/>
    <w:rsid w:val="00E57CFF"/>
    <w:rsid w:val="00E600B7"/>
    <w:rsid w:val="00E6086F"/>
    <w:rsid w:val="00E609D5"/>
    <w:rsid w:val="00E60AF7"/>
    <w:rsid w:val="00E614C0"/>
    <w:rsid w:val="00E62087"/>
    <w:rsid w:val="00E62208"/>
    <w:rsid w:val="00E62E95"/>
    <w:rsid w:val="00E6385A"/>
    <w:rsid w:val="00E63A52"/>
    <w:rsid w:val="00E64624"/>
    <w:rsid w:val="00E6481E"/>
    <w:rsid w:val="00E64872"/>
    <w:rsid w:val="00E66DFD"/>
    <w:rsid w:val="00E7012E"/>
    <w:rsid w:val="00E702BF"/>
    <w:rsid w:val="00E70C38"/>
    <w:rsid w:val="00E70CCD"/>
    <w:rsid w:val="00E732F1"/>
    <w:rsid w:val="00E776DF"/>
    <w:rsid w:val="00E77891"/>
    <w:rsid w:val="00E77B01"/>
    <w:rsid w:val="00E80A4C"/>
    <w:rsid w:val="00E80CBC"/>
    <w:rsid w:val="00E8157A"/>
    <w:rsid w:val="00E81C89"/>
    <w:rsid w:val="00E827BF"/>
    <w:rsid w:val="00E82990"/>
    <w:rsid w:val="00E830C8"/>
    <w:rsid w:val="00E83525"/>
    <w:rsid w:val="00E84484"/>
    <w:rsid w:val="00E845F8"/>
    <w:rsid w:val="00E84DF0"/>
    <w:rsid w:val="00E85A86"/>
    <w:rsid w:val="00E85F7F"/>
    <w:rsid w:val="00E8693A"/>
    <w:rsid w:val="00E87EB1"/>
    <w:rsid w:val="00E87F19"/>
    <w:rsid w:val="00E927F5"/>
    <w:rsid w:val="00E92C42"/>
    <w:rsid w:val="00E948A4"/>
    <w:rsid w:val="00E95486"/>
    <w:rsid w:val="00E9567E"/>
    <w:rsid w:val="00EA06FF"/>
    <w:rsid w:val="00EA19F8"/>
    <w:rsid w:val="00EA1F8B"/>
    <w:rsid w:val="00EA285E"/>
    <w:rsid w:val="00EA34B8"/>
    <w:rsid w:val="00EA47E3"/>
    <w:rsid w:val="00EA57B9"/>
    <w:rsid w:val="00EA5908"/>
    <w:rsid w:val="00EA5F6F"/>
    <w:rsid w:val="00EA6228"/>
    <w:rsid w:val="00EA6708"/>
    <w:rsid w:val="00EA6A60"/>
    <w:rsid w:val="00EA73EB"/>
    <w:rsid w:val="00EA7D4B"/>
    <w:rsid w:val="00EB26D4"/>
    <w:rsid w:val="00EB38F2"/>
    <w:rsid w:val="00EB3D76"/>
    <w:rsid w:val="00EB4DDF"/>
    <w:rsid w:val="00EB6614"/>
    <w:rsid w:val="00EB68CB"/>
    <w:rsid w:val="00EB736A"/>
    <w:rsid w:val="00EB76FF"/>
    <w:rsid w:val="00EC0098"/>
    <w:rsid w:val="00EC010F"/>
    <w:rsid w:val="00EC0548"/>
    <w:rsid w:val="00EC3441"/>
    <w:rsid w:val="00EC700F"/>
    <w:rsid w:val="00ED0589"/>
    <w:rsid w:val="00ED1389"/>
    <w:rsid w:val="00ED1458"/>
    <w:rsid w:val="00ED20C0"/>
    <w:rsid w:val="00ED2271"/>
    <w:rsid w:val="00ED4434"/>
    <w:rsid w:val="00ED4743"/>
    <w:rsid w:val="00ED63CC"/>
    <w:rsid w:val="00EE0A8B"/>
    <w:rsid w:val="00EE1123"/>
    <w:rsid w:val="00EE117E"/>
    <w:rsid w:val="00EE2127"/>
    <w:rsid w:val="00EE2460"/>
    <w:rsid w:val="00EE2765"/>
    <w:rsid w:val="00EE3885"/>
    <w:rsid w:val="00EE44A0"/>
    <w:rsid w:val="00EE4B24"/>
    <w:rsid w:val="00EE5D42"/>
    <w:rsid w:val="00EE5EAE"/>
    <w:rsid w:val="00EE7D20"/>
    <w:rsid w:val="00EF0445"/>
    <w:rsid w:val="00EF054B"/>
    <w:rsid w:val="00EF0AB2"/>
    <w:rsid w:val="00EF24C0"/>
    <w:rsid w:val="00EF37CC"/>
    <w:rsid w:val="00EF3DB7"/>
    <w:rsid w:val="00EF4D26"/>
    <w:rsid w:val="00EF67D9"/>
    <w:rsid w:val="00EF7D79"/>
    <w:rsid w:val="00F00805"/>
    <w:rsid w:val="00F01B12"/>
    <w:rsid w:val="00F02CCA"/>
    <w:rsid w:val="00F04158"/>
    <w:rsid w:val="00F04CC2"/>
    <w:rsid w:val="00F057A8"/>
    <w:rsid w:val="00F07260"/>
    <w:rsid w:val="00F07518"/>
    <w:rsid w:val="00F1195C"/>
    <w:rsid w:val="00F11BF9"/>
    <w:rsid w:val="00F12AAF"/>
    <w:rsid w:val="00F132F5"/>
    <w:rsid w:val="00F14024"/>
    <w:rsid w:val="00F17117"/>
    <w:rsid w:val="00F1782E"/>
    <w:rsid w:val="00F20A86"/>
    <w:rsid w:val="00F20F51"/>
    <w:rsid w:val="00F228DB"/>
    <w:rsid w:val="00F23B75"/>
    <w:rsid w:val="00F244EA"/>
    <w:rsid w:val="00F26232"/>
    <w:rsid w:val="00F27015"/>
    <w:rsid w:val="00F27390"/>
    <w:rsid w:val="00F303AD"/>
    <w:rsid w:val="00F30E1F"/>
    <w:rsid w:val="00F3172E"/>
    <w:rsid w:val="00F317E0"/>
    <w:rsid w:val="00F31A98"/>
    <w:rsid w:val="00F31BD6"/>
    <w:rsid w:val="00F324AD"/>
    <w:rsid w:val="00F32A6C"/>
    <w:rsid w:val="00F334D2"/>
    <w:rsid w:val="00F34137"/>
    <w:rsid w:val="00F352E4"/>
    <w:rsid w:val="00F35810"/>
    <w:rsid w:val="00F35C48"/>
    <w:rsid w:val="00F36C8A"/>
    <w:rsid w:val="00F36DF5"/>
    <w:rsid w:val="00F37625"/>
    <w:rsid w:val="00F37C02"/>
    <w:rsid w:val="00F409B7"/>
    <w:rsid w:val="00F4100E"/>
    <w:rsid w:val="00F41556"/>
    <w:rsid w:val="00F41924"/>
    <w:rsid w:val="00F43468"/>
    <w:rsid w:val="00F43745"/>
    <w:rsid w:val="00F453FB"/>
    <w:rsid w:val="00F45969"/>
    <w:rsid w:val="00F4599D"/>
    <w:rsid w:val="00F47376"/>
    <w:rsid w:val="00F47B72"/>
    <w:rsid w:val="00F518FB"/>
    <w:rsid w:val="00F52042"/>
    <w:rsid w:val="00F55079"/>
    <w:rsid w:val="00F55393"/>
    <w:rsid w:val="00F558B0"/>
    <w:rsid w:val="00F560AF"/>
    <w:rsid w:val="00F56A1E"/>
    <w:rsid w:val="00F61ECB"/>
    <w:rsid w:val="00F62752"/>
    <w:rsid w:val="00F6441B"/>
    <w:rsid w:val="00F64DE8"/>
    <w:rsid w:val="00F669CF"/>
    <w:rsid w:val="00F66CB8"/>
    <w:rsid w:val="00F67D6E"/>
    <w:rsid w:val="00F67D7A"/>
    <w:rsid w:val="00F70B98"/>
    <w:rsid w:val="00F71B91"/>
    <w:rsid w:val="00F722C8"/>
    <w:rsid w:val="00F723DD"/>
    <w:rsid w:val="00F732E9"/>
    <w:rsid w:val="00F73CF2"/>
    <w:rsid w:val="00F75129"/>
    <w:rsid w:val="00F76449"/>
    <w:rsid w:val="00F77A04"/>
    <w:rsid w:val="00F8182E"/>
    <w:rsid w:val="00F82ED0"/>
    <w:rsid w:val="00F85B03"/>
    <w:rsid w:val="00F86553"/>
    <w:rsid w:val="00F87674"/>
    <w:rsid w:val="00F87BD3"/>
    <w:rsid w:val="00F91687"/>
    <w:rsid w:val="00F91E08"/>
    <w:rsid w:val="00F93FC9"/>
    <w:rsid w:val="00F94061"/>
    <w:rsid w:val="00F94263"/>
    <w:rsid w:val="00F946CA"/>
    <w:rsid w:val="00F9494E"/>
    <w:rsid w:val="00F96DA7"/>
    <w:rsid w:val="00F97183"/>
    <w:rsid w:val="00F97442"/>
    <w:rsid w:val="00F97C6A"/>
    <w:rsid w:val="00FA01C8"/>
    <w:rsid w:val="00FA3466"/>
    <w:rsid w:val="00FA42CB"/>
    <w:rsid w:val="00FA5A0E"/>
    <w:rsid w:val="00FA5CB9"/>
    <w:rsid w:val="00FA636A"/>
    <w:rsid w:val="00FA6680"/>
    <w:rsid w:val="00FA719C"/>
    <w:rsid w:val="00FA7D3E"/>
    <w:rsid w:val="00FB0C69"/>
    <w:rsid w:val="00FB10D2"/>
    <w:rsid w:val="00FB1482"/>
    <w:rsid w:val="00FB2712"/>
    <w:rsid w:val="00FB28D2"/>
    <w:rsid w:val="00FB2996"/>
    <w:rsid w:val="00FB3DCF"/>
    <w:rsid w:val="00FB61FB"/>
    <w:rsid w:val="00FB6265"/>
    <w:rsid w:val="00FC0502"/>
    <w:rsid w:val="00FC05A6"/>
    <w:rsid w:val="00FC33DF"/>
    <w:rsid w:val="00FC33ED"/>
    <w:rsid w:val="00FC4D5C"/>
    <w:rsid w:val="00FC4D68"/>
    <w:rsid w:val="00FC5770"/>
    <w:rsid w:val="00FC7969"/>
    <w:rsid w:val="00FD0B43"/>
    <w:rsid w:val="00FD13F9"/>
    <w:rsid w:val="00FD2531"/>
    <w:rsid w:val="00FD3575"/>
    <w:rsid w:val="00FD3EBC"/>
    <w:rsid w:val="00FD5824"/>
    <w:rsid w:val="00FD62ED"/>
    <w:rsid w:val="00FD6F22"/>
    <w:rsid w:val="00FE046E"/>
    <w:rsid w:val="00FE08FC"/>
    <w:rsid w:val="00FE1642"/>
    <w:rsid w:val="00FE1FC7"/>
    <w:rsid w:val="00FE34E6"/>
    <w:rsid w:val="00FE3F4E"/>
    <w:rsid w:val="00FE4A3C"/>
    <w:rsid w:val="00FE5DEF"/>
    <w:rsid w:val="00FE6460"/>
    <w:rsid w:val="00FE68CD"/>
    <w:rsid w:val="00FE7A96"/>
    <w:rsid w:val="00FE7DE9"/>
    <w:rsid w:val="00FF0A0C"/>
    <w:rsid w:val="00FF151E"/>
    <w:rsid w:val="00FF22BF"/>
    <w:rsid w:val="00FF24F2"/>
    <w:rsid w:val="00FF3F08"/>
    <w:rsid w:val="00FF50F5"/>
    <w:rsid w:val="00FF52FD"/>
    <w:rsid w:val="00FF543A"/>
    <w:rsid w:val="00FF54A0"/>
    <w:rsid w:val="00FF7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D6395EC"/>
  <w15:docId w15:val="{D876BE2B-E412-43D3-95E2-FE3EC61B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0A86"/>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uiPriority w:val="9"/>
    <w:qFormat/>
    <w:rsid w:val="002C7B38"/>
    <w:pPr>
      <w:keepNext/>
      <w:spacing w:before="300" w:line="280" w:lineRule="atLeast"/>
      <w:ind w:left="709" w:hanging="709"/>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outlineLvl w:val="1"/>
    </w:pPr>
    <w:rPr>
      <w:bCs w:val="0"/>
      <w:iCs/>
      <w:color w:val="56B4DF"/>
      <w:sz w:val="22"/>
      <w:szCs w:val="28"/>
    </w:rPr>
  </w:style>
  <w:style w:type="paragraph" w:styleId="Heading3">
    <w:name w:val="heading 3"/>
    <w:basedOn w:val="BodyText"/>
    <w:next w:val="BodyText"/>
    <w:link w:val="Heading3Char"/>
    <w:qFormat/>
    <w:rsid w:val="002C7B38"/>
    <w:pPr>
      <w:keepNext/>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spacing w:before="300" w:line="280" w:lineRule="atLeast"/>
      <w:ind w:left="2381" w:hanging="2381"/>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spacing w:before="300" w:line="280" w:lineRule="atLeast"/>
      <w:ind w:left="709" w:hanging="709"/>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spacing w:before="300"/>
      <w:ind w:left="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uiPriority w:val="9"/>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9F2590"/>
    <w:pPr>
      <w:ind w:left="2268" w:hanging="108"/>
    </w:pPr>
    <w:rPr>
      <w:rFonts w:eastAsia="Times New Roman"/>
      <w:sz w:val="16"/>
    </w:rPr>
  </w:style>
  <w:style w:type="character" w:customStyle="1" w:styleId="FootnoteTextChar">
    <w:name w:val="Footnote Text Char"/>
    <w:basedOn w:val="DefaultParagraphFont"/>
    <w:link w:val="FootnoteText"/>
    <w:uiPriority w:val="19"/>
    <w:rsid w:val="009F2590"/>
    <w:rPr>
      <w:rFonts w:ascii="Arial" w:eastAsia="Times New Roman" w:hAnsi="Arial"/>
      <w:color w:val="595A5B"/>
      <w:sz w:val="16"/>
    </w:rPr>
  </w:style>
  <w:style w:type="paragraph" w:styleId="Footer">
    <w:name w:val="footer"/>
    <w:basedOn w:val="Normal"/>
    <w:link w:val="FooterChar"/>
    <w:uiPriority w:val="9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spacing w:after="120"/>
      <w:ind w:left="340" w:hanging="34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ind w:left="709"/>
    </w:pPr>
  </w:style>
  <w:style w:type="paragraph" w:styleId="ListBullet4">
    <w:name w:val="List Bullet 4"/>
    <w:basedOn w:val="ListBullet3"/>
    <w:rsid w:val="00E12B1D"/>
    <w:pPr>
      <w:ind w:left="1134" w:firstLine="0"/>
    </w:pPr>
  </w:style>
  <w:style w:type="paragraph" w:styleId="ListBullet3">
    <w:name w:val="List Bullet 3"/>
    <w:basedOn w:val="ListBullet2"/>
    <w:uiPriority w:val="4"/>
    <w:qFormat/>
    <w:rsid w:val="00E2785A"/>
    <w:pPr>
      <w:ind w:left="964" w:hanging="255"/>
    </w:pPr>
  </w:style>
  <w:style w:type="paragraph" w:styleId="ListNumber">
    <w:name w:val="List Number"/>
    <w:basedOn w:val="Normal"/>
    <w:uiPriority w:val="4"/>
    <w:qFormat/>
    <w:rsid w:val="004C7203"/>
    <w:pPr>
      <w:numPr>
        <w:numId w:val="11"/>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right="153"/>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2"/>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1"/>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styleId="NormalWeb">
    <w:name w:val="Normal (Web)"/>
    <w:basedOn w:val="Normal"/>
    <w:uiPriority w:val="99"/>
    <w:semiHidden/>
    <w:unhideWhenUsed/>
    <w:rsid w:val="00F669CF"/>
    <w:pPr>
      <w:spacing w:before="100" w:beforeAutospacing="1" w:after="100" w:afterAutospacing="1" w:line="240" w:lineRule="auto"/>
      <w:ind w:left="0"/>
      <w:jc w:val="left"/>
    </w:pPr>
    <w:rPr>
      <w:rFonts w:ascii="Times New Roman" w:eastAsiaTheme="minorEastAsia" w:hAnsi="Times New Roman" w:cs="Times New Roman"/>
      <w:color w:val="auto"/>
      <w:sz w:val="24"/>
      <w:szCs w:val="24"/>
      <w:lang w:eastAsia="en-AU"/>
    </w:rPr>
  </w:style>
  <w:style w:type="character" w:styleId="CommentReference">
    <w:name w:val="annotation reference"/>
    <w:basedOn w:val="DefaultParagraphFont"/>
    <w:semiHidden/>
    <w:unhideWhenUsed/>
    <w:rsid w:val="00A978EA"/>
    <w:rPr>
      <w:sz w:val="16"/>
      <w:szCs w:val="16"/>
    </w:rPr>
  </w:style>
  <w:style w:type="paragraph" w:styleId="CommentText">
    <w:name w:val="annotation text"/>
    <w:basedOn w:val="Normal"/>
    <w:link w:val="CommentTextChar"/>
    <w:unhideWhenUsed/>
    <w:rsid w:val="00A978EA"/>
    <w:pPr>
      <w:spacing w:line="240" w:lineRule="auto"/>
    </w:pPr>
    <w:rPr>
      <w:szCs w:val="20"/>
    </w:rPr>
  </w:style>
  <w:style w:type="character" w:customStyle="1" w:styleId="CommentTextChar">
    <w:name w:val="Comment Text Char"/>
    <w:basedOn w:val="DefaultParagraphFont"/>
    <w:link w:val="CommentText"/>
    <w:rsid w:val="00A978EA"/>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A978EA"/>
    <w:rPr>
      <w:b/>
      <w:bCs/>
    </w:rPr>
  </w:style>
  <w:style w:type="character" w:customStyle="1" w:styleId="CommentSubjectChar">
    <w:name w:val="Comment Subject Char"/>
    <w:basedOn w:val="CommentTextChar"/>
    <w:link w:val="CommentSubject"/>
    <w:semiHidden/>
    <w:rsid w:val="00A978EA"/>
    <w:rPr>
      <w:rFonts w:ascii="Arial" w:hAnsi="Arial"/>
      <w:b/>
      <w:bCs/>
      <w:color w:val="373737"/>
      <w:sz w:val="20"/>
      <w:szCs w:val="20"/>
    </w:rPr>
  </w:style>
  <w:style w:type="paragraph" w:styleId="Revision">
    <w:name w:val="Revision"/>
    <w:hidden/>
    <w:uiPriority w:val="99"/>
    <w:semiHidden/>
    <w:rsid w:val="00BC5202"/>
    <w:pPr>
      <w:spacing w:after="0" w:line="240" w:lineRule="auto"/>
    </w:pPr>
    <w:rPr>
      <w:rFonts w:ascii="Arial" w:hAnsi="Arial"/>
      <w:color w:val="37373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18389">
      <w:bodyDiv w:val="1"/>
      <w:marLeft w:val="0"/>
      <w:marRight w:val="0"/>
      <w:marTop w:val="0"/>
      <w:marBottom w:val="0"/>
      <w:divBdr>
        <w:top w:val="none" w:sz="0" w:space="0" w:color="auto"/>
        <w:left w:val="none" w:sz="0" w:space="0" w:color="auto"/>
        <w:bottom w:val="none" w:sz="0" w:space="0" w:color="auto"/>
        <w:right w:val="none" w:sz="0" w:space="0" w:color="auto"/>
      </w:divBdr>
    </w:div>
    <w:div w:id="45686535">
      <w:bodyDiv w:val="1"/>
      <w:marLeft w:val="0"/>
      <w:marRight w:val="0"/>
      <w:marTop w:val="0"/>
      <w:marBottom w:val="0"/>
      <w:divBdr>
        <w:top w:val="none" w:sz="0" w:space="0" w:color="auto"/>
        <w:left w:val="none" w:sz="0" w:space="0" w:color="auto"/>
        <w:bottom w:val="none" w:sz="0" w:space="0" w:color="auto"/>
        <w:right w:val="none" w:sz="0" w:space="0" w:color="auto"/>
      </w:divBdr>
    </w:div>
    <w:div w:id="49498173">
      <w:bodyDiv w:val="1"/>
      <w:marLeft w:val="0"/>
      <w:marRight w:val="0"/>
      <w:marTop w:val="0"/>
      <w:marBottom w:val="0"/>
      <w:divBdr>
        <w:top w:val="none" w:sz="0" w:space="0" w:color="auto"/>
        <w:left w:val="none" w:sz="0" w:space="0" w:color="auto"/>
        <w:bottom w:val="none" w:sz="0" w:space="0" w:color="auto"/>
        <w:right w:val="none" w:sz="0" w:space="0" w:color="auto"/>
      </w:divBdr>
    </w:div>
    <w:div w:id="155387568">
      <w:bodyDiv w:val="1"/>
      <w:marLeft w:val="0"/>
      <w:marRight w:val="0"/>
      <w:marTop w:val="0"/>
      <w:marBottom w:val="0"/>
      <w:divBdr>
        <w:top w:val="none" w:sz="0" w:space="0" w:color="auto"/>
        <w:left w:val="none" w:sz="0" w:space="0" w:color="auto"/>
        <w:bottom w:val="none" w:sz="0" w:space="0" w:color="auto"/>
        <w:right w:val="none" w:sz="0" w:space="0" w:color="auto"/>
      </w:divBdr>
    </w:div>
    <w:div w:id="186482665">
      <w:bodyDiv w:val="1"/>
      <w:marLeft w:val="0"/>
      <w:marRight w:val="0"/>
      <w:marTop w:val="0"/>
      <w:marBottom w:val="0"/>
      <w:divBdr>
        <w:top w:val="none" w:sz="0" w:space="0" w:color="auto"/>
        <w:left w:val="none" w:sz="0" w:space="0" w:color="auto"/>
        <w:bottom w:val="none" w:sz="0" w:space="0" w:color="auto"/>
        <w:right w:val="none" w:sz="0" w:space="0" w:color="auto"/>
      </w:divBdr>
    </w:div>
    <w:div w:id="212814097">
      <w:bodyDiv w:val="1"/>
      <w:marLeft w:val="0"/>
      <w:marRight w:val="0"/>
      <w:marTop w:val="0"/>
      <w:marBottom w:val="0"/>
      <w:divBdr>
        <w:top w:val="none" w:sz="0" w:space="0" w:color="auto"/>
        <w:left w:val="none" w:sz="0" w:space="0" w:color="auto"/>
        <w:bottom w:val="none" w:sz="0" w:space="0" w:color="auto"/>
        <w:right w:val="none" w:sz="0" w:space="0" w:color="auto"/>
      </w:divBdr>
    </w:div>
    <w:div w:id="251278451">
      <w:bodyDiv w:val="1"/>
      <w:marLeft w:val="0"/>
      <w:marRight w:val="0"/>
      <w:marTop w:val="0"/>
      <w:marBottom w:val="0"/>
      <w:divBdr>
        <w:top w:val="none" w:sz="0" w:space="0" w:color="auto"/>
        <w:left w:val="none" w:sz="0" w:space="0" w:color="auto"/>
        <w:bottom w:val="none" w:sz="0" w:space="0" w:color="auto"/>
        <w:right w:val="none" w:sz="0" w:space="0" w:color="auto"/>
      </w:divBdr>
    </w:div>
    <w:div w:id="270551673">
      <w:bodyDiv w:val="1"/>
      <w:marLeft w:val="0"/>
      <w:marRight w:val="0"/>
      <w:marTop w:val="0"/>
      <w:marBottom w:val="0"/>
      <w:divBdr>
        <w:top w:val="none" w:sz="0" w:space="0" w:color="auto"/>
        <w:left w:val="none" w:sz="0" w:space="0" w:color="auto"/>
        <w:bottom w:val="none" w:sz="0" w:space="0" w:color="auto"/>
        <w:right w:val="none" w:sz="0" w:space="0" w:color="auto"/>
      </w:divBdr>
    </w:div>
    <w:div w:id="449009757">
      <w:bodyDiv w:val="1"/>
      <w:marLeft w:val="0"/>
      <w:marRight w:val="0"/>
      <w:marTop w:val="0"/>
      <w:marBottom w:val="0"/>
      <w:divBdr>
        <w:top w:val="none" w:sz="0" w:space="0" w:color="auto"/>
        <w:left w:val="none" w:sz="0" w:space="0" w:color="auto"/>
        <w:bottom w:val="none" w:sz="0" w:space="0" w:color="auto"/>
        <w:right w:val="none" w:sz="0" w:space="0" w:color="auto"/>
      </w:divBdr>
    </w:div>
    <w:div w:id="525294741">
      <w:bodyDiv w:val="1"/>
      <w:marLeft w:val="0"/>
      <w:marRight w:val="0"/>
      <w:marTop w:val="0"/>
      <w:marBottom w:val="0"/>
      <w:divBdr>
        <w:top w:val="none" w:sz="0" w:space="0" w:color="auto"/>
        <w:left w:val="none" w:sz="0" w:space="0" w:color="auto"/>
        <w:bottom w:val="none" w:sz="0" w:space="0" w:color="auto"/>
        <w:right w:val="none" w:sz="0" w:space="0" w:color="auto"/>
      </w:divBdr>
    </w:div>
    <w:div w:id="529344289">
      <w:bodyDiv w:val="1"/>
      <w:marLeft w:val="0"/>
      <w:marRight w:val="0"/>
      <w:marTop w:val="0"/>
      <w:marBottom w:val="0"/>
      <w:divBdr>
        <w:top w:val="none" w:sz="0" w:space="0" w:color="auto"/>
        <w:left w:val="none" w:sz="0" w:space="0" w:color="auto"/>
        <w:bottom w:val="none" w:sz="0" w:space="0" w:color="auto"/>
        <w:right w:val="none" w:sz="0" w:space="0" w:color="auto"/>
      </w:divBdr>
    </w:div>
    <w:div w:id="550196452">
      <w:bodyDiv w:val="1"/>
      <w:marLeft w:val="0"/>
      <w:marRight w:val="0"/>
      <w:marTop w:val="0"/>
      <w:marBottom w:val="0"/>
      <w:divBdr>
        <w:top w:val="none" w:sz="0" w:space="0" w:color="auto"/>
        <w:left w:val="none" w:sz="0" w:space="0" w:color="auto"/>
        <w:bottom w:val="none" w:sz="0" w:space="0" w:color="auto"/>
        <w:right w:val="none" w:sz="0" w:space="0" w:color="auto"/>
      </w:divBdr>
    </w:div>
    <w:div w:id="557975324">
      <w:bodyDiv w:val="1"/>
      <w:marLeft w:val="0"/>
      <w:marRight w:val="0"/>
      <w:marTop w:val="0"/>
      <w:marBottom w:val="0"/>
      <w:divBdr>
        <w:top w:val="none" w:sz="0" w:space="0" w:color="auto"/>
        <w:left w:val="none" w:sz="0" w:space="0" w:color="auto"/>
        <w:bottom w:val="none" w:sz="0" w:space="0" w:color="auto"/>
        <w:right w:val="none" w:sz="0" w:space="0" w:color="auto"/>
      </w:divBdr>
    </w:div>
    <w:div w:id="598224697">
      <w:bodyDiv w:val="1"/>
      <w:marLeft w:val="0"/>
      <w:marRight w:val="0"/>
      <w:marTop w:val="0"/>
      <w:marBottom w:val="0"/>
      <w:divBdr>
        <w:top w:val="none" w:sz="0" w:space="0" w:color="auto"/>
        <w:left w:val="none" w:sz="0" w:space="0" w:color="auto"/>
        <w:bottom w:val="none" w:sz="0" w:space="0" w:color="auto"/>
        <w:right w:val="none" w:sz="0" w:space="0" w:color="auto"/>
      </w:divBdr>
    </w:div>
    <w:div w:id="699010862">
      <w:bodyDiv w:val="1"/>
      <w:marLeft w:val="0"/>
      <w:marRight w:val="0"/>
      <w:marTop w:val="0"/>
      <w:marBottom w:val="0"/>
      <w:divBdr>
        <w:top w:val="none" w:sz="0" w:space="0" w:color="auto"/>
        <w:left w:val="none" w:sz="0" w:space="0" w:color="auto"/>
        <w:bottom w:val="none" w:sz="0" w:space="0" w:color="auto"/>
        <w:right w:val="none" w:sz="0" w:space="0" w:color="auto"/>
      </w:divBdr>
    </w:div>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780876668">
      <w:bodyDiv w:val="1"/>
      <w:marLeft w:val="0"/>
      <w:marRight w:val="0"/>
      <w:marTop w:val="0"/>
      <w:marBottom w:val="0"/>
      <w:divBdr>
        <w:top w:val="none" w:sz="0" w:space="0" w:color="auto"/>
        <w:left w:val="none" w:sz="0" w:space="0" w:color="auto"/>
        <w:bottom w:val="none" w:sz="0" w:space="0" w:color="auto"/>
        <w:right w:val="none" w:sz="0" w:space="0" w:color="auto"/>
      </w:divBdr>
    </w:div>
    <w:div w:id="796918472">
      <w:bodyDiv w:val="1"/>
      <w:marLeft w:val="0"/>
      <w:marRight w:val="0"/>
      <w:marTop w:val="0"/>
      <w:marBottom w:val="0"/>
      <w:divBdr>
        <w:top w:val="none" w:sz="0" w:space="0" w:color="auto"/>
        <w:left w:val="none" w:sz="0" w:space="0" w:color="auto"/>
        <w:bottom w:val="none" w:sz="0" w:space="0" w:color="auto"/>
        <w:right w:val="none" w:sz="0" w:space="0" w:color="auto"/>
      </w:divBdr>
    </w:div>
    <w:div w:id="801459657">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821964213">
      <w:bodyDiv w:val="1"/>
      <w:marLeft w:val="0"/>
      <w:marRight w:val="0"/>
      <w:marTop w:val="0"/>
      <w:marBottom w:val="0"/>
      <w:divBdr>
        <w:top w:val="none" w:sz="0" w:space="0" w:color="auto"/>
        <w:left w:val="none" w:sz="0" w:space="0" w:color="auto"/>
        <w:bottom w:val="none" w:sz="0" w:space="0" w:color="auto"/>
        <w:right w:val="none" w:sz="0" w:space="0" w:color="auto"/>
      </w:divBdr>
    </w:div>
    <w:div w:id="881554322">
      <w:bodyDiv w:val="1"/>
      <w:marLeft w:val="0"/>
      <w:marRight w:val="0"/>
      <w:marTop w:val="0"/>
      <w:marBottom w:val="0"/>
      <w:divBdr>
        <w:top w:val="none" w:sz="0" w:space="0" w:color="auto"/>
        <w:left w:val="none" w:sz="0" w:space="0" w:color="auto"/>
        <w:bottom w:val="none" w:sz="0" w:space="0" w:color="auto"/>
        <w:right w:val="none" w:sz="0" w:space="0" w:color="auto"/>
      </w:divBdr>
    </w:div>
    <w:div w:id="905650808">
      <w:bodyDiv w:val="1"/>
      <w:marLeft w:val="0"/>
      <w:marRight w:val="0"/>
      <w:marTop w:val="0"/>
      <w:marBottom w:val="0"/>
      <w:divBdr>
        <w:top w:val="none" w:sz="0" w:space="0" w:color="auto"/>
        <w:left w:val="none" w:sz="0" w:space="0" w:color="auto"/>
        <w:bottom w:val="none" w:sz="0" w:space="0" w:color="auto"/>
        <w:right w:val="none" w:sz="0" w:space="0" w:color="auto"/>
      </w:divBdr>
    </w:div>
    <w:div w:id="946548199">
      <w:bodyDiv w:val="1"/>
      <w:marLeft w:val="0"/>
      <w:marRight w:val="0"/>
      <w:marTop w:val="0"/>
      <w:marBottom w:val="0"/>
      <w:divBdr>
        <w:top w:val="none" w:sz="0" w:space="0" w:color="auto"/>
        <w:left w:val="none" w:sz="0" w:space="0" w:color="auto"/>
        <w:bottom w:val="none" w:sz="0" w:space="0" w:color="auto"/>
        <w:right w:val="none" w:sz="0" w:space="0" w:color="auto"/>
      </w:divBdr>
    </w:div>
    <w:div w:id="985234293">
      <w:bodyDiv w:val="1"/>
      <w:marLeft w:val="0"/>
      <w:marRight w:val="0"/>
      <w:marTop w:val="0"/>
      <w:marBottom w:val="0"/>
      <w:divBdr>
        <w:top w:val="none" w:sz="0" w:space="0" w:color="auto"/>
        <w:left w:val="none" w:sz="0" w:space="0" w:color="auto"/>
        <w:bottom w:val="none" w:sz="0" w:space="0" w:color="auto"/>
        <w:right w:val="none" w:sz="0" w:space="0" w:color="auto"/>
      </w:divBdr>
    </w:div>
    <w:div w:id="998312379">
      <w:bodyDiv w:val="1"/>
      <w:marLeft w:val="0"/>
      <w:marRight w:val="0"/>
      <w:marTop w:val="0"/>
      <w:marBottom w:val="0"/>
      <w:divBdr>
        <w:top w:val="none" w:sz="0" w:space="0" w:color="auto"/>
        <w:left w:val="none" w:sz="0" w:space="0" w:color="auto"/>
        <w:bottom w:val="none" w:sz="0" w:space="0" w:color="auto"/>
        <w:right w:val="none" w:sz="0" w:space="0" w:color="auto"/>
      </w:divBdr>
    </w:div>
    <w:div w:id="1036002088">
      <w:bodyDiv w:val="1"/>
      <w:marLeft w:val="0"/>
      <w:marRight w:val="0"/>
      <w:marTop w:val="0"/>
      <w:marBottom w:val="0"/>
      <w:divBdr>
        <w:top w:val="none" w:sz="0" w:space="0" w:color="auto"/>
        <w:left w:val="none" w:sz="0" w:space="0" w:color="auto"/>
        <w:bottom w:val="none" w:sz="0" w:space="0" w:color="auto"/>
        <w:right w:val="none" w:sz="0" w:space="0" w:color="auto"/>
      </w:divBdr>
    </w:div>
    <w:div w:id="1098912634">
      <w:bodyDiv w:val="1"/>
      <w:marLeft w:val="0"/>
      <w:marRight w:val="0"/>
      <w:marTop w:val="0"/>
      <w:marBottom w:val="0"/>
      <w:divBdr>
        <w:top w:val="none" w:sz="0" w:space="0" w:color="auto"/>
        <w:left w:val="none" w:sz="0" w:space="0" w:color="auto"/>
        <w:bottom w:val="none" w:sz="0" w:space="0" w:color="auto"/>
        <w:right w:val="none" w:sz="0" w:space="0" w:color="auto"/>
      </w:divBdr>
    </w:div>
    <w:div w:id="1104688217">
      <w:bodyDiv w:val="1"/>
      <w:marLeft w:val="0"/>
      <w:marRight w:val="0"/>
      <w:marTop w:val="0"/>
      <w:marBottom w:val="0"/>
      <w:divBdr>
        <w:top w:val="none" w:sz="0" w:space="0" w:color="auto"/>
        <w:left w:val="none" w:sz="0" w:space="0" w:color="auto"/>
        <w:bottom w:val="none" w:sz="0" w:space="0" w:color="auto"/>
        <w:right w:val="none" w:sz="0" w:space="0" w:color="auto"/>
      </w:divBdr>
    </w:div>
    <w:div w:id="1107653012">
      <w:bodyDiv w:val="1"/>
      <w:marLeft w:val="0"/>
      <w:marRight w:val="0"/>
      <w:marTop w:val="0"/>
      <w:marBottom w:val="0"/>
      <w:divBdr>
        <w:top w:val="none" w:sz="0" w:space="0" w:color="auto"/>
        <w:left w:val="none" w:sz="0" w:space="0" w:color="auto"/>
        <w:bottom w:val="none" w:sz="0" w:space="0" w:color="auto"/>
        <w:right w:val="none" w:sz="0" w:space="0" w:color="auto"/>
      </w:divBdr>
    </w:div>
    <w:div w:id="1113477507">
      <w:bodyDiv w:val="1"/>
      <w:marLeft w:val="0"/>
      <w:marRight w:val="0"/>
      <w:marTop w:val="0"/>
      <w:marBottom w:val="0"/>
      <w:divBdr>
        <w:top w:val="none" w:sz="0" w:space="0" w:color="auto"/>
        <w:left w:val="none" w:sz="0" w:space="0" w:color="auto"/>
        <w:bottom w:val="none" w:sz="0" w:space="0" w:color="auto"/>
        <w:right w:val="none" w:sz="0" w:space="0" w:color="auto"/>
      </w:divBdr>
    </w:div>
    <w:div w:id="1136339300">
      <w:bodyDiv w:val="1"/>
      <w:marLeft w:val="0"/>
      <w:marRight w:val="0"/>
      <w:marTop w:val="0"/>
      <w:marBottom w:val="0"/>
      <w:divBdr>
        <w:top w:val="none" w:sz="0" w:space="0" w:color="auto"/>
        <w:left w:val="none" w:sz="0" w:space="0" w:color="auto"/>
        <w:bottom w:val="none" w:sz="0" w:space="0" w:color="auto"/>
        <w:right w:val="none" w:sz="0" w:space="0" w:color="auto"/>
      </w:divBdr>
    </w:div>
    <w:div w:id="1150636640">
      <w:bodyDiv w:val="1"/>
      <w:marLeft w:val="0"/>
      <w:marRight w:val="0"/>
      <w:marTop w:val="0"/>
      <w:marBottom w:val="0"/>
      <w:divBdr>
        <w:top w:val="none" w:sz="0" w:space="0" w:color="auto"/>
        <w:left w:val="none" w:sz="0" w:space="0" w:color="auto"/>
        <w:bottom w:val="none" w:sz="0" w:space="0" w:color="auto"/>
        <w:right w:val="none" w:sz="0" w:space="0" w:color="auto"/>
      </w:divBdr>
    </w:div>
    <w:div w:id="1171336078">
      <w:bodyDiv w:val="1"/>
      <w:marLeft w:val="0"/>
      <w:marRight w:val="0"/>
      <w:marTop w:val="0"/>
      <w:marBottom w:val="0"/>
      <w:divBdr>
        <w:top w:val="none" w:sz="0" w:space="0" w:color="auto"/>
        <w:left w:val="none" w:sz="0" w:space="0" w:color="auto"/>
        <w:bottom w:val="none" w:sz="0" w:space="0" w:color="auto"/>
        <w:right w:val="none" w:sz="0" w:space="0" w:color="auto"/>
      </w:divBdr>
    </w:div>
    <w:div w:id="1192299356">
      <w:bodyDiv w:val="1"/>
      <w:marLeft w:val="0"/>
      <w:marRight w:val="0"/>
      <w:marTop w:val="0"/>
      <w:marBottom w:val="0"/>
      <w:divBdr>
        <w:top w:val="none" w:sz="0" w:space="0" w:color="auto"/>
        <w:left w:val="none" w:sz="0" w:space="0" w:color="auto"/>
        <w:bottom w:val="none" w:sz="0" w:space="0" w:color="auto"/>
        <w:right w:val="none" w:sz="0" w:space="0" w:color="auto"/>
      </w:divBdr>
    </w:div>
    <w:div w:id="1207329458">
      <w:bodyDiv w:val="1"/>
      <w:marLeft w:val="0"/>
      <w:marRight w:val="0"/>
      <w:marTop w:val="0"/>
      <w:marBottom w:val="0"/>
      <w:divBdr>
        <w:top w:val="none" w:sz="0" w:space="0" w:color="auto"/>
        <w:left w:val="none" w:sz="0" w:space="0" w:color="auto"/>
        <w:bottom w:val="none" w:sz="0" w:space="0" w:color="auto"/>
        <w:right w:val="none" w:sz="0" w:space="0" w:color="auto"/>
      </w:divBdr>
    </w:div>
    <w:div w:id="1285648047">
      <w:bodyDiv w:val="1"/>
      <w:marLeft w:val="0"/>
      <w:marRight w:val="0"/>
      <w:marTop w:val="0"/>
      <w:marBottom w:val="0"/>
      <w:divBdr>
        <w:top w:val="none" w:sz="0" w:space="0" w:color="auto"/>
        <w:left w:val="none" w:sz="0" w:space="0" w:color="auto"/>
        <w:bottom w:val="none" w:sz="0" w:space="0" w:color="auto"/>
        <w:right w:val="none" w:sz="0" w:space="0" w:color="auto"/>
      </w:divBdr>
    </w:div>
    <w:div w:id="1306662470">
      <w:bodyDiv w:val="1"/>
      <w:marLeft w:val="0"/>
      <w:marRight w:val="0"/>
      <w:marTop w:val="0"/>
      <w:marBottom w:val="0"/>
      <w:divBdr>
        <w:top w:val="none" w:sz="0" w:space="0" w:color="auto"/>
        <w:left w:val="none" w:sz="0" w:space="0" w:color="auto"/>
        <w:bottom w:val="none" w:sz="0" w:space="0" w:color="auto"/>
        <w:right w:val="none" w:sz="0" w:space="0" w:color="auto"/>
      </w:divBdr>
    </w:div>
    <w:div w:id="1368409929">
      <w:bodyDiv w:val="1"/>
      <w:marLeft w:val="0"/>
      <w:marRight w:val="0"/>
      <w:marTop w:val="0"/>
      <w:marBottom w:val="0"/>
      <w:divBdr>
        <w:top w:val="none" w:sz="0" w:space="0" w:color="auto"/>
        <w:left w:val="none" w:sz="0" w:space="0" w:color="auto"/>
        <w:bottom w:val="none" w:sz="0" w:space="0" w:color="auto"/>
        <w:right w:val="none" w:sz="0" w:space="0" w:color="auto"/>
      </w:divBdr>
    </w:div>
    <w:div w:id="1447578722">
      <w:bodyDiv w:val="1"/>
      <w:marLeft w:val="0"/>
      <w:marRight w:val="0"/>
      <w:marTop w:val="0"/>
      <w:marBottom w:val="0"/>
      <w:divBdr>
        <w:top w:val="none" w:sz="0" w:space="0" w:color="auto"/>
        <w:left w:val="none" w:sz="0" w:space="0" w:color="auto"/>
        <w:bottom w:val="none" w:sz="0" w:space="0" w:color="auto"/>
        <w:right w:val="none" w:sz="0" w:space="0" w:color="auto"/>
      </w:divBdr>
    </w:div>
    <w:div w:id="1503817003">
      <w:bodyDiv w:val="1"/>
      <w:marLeft w:val="0"/>
      <w:marRight w:val="0"/>
      <w:marTop w:val="0"/>
      <w:marBottom w:val="0"/>
      <w:divBdr>
        <w:top w:val="none" w:sz="0" w:space="0" w:color="auto"/>
        <w:left w:val="none" w:sz="0" w:space="0" w:color="auto"/>
        <w:bottom w:val="none" w:sz="0" w:space="0" w:color="auto"/>
        <w:right w:val="none" w:sz="0" w:space="0" w:color="auto"/>
      </w:divBdr>
    </w:div>
    <w:div w:id="1525099441">
      <w:bodyDiv w:val="1"/>
      <w:marLeft w:val="0"/>
      <w:marRight w:val="0"/>
      <w:marTop w:val="0"/>
      <w:marBottom w:val="0"/>
      <w:divBdr>
        <w:top w:val="none" w:sz="0" w:space="0" w:color="auto"/>
        <w:left w:val="none" w:sz="0" w:space="0" w:color="auto"/>
        <w:bottom w:val="none" w:sz="0" w:space="0" w:color="auto"/>
        <w:right w:val="none" w:sz="0" w:space="0" w:color="auto"/>
      </w:divBdr>
    </w:div>
    <w:div w:id="1542473519">
      <w:bodyDiv w:val="1"/>
      <w:marLeft w:val="0"/>
      <w:marRight w:val="0"/>
      <w:marTop w:val="0"/>
      <w:marBottom w:val="0"/>
      <w:divBdr>
        <w:top w:val="none" w:sz="0" w:space="0" w:color="auto"/>
        <w:left w:val="none" w:sz="0" w:space="0" w:color="auto"/>
        <w:bottom w:val="none" w:sz="0" w:space="0" w:color="auto"/>
        <w:right w:val="none" w:sz="0" w:space="0" w:color="auto"/>
      </w:divBdr>
    </w:div>
    <w:div w:id="1619558136">
      <w:bodyDiv w:val="1"/>
      <w:marLeft w:val="0"/>
      <w:marRight w:val="0"/>
      <w:marTop w:val="0"/>
      <w:marBottom w:val="0"/>
      <w:divBdr>
        <w:top w:val="none" w:sz="0" w:space="0" w:color="auto"/>
        <w:left w:val="none" w:sz="0" w:space="0" w:color="auto"/>
        <w:bottom w:val="none" w:sz="0" w:space="0" w:color="auto"/>
        <w:right w:val="none" w:sz="0" w:space="0" w:color="auto"/>
      </w:divBdr>
    </w:div>
    <w:div w:id="1624651269">
      <w:bodyDiv w:val="1"/>
      <w:marLeft w:val="0"/>
      <w:marRight w:val="0"/>
      <w:marTop w:val="0"/>
      <w:marBottom w:val="0"/>
      <w:divBdr>
        <w:top w:val="none" w:sz="0" w:space="0" w:color="auto"/>
        <w:left w:val="none" w:sz="0" w:space="0" w:color="auto"/>
        <w:bottom w:val="none" w:sz="0" w:space="0" w:color="auto"/>
        <w:right w:val="none" w:sz="0" w:space="0" w:color="auto"/>
      </w:divBdr>
    </w:div>
    <w:div w:id="1657806915">
      <w:bodyDiv w:val="1"/>
      <w:marLeft w:val="0"/>
      <w:marRight w:val="0"/>
      <w:marTop w:val="0"/>
      <w:marBottom w:val="0"/>
      <w:divBdr>
        <w:top w:val="none" w:sz="0" w:space="0" w:color="auto"/>
        <w:left w:val="none" w:sz="0" w:space="0" w:color="auto"/>
        <w:bottom w:val="none" w:sz="0" w:space="0" w:color="auto"/>
        <w:right w:val="none" w:sz="0" w:space="0" w:color="auto"/>
      </w:divBdr>
      <w:divsChild>
        <w:div w:id="1601526269">
          <w:marLeft w:val="0"/>
          <w:marRight w:val="0"/>
          <w:marTop w:val="0"/>
          <w:marBottom w:val="0"/>
          <w:divBdr>
            <w:top w:val="none" w:sz="0" w:space="0" w:color="auto"/>
            <w:left w:val="none" w:sz="0" w:space="0" w:color="auto"/>
            <w:bottom w:val="none" w:sz="0" w:space="0" w:color="auto"/>
            <w:right w:val="none" w:sz="0" w:space="0" w:color="auto"/>
          </w:divBdr>
          <w:divsChild>
            <w:div w:id="1903832944">
              <w:marLeft w:val="0"/>
              <w:marRight w:val="0"/>
              <w:marTop w:val="0"/>
              <w:marBottom w:val="0"/>
              <w:divBdr>
                <w:top w:val="none" w:sz="0" w:space="0" w:color="auto"/>
                <w:left w:val="none" w:sz="0" w:space="0" w:color="auto"/>
                <w:bottom w:val="none" w:sz="0" w:space="0" w:color="auto"/>
                <w:right w:val="none" w:sz="0" w:space="0" w:color="auto"/>
              </w:divBdr>
              <w:divsChild>
                <w:div w:id="1438063984">
                  <w:marLeft w:val="0"/>
                  <w:marRight w:val="0"/>
                  <w:marTop w:val="0"/>
                  <w:marBottom w:val="0"/>
                  <w:divBdr>
                    <w:top w:val="none" w:sz="0" w:space="0" w:color="auto"/>
                    <w:left w:val="none" w:sz="0" w:space="0" w:color="auto"/>
                    <w:bottom w:val="none" w:sz="0" w:space="0" w:color="auto"/>
                    <w:right w:val="none" w:sz="0" w:space="0" w:color="auto"/>
                  </w:divBdr>
                  <w:divsChild>
                    <w:div w:id="1624772745">
                      <w:marLeft w:val="0"/>
                      <w:marRight w:val="0"/>
                      <w:marTop w:val="0"/>
                      <w:marBottom w:val="0"/>
                      <w:divBdr>
                        <w:top w:val="none" w:sz="0" w:space="0" w:color="auto"/>
                        <w:left w:val="none" w:sz="0" w:space="0" w:color="auto"/>
                        <w:bottom w:val="none" w:sz="0" w:space="0" w:color="auto"/>
                        <w:right w:val="none" w:sz="0" w:space="0" w:color="auto"/>
                      </w:divBdr>
                      <w:divsChild>
                        <w:div w:id="1677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1357">
      <w:bodyDiv w:val="1"/>
      <w:marLeft w:val="0"/>
      <w:marRight w:val="0"/>
      <w:marTop w:val="0"/>
      <w:marBottom w:val="0"/>
      <w:divBdr>
        <w:top w:val="none" w:sz="0" w:space="0" w:color="auto"/>
        <w:left w:val="none" w:sz="0" w:space="0" w:color="auto"/>
        <w:bottom w:val="none" w:sz="0" w:space="0" w:color="auto"/>
        <w:right w:val="none" w:sz="0" w:space="0" w:color="auto"/>
      </w:divBdr>
      <w:divsChild>
        <w:div w:id="1150288769">
          <w:marLeft w:val="0"/>
          <w:marRight w:val="0"/>
          <w:marTop w:val="0"/>
          <w:marBottom w:val="0"/>
          <w:divBdr>
            <w:top w:val="none" w:sz="0" w:space="0" w:color="auto"/>
            <w:left w:val="none" w:sz="0" w:space="0" w:color="auto"/>
            <w:bottom w:val="none" w:sz="0" w:space="0" w:color="auto"/>
            <w:right w:val="none" w:sz="0" w:space="0" w:color="auto"/>
          </w:divBdr>
          <w:divsChild>
            <w:div w:id="923731416">
              <w:marLeft w:val="0"/>
              <w:marRight w:val="0"/>
              <w:marTop w:val="0"/>
              <w:marBottom w:val="0"/>
              <w:divBdr>
                <w:top w:val="none" w:sz="0" w:space="0" w:color="auto"/>
                <w:left w:val="none" w:sz="0" w:space="0" w:color="auto"/>
                <w:bottom w:val="none" w:sz="0" w:space="0" w:color="auto"/>
                <w:right w:val="none" w:sz="0" w:space="0" w:color="auto"/>
              </w:divBdr>
              <w:divsChild>
                <w:div w:id="392894217">
                  <w:marLeft w:val="0"/>
                  <w:marRight w:val="0"/>
                  <w:marTop w:val="0"/>
                  <w:marBottom w:val="0"/>
                  <w:divBdr>
                    <w:top w:val="none" w:sz="0" w:space="0" w:color="auto"/>
                    <w:left w:val="none" w:sz="0" w:space="0" w:color="auto"/>
                    <w:bottom w:val="none" w:sz="0" w:space="0" w:color="auto"/>
                    <w:right w:val="none" w:sz="0" w:space="0" w:color="auto"/>
                  </w:divBdr>
                  <w:divsChild>
                    <w:div w:id="406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48022">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 w:id="1939629634">
      <w:bodyDiv w:val="1"/>
      <w:marLeft w:val="0"/>
      <w:marRight w:val="0"/>
      <w:marTop w:val="0"/>
      <w:marBottom w:val="0"/>
      <w:divBdr>
        <w:top w:val="none" w:sz="0" w:space="0" w:color="auto"/>
        <w:left w:val="none" w:sz="0" w:space="0" w:color="auto"/>
        <w:bottom w:val="none" w:sz="0" w:space="0" w:color="auto"/>
        <w:right w:val="none" w:sz="0" w:space="0" w:color="auto"/>
      </w:divBdr>
    </w:div>
    <w:div w:id="1952588600">
      <w:bodyDiv w:val="1"/>
      <w:marLeft w:val="0"/>
      <w:marRight w:val="0"/>
      <w:marTop w:val="0"/>
      <w:marBottom w:val="0"/>
      <w:divBdr>
        <w:top w:val="none" w:sz="0" w:space="0" w:color="auto"/>
        <w:left w:val="none" w:sz="0" w:space="0" w:color="auto"/>
        <w:bottom w:val="none" w:sz="0" w:space="0" w:color="auto"/>
        <w:right w:val="none" w:sz="0" w:space="0" w:color="auto"/>
      </w:divBdr>
    </w:div>
    <w:div w:id="1975594307">
      <w:bodyDiv w:val="1"/>
      <w:marLeft w:val="0"/>
      <w:marRight w:val="0"/>
      <w:marTop w:val="0"/>
      <w:marBottom w:val="0"/>
      <w:divBdr>
        <w:top w:val="none" w:sz="0" w:space="0" w:color="auto"/>
        <w:left w:val="none" w:sz="0" w:space="0" w:color="auto"/>
        <w:bottom w:val="none" w:sz="0" w:space="0" w:color="auto"/>
        <w:right w:val="none" w:sz="0" w:space="0" w:color="auto"/>
      </w:divBdr>
    </w:div>
    <w:div w:id="2042704770">
      <w:bodyDiv w:val="1"/>
      <w:marLeft w:val="0"/>
      <w:marRight w:val="0"/>
      <w:marTop w:val="0"/>
      <w:marBottom w:val="0"/>
      <w:divBdr>
        <w:top w:val="none" w:sz="0" w:space="0" w:color="auto"/>
        <w:left w:val="none" w:sz="0" w:space="0" w:color="auto"/>
        <w:bottom w:val="none" w:sz="0" w:space="0" w:color="auto"/>
        <w:right w:val="none" w:sz="0" w:space="0" w:color="auto"/>
      </w:divBdr>
    </w:div>
    <w:div w:id="2051034398">
      <w:bodyDiv w:val="1"/>
      <w:marLeft w:val="0"/>
      <w:marRight w:val="0"/>
      <w:marTop w:val="0"/>
      <w:marBottom w:val="0"/>
      <w:divBdr>
        <w:top w:val="none" w:sz="0" w:space="0" w:color="auto"/>
        <w:left w:val="none" w:sz="0" w:space="0" w:color="auto"/>
        <w:bottom w:val="none" w:sz="0" w:space="0" w:color="auto"/>
        <w:right w:val="none" w:sz="0" w:space="0" w:color="auto"/>
      </w:divBdr>
    </w:div>
    <w:div w:id="2078548204">
      <w:bodyDiv w:val="1"/>
      <w:marLeft w:val="0"/>
      <w:marRight w:val="0"/>
      <w:marTop w:val="0"/>
      <w:marBottom w:val="0"/>
      <w:divBdr>
        <w:top w:val="none" w:sz="0" w:space="0" w:color="auto"/>
        <w:left w:val="none" w:sz="0" w:space="0" w:color="auto"/>
        <w:bottom w:val="none" w:sz="0" w:space="0" w:color="auto"/>
        <w:right w:val="none" w:sz="0" w:space="0" w:color="auto"/>
      </w:divBdr>
    </w:div>
    <w:div w:id="2100715966">
      <w:bodyDiv w:val="1"/>
      <w:marLeft w:val="0"/>
      <w:marRight w:val="0"/>
      <w:marTop w:val="0"/>
      <w:marBottom w:val="0"/>
      <w:divBdr>
        <w:top w:val="none" w:sz="0" w:space="0" w:color="auto"/>
        <w:left w:val="none" w:sz="0" w:space="0" w:color="auto"/>
        <w:bottom w:val="none" w:sz="0" w:space="0" w:color="auto"/>
        <w:right w:val="none" w:sz="0" w:space="0" w:color="auto"/>
      </w:divBdr>
    </w:div>
    <w:div w:id="21016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industry.gov.au/OCE" TargetMode="External"/><Relationship Id="rId26" Type="http://schemas.openxmlformats.org/officeDocument/2006/relationships/chart" Target="charts/chart3.xml"/><Relationship Id="rId39" Type="http://schemas.openxmlformats.org/officeDocument/2006/relationships/chart" Target="charts/chart14.xml"/><Relationship Id="rId3" Type="http://schemas.openxmlformats.org/officeDocument/2006/relationships/customXml" Target="../customXml/item3.xml"/><Relationship Id="rId21" Type="http://schemas.openxmlformats.org/officeDocument/2006/relationships/hyperlink" Target="https://en.wikipedia.org/wiki/Commercialization" TargetMode="External"/><Relationship Id="rId34" Type="http://schemas.openxmlformats.org/officeDocument/2006/relationships/chart" Target="charts/chart9.xml"/><Relationship Id="rId42" Type="http://schemas.openxmlformats.org/officeDocument/2006/relationships/chart" Target="charts/chart17.xml"/><Relationship Id="rId47" Type="http://schemas.openxmlformats.org/officeDocument/2006/relationships/chart" Target="charts/chart19.xml"/><Relationship Id="rId50"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hiefeconomist@industry.gov.au" TargetMode="External"/><Relationship Id="rId25" Type="http://schemas.openxmlformats.org/officeDocument/2006/relationships/chart" Target="charts/chart2.xml"/><Relationship Id="rId33" Type="http://schemas.openxmlformats.org/officeDocument/2006/relationships/chart" Target="charts/chart8.xml"/><Relationship Id="rId38" Type="http://schemas.openxmlformats.org/officeDocument/2006/relationships/chart" Target="charts/chart13.xml"/><Relationship Id="rId46"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mailto:ian.moran@industry.gov.au" TargetMode="External"/><Relationship Id="rId20" Type="http://schemas.openxmlformats.org/officeDocument/2006/relationships/footer" Target="footer1.xml"/><Relationship Id="rId29" Type="http://schemas.openxmlformats.org/officeDocument/2006/relationships/image" Target="media/image6.png"/><Relationship Id="rId41" Type="http://schemas.openxmlformats.org/officeDocument/2006/relationships/chart" Target="charts/chart1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1.xml"/><Relationship Id="rId32" Type="http://schemas.openxmlformats.org/officeDocument/2006/relationships/chart" Target="charts/chart7.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image" Target="media/image8.png"/><Relationship Id="rId53"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en.wikipedia.org/wiki/Innovation" TargetMode="External"/><Relationship Id="rId28" Type="http://schemas.openxmlformats.org/officeDocument/2006/relationships/image" Target="media/image5.png"/><Relationship Id="rId36" Type="http://schemas.openxmlformats.org/officeDocument/2006/relationships/chart" Target="charts/chart11.xml"/><Relationship Id="rId49" Type="http://schemas.openxmlformats.org/officeDocument/2006/relationships/chart" Target="charts/chart21.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chart" Target="charts/chart6.xml"/><Relationship Id="rId44" Type="http://schemas.openxmlformats.org/officeDocument/2006/relationships/image" Target="media/image7.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1.png@01D40949.9BC99910" TargetMode="External"/><Relationship Id="rId22" Type="http://schemas.openxmlformats.org/officeDocument/2006/relationships/hyperlink" Target="https://en.wikipedia.org/wiki/Marketing" TargetMode="External"/><Relationship Id="rId27" Type="http://schemas.openxmlformats.org/officeDocument/2006/relationships/chart" Target="charts/chart4.xml"/><Relationship Id="rId30" Type="http://schemas.openxmlformats.org/officeDocument/2006/relationships/chart" Target="charts/chart5.xml"/><Relationship Id="rId35" Type="http://schemas.openxmlformats.org/officeDocument/2006/relationships/chart" Target="charts/chart10.xml"/><Relationship Id="rId43" Type="http://schemas.openxmlformats.org/officeDocument/2006/relationships/chart" Target="charts/chart18.xml"/><Relationship Id="rId48" Type="http://schemas.openxmlformats.org/officeDocument/2006/relationships/chart" Target="charts/chart20.xml"/><Relationship Id="rId8" Type="http://schemas.openxmlformats.org/officeDocument/2006/relationships/settings" Target="settings.xml"/><Relationship Id="rId51"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census.gov/programs-surveys/mops.html" TargetMode="External"/><Relationship Id="rId1" Type="http://schemas.openxmlformats.org/officeDocument/2006/relationships/hyperlink" Target="https://en.wikipedia.org/wiki/The_Visible_Hand:_The_Managerial_Revolution_in_American_Busines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tfp-gap-contributi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data\Cleared%20output\Cleared_Apr%2010_18\992_labour-value-added_simple-table.xlsx" TargetMode="External"/><Relationship Id="rId2" Type="http://schemas.microsoft.com/office/2011/relationships/chartColorStyle" Target="colors7.xml"/><Relationship Id="rId1" Type="http://schemas.microsoft.com/office/2011/relationships/chartStyle" Target="style7.xml"/></Relationships>
</file>

<file path=word/charts/_rels/chart11.xml.rels><?xml version="1.0" encoding="UTF-8" standalone="yes"?>
<Relationships xmlns="http://schemas.openxmlformats.org/package/2006/relationships"><Relationship Id="rId1" Type="http://schemas.openxmlformats.org/officeDocument/2006/relationships/oleObject" Target="file:///\\prod.protected.ind\dochub\DocHubShare\EAS\Business%20Functions\Data%20and%20Analytical%20Services\Innovation%20Research\Innovation%20Research%20Stream\Management%20Capability\data\Cleared%20output\Cleared_Apr%2009_18\991_labour-value-added_regression.xls" TargetMode="External"/></Relationships>
</file>

<file path=word/charts/_rels/chart12.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RProjects\facet-figure\facetdata.xlsx" TargetMode="External"/><Relationship Id="rId2" Type="http://schemas.microsoft.com/office/2011/relationships/chartColorStyle" Target="colors8.xml"/><Relationship Id="rId1" Type="http://schemas.microsoft.com/office/2011/relationships/chartStyle" Target="style8.xml"/></Relationships>
</file>

<file path=word/charts/_rels/chart13.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RProjects\facet-figure\facetdata.xlsx" TargetMode="External"/><Relationship Id="rId2" Type="http://schemas.microsoft.com/office/2011/relationships/chartColorStyle" Target="colors9.xml"/><Relationship Id="rId1" Type="http://schemas.microsoft.com/office/2011/relationships/chartStyle" Target="style9.xml"/></Relationships>
</file>

<file path=word/charts/_rels/chart14.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RProjects\facet-figure\facetdata.xlsx" TargetMode="External"/><Relationship Id="rId2" Type="http://schemas.microsoft.com/office/2011/relationships/chartColorStyle" Target="colors10.xml"/><Relationship Id="rId1" Type="http://schemas.microsoft.com/office/2011/relationships/chartStyle" Target="style10.xml"/></Relationships>
</file>

<file path=word/charts/_rels/chart15.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RProjects\facet-figure\facetdata.xlsx" TargetMode="External"/><Relationship Id="rId2" Type="http://schemas.microsoft.com/office/2011/relationships/chartColorStyle" Target="colors11.xml"/><Relationship Id="rId1" Type="http://schemas.microsoft.com/office/2011/relationships/chartStyle" Target="style11.xml"/></Relationships>
</file>

<file path=word/charts/_rels/chart16.xml.rels><?xml version="1.0" encoding="UTF-8" standalone="yes"?>
<Relationships xmlns="http://schemas.openxmlformats.org/package/2006/relationships"><Relationship Id="rId1" Type="http://schemas.openxmlformats.org/officeDocument/2006/relationships/oleObject" Target="file:///\\prod.protected.ind\dochub\DocHubShare\EAS\Business%20Functions\Data%20and%20Analytical%20Services\Innovation%20Research\Innovation%20Research%20Stream\Management%20Capability\034_management-capability-by-education.xlsx" TargetMode="External"/></Relationships>
</file>

<file path=word/charts/_rels/chart17.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029_management-capability-by-foreign-ownership_l.xlsx" TargetMode="External"/><Relationship Id="rId2" Type="http://schemas.microsoft.com/office/2011/relationships/chartColorStyle" Target="colors12.xml"/><Relationship Id="rId1" Type="http://schemas.microsoft.com/office/2011/relationships/chartStyle" Target="style12.xml"/></Relationships>
</file>

<file path=word/charts/_rels/chart18.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management-hhi-by-industry.xlsx" TargetMode="External"/><Relationship Id="rId2" Type="http://schemas.microsoft.com/office/2011/relationships/chartColorStyle" Target="colors13.xml"/><Relationship Id="rId1" Type="http://schemas.microsoft.com/office/2011/relationships/chartStyle" Target="style13.xml"/></Relationships>
</file>

<file path=word/charts/_rels/chart19.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20Docs%20for%20VA\Charts\taxonomy-elements.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mgmt%20by%20country.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20Docs%20for%20VA\Charts\taxonomy-elements.xlsx" TargetMode="External"/><Relationship Id="rId2" Type="http://schemas.microsoft.com/office/2011/relationships/chartColorStyle" Target="colors15.xml"/><Relationship Id="rId1" Type="http://schemas.microsoft.com/office/2011/relationships/chartStyle" Target="style15.xml"/></Relationships>
</file>

<file path=word/charts/_rels/chart21.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20Docs%20for%20VA\Charts\taxonomy-elements.xlsx" TargetMode="External"/><Relationship Id="rId2" Type="http://schemas.microsoft.com/office/2011/relationships/chartColorStyle" Target="colors16.xml"/><Relationship Id="rId1" Type="http://schemas.microsoft.com/office/2011/relationships/chartStyle" Target="style16.xml"/></Relationships>
</file>

<file path=word/charts/_rels/chart3.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mgmt-dunning-krug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mgmt-dunning-kruger.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1" Type="http://schemas.openxmlformats.org/officeDocument/2006/relationships/oleObject" Target="file:///\\prod.protected.ind\dochub\DocHubShare\EAS\Business%20Functions\Data%20and%20Analytical%20Services\Innovation%20Research\Innovation%20Research%20Stream\Management%20Capability\data\Cleared%20output\Cleared_2018_03_19\000_management-capability.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RProjects\mca-dot-plot\101_mca-dim1-and-management-capability.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1" Type="http://schemas.openxmlformats.org/officeDocument/2006/relationships/oleObject" Target="file:///\\prod.protected.ind\dochub\DocHubShare\EAS\Business%20Functions\Data%20and%20Analytical%20Services\Innovation%20Research\Innovation%20Research%20Stream\Management%20Capability\data\Cleared%20output\Cleared_Mar%2015_18\002_management-capability-by-siz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EAS\Business%20Functions\Data%20and%20Analytical%20Services\Innovation%20Research\Innovation%20Research%20Stream\Management%20Capability\RProjects\mgmnt-capability-by-size-at-industry-level\data\001_management-capability-by-industry.xls" TargetMode="External"/></Relationships>
</file>

<file path=word/charts/_rels/chart9.xml.rels><?xml version="1.0" encoding="UTF-8" standalone="yes"?>
<Relationships xmlns="http://schemas.openxmlformats.org/package/2006/relationships"><Relationship Id="rId3" Type="http://schemas.openxmlformats.org/officeDocument/2006/relationships/oleObject" Target="file:///\\prod.protected.ind\dochub\DocHubShare\EAS\Business%20Functions\Data%20and%20Analytical%20Services\Innovation%20Research\Innovation%20Research%20Stream\Management%20Capability\chartdata_2.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801472732575097"/>
          <c:y val="2.7914626190979338E-2"/>
          <c:w val="0.61817892880577419"/>
          <c:h val="0.84261450399213522"/>
        </c:manualLayout>
      </c:layout>
      <c:barChart>
        <c:barDir val="bar"/>
        <c:grouping val="clustered"/>
        <c:varyColors val="0"/>
        <c:ser>
          <c:idx val="0"/>
          <c:order val="0"/>
          <c:tx>
            <c:strRef>
              <c:f>'tfp-gap-contribution'!$B$1</c:f>
              <c:strCache>
                <c:ptCount val="1"/>
              </c:strCache>
            </c:strRef>
          </c:tx>
          <c:spPr>
            <a:solidFill>
              <a:srgbClr val="005CAF"/>
            </a:solidFill>
            <a:ln>
              <a:noFill/>
            </a:ln>
            <a:effectLst/>
          </c:spPr>
          <c:invertIfNegative val="0"/>
          <c:dPt>
            <c:idx val="12"/>
            <c:invertIfNegative val="0"/>
            <c:bubble3D val="0"/>
            <c:spPr>
              <a:solidFill>
                <a:srgbClr val="F36A5A"/>
              </a:solidFill>
              <a:ln>
                <a:noFill/>
              </a:ln>
              <a:effectLst/>
            </c:spPr>
          </c:dPt>
          <c:cat>
            <c:strRef>
              <c:f>'tfp-gap-contribution'!$A$2:$A$16</c:f>
              <c:strCache>
                <c:ptCount val="15"/>
                <c:pt idx="0">
                  <c:v>Portugal</c:v>
                </c:pt>
                <c:pt idx="1">
                  <c:v>Germany</c:v>
                </c:pt>
                <c:pt idx="2">
                  <c:v>Chile</c:v>
                </c:pt>
                <c:pt idx="3">
                  <c:v>Mexico</c:v>
                </c:pt>
                <c:pt idx="4">
                  <c:v>Argentina</c:v>
                </c:pt>
                <c:pt idx="5">
                  <c:v>Greece</c:v>
                </c:pt>
                <c:pt idx="6">
                  <c:v>Poland</c:v>
                </c:pt>
                <c:pt idx="7">
                  <c:v>Spain</c:v>
                </c:pt>
                <c:pt idx="8">
                  <c:v>Sweden</c:v>
                </c:pt>
                <c:pt idx="9">
                  <c:v>Canada</c:v>
                </c:pt>
                <c:pt idx="10">
                  <c:v>Italy</c:v>
                </c:pt>
                <c:pt idx="11">
                  <c:v>New Zealand</c:v>
                </c:pt>
                <c:pt idx="12">
                  <c:v>Australia</c:v>
                </c:pt>
                <c:pt idx="13">
                  <c:v>France</c:v>
                </c:pt>
                <c:pt idx="14">
                  <c:v>Great Britain</c:v>
                </c:pt>
              </c:strCache>
            </c:strRef>
          </c:cat>
          <c:val>
            <c:numRef>
              <c:f>'tfp-gap-contribution'!$B$2:$B$16</c:f>
              <c:numCache>
                <c:formatCode>General</c:formatCode>
                <c:ptCount val="15"/>
                <c:pt idx="0">
                  <c:v>27.329192549999998</c:v>
                </c:pt>
                <c:pt idx="1">
                  <c:v>28.571428569999998</c:v>
                </c:pt>
                <c:pt idx="2">
                  <c:v>29.39958592</c:v>
                </c:pt>
                <c:pt idx="3">
                  <c:v>30.227743270000001</c:v>
                </c:pt>
                <c:pt idx="4">
                  <c:v>34.989648029999998</c:v>
                </c:pt>
                <c:pt idx="5">
                  <c:v>37.474120079999999</c:v>
                </c:pt>
                <c:pt idx="6">
                  <c:v>39.130434780000002</c:v>
                </c:pt>
                <c:pt idx="7">
                  <c:v>39.130434780000002</c:v>
                </c:pt>
                <c:pt idx="8">
                  <c:v>43.47826087</c:v>
                </c:pt>
                <c:pt idx="9">
                  <c:v>48.447204970000001</c:v>
                </c:pt>
                <c:pt idx="10">
                  <c:v>48.861283640000003</c:v>
                </c:pt>
                <c:pt idx="11">
                  <c:v>51.138716359999997</c:v>
                </c:pt>
                <c:pt idx="12">
                  <c:v>51.75983437</c:v>
                </c:pt>
                <c:pt idx="13">
                  <c:v>52.380952379999997</c:v>
                </c:pt>
                <c:pt idx="14">
                  <c:v>55.27950311</c:v>
                </c:pt>
              </c:numCache>
            </c:numRef>
          </c:val>
        </c:ser>
        <c:dLbls>
          <c:showLegendKey val="0"/>
          <c:showVal val="0"/>
          <c:showCatName val="0"/>
          <c:showSerName val="0"/>
          <c:showPercent val="0"/>
          <c:showBubbleSize val="0"/>
        </c:dLbls>
        <c:gapWidth val="182"/>
        <c:axId val="6896776"/>
        <c:axId val="6895600"/>
      </c:barChart>
      <c:catAx>
        <c:axId val="6896776"/>
        <c:scaling>
          <c:orientation val="minMax"/>
        </c:scaling>
        <c:delete val="0"/>
        <c:axPos val="l"/>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5600"/>
        <c:crosses val="autoZero"/>
        <c:auto val="1"/>
        <c:lblAlgn val="ctr"/>
        <c:lblOffset val="100"/>
        <c:noMultiLvlLbl val="0"/>
      </c:catAx>
      <c:valAx>
        <c:axId val="6895600"/>
        <c:scaling>
          <c:orientation val="minMax"/>
        </c:scaling>
        <c:delete val="0"/>
        <c:axPos val="b"/>
        <c:title>
          <c:tx>
            <c:rich>
              <a:bodyPr rot="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AU" sz="900" b="0" i="0" u="none" strike="noStrike" kern="1200" baseline="0" dirty="0">
                    <a:solidFill>
                      <a:srgbClr val="595A5B"/>
                    </a:solidFill>
                    <a:latin typeface="Arial" panose="020B0604020202020204" pitchFamily="34" charset="0"/>
                    <a:cs typeface="Arial" panose="020B0604020202020204" pitchFamily="34" charset="0"/>
                  </a:rPr>
                  <a:t>Per cent of gap</a:t>
                </a:r>
              </a:p>
            </c:rich>
          </c:tx>
          <c:layout>
            <c:manualLayout>
              <c:xMode val="edge"/>
              <c:yMode val="edge"/>
              <c:x val="0.43999279501826977"/>
              <c:y val="0.93813992655548706"/>
            </c:manualLayout>
          </c:layout>
          <c:overlay val="0"/>
          <c:spPr>
            <a:noFill/>
            <a:ln>
              <a:noFill/>
            </a:ln>
            <a:effectLst/>
          </c:spPr>
          <c:txPr>
            <a:bodyPr rot="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6776"/>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20662195804309"/>
          <c:y val="4.4238890006032573E-2"/>
          <c:w val="0.75447926887614847"/>
          <c:h val="0.72603492131051173"/>
        </c:manualLayout>
      </c:layout>
      <c:barChart>
        <c:barDir val="col"/>
        <c:grouping val="clustered"/>
        <c:varyColors val="0"/>
        <c:ser>
          <c:idx val="0"/>
          <c:order val="0"/>
          <c:spPr>
            <a:solidFill>
              <a:srgbClr val="005CAF"/>
            </a:solidFill>
            <a:ln>
              <a:noFill/>
            </a:ln>
            <a:effectLst/>
          </c:spPr>
          <c:invertIfNegative val="0"/>
          <c:cat>
            <c:strRef>
              <c:f>'992_labour-value-added_simple-t'!$B$12:$B$15</c:f>
              <c:strCache>
                <c:ptCount val="4"/>
                <c:pt idx="0">
                  <c:v>Low Engagement</c:v>
                </c:pt>
                <c:pt idx="1">
                  <c:v>Ad hoc</c:v>
                </c:pt>
                <c:pt idx="2">
                  <c:v>Narrow Focus</c:v>
                </c:pt>
                <c:pt idx="3">
                  <c:v>Strategic</c:v>
                </c:pt>
              </c:strCache>
            </c:strRef>
          </c:cat>
          <c:val>
            <c:numRef>
              <c:f>'992_labour-value-added_simple-t'!$C$12:$C$15</c:f>
              <c:numCache>
                <c:formatCode>General</c:formatCode>
                <c:ptCount val="4"/>
                <c:pt idx="0">
                  <c:v>66.094187026642501</c:v>
                </c:pt>
                <c:pt idx="1">
                  <c:v>75.767063038582094</c:v>
                </c:pt>
                <c:pt idx="2">
                  <c:v>83.663857202783191</c:v>
                </c:pt>
                <c:pt idx="3">
                  <c:v>122.46335205494</c:v>
                </c:pt>
              </c:numCache>
            </c:numRef>
          </c:val>
        </c:ser>
        <c:dLbls>
          <c:showLegendKey val="0"/>
          <c:showVal val="0"/>
          <c:showCatName val="0"/>
          <c:showSerName val="0"/>
          <c:showPercent val="0"/>
          <c:showBubbleSize val="0"/>
        </c:dLbls>
        <c:gapWidth val="219"/>
        <c:overlap val="-27"/>
        <c:axId val="348176632"/>
        <c:axId val="348177416"/>
      </c:barChart>
      <c:catAx>
        <c:axId val="348176632"/>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a:solidFill>
                      <a:srgbClr val="373737"/>
                    </a:solidFill>
                  </a:rPr>
                  <a:t>Management</a:t>
                </a:r>
                <a:r>
                  <a:rPr lang="en-AU" baseline="0">
                    <a:solidFill>
                      <a:srgbClr val="373737"/>
                    </a:solidFill>
                  </a:rPr>
                  <a:t> Capability</a:t>
                </a:r>
                <a:endParaRPr lang="en-AU">
                  <a:solidFill>
                    <a:srgbClr val="373737"/>
                  </a:solidFill>
                </a:endParaRPr>
              </a:p>
            </c:rich>
          </c:tx>
          <c:layout>
            <c:manualLayout>
              <c:xMode val="edge"/>
              <c:yMode val="edge"/>
              <c:x val="0.34772367151325445"/>
              <c:y val="0.9212889762196172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800" b="0" i="0" u="none" strike="noStrike" kern="1200" baseline="0">
                <a:solidFill>
                  <a:srgbClr val="373737"/>
                </a:solidFill>
                <a:latin typeface="Arial"/>
                <a:ea typeface="Arial"/>
                <a:cs typeface="Arial"/>
              </a:defRPr>
            </a:pPr>
            <a:endParaRPr lang="en-US"/>
          </a:p>
        </c:txPr>
        <c:crossAx val="348177416"/>
        <c:crosses val="autoZero"/>
        <c:auto val="1"/>
        <c:lblAlgn val="ctr"/>
        <c:lblOffset val="100"/>
        <c:noMultiLvlLbl val="0"/>
      </c:catAx>
      <c:valAx>
        <c:axId val="348177416"/>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a:solidFill>
                      <a:srgbClr val="373737"/>
                    </a:solidFill>
                  </a:rPr>
                  <a:t>Labour Productivity ('000s)</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48176632"/>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273093912041483"/>
          <c:y val="4.4525243613958168E-2"/>
          <c:w val="0.72221119343394014"/>
          <c:h val="0.69312111321142467"/>
        </c:manualLayout>
      </c:layout>
      <c:scatterChart>
        <c:scatterStyle val="lineMarker"/>
        <c:varyColors val="0"/>
        <c:ser>
          <c:idx val="0"/>
          <c:order val="0"/>
          <c:tx>
            <c:strRef>
              <c:f>'Sheet1 (2)'!$D$2</c:f>
              <c:strCache>
                <c:ptCount val="1"/>
                <c:pt idx="0">
                  <c:v>Low Engagement</c:v>
                </c:pt>
              </c:strCache>
            </c:strRef>
          </c:tx>
          <c:spPr>
            <a:ln w="19050" cap="rnd">
              <a:solidFill>
                <a:srgbClr val="BCBFC1"/>
              </a:solidFill>
              <a:round/>
            </a:ln>
            <a:effectLst/>
          </c:spPr>
          <c:marker>
            <c:symbol val="none"/>
          </c:marker>
          <c:xVal>
            <c:numRef>
              <c:f>'Sheet1 (2)'!$C$12:$C$343</c:f>
              <c:numCache>
                <c:formatCode>General</c:formatCode>
                <c:ptCount val="332"/>
                <c:pt idx="0">
                  <c:v>5.0118723362727229</c:v>
                </c:pt>
                <c:pt idx="1">
                  <c:v>5.1286138399136494</c:v>
                </c:pt>
                <c:pt idx="2">
                  <c:v>5.2480746024977263</c:v>
                </c:pt>
                <c:pt idx="3">
                  <c:v>5.3703179637025285</c:v>
                </c:pt>
                <c:pt idx="4">
                  <c:v>5.4954087385762458</c:v>
                </c:pt>
                <c:pt idx="5">
                  <c:v>5.6234132519034921</c:v>
                </c:pt>
                <c:pt idx="6">
                  <c:v>5.7543993733715713</c:v>
                </c:pt>
                <c:pt idx="7">
                  <c:v>5.8884365535558905</c:v>
                </c:pt>
                <c:pt idx="8">
                  <c:v>6.0255958607435796</c:v>
                </c:pt>
                <c:pt idx="9">
                  <c:v>6.1659500186148231</c:v>
                </c:pt>
                <c:pt idx="10">
                  <c:v>6.3095734448019343</c:v>
                </c:pt>
                <c:pt idx="11">
                  <c:v>6.4565422903465572</c:v>
                </c:pt>
                <c:pt idx="12">
                  <c:v>6.6069344800759611</c:v>
                </c:pt>
                <c:pt idx="13">
                  <c:v>6.7608297539198183</c:v>
                </c:pt>
                <c:pt idx="14">
                  <c:v>6.9183097091893666</c:v>
                </c:pt>
                <c:pt idx="15">
                  <c:v>7.0794578438413795</c:v>
                </c:pt>
                <c:pt idx="16">
                  <c:v>7.2443596007499025</c:v>
                </c:pt>
                <c:pt idx="17">
                  <c:v>7.4131024130091765</c:v>
                </c:pt>
                <c:pt idx="18">
                  <c:v>7.5857757502918375</c:v>
                </c:pt>
                <c:pt idx="19">
                  <c:v>7.7624711662869199</c:v>
                </c:pt>
                <c:pt idx="20">
                  <c:v>7.9432823472428176</c:v>
                </c:pt>
                <c:pt idx="21">
                  <c:v>8.1283051616409931</c:v>
                </c:pt>
                <c:pt idx="22">
                  <c:v>8.3176377110267108</c:v>
                </c:pt>
                <c:pt idx="23">
                  <c:v>8.5113803820237681</c:v>
                </c:pt>
                <c:pt idx="24">
                  <c:v>8.709635899560805</c:v>
                </c:pt>
                <c:pt idx="25">
                  <c:v>8.9125093813374576</c:v>
                </c:pt>
                <c:pt idx="26">
                  <c:v>9.1201083935590983</c:v>
                </c:pt>
                <c:pt idx="27">
                  <c:v>9.3325430079699103</c:v>
                </c:pt>
                <c:pt idx="28">
                  <c:v>9.5499258602143584</c:v>
                </c:pt>
                <c:pt idx="29">
                  <c:v>9.7723722095581103</c:v>
                </c:pt>
                <c:pt idx="30">
                  <c:v>10</c:v>
                </c:pt>
                <c:pt idx="31">
                  <c:v>10.232929922807543</c:v>
                </c:pt>
                <c:pt idx="32">
                  <c:v>10.471285480509</c:v>
                </c:pt>
                <c:pt idx="33">
                  <c:v>10.715193052376069</c:v>
                </c:pt>
                <c:pt idx="34">
                  <c:v>10.964781961431854</c:v>
                </c:pt>
                <c:pt idx="35">
                  <c:v>11.220184543019636</c:v>
                </c:pt>
                <c:pt idx="36">
                  <c:v>11.481536214968834</c:v>
                </c:pt>
                <c:pt idx="37">
                  <c:v>11.748975549395301</c:v>
                </c:pt>
                <c:pt idx="38">
                  <c:v>12.022644346174133</c:v>
                </c:pt>
                <c:pt idx="39">
                  <c:v>12.302687708123818</c:v>
                </c:pt>
                <c:pt idx="40">
                  <c:v>12.58925411794168</c:v>
                </c:pt>
                <c:pt idx="41">
                  <c:v>12.882495516931346</c:v>
                </c:pt>
                <c:pt idx="42">
                  <c:v>13.182567385564075</c:v>
                </c:pt>
                <c:pt idx="43">
                  <c:v>13.489628825916535</c:v>
                </c:pt>
                <c:pt idx="44">
                  <c:v>13.803842646028851</c:v>
                </c:pt>
                <c:pt idx="45">
                  <c:v>14.125375446227544</c:v>
                </c:pt>
                <c:pt idx="46">
                  <c:v>14.454397707459275</c:v>
                </c:pt>
                <c:pt idx="47">
                  <c:v>14.791083881682074</c:v>
                </c:pt>
                <c:pt idx="48">
                  <c:v>15.135612484362087</c:v>
                </c:pt>
                <c:pt idx="49">
                  <c:v>15.488166189124817</c:v>
                </c:pt>
                <c:pt idx="50">
                  <c:v>15.848931924611138</c:v>
                </c:pt>
                <c:pt idx="51">
                  <c:v>16.218100973589298</c:v>
                </c:pt>
                <c:pt idx="52">
                  <c:v>16.595869074375614</c:v>
                </c:pt>
                <c:pt idx="53">
                  <c:v>16.982436524617448</c:v>
                </c:pt>
                <c:pt idx="54">
                  <c:v>17.378008287493756</c:v>
                </c:pt>
                <c:pt idx="55">
                  <c:v>17.782794100389236</c:v>
                </c:pt>
                <c:pt idx="56">
                  <c:v>18.197008586099841</c:v>
                </c:pt>
                <c:pt idx="57">
                  <c:v>18.62087136662868</c:v>
                </c:pt>
                <c:pt idx="58">
                  <c:v>19.054607179632477</c:v>
                </c:pt>
                <c:pt idx="59">
                  <c:v>19.498445997580465</c:v>
                </c:pt>
                <c:pt idx="60">
                  <c:v>19.952623149688804</c:v>
                </c:pt>
                <c:pt idx="61">
                  <c:v>20.4173794466953</c:v>
                </c:pt>
                <c:pt idx="62">
                  <c:v>20.8929613085404</c:v>
                </c:pt>
                <c:pt idx="63">
                  <c:v>21.379620895022335</c:v>
                </c:pt>
                <c:pt idx="64">
                  <c:v>21.877616239495538</c:v>
                </c:pt>
                <c:pt idx="65">
                  <c:v>22.387211385683404</c:v>
                </c:pt>
                <c:pt idx="66">
                  <c:v>22.908676527677738</c:v>
                </c:pt>
                <c:pt idx="67">
                  <c:v>23.442288153199236</c:v>
                </c:pt>
                <c:pt idx="68">
                  <c:v>23.988329190194907</c:v>
                </c:pt>
                <c:pt idx="69">
                  <c:v>24.547089156850305</c:v>
                </c:pt>
                <c:pt idx="70">
                  <c:v>25.118864315095799</c:v>
                </c:pt>
                <c:pt idx="71">
                  <c:v>25.703957827688647</c:v>
                </c:pt>
                <c:pt idx="72">
                  <c:v>26.302679918953825</c:v>
                </c:pt>
                <c:pt idx="73">
                  <c:v>26.915348039269158</c:v>
                </c:pt>
                <c:pt idx="74">
                  <c:v>27.542287033381665</c:v>
                </c:pt>
                <c:pt idx="75">
                  <c:v>28.183829312644548</c:v>
                </c:pt>
                <c:pt idx="76">
                  <c:v>28.840315031266066</c:v>
                </c:pt>
                <c:pt idx="77">
                  <c:v>29.512092266663863</c:v>
                </c:pt>
                <c:pt idx="78">
                  <c:v>30.199517204020164</c:v>
                </c:pt>
                <c:pt idx="79">
                  <c:v>30.902954325135919</c:v>
                </c:pt>
                <c:pt idx="80">
                  <c:v>31.622776601683807</c:v>
                </c:pt>
                <c:pt idx="81">
                  <c:v>32.359365692962832</c:v>
                </c:pt>
                <c:pt idx="82">
                  <c:v>33.113112148259127</c:v>
                </c:pt>
                <c:pt idx="83">
                  <c:v>33.884415613920268</c:v>
                </c:pt>
                <c:pt idx="84">
                  <c:v>34.67368504525318</c:v>
                </c:pt>
                <c:pt idx="85">
                  <c:v>35.481338923357555</c:v>
                </c:pt>
                <c:pt idx="86">
                  <c:v>36.307805477010156</c:v>
                </c:pt>
                <c:pt idx="87">
                  <c:v>37.153522909717275</c:v>
                </c:pt>
                <c:pt idx="88">
                  <c:v>38.018939632056139</c:v>
                </c:pt>
                <c:pt idx="89">
                  <c:v>38.904514499428075</c:v>
                </c:pt>
                <c:pt idx="90">
                  <c:v>39.810717055349755</c:v>
                </c:pt>
                <c:pt idx="91">
                  <c:v>40.738027780411301</c:v>
                </c:pt>
                <c:pt idx="92">
                  <c:v>41.686938347033561</c:v>
                </c:pt>
                <c:pt idx="93">
                  <c:v>42.657951880159267</c:v>
                </c:pt>
                <c:pt idx="94">
                  <c:v>43.651583224016612</c:v>
                </c:pt>
                <c:pt idx="95">
                  <c:v>44.668359215096324</c:v>
                </c:pt>
                <c:pt idx="96">
                  <c:v>45.708818961487509</c:v>
                </c:pt>
                <c:pt idx="97">
                  <c:v>46.773514128719818</c:v>
                </c:pt>
                <c:pt idx="98">
                  <c:v>47.863009232263856</c:v>
                </c:pt>
                <c:pt idx="99">
                  <c:v>48.977881936844632</c:v>
                </c:pt>
                <c:pt idx="100">
                  <c:v>50.118723362727238</c:v>
                </c:pt>
                <c:pt idx="101">
                  <c:v>51.28613839913649</c:v>
                </c:pt>
                <c:pt idx="102">
                  <c:v>52.480746024977286</c:v>
                </c:pt>
                <c:pt idx="103">
                  <c:v>53.703179637025293</c:v>
                </c:pt>
                <c:pt idx="104">
                  <c:v>54.95408738576247</c:v>
                </c:pt>
                <c:pt idx="105">
                  <c:v>56.234132519034915</c:v>
                </c:pt>
                <c:pt idx="106">
                  <c:v>57.543993733715695</c:v>
                </c:pt>
                <c:pt idx="107">
                  <c:v>58.884365535558949</c:v>
                </c:pt>
                <c:pt idx="108">
                  <c:v>60.255958607435822</c:v>
                </c:pt>
                <c:pt idx="109">
                  <c:v>61.659500186148257</c:v>
                </c:pt>
                <c:pt idx="110">
                  <c:v>63.095734448019357</c:v>
                </c:pt>
                <c:pt idx="111">
                  <c:v>64.565422903465588</c:v>
                </c:pt>
                <c:pt idx="112">
                  <c:v>66.069344800759623</c:v>
                </c:pt>
                <c:pt idx="113">
                  <c:v>67.60829753919819</c:v>
                </c:pt>
                <c:pt idx="114">
                  <c:v>69.183097091893657</c:v>
                </c:pt>
                <c:pt idx="115">
                  <c:v>70.794578438413865</c:v>
                </c:pt>
                <c:pt idx="116">
                  <c:v>72.443596007499067</c:v>
                </c:pt>
                <c:pt idx="117">
                  <c:v>74.131024130091816</c:v>
                </c:pt>
                <c:pt idx="118">
                  <c:v>75.857757502918361</c:v>
                </c:pt>
                <c:pt idx="119">
                  <c:v>77.624711662869217</c:v>
                </c:pt>
                <c:pt idx="120">
                  <c:v>79.432823472428197</c:v>
                </c:pt>
                <c:pt idx="121">
                  <c:v>81.283051616409963</c:v>
                </c:pt>
                <c:pt idx="122">
                  <c:v>83.176377110267126</c:v>
                </c:pt>
                <c:pt idx="123">
                  <c:v>85.113803820237663</c:v>
                </c:pt>
                <c:pt idx="124">
                  <c:v>87.096358995608071</c:v>
                </c:pt>
                <c:pt idx="125">
                  <c:v>89.125093813374562</c:v>
                </c:pt>
                <c:pt idx="126">
                  <c:v>91.201083935590972</c:v>
                </c:pt>
                <c:pt idx="127">
                  <c:v>93.325430079699174</c:v>
                </c:pt>
                <c:pt idx="128">
                  <c:v>95.499258602143655</c:v>
                </c:pt>
                <c:pt idx="129">
                  <c:v>97.723722095581124</c:v>
                </c:pt>
                <c:pt idx="130">
                  <c:v>100</c:v>
                </c:pt>
                <c:pt idx="131">
                  <c:v>102.32929922807544</c:v>
                </c:pt>
                <c:pt idx="132">
                  <c:v>104.71285480508998</c:v>
                </c:pt>
                <c:pt idx="133">
                  <c:v>107.15193052376065</c:v>
                </c:pt>
                <c:pt idx="134">
                  <c:v>109.64781961431861</c:v>
                </c:pt>
                <c:pt idx="135">
                  <c:v>112.20184543019634</c:v>
                </c:pt>
                <c:pt idx="136">
                  <c:v>114.81536214968835</c:v>
                </c:pt>
                <c:pt idx="137">
                  <c:v>117.48975549395293</c:v>
                </c:pt>
                <c:pt idx="138">
                  <c:v>120.22644346174135</c:v>
                </c:pt>
                <c:pt idx="139">
                  <c:v>123.02687708123821</c:v>
                </c:pt>
                <c:pt idx="140">
                  <c:v>125.89254117941675</c:v>
                </c:pt>
                <c:pt idx="141">
                  <c:v>128.82495516931343</c:v>
                </c:pt>
                <c:pt idx="142">
                  <c:v>131.82567385564084</c:v>
                </c:pt>
                <c:pt idx="143">
                  <c:v>134.89628825916537</c:v>
                </c:pt>
                <c:pt idx="144">
                  <c:v>138.0384264602886</c:v>
                </c:pt>
                <c:pt idx="145">
                  <c:v>141.25375446227542</c:v>
                </c:pt>
                <c:pt idx="146">
                  <c:v>144.54397707459285</c:v>
                </c:pt>
                <c:pt idx="147">
                  <c:v>147.91083881682084</c:v>
                </c:pt>
                <c:pt idx="148">
                  <c:v>151.3561248436209</c:v>
                </c:pt>
                <c:pt idx="149">
                  <c:v>154.8816618912482</c:v>
                </c:pt>
                <c:pt idx="150">
                  <c:v>158.48931924611153</c:v>
                </c:pt>
                <c:pt idx="151">
                  <c:v>162.18100973589304</c:v>
                </c:pt>
                <c:pt idx="152">
                  <c:v>165.95869074375622</c:v>
                </c:pt>
                <c:pt idx="153">
                  <c:v>169.82436524617444</c:v>
                </c:pt>
                <c:pt idx="154">
                  <c:v>173.78008287493768</c:v>
                </c:pt>
                <c:pt idx="155">
                  <c:v>177.82794100389242</c:v>
                </c:pt>
                <c:pt idx="156">
                  <c:v>181.9700858609983</c:v>
                </c:pt>
                <c:pt idx="157">
                  <c:v>186.20871366628685</c:v>
                </c:pt>
                <c:pt idx="158">
                  <c:v>190.54607179632481</c:v>
                </c:pt>
                <c:pt idx="159">
                  <c:v>194.98445997580458</c:v>
                </c:pt>
                <c:pt idx="160">
                  <c:v>199.52623149688802</c:v>
                </c:pt>
                <c:pt idx="161">
                  <c:v>204.17379446695315</c:v>
                </c:pt>
                <c:pt idx="162">
                  <c:v>208.92961308540396</c:v>
                </c:pt>
                <c:pt idx="163">
                  <c:v>213.79620895022339</c:v>
                </c:pt>
                <c:pt idx="164">
                  <c:v>218.77616239495524</c:v>
                </c:pt>
                <c:pt idx="165">
                  <c:v>223.87211385683412</c:v>
                </c:pt>
                <c:pt idx="166">
                  <c:v>229.08676527677744</c:v>
                </c:pt>
                <c:pt idx="167">
                  <c:v>234.42288153199232</c:v>
                </c:pt>
                <c:pt idx="168">
                  <c:v>239.88329190194912</c:v>
                </c:pt>
                <c:pt idx="169">
                  <c:v>245.4708915685033</c:v>
                </c:pt>
                <c:pt idx="170">
                  <c:v>251.18864315095806</c:v>
                </c:pt>
                <c:pt idx="171">
                  <c:v>257.03957827688663</c:v>
                </c:pt>
                <c:pt idx="172">
                  <c:v>263.02679918953817</c:v>
                </c:pt>
                <c:pt idx="173">
                  <c:v>269.15348039269179</c:v>
                </c:pt>
                <c:pt idx="174">
                  <c:v>275.42287033381683</c:v>
                </c:pt>
                <c:pt idx="175">
                  <c:v>281.83829312644554</c:v>
                </c:pt>
                <c:pt idx="176">
                  <c:v>288.40315031266073</c:v>
                </c:pt>
                <c:pt idx="177">
                  <c:v>295.12092266663893</c:v>
                </c:pt>
                <c:pt idx="178">
                  <c:v>301.99517204020168</c:v>
                </c:pt>
                <c:pt idx="179">
                  <c:v>309.02954325135937</c:v>
                </c:pt>
                <c:pt idx="180">
                  <c:v>316.22776601683825</c:v>
                </c:pt>
                <c:pt idx="181">
                  <c:v>323.59365692962825</c:v>
                </c:pt>
                <c:pt idx="182">
                  <c:v>331.13112148259137</c:v>
                </c:pt>
                <c:pt idx="183">
                  <c:v>338.84415613920248</c:v>
                </c:pt>
                <c:pt idx="184">
                  <c:v>346.73685045253183</c:v>
                </c:pt>
                <c:pt idx="185">
                  <c:v>354.81338923357566</c:v>
                </c:pt>
                <c:pt idx="186">
                  <c:v>363.07805477010152</c:v>
                </c:pt>
                <c:pt idx="187">
                  <c:v>371.53522909717265</c:v>
                </c:pt>
                <c:pt idx="188">
                  <c:v>380.18939632056163</c:v>
                </c:pt>
                <c:pt idx="189">
                  <c:v>389.04514499428063</c:v>
                </c:pt>
                <c:pt idx="190">
                  <c:v>398.10717055349761</c:v>
                </c:pt>
                <c:pt idx="191">
                  <c:v>407.38027780411272</c:v>
                </c:pt>
                <c:pt idx="192">
                  <c:v>416.86938347033572</c:v>
                </c:pt>
                <c:pt idx="193">
                  <c:v>426.57951880159294</c:v>
                </c:pt>
                <c:pt idx="194">
                  <c:v>436.51583224016622</c:v>
                </c:pt>
                <c:pt idx="195">
                  <c:v>446.68359215096331</c:v>
                </c:pt>
                <c:pt idx="196">
                  <c:v>457.0881896148756</c:v>
                </c:pt>
                <c:pt idx="197">
                  <c:v>467.7351412871983</c:v>
                </c:pt>
                <c:pt idx="198">
                  <c:v>478.63009232263886</c:v>
                </c:pt>
                <c:pt idx="199">
                  <c:v>489.77881936844625</c:v>
                </c:pt>
                <c:pt idx="200">
                  <c:v>501.18723362727269</c:v>
                </c:pt>
                <c:pt idx="201">
                  <c:v>512.86138399136519</c:v>
                </c:pt>
                <c:pt idx="202">
                  <c:v>524.80746024977293</c:v>
                </c:pt>
                <c:pt idx="203">
                  <c:v>537.03179637025301</c:v>
                </c:pt>
                <c:pt idx="204">
                  <c:v>549.54087385762534</c:v>
                </c:pt>
                <c:pt idx="205">
                  <c:v>562.34132519034927</c:v>
                </c:pt>
                <c:pt idx="206">
                  <c:v>575.43993733715706</c:v>
                </c:pt>
                <c:pt idx="207">
                  <c:v>588.84365535558959</c:v>
                </c:pt>
                <c:pt idx="208">
                  <c:v>602.55958607435775</c:v>
                </c:pt>
                <c:pt idx="209">
                  <c:v>616.59500186148273</c:v>
                </c:pt>
                <c:pt idx="210">
                  <c:v>630.95734448019323</c:v>
                </c:pt>
                <c:pt idx="211">
                  <c:v>645.65422903465594</c:v>
                </c:pt>
                <c:pt idx="212">
                  <c:v>660.69344800759643</c:v>
                </c:pt>
                <c:pt idx="213">
                  <c:v>676.08297539198213</c:v>
                </c:pt>
                <c:pt idx="214">
                  <c:v>691.83097091893671</c:v>
                </c:pt>
                <c:pt idx="215">
                  <c:v>707.94578438413873</c:v>
                </c:pt>
                <c:pt idx="216">
                  <c:v>724.43596007499025</c:v>
                </c:pt>
                <c:pt idx="217">
                  <c:v>741.31024130091828</c:v>
                </c:pt>
                <c:pt idx="218">
                  <c:v>758.57757502918378</c:v>
                </c:pt>
                <c:pt idx="219">
                  <c:v>776.24711662869231</c:v>
                </c:pt>
                <c:pt idx="220">
                  <c:v>794.32823472428208</c:v>
                </c:pt>
                <c:pt idx="221">
                  <c:v>812.83051616409978</c:v>
                </c:pt>
                <c:pt idx="222">
                  <c:v>831.7637711026714</c:v>
                </c:pt>
                <c:pt idx="223">
                  <c:v>851.13803820237763</c:v>
                </c:pt>
                <c:pt idx="224">
                  <c:v>870.96358995608091</c:v>
                </c:pt>
                <c:pt idx="225">
                  <c:v>891.25093813374656</c:v>
                </c:pt>
                <c:pt idx="226">
                  <c:v>912.01083935590987</c:v>
                </c:pt>
                <c:pt idx="227">
                  <c:v>933.25430079699197</c:v>
                </c:pt>
                <c:pt idx="228">
                  <c:v>954.99258602143675</c:v>
                </c:pt>
                <c:pt idx="229">
                  <c:v>977.23722095581138</c:v>
                </c:pt>
                <c:pt idx="230">
                  <c:v>1000</c:v>
                </c:pt>
                <c:pt idx="231">
                  <c:v>1023.2929922807548</c:v>
                </c:pt>
                <c:pt idx="232">
                  <c:v>1047.1285480509</c:v>
                </c:pt>
                <c:pt idx="233">
                  <c:v>1071.5193052376069</c:v>
                </c:pt>
                <c:pt idx="234">
                  <c:v>1096.4781961431863</c:v>
                </c:pt>
                <c:pt idx="235">
                  <c:v>1122.0184543019636</c:v>
                </c:pt>
                <c:pt idx="236">
                  <c:v>1148.1536214968839</c:v>
                </c:pt>
                <c:pt idx="237">
                  <c:v>1174.8975549395295</c:v>
                </c:pt>
                <c:pt idx="238">
                  <c:v>1202.2644346174138</c:v>
                </c:pt>
                <c:pt idx="239">
                  <c:v>1230.2687708123824</c:v>
                </c:pt>
                <c:pt idx="240">
                  <c:v>1258.925411794168</c:v>
                </c:pt>
                <c:pt idx="241">
                  <c:v>1288.2495516931347</c:v>
                </c:pt>
                <c:pt idx="242">
                  <c:v>1318.2567385564089</c:v>
                </c:pt>
                <c:pt idx="243">
                  <c:v>1348.9628825916541</c:v>
                </c:pt>
                <c:pt idx="244">
                  <c:v>1380.3842646028863</c:v>
                </c:pt>
                <c:pt idx="245">
                  <c:v>1412.5375446227545</c:v>
                </c:pt>
                <c:pt idx="246">
                  <c:v>1445.4397707459289</c:v>
                </c:pt>
                <c:pt idx="247">
                  <c:v>1479.1083881682086</c:v>
                </c:pt>
                <c:pt idx="248">
                  <c:v>1513.5612484362093</c:v>
                </c:pt>
                <c:pt idx="249">
                  <c:v>1548.8166189124822</c:v>
                </c:pt>
                <c:pt idx="250">
                  <c:v>1584.8931924611156</c:v>
                </c:pt>
                <c:pt idx="251">
                  <c:v>1621.8100973589308</c:v>
                </c:pt>
                <c:pt idx="252">
                  <c:v>1659.5869074375626</c:v>
                </c:pt>
                <c:pt idx="253">
                  <c:v>1698.2436524617447</c:v>
                </c:pt>
                <c:pt idx="254">
                  <c:v>1737.8008287493772</c:v>
                </c:pt>
                <c:pt idx="255">
                  <c:v>1778.2794100389244</c:v>
                </c:pt>
                <c:pt idx="256">
                  <c:v>1819.7008586099832</c:v>
                </c:pt>
                <c:pt idx="257">
                  <c:v>1862.0871366628687</c:v>
                </c:pt>
                <c:pt idx="258">
                  <c:v>1905.4607179632485</c:v>
                </c:pt>
                <c:pt idx="259">
                  <c:v>1949.8445997580463</c:v>
                </c:pt>
                <c:pt idx="260">
                  <c:v>1995.2623149688804</c:v>
                </c:pt>
                <c:pt idx="261">
                  <c:v>2041.7379446695318</c:v>
                </c:pt>
                <c:pt idx="262">
                  <c:v>2089.2961308540398</c:v>
                </c:pt>
                <c:pt idx="263">
                  <c:v>2137.9620895022344</c:v>
                </c:pt>
                <c:pt idx="264">
                  <c:v>2187.7616239495528</c:v>
                </c:pt>
                <c:pt idx="265">
                  <c:v>2238.7211385683418</c:v>
                </c:pt>
                <c:pt idx="266">
                  <c:v>2290.8676527677749</c:v>
                </c:pt>
                <c:pt idx="267">
                  <c:v>2344.2288153199238</c:v>
                </c:pt>
                <c:pt idx="268">
                  <c:v>2398.8329190194918</c:v>
                </c:pt>
                <c:pt idx="269">
                  <c:v>2454.7089156850338</c:v>
                </c:pt>
                <c:pt idx="270">
                  <c:v>2511.8864315095811</c:v>
                </c:pt>
                <c:pt idx="271">
                  <c:v>2570.3957827688669</c:v>
                </c:pt>
                <c:pt idx="272">
                  <c:v>2630.2679918953822</c:v>
                </c:pt>
                <c:pt idx="273">
                  <c:v>2691.5348039269184</c:v>
                </c:pt>
                <c:pt idx="274">
                  <c:v>2754.228703338169</c:v>
                </c:pt>
                <c:pt idx="275">
                  <c:v>2818.3829312644561</c:v>
                </c:pt>
                <c:pt idx="276">
                  <c:v>2884.0315031266077</c:v>
                </c:pt>
                <c:pt idx="277">
                  <c:v>2951.2092266663899</c:v>
                </c:pt>
                <c:pt idx="278">
                  <c:v>3019.9517204020176</c:v>
                </c:pt>
                <c:pt idx="279">
                  <c:v>3090.295432513592</c:v>
                </c:pt>
                <c:pt idx="280">
                  <c:v>3162.2776601683804</c:v>
                </c:pt>
                <c:pt idx="281">
                  <c:v>3235.9365692962833</c:v>
                </c:pt>
                <c:pt idx="282">
                  <c:v>3311.3112148259115</c:v>
                </c:pt>
                <c:pt idx="283">
                  <c:v>3388.4415613920255</c:v>
                </c:pt>
                <c:pt idx="284">
                  <c:v>3467.3685045253224</c:v>
                </c:pt>
                <c:pt idx="285">
                  <c:v>3548.1338923357539</c:v>
                </c:pt>
                <c:pt idx="286">
                  <c:v>3630.7805477010188</c:v>
                </c:pt>
                <c:pt idx="287">
                  <c:v>3715.352290971724</c:v>
                </c:pt>
                <c:pt idx="288">
                  <c:v>3801.8939632056172</c:v>
                </c:pt>
                <c:pt idx="289">
                  <c:v>3890.451449942811</c:v>
                </c:pt>
                <c:pt idx="290">
                  <c:v>3981.0717055349769</c:v>
                </c:pt>
                <c:pt idx="291">
                  <c:v>4073.8027780411317</c:v>
                </c:pt>
                <c:pt idx="292">
                  <c:v>4168.6938347033583</c:v>
                </c:pt>
                <c:pt idx="293">
                  <c:v>4265.7951880159299</c:v>
                </c:pt>
                <c:pt idx="294">
                  <c:v>4365.1583224016631</c:v>
                </c:pt>
                <c:pt idx="295">
                  <c:v>4466.8359215096343</c:v>
                </c:pt>
                <c:pt idx="296">
                  <c:v>4570.8818961487532</c:v>
                </c:pt>
                <c:pt idx="297">
                  <c:v>4677.3514128719844</c:v>
                </c:pt>
                <c:pt idx="298">
                  <c:v>4786.3009232263848</c:v>
                </c:pt>
                <c:pt idx="299">
                  <c:v>4897.7881936844633</c:v>
                </c:pt>
                <c:pt idx="300">
                  <c:v>5011.8723362727324</c:v>
                </c:pt>
                <c:pt idx="301">
                  <c:v>5128.6138399136489</c:v>
                </c:pt>
                <c:pt idx="302">
                  <c:v>5248.0746024977352</c:v>
                </c:pt>
                <c:pt idx="303">
                  <c:v>5370.3179637025269</c:v>
                </c:pt>
                <c:pt idx="304">
                  <c:v>5495.4087385762541</c:v>
                </c:pt>
                <c:pt idx="305">
                  <c:v>5623.4132519034993</c:v>
                </c:pt>
                <c:pt idx="306">
                  <c:v>5754.399373371567</c:v>
                </c:pt>
                <c:pt idx="307">
                  <c:v>5888.4365535558973</c:v>
                </c:pt>
                <c:pt idx="308">
                  <c:v>6025.595860743585</c:v>
                </c:pt>
                <c:pt idx="309">
                  <c:v>6165.9500186148289</c:v>
                </c:pt>
                <c:pt idx="310">
                  <c:v>6309.5734448019384</c:v>
                </c:pt>
                <c:pt idx="311">
                  <c:v>6456.5422903465615</c:v>
                </c:pt>
                <c:pt idx="312">
                  <c:v>6606.9344800759654</c:v>
                </c:pt>
                <c:pt idx="313">
                  <c:v>6760.8297539198229</c:v>
                </c:pt>
                <c:pt idx="314">
                  <c:v>6918.3097091893687</c:v>
                </c:pt>
                <c:pt idx="315">
                  <c:v>7079.4578438413828</c:v>
                </c:pt>
                <c:pt idx="316">
                  <c:v>7244.3596007499036</c:v>
                </c:pt>
                <c:pt idx="317">
                  <c:v>7413.1024130091773</c:v>
                </c:pt>
                <c:pt idx="318">
                  <c:v>7585.7757502918394</c:v>
                </c:pt>
                <c:pt idx="319">
                  <c:v>7762.4711662869322</c:v>
                </c:pt>
                <c:pt idx="320">
                  <c:v>7943.2823472428154</c:v>
                </c:pt>
                <c:pt idx="321">
                  <c:v>8128.3051616410075</c:v>
                </c:pt>
                <c:pt idx="322">
                  <c:v>8317.6377110267094</c:v>
                </c:pt>
                <c:pt idx="323">
                  <c:v>8511.3803820237772</c:v>
                </c:pt>
                <c:pt idx="324">
                  <c:v>8709.6358995608189</c:v>
                </c:pt>
                <c:pt idx="325">
                  <c:v>8912.5093813374679</c:v>
                </c:pt>
                <c:pt idx="326">
                  <c:v>9120.1083935591087</c:v>
                </c:pt>
                <c:pt idx="327">
                  <c:v>9332.5430079699217</c:v>
                </c:pt>
                <c:pt idx="328">
                  <c:v>9549.9258602143691</c:v>
                </c:pt>
                <c:pt idx="329">
                  <c:v>9772.3722095581161</c:v>
                </c:pt>
                <c:pt idx="330">
                  <c:v>10000</c:v>
                </c:pt>
              </c:numCache>
            </c:numRef>
          </c:xVal>
          <c:yVal>
            <c:numRef>
              <c:f>'Sheet1 (2)'!$D$12:$D$343</c:f>
              <c:numCache>
                <c:formatCode>General</c:formatCode>
                <c:ptCount val="332"/>
                <c:pt idx="0">
                  <c:v>73.577038999999999</c:v>
                </c:pt>
                <c:pt idx="1">
                  <c:v>73.441009613000006</c:v>
                </c:pt>
                <c:pt idx="2">
                  <c:v>73.310960384000012</c:v>
                </c:pt>
                <c:pt idx="3">
                  <c:v>73.186836011000011</c:v>
                </c:pt>
                <c:pt idx="4">
                  <c:v>73.068581192000011</c:v>
                </c:pt>
                <c:pt idx="5">
                  <c:v>72.956140625000003</c:v>
                </c:pt>
                <c:pt idx="6">
                  <c:v>72.849459007999997</c:v>
                </c:pt>
                <c:pt idx="7">
                  <c:v>72.748481038999998</c:v>
                </c:pt>
                <c:pt idx="8">
                  <c:v>72.653151416000014</c:v>
                </c:pt>
                <c:pt idx="9">
                  <c:v>72.56341483700001</c:v>
                </c:pt>
                <c:pt idx="10">
                  <c:v>72.479215999999994</c:v>
                </c:pt>
                <c:pt idx="11">
                  <c:v>72.400499602999986</c:v>
                </c:pt>
                <c:pt idx="12">
                  <c:v>72.327210344000008</c:v>
                </c:pt>
                <c:pt idx="13">
                  <c:v>72.259292921000011</c:v>
                </c:pt>
                <c:pt idx="14">
                  <c:v>72.196692032000001</c:v>
                </c:pt>
                <c:pt idx="15">
                  <c:v>72.139352374999987</c:v>
                </c:pt>
                <c:pt idx="16">
                  <c:v>72.08721864799999</c:v>
                </c:pt>
                <c:pt idx="17">
                  <c:v>72.040235548999988</c:v>
                </c:pt>
                <c:pt idx="18">
                  <c:v>71.998347775999989</c:v>
                </c:pt>
                <c:pt idx="19">
                  <c:v>71.961500027</c:v>
                </c:pt>
                <c:pt idx="20">
                  <c:v>71.929637</c:v>
                </c:pt>
                <c:pt idx="21">
                  <c:v>71.90270339300001</c:v>
                </c:pt>
                <c:pt idx="22">
                  <c:v>71.880643903999996</c:v>
                </c:pt>
                <c:pt idx="23">
                  <c:v>71.863403230999992</c:v>
                </c:pt>
                <c:pt idx="24">
                  <c:v>71.850926072000007</c:v>
                </c:pt>
                <c:pt idx="25">
                  <c:v>71.843157125000005</c:v>
                </c:pt>
                <c:pt idx="26">
                  <c:v>71.840041088000007</c:v>
                </c:pt>
                <c:pt idx="27">
                  <c:v>71.841522658999992</c:v>
                </c:pt>
                <c:pt idx="28">
                  <c:v>71.84754653600001</c:v>
                </c:pt>
                <c:pt idx="29">
                  <c:v>71.858057416999998</c:v>
                </c:pt>
                <c:pt idx="30">
                  <c:v>71.873000000000005</c:v>
                </c:pt>
                <c:pt idx="31">
                  <c:v>71.89231898300001</c:v>
                </c:pt>
                <c:pt idx="32">
                  <c:v>71.915959063999992</c:v>
                </c:pt>
                <c:pt idx="33">
                  <c:v>71.943864941000001</c:v>
                </c:pt>
                <c:pt idx="34">
                  <c:v>71.975981311999988</c:v>
                </c:pt>
                <c:pt idx="35">
                  <c:v>72.012252874999987</c:v>
                </c:pt>
                <c:pt idx="36">
                  <c:v>72.052624328000007</c:v>
                </c:pt>
                <c:pt idx="37">
                  <c:v>72.097040368999998</c:v>
                </c:pt>
                <c:pt idx="38">
                  <c:v>72.14544569600001</c:v>
                </c:pt>
                <c:pt idx="39">
                  <c:v>72.197785006999993</c:v>
                </c:pt>
                <c:pt idx="40">
                  <c:v>72.254002999999997</c:v>
                </c:pt>
                <c:pt idx="41">
                  <c:v>72.314044373000016</c:v>
                </c:pt>
                <c:pt idx="42">
                  <c:v>72.377853823999985</c:v>
                </c:pt>
                <c:pt idx="43">
                  <c:v>72.445376051000011</c:v>
                </c:pt>
                <c:pt idx="44">
                  <c:v>72.516555751999988</c:v>
                </c:pt>
                <c:pt idx="45">
                  <c:v>72.591337624999994</c:v>
                </c:pt>
                <c:pt idx="46">
                  <c:v>72.669666368000009</c:v>
                </c:pt>
                <c:pt idx="47">
                  <c:v>72.751486678999996</c:v>
                </c:pt>
                <c:pt idx="48">
                  <c:v>72.836743256000005</c:v>
                </c:pt>
                <c:pt idx="49">
                  <c:v>72.925380796999988</c:v>
                </c:pt>
                <c:pt idx="50">
                  <c:v>73.017344000000008</c:v>
                </c:pt>
                <c:pt idx="51">
                  <c:v>73.112577563000016</c:v>
                </c:pt>
                <c:pt idx="52">
                  <c:v>73.211026183999991</c:v>
                </c:pt>
                <c:pt idx="53">
                  <c:v>73.312634560999996</c:v>
                </c:pt>
                <c:pt idx="54">
                  <c:v>73.417347391999996</c:v>
                </c:pt>
                <c:pt idx="55">
                  <c:v>73.525109375</c:v>
                </c:pt>
                <c:pt idx="56">
                  <c:v>73.635865207999998</c:v>
                </c:pt>
                <c:pt idx="57">
                  <c:v>73.749559589</c:v>
                </c:pt>
                <c:pt idx="58">
                  <c:v>73.866137215999998</c:v>
                </c:pt>
                <c:pt idx="59">
                  <c:v>73.985542787</c:v>
                </c:pt>
                <c:pt idx="60">
                  <c:v>74.107720999999984</c:v>
                </c:pt>
                <c:pt idx="61">
                  <c:v>74.232616553</c:v>
                </c:pt>
                <c:pt idx="62">
                  <c:v>74.360174143999998</c:v>
                </c:pt>
                <c:pt idx="63">
                  <c:v>74.490338471000015</c:v>
                </c:pt>
                <c:pt idx="64">
                  <c:v>74.623054232000015</c:v>
                </c:pt>
                <c:pt idx="65">
                  <c:v>74.758266125000006</c:v>
                </c:pt>
                <c:pt idx="66">
                  <c:v>74.895918848000008</c:v>
                </c:pt>
                <c:pt idx="67">
                  <c:v>75.035957098999987</c:v>
                </c:pt>
                <c:pt idx="68">
                  <c:v>75.178325576000006</c:v>
                </c:pt>
                <c:pt idx="69">
                  <c:v>75.322968977000002</c:v>
                </c:pt>
                <c:pt idx="70">
                  <c:v>75.469832000000011</c:v>
                </c:pt>
                <c:pt idx="71">
                  <c:v>75.618859342999997</c:v>
                </c:pt>
                <c:pt idx="72">
                  <c:v>75.769995703999996</c:v>
                </c:pt>
                <c:pt idx="73">
                  <c:v>75.923185781000001</c:v>
                </c:pt>
                <c:pt idx="74">
                  <c:v>76.078374271999991</c:v>
                </c:pt>
                <c:pt idx="75">
                  <c:v>76.235505875000001</c:v>
                </c:pt>
                <c:pt idx="76">
                  <c:v>76.394525287999983</c:v>
                </c:pt>
                <c:pt idx="77">
                  <c:v>76.555377209</c:v>
                </c:pt>
                <c:pt idx="78">
                  <c:v>76.718006335999988</c:v>
                </c:pt>
                <c:pt idx="79">
                  <c:v>76.882357366999997</c:v>
                </c:pt>
                <c:pt idx="80">
                  <c:v>77.048374999999993</c:v>
                </c:pt>
                <c:pt idx="81">
                  <c:v>77.216003932999996</c:v>
                </c:pt>
                <c:pt idx="82">
                  <c:v>77.385188864</c:v>
                </c:pt>
                <c:pt idx="83">
                  <c:v>77.555874490999997</c:v>
                </c:pt>
                <c:pt idx="84">
                  <c:v>77.728005511999967</c:v>
                </c:pt>
                <c:pt idx="85">
                  <c:v>77.901526625000002</c:v>
                </c:pt>
                <c:pt idx="86">
                  <c:v>78.076382528000011</c:v>
                </c:pt>
                <c:pt idx="87">
                  <c:v>78.252517918999999</c:v>
                </c:pt>
                <c:pt idx="88">
                  <c:v>78.429877496000003</c:v>
                </c:pt>
                <c:pt idx="89">
                  <c:v>78.608405956999974</c:v>
                </c:pt>
                <c:pt idx="90">
                  <c:v>78.788048000000003</c:v>
                </c:pt>
                <c:pt idx="91">
                  <c:v>78.968748323000014</c:v>
                </c:pt>
                <c:pt idx="92">
                  <c:v>79.150451624000013</c:v>
                </c:pt>
                <c:pt idx="93">
                  <c:v>79.333102600999993</c:v>
                </c:pt>
                <c:pt idx="94">
                  <c:v>79.51664595199999</c:v>
                </c:pt>
                <c:pt idx="95">
                  <c:v>79.701026375000012</c:v>
                </c:pt>
                <c:pt idx="96">
                  <c:v>79.886188568000009</c:v>
                </c:pt>
                <c:pt idx="97">
                  <c:v>80.072077228999987</c:v>
                </c:pt>
                <c:pt idx="98">
                  <c:v>80.258637056000012</c:v>
                </c:pt>
                <c:pt idx="99">
                  <c:v>80.445812746999991</c:v>
                </c:pt>
                <c:pt idx="100">
                  <c:v>80.633549000000002</c:v>
                </c:pt>
                <c:pt idx="101">
                  <c:v>80.82179051300001</c:v>
                </c:pt>
                <c:pt idx="102">
                  <c:v>81.010481983999981</c:v>
                </c:pt>
                <c:pt idx="103">
                  <c:v>81.199568111000005</c:v>
                </c:pt>
                <c:pt idx="104">
                  <c:v>81.388993591999991</c:v>
                </c:pt>
                <c:pt idx="105">
                  <c:v>81.578703125000004</c:v>
                </c:pt>
                <c:pt idx="106">
                  <c:v>81.768641408000022</c:v>
                </c:pt>
                <c:pt idx="107">
                  <c:v>81.958753139000009</c:v>
                </c:pt>
                <c:pt idx="108">
                  <c:v>82.148983016000003</c:v>
                </c:pt>
                <c:pt idx="109">
                  <c:v>82.339275737000008</c:v>
                </c:pt>
                <c:pt idx="110">
                  <c:v>82.529575999999992</c:v>
                </c:pt>
                <c:pt idx="111">
                  <c:v>82.719828503000002</c:v>
                </c:pt>
                <c:pt idx="112">
                  <c:v>82.909977943999991</c:v>
                </c:pt>
                <c:pt idx="113">
                  <c:v>83.099969021000021</c:v>
                </c:pt>
                <c:pt idx="114">
                  <c:v>83.289746432000015</c:v>
                </c:pt>
                <c:pt idx="115">
                  <c:v>83.479254874999981</c:v>
                </c:pt>
                <c:pt idx="116">
                  <c:v>83.668439048000025</c:v>
                </c:pt>
                <c:pt idx="117">
                  <c:v>83.857243649000011</c:v>
                </c:pt>
                <c:pt idx="118">
                  <c:v>84.045613376000006</c:v>
                </c:pt>
                <c:pt idx="119">
                  <c:v>84.233492927</c:v>
                </c:pt>
                <c:pt idx="120">
                  <c:v>84.420827000000017</c:v>
                </c:pt>
                <c:pt idx="121">
                  <c:v>84.607560292999992</c:v>
                </c:pt>
                <c:pt idx="122">
                  <c:v>84.793637504000003</c:v>
                </c:pt>
                <c:pt idx="123">
                  <c:v>84.979003331000015</c:v>
                </c:pt>
                <c:pt idx="124">
                  <c:v>85.163602471999994</c:v>
                </c:pt>
                <c:pt idx="125">
                  <c:v>85.347379625000002</c:v>
                </c:pt>
                <c:pt idx="126">
                  <c:v>85.530279488000005</c:v>
                </c:pt>
                <c:pt idx="127">
                  <c:v>85.712246758999996</c:v>
                </c:pt>
                <c:pt idx="128">
                  <c:v>85.893226135999981</c:v>
                </c:pt>
                <c:pt idx="129">
                  <c:v>86.073162317000026</c:v>
                </c:pt>
                <c:pt idx="130">
                  <c:v>86.251999999999995</c:v>
                </c:pt>
                <c:pt idx="131">
                  <c:v>86.429683882999996</c:v>
                </c:pt>
                <c:pt idx="132">
                  <c:v>86.606158664000006</c:v>
                </c:pt>
                <c:pt idx="133">
                  <c:v>86.781369040999962</c:v>
                </c:pt>
                <c:pt idx="134">
                  <c:v>86.955259711999986</c:v>
                </c:pt>
                <c:pt idx="135">
                  <c:v>87.127775375000013</c:v>
                </c:pt>
                <c:pt idx="136">
                  <c:v>87.298860727999994</c:v>
                </c:pt>
                <c:pt idx="137">
                  <c:v>87.468460469000007</c:v>
                </c:pt>
                <c:pt idx="138">
                  <c:v>87.636519296000017</c:v>
                </c:pt>
                <c:pt idx="139">
                  <c:v>87.802981906999975</c:v>
                </c:pt>
                <c:pt idx="140">
                  <c:v>87.967792999999986</c:v>
                </c:pt>
                <c:pt idx="141">
                  <c:v>88.130897273000031</c:v>
                </c:pt>
                <c:pt idx="142">
                  <c:v>88.292239424000016</c:v>
                </c:pt>
                <c:pt idx="143">
                  <c:v>88.451764150999978</c:v>
                </c:pt>
                <c:pt idx="144">
                  <c:v>88.609416151999994</c:v>
                </c:pt>
                <c:pt idx="145">
                  <c:v>88.765140124999988</c:v>
                </c:pt>
                <c:pt idx="146">
                  <c:v>88.918880768000022</c:v>
                </c:pt>
                <c:pt idx="147">
                  <c:v>89.07058277900002</c:v>
                </c:pt>
                <c:pt idx="148">
                  <c:v>89.220190855999988</c:v>
                </c:pt>
                <c:pt idx="149">
                  <c:v>89.367649697000004</c:v>
                </c:pt>
                <c:pt idx="150">
                  <c:v>89.512903999999992</c:v>
                </c:pt>
                <c:pt idx="151">
                  <c:v>89.655898463000014</c:v>
                </c:pt>
                <c:pt idx="152">
                  <c:v>89.796577784000021</c:v>
                </c:pt>
                <c:pt idx="153">
                  <c:v>89.934886660999979</c:v>
                </c:pt>
                <c:pt idx="154">
                  <c:v>90.070769791999993</c:v>
                </c:pt>
                <c:pt idx="155">
                  <c:v>90.204171875</c:v>
                </c:pt>
                <c:pt idx="156">
                  <c:v>90.335037608000007</c:v>
                </c:pt>
                <c:pt idx="157">
                  <c:v>90.463311689000022</c:v>
                </c:pt>
                <c:pt idx="158">
                  <c:v>90.588938815999981</c:v>
                </c:pt>
                <c:pt idx="159">
                  <c:v>90.71186368699999</c:v>
                </c:pt>
                <c:pt idx="160">
                  <c:v>90.832030999999986</c:v>
                </c:pt>
                <c:pt idx="161">
                  <c:v>90.949385452999977</c:v>
                </c:pt>
                <c:pt idx="162">
                  <c:v>91.063871744000039</c:v>
                </c:pt>
                <c:pt idx="163">
                  <c:v>91.175434570999997</c:v>
                </c:pt>
                <c:pt idx="164">
                  <c:v>91.284018631999984</c:v>
                </c:pt>
                <c:pt idx="165">
                  <c:v>91.38956862500001</c:v>
                </c:pt>
                <c:pt idx="166">
                  <c:v>91.492029247999994</c:v>
                </c:pt>
                <c:pt idx="167">
                  <c:v>91.591345199000031</c:v>
                </c:pt>
                <c:pt idx="168">
                  <c:v>91.687461175999999</c:v>
                </c:pt>
                <c:pt idx="169">
                  <c:v>91.780321877000006</c:v>
                </c:pt>
                <c:pt idx="170">
                  <c:v>91.869872000000015</c:v>
                </c:pt>
                <c:pt idx="171">
                  <c:v>91.95605624300002</c:v>
                </c:pt>
                <c:pt idx="172">
                  <c:v>92.038819304000015</c:v>
                </c:pt>
                <c:pt idx="173">
                  <c:v>92.118105880999963</c:v>
                </c:pt>
                <c:pt idx="174">
                  <c:v>92.193860671999985</c:v>
                </c:pt>
                <c:pt idx="175">
                  <c:v>92.266028375000019</c:v>
                </c:pt>
                <c:pt idx="176">
                  <c:v>92.334553688000014</c:v>
                </c:pt>
                <c:pt idx="177">
                  <c:v>92.39938130900002</c:v>
                </c:pt>
                <c:pt idx="178">
                  <c:v>92.46045593599996</c:v>
                </c:pt>
                <c:pt idx="179">
                  <c:v>92.517722266999982</c:v>
                </c:pt>
                <c:pt idx="180">
                  <c:v>92.571124999999995</c:v>
                </c:pt>
                <c:pt idx="181">
                  <c:v>92.620608833000006</c:v>
                </c:pt>
                <c:pt idx="182">
                  <c:v>92.666118464000022</c:v>
                </c:pt>
                <c:pt idx="183">
                  <c:v>92.707598590999993</c:v>
                </c:pt>
                <c:pt idx="184">
                  <c:v>92.744993912000012</c:v>
                </c:pt>
                <c:pt idx="185">
                  <c:v>92.778249125000002</c:v>
                </c:pt>
                <c:pt idx="186">
                  <c:v>92.807308928000012</c:v>
                </c:pt>
                <c:pt idx="187">
                  <c:v>92.832118019000049</c:v>
                </c:pt>
                <c:pt idx="188">
                  <c:v>92.852621095999993</c:v>
                </c:pt>
                <c:pt idx="189">
                  <c:v>92.868762856999993</c:v>
                </c:pt>
                <c:pt idx="190">
                  <c:v>92.880487999999986</c:v>
                </c:pt>
                <c:pt idx="191">
                  <c:v>92.88774122300002</c:v>
                </c:pt>
                <c:pt idx="192">
                  <c:v>92.890467223999991</c:v>
                </c:pt>
                <c:pt idx="193">
                  <c:v>92.888610700999962</c:v>
                </c:pt>
                <c:pt idx="194">
                  <c:v>92.882116352000011</c:v>
                </c:pt>
                <c:pt idx="195">
                  <c:v>92.870928875000047</c:v>
                </c:pt>
                <c:pt idx="196">
                  <c:v>92.854992968000005</c:v>
                </c:pt>
                <c:pt idx="197">
                  <c:v>92.834253329000006</c:v>
                </c:pt>
                <c:pt idx="198">
                  <c:v>92.808654656000058</c:v>
                </c:pt>
                <c:pt idx="199">
                  <c:v>92.778141647000012</c:v>
                </c:pt>
                <c:pt idx="200">
                  <c:v>92.742659000000017</c:v>
                </c:pt>
                <c:pt idx="201">
                  <c:v>92.702151413000038</c:v>
                </c:pt>
                <c:pt idx="202">
                  <c:v>92.656563584000011</c:v>
                </c:pt>
                <c:pt idx="203">
                  <c:v>92.605840211</c:v>
                </c:pt>
                <c:pt idx="204">
                  <c:v>92.549925991999942</c:v>
                </c:pt>
                <c:pt idx="205">
                  <c:v>92.488765624999999</c:v>
                </c:pt>
                <c:pt idx="206">
                  <c:v>92.422303808000024</c:v>
                </c:pt>
                <c:pt idx="207">
                  <c:v>92.350485239000093</c:v>
                </c:pt>
                <c:pt idx="208">
                  <c:v>92.27325461599996</c:v>
                </c:pt>
                <c:pt idx="209">
                  <c:v>92.190556636999972</c:v>
                </c:pt>
                <c:pt idx="210">
                  <c:v>92.102336000000037</c:v>
                </c:pt>
                <c:pt idx="211">
                  <c:v>92.008537402999991</c:v>
                </c:pt>
                <c:pt idx="212">
                  <c:v>91.909105544000056</c:v>
                </c:pt>
                <c:pt idx="213">
                  <c:v>91.803985120999982</c:v>
                </c:pt>
                <c:pt idx="214">
                  <c:v>91.69312083200002</c:v>
                </c:pt>
              </c:numCache>
            </c:numRef>
          </c:yVal>
          <c:smooth val="0"/>
        </c:ser>
        <c:ser>
          <c:idx val="1"/>
          <c:order val="1"/>
          <c:tx>
            <c:strRef>
              <c:f>'Sheet1 (2)'!$E$2</c:f>
              <c:strCache>
                <c:ptCount val="1"/>
                <c:pt idx="0">
                  <c:v>Ad hoc </c:v>
                </c:pt>
              </c:strCache>
            </c:strRef>
          </c:tx>
          <c:spPr>
            <a:ln w="19050" cap="rnd">
              <a:solidFill>
                <a:srgbClr val="9ED9DF"/>
              </a:solidFill>
              <a:round/>
            </a:ln>
            <a:effectLst/>
          </c:spPr>
          <c:marker>
            <c:symbol val="none"/>
          </c:marker>
          <c:xVal>
            <c:numRef>
              <c:f>'Sheet1 (2)'!$C$12:$C$342</c:f>
              <c:numCache>
                <c:formatCode>General</c:formatCode>
                <c:ptCount val="331"/>
                <c:pt idx="0">
                  <c:v>5.0118723362727229</c:v>
                </c:pt>
                <c:pt idx="1">
                  <c:v>5.1286138399136494</c:v>
                </c:pt>
                <c:pt idx="2">
                  <c:v>5.2480746024977263</c:v>
                </c:pt>
                <c:pt idx="3">
                  <c:v>5.3703179637025285</c:v>
                </c:pt>
                <c:pt idx="4">
                  <c:v>5.4954087385762458</c:v>
                </c:pt>
                <c:pt idx="5">
                  <c:v>5.6234132519034921</c:v>
                </c:pt>
                <c:pt idx="6">
                  <c:v>5.7543993733715713</c:v>
                </c:pt>
                <c:pt idx="7">
                  <c:v>5.8884365535558905</c:v>
                </c:pt>
                <c:pt idx="8">
                  <c:v>6.0255958607435796</c:v>
                </c:pt>
                <c:pt idx="9">
                  <c:v>6.1659500186148231</c:v>
                </c:pt>
                <c:pt idx="10">
                  <c:v>6.3095734448019343</c:v>
                </c:pt>
                <c:pt idx="11">
                  <c:v>6.4565422903465572</c:v>
                </c:pt>
                <c:pt idx="12">
                  <c:v>6.6069344800759611</c:v>
                </c:pt>
                <c:pt idx="13">
                  <c:v>6.7608297539198183</c:v>
                </c:pt>
                <c:pt idx="14">
                  <c:v>6.9183097091893666</c:v>
                </c:pt>
                <c:pt idx="15">
                  <c:v>7.0794578438413795</c:v>
                </c:pt>
                <c:pt idx="16">
                  <c:v>7.2443596007499025</c:v>
                </c:pt>
                <c:pt idx="17">
                  <c:v>7.4131024130091765</c:v>
                </c:pt>
                <c:pt idx="18">
                  <c:v>7.5857757502918375</c:v>
                </c:pt>
                <c:pt idx="19">
                  <c:v>7.7624711662869199</c:v>
                </c:pt>
                <c:pt idx="20">
                  <c:v>7.9432823472428176</c:v>
                </c:pt>
                <c:pt idx="21">
                  <c:v>8.1283051616409931</c:v>
                </c:pt>
                <c:pt idx="22">
                  <c:v>8.3176377110267108</c:v>
                </c:pt>
                <c:pt idx="23">
                  <c:v>8.5113803820237681</c:v>
                </c:pt>
                <c:pt idx="24">
                  <c:v>8.709635899560805</c:v>
                </c:pt>
                <c:pt idx="25">
                  <c:v>8.9125093813374576</c:v>
                </c:pt>
                <c:pt idx="26">
                  <c:v>9.1201083935590983</c:v>
                </c:pt>
                <c:pt idx="27">
                  <c:v>9.3325430079699103</c:v>
                </c:pt>
                <c:pt idx="28">
                  <c:v>9.5499258602143584</c:v>
                </c:pt>
                <c:pt idx="29">
                  <c:v>9.7723722095581103</c:v>
                </c:pt>
                <c:pt idx="30">
                  <c:v>10</c:v>
                </c:pt>
                <c:pt idx="31">
                  <c:v>10.232929922807543</c:v>
                </c:pt>
                <c:pt idx="32">
                  <c:v>10.471285480509</c:v>
                </c:pt>
                <c:pt idx="33">
                  <c:v>10.715193052376069</c:v>
                </c:pt>
                <c:pt idx="34">
                  <c:v>10.964781961431854</c:v>
                </c:pt>
                <c:pt idx="35">
                  <c:v>11.220184543019636</c:v>
                </c:pt>
                <c:pt idx="36">
                  <c:v>11.481536214968834</c:v>
                </c:pt>
                <c:pt idx="37">
                  <c:v>11.748975549395301</c:v>
                </c:pt>
                <c:pt idx="38">
                  <c:v>12.022644346174133</c:v>
                </c:pt>
                <c:pt idx="39">
                  <c:v>12.302687708123818</c:v>
                </c:pt>
                <c:pt idx="40">
                  <c:v>12.58925411794168</c:v>
                </c:pt>
                <c:pt idx="41">
                  <c:v>12.882495516931346</c:v>
                </c:pt>
                <c:pt idx="42">
                  <c:v>13.182567385564075</c:v>
                </c:pt>
                <c:pt idx="43">
                  <c:v>13.489628825916535</c:v>
                </c:pt>
                <c:pt idx="44">
                  <c:v>13.803842646028851</c:v>
                </c:pt>
                <c:pt idx="45">
                  <c:v>14.125375446227544</c:v>
                </c:pt>
                <c:pt idx="46">
                  <c:v>14.454397707459275</c:v>
                </c:pt>
                <c:pt idx="47">
                  <c:v>14.791083881682074</c:v>
                </c:pt>
                <c:pt idx="48">
                  <c:v>15.135612484362087</c:v>
                </c:pt>
                <c:pt idx="49">
                  <c:v>15.488166189124817</c:v>
                </c:pt>
                <c:pt idx="50">
                  <c:v>15.848931924611138</c:v>
                </c:pt>
                <c:pt idx="51">
                  <c:v>16.218100973589298</c:v>
                </c:pt>
                <c:pt idx="52">
                  <c:v>16.595869074375614</c:v>
                </c:pt>
                <c:pt idx="53">
                  <c:v>16.982436524617448</c:v>
                </c:pt>
                <c:pt idx="54">
                  <c:v>17.378008287493756</c:v>
                </c:pt>
                <c:pt idx="55">
                  <c:v>17.782794100389236</c:v>
                </c:pt>
                <c:pt idx="56">
                  <c:v>18.197008586099841</c:v>
                </c:pt>
                <c:pt idx="57">
                  <c:v>18.62087136662868</c:v>
                </c:pt>
                <c:pt idx="58">
                  <c:v>19.054607179632477</c:v>
                </c:pt>
                <c:pt idx="59">
                  <c:v>19.498445997580465</c:v>
                </c:pt>
                <c:pt idx="60">
                  <c:v>19.952623149688804</c:v>
                </c:pt>
                <c:pt idx="61">
                  <c:v>20.4173794466953</c:v>
                </c:pt>
                <c:pt idx="62">
                  <c:v>20.8929613085404</c:v>
                </c:pt>
                <c:pt idx="63">
                  <c:v>21.379620895022335</c:v>
                </c:pt>
                <c:pt idx="64">
                  <c:v>21.877616239495538</c:v>
                </c:pt>
                <c:pt idx="65">
                  <c:v>22.387211385683404</c:v>
                </c:pt>
                <c:pt idx="66">
                  <c:v>22.908676527677738</c:v>
                </c:pt>
                <c:pt idx="67">
                  <c:v>23.442288153199236</c:v>
                </c:pt>
                <c:pt idx="68">
                  <c:v>23.988329190194907</c:v>
                </c:pt>
                <c:pt idx="69">
                  <c:v>24.547089156850305</c:v>
                </c:pt>
                <c:pt idx="70">
                  <c:v>25.118864315095799</c:v>
                </c:pt>
                <c:pt idx="71">
                  <c:v>25.703957827688647</c:v>
                </c:pt>
                <c:pt idx="72">
                  <c:v>26.302679918953825</c:v>
                </c:pt>
                <c:pt idx="73">
                  <c:v>26.915348039269158</c:v>
                </c:pt>
                <c:pt idx="74">
                  <c:v>27.542287033381665</c:v>
                </c:pt>
                <c:pt idx="75">
                  <c:v>28.183829312644548</c:v>
                </c:pt>
                <c:pt idx="76">
                  <c:v>28.840315031266066</c:v>
                </c:pt>
                <c:pt idx="77">
                  <c:v>29.512092266663863</c:v>
                </c:pt>
                <c:pt idx="78">
                  <c:v>30.199517204020164</c:v>
                </c:pt>
                <c:pt idx="79">
                  <c:v>30.902954325135919</c:v>
                </c:pt>
                <c:pt idx="80">
                  <c:v>31.622776601683807</c:v>
                </c:pt>
                <c:pt idx="81">
                  <c:v>32.359365692962832</c:v>
                </c:pt>
                <c:pt idx="82">
                  <c:v>33.113112148259127</c:v>
                </c:pt>
                <c:pt idx="83">
                  <c:v>33.884415613920268</c:v>
                </c:pt>
                <c:pt idx="84">
                  <c:v>34.67368504525318</c:v>
                </c:pt>
                <c:pt idx="85">
                  <c:v>35.481338923357555</c:v>
                </c:pt>
                <c:pt idx="86">
                  <c:v>36.307805477010156</c:v>
                </c:pt>
                <c:pt idx="87">
                  <c:v>37.153522909717275</c:v>
                </c:pt>
                <c:pt idx="88">
                  <c:v>38.018939632056139</c:v>
                </c:pt>
                <c:pt idx="89">
                  <c:v>38.904514499428075</c:v>
                </c:pt>
                <c:pt idx="90">
                  <c:v>39.810717055349755</c:v>
                </c:pt>
                <c:pt idx="91">
                  <c:v>40.738027780411301</c:v>
                </c:pt>
                <c:pt idx="92">
                  <c:v>41.686938347033561</c:v>
                </c:pt>
                <c:pt idx="93">
                  <c:v>42.657951880159267</c:v>
                </c:pt>
                <c:pt idx="94">
                  <c:v>43.651583224016612</c:v>
                </c:pt>
                <c:pt idx="95">
                  <c:v>44.668359215096324</c:v>
                </c:pt>
                <c:pt idx="96">
                  <c:v>45.708818961487509</c:v>
                </c:pt>
                <c:pt idx="97">
                  <c:v>46.773514128719818</c:v>
                </c:pt>
                <c:pt idx="98">
                  <c:v>47.863009232263856</c:v>
                </c:pt>
                <c:pt idx="99">
                  <c:v>48.977881936844632</c:v>
                </c:pt>
                <c:pt idx="100">
                  <c:v>50.118723362727238</c:v>
                </c:pt>
                <c:pt idx="101">
                  <c:v>51.28613839913649</c:v>
                </c:pt>
                <c:pt idx="102">
                  <c:v>52.480746024977286</c:v>
                </c:pt>
                <c:pt idx="103">
                  <c:v>53.703179637025293</c:v>
                </c:pt>
                <c:pt idx="104">
                  <c:v>54.95408738576247</c:v>
                </c:pt>
                <c:pt idx="105">
                  <c:v>56.234132519034915</c:v>
                </c:pt>
                <c:pt idx="106">
                  <c:v>57.543993733715695</c:v>
                </c:pt>
                <c:pt idx="107">
                  <c:v>58.884365535558949</c:v>
                </c:pt>
                <c:pt idx="108">
                  <c:v>60.255958607435822</c:v>
                </c:pt>
                <c:pt idx="109">
                  <c:v>61.659500186148257</c:v>
                </c:pt>
                <c:pt idx="110">
                  <c:v>63.095734448019357</c:v>
                </c:pt>
                <c:pt idx="111">
                  <c:v>64.565422903465588</c:v>
                </c:pt>
                <c:pt idx="112">
                  <c:v>66.069344800759623</c:v>
                </c:pt>
                <c:pt idx="113">
                  <c:v>67.60829753919819</c:v>
                </c:pt>
                <c:pt idx="114">
                  <c:v>69.183097091893657</c:v>
                </c:pt>
                <c:pt idx="115">
                  <c:v>70.794578438413865</c:v>
                </c:pt>
                <c:pt idx="116">
                  <c:v>72.443596007499067</c:v>
                </c:pt>
                <c:pt idx="117">
                  <c:v>74.131024130091816</c:v>
                </c:pt>
                <c:pt idx="118">
                  <c:v>75.857757502918361</c:v>
                </c:pt>
                <c:pt idx="119">
                  <c:v>77.624711662869217</c:v>
                </c:pt>
                <c:pt idx="120">
                  <c:v>79.432823472428197</c:v>
                </c:pt>
                <c:pt idx="121">
                  <c:v>81.283051616409963</c:v>
                </c:pt>
                <c:pt idx="122">
                  <c:v>83.176377110267126</c:v>
                </c:pt>
                <c:pt idx="123">
                  <c:v>85.113803820237663</c:v>
                </c:pt>
                <c:pt idx="124">
                  <c:v>87.096358995608071</c:v>
                </c:pt>
                <c:pt idx="125">
                  <c:v>89.125093813374562</c:v>
                </c:pt>
                <c:pt idx="126">
                  <c:v>91.201083935590972</c:v>
                </c:pt>
                <c:pt idx="127">
                  <c:v>93.325430079699174</c:v>
                </c:pt>
                <c:pt idx="128">
                  <c:v>95.499258602143655</c:v>
                </c:pt>
                <c:pt idx="129">
                  <c:v>97.723722095581124</c:v>
                </c:pt>
                <c:pt idx="130">
                  <c:v>100</c:v>
                </c:pt>
                <c:pt idx="131">
                  <c:v>102.32929922807544</c:v>
                </c:pt>
                <c:pt idx="132">
                  <c:v>104.71285480508998</c:v>
                </c:pt>
                <c:pt idx="133">
                  <c:v>107.15193052376065</c:v>
                </c:pt>
                <c:pt idx="134">
                  <c:v>109.64781961431861</c:v>
                </c:pt>
                <c:pt idx="135">
                  <c:v>112.20184543019634</c:v>
                </c:pt>
                <c:pt idx="136">
                  <c:v>114.81536214968835</c:v>
                </c:pt>
                <c:pt idx="137">
                  <c:v>117.48975549395293</c:v>
                </c:pt>
                <c:pt idx="138">
                  <c:v>120.22644346174135</c:v>
                </c:pt>
                <c:pt idx="139">
                  <c:v>123.02687708123821</c:v>
                </c:pt>
                <c:pt idx="140">
                  <c:v>125.89254117941675</c:v>
                </c:pt>
                <c:pt idx="141">
                  <c:v>128.82495516931343</c:v>
                </c:pt>
                <c:pt idx="142">
                  <c:v>131.82567385564084</c:v>
                </c:pt>
                <c:pt idx="143">
                  <c:v>134.89628825916537</c:v>
                </c:pt>
                <c:pt idx="144">
                  <c:v>138.0384264602886</c:v>
                </c:pt>
                <c:pt idx="145">
                  <c:v>141.25375446227542</c:v>
                </c:pt>
                <c:pt idx="146">
                  <c:v>144.54397707459285</c:v>
                </c:pt>
                <c:pt idx="147">
                  <c:v>147.91083881682084</c:v>
                </c:pt>
                <c:pt idx="148">
                  <c:v>151.3561248436209</c:v>
                </c:pt>
                <c:pt idx="149">
                  <c:v>154.8816618912482</c:v>
                </c:pt>
                <c:pt idx="150">
                  <c:v>158.48931924611153</c:v>
                </c:pt>
                <c:pt idx="151">
                  <c:v>162.18100973589304</c:v>
                </c:pt>
                <c:pt idx="152">
                  <c:v>165.95869074375622</c:v>
                </c:pt>
                <c:pt idx="153">
                  <c:v>169.82436524617444</c:v>
                </c:pt>
                <c:pt idx="154">
                  <c:v>173.78008287493768</c:v>
                </c:pt>
                <c:pt idx="155">
                  <c:v>177.82794100389242</c:v>
                </c:pt>
                <c:pt idx="156">
                  <c:v>181.9700858609983</c:v>
                </c:pt>
                <c:pt idx="157">
                  <c:v>186.20871366628685</c:v>
                </c:pt>
                <c:pt idx="158">
                  <c:v>190.54607179632481</c:v>
                </c:pt>
                <c:pt idx="159">
                  <c:v>194.98445997580458</c:v>
                </c:pt>
                <c:pt idx="160">
                  <c:v>199.52623149688802</c:v>
                </c:pt>
                <c:pt idx="161">
                  <c:v>204.17379446695315</c:v>
                </c:pt>
                <c:pt idx="162">
                  <c:v>208.92961308540396</c:v>
                </c:pt>
                <c:pt idx="163">
                  <c:v>213.79620895022339</c:v>
                </c:pt>
                <c:pt idx="164">
                  <c:v>218.77616239495524</c:v>
                </c:pt>
                <c:pt idx="165">
                  <c:v>223.87211385683412</c:v>
                </c:pt>
                <c:pt idx="166">
                  <c:v>229.08676527677744</c:v>
                </c:pt>
                <c:pt idx="167">
                  <c:v>234.42288153199232</c:v>
                </c:pt>
                <c:pt idx="168">
                  <c:v>239.88329190194912</c:v>
                </c:pt>
                <c:pt idx="169">
                  <c:v>245.4708915685033</c:v>
                </c:pt>
                <c:pt idx="170">
                  <c:v>251.18864315095806</c:v>
                </c:pt>
                <c:pt idx="171">
                  <c:v>257.03957827688663</c:v>
                </c:pt>
                <c:pt idx="172">
                  <c:v>263.02679918953817</c:v>
                </c:pt>
                <c:pt idx="173">
                  <c:v>269.15348039269179</c:v>
                </c:pt>
                <c:pt idx="174">
                  <c:v>275.42287033381683</c:v>
                </c:pt>
                <c:pt idx="175">
                  <c:v>281.83829312644554</c:v>
                </c:pt>
                <c:pt idx="176">
                  <c:v>288.40315031266073</c:v>
                </c:pt>
                <c:pt idx="177">
                  <c:v>295.12092266663893</c:v>
                </c:pt>
                <c:pt idx="178">
                  <c:v>301.99517204020168</c:v>
                </c:pt>
                <c:pt idx="179">
                  <c:v>309.02954325135937</c:v>
                </c:pt>
                <c:pt idx="180">
                  <c:v>316.22776601683825</c:v>
                </c:pt>
                <c:pt idx="181">
                  <c:v>323.59365692962825</c:v>
                </c:pt>
                <c:pt idx="182">
                  <c:v>331.13112148259137</c:v>
                </c:pt>
                <c:pt idx="183">
                  <c:v>338.84415613920248</c:v>
                </c:pt>
                <c:pt idx="184">
                  <c:v>346.73685045253183</c:v>
                </c:pt>
                <c:pt idx="185">
                  <c:v>354.81338923357566</c:v>
                </c:pt>
                <c:pt idx="186">
                  <c:v>363.07805477010152</c:v>
                </c:pt>
                <c:pt idx="187">
                  <c:v>371.53522909717265</c:v>
                </c:pt>
                <c:pt idx="188">
                  <c:v>380.18939632056163</c:v>
                </c:pt>
                <c:pt idx="189">
                  <c:v>389.04514499428063</c:v>
                </c:pt>
                <c:pt idx="190">
                  <c:v>398.10717055349761</c:v>
                </c:pt>
                <c:pt idx="191">
                  <c:v>407.38027780411272</c:v>
                </c:pt>
                <c:pt idx="192">
                  <c:v>416.86938347033572</c:v>
                </c:pt>
                <c:pt idx="193">
                  <c:v>426.57951880159294</c:v>
                </c:pt>
                <c:pt idx="194">
                  <c:v>436.51583224016622</c:v>
                </c:pt>
                <c:pt idx="195">
                  <c:v>446.68359215096331</c:v>
                </c:pt>
                <c:pt idx="196">
                  <c:v>457.0881896148756</c:v>
                </c:pt>
                <c:pt idx="197">
                  <c:v>467.7351412871983</c:v>
                </c:pt>
                <c:pt idx="198">
                  <c:v>478.63009232263886</c:v>
                </c:pt>
                <c:pt idx="199">
                  <c:v>489.77881936844625</c:v>
                </c:pt>
                <c:pt idx="200">
                  <c:v>501.18723362727269</c:v>
                </c:pt>
                <c:pt idx="201">
                  <c:v>512.86138399136519</c:v>
                </c:pt>
                <c:pt idx="202">
                  <c:v>524.80746024977293</c:v>
                </c:pt>
                <c:pt idx="203">
                  <c:v>537.03179637025301</c:v>
                </c:pt>
                <c:pt idx="204">
                  <c:v>549.54087385762534</c:v>
                </c:pt>
                <c:pt idx="205">
                  <c:v>562.34132519034927</c:v>
                </c:pt>
                <c:pt idx="206">
                  <c:v>575.43993733715706</c:v>
                </c:pt>
                <c:pt idx="207">
                  <c:v>588.84365535558959</c:v>
                </c:pt>
                <c:pt idx="208">
                  <c:v>602.55958607435775</c:v>
                </c:pt>
                <c:pt idx="209">
                  <c:v>616.59500186148273</c:v>
                </c:pt>
                <c:pt idx="210">
                  <c:v>630.95734448019323</c:v>
                </c:pt>
                <c:pt idx="211">
                  <c:v>645.65422903465594</c:v>
                </c:pt>
                <c:pt idx="212">
                  <c:v>660.69344800759643</c:v>
                </c:pt>
                <c:pt idx="213">
                  <c:v>676.08297539198213</c:v>
                </c:pt>
                <c:pt idx="214">
                  <c:v>691.83097091893671</c:v>
                </c:pt>
                <c:pt idx="215">
                  <c:v>707.94578438413873</c:v>
                </c:pt>
                <c:pt idx="216">
                  <c:v>724.43596007499025</c:v>
                </c:pt>
                <c:pt idx="217">
                  <c:v>741.31024130091828</c:v>
                </c:pt>
                <c:pt idx="218">
                  <c:v>758.57757502918378</c:v>
                </c:pt>
                <c:pt idx="219">
                  <c:v>776.24711662869231</c:v>
                </c:pt>
                <c:pt idx="220">
                  <c:v>794.32823472428208</c:v>
                </c:pt>
                <c:pt idx="221">
                  <c:v>812.83051616409978</c:v>
                </c:pt>
                <c:pt idx="222">
                  <c:v>831.7637711026714</c:v>
                </c:pt>
                <c:pt idx="223">
                  <c:v>851.13803820237763</c:v>
                </c:pt>
                <c:pt idx="224">
                  <c:v>870.96358995608091</c:v>
                </c:pt>
                <c:pt idx="225">
                  <c:v>891.25093813374656</c:v>
                </c:pt>
                <c:pt idx="226">
                  <c:v>912.01083935590987</c:v>
                </c:pt>
                <c:pt idx="227">
                  <c:v>933.25430079699197</c:v>
                </c:pt>
                <c:pt idx="228">
                  <c:v>954.99258602143675</c:v>
                </c:pt>
                <c:pt idx="229">
                  <c:v>977.23722095581138</c:v>
                </c:pt>
                <c:pt idx="230">
                  <c:v>1000</c:v>
                </c:pt>
                <c:pt idx="231">
                  <c:v>1023.2929922807548</c:v>
                </c:pt>
                <c:pt idx="232">
                  <c:v>1047.1285480509</c:v>
                </c:pt>
                <c:pt idx="233">
                  <c:v>1071.5193052376069</c:v>
                </c:pt>
                <c:pt idx="234">
                  <c:v>1096.4781961431863</c:v>
                </c:pt>
                <c:pt idx="235">
                  <c:v>1122.0184543019636</c:v>
                </c:pt>
                <c:pt idx="236">
                  <c:v>1148.1536214968839</c:v>
                </c:pt>
                <c:pt idx="237">
                  <c:v>1174.8975549395295</c:v>
                </c:pt>
                <c:pt idx="238">
                  <c:v>1202.2644346174138</c:v>
                </c:pt>
                <c:pt idx="239">
                  <c:v>1230.2687708123824</c:v>
                </c:pt>
                <c:pt idx="240">
                  <c:v>1258.925411794168</c:v>
                </c:pt>
                <c:pt idx="241">
                  <c:v>1288.2495516931347</c:v>
                </c:pt>
                <c:pt idx="242">
                  <c:v>1318.2567385564089</c:v>
                </c:pt>
                <c:pt idx="243">
                  <c:v>1348.9628825916541</c:v>
                </c:pt>
                <c:pt idx="244">
                  <c:v>1380.3842646028863</c:v>
                </c:pt>
                <c:pt idx="245">
                  <c:v>1412.5375446227545</c:v>
                </c:pt>
                <c:pt idx="246">
                  <c:v>1445.4397707459289</c:v>
                </c:pt>
                <c:pt idx="247">
                  <c:v>1479.1083881682086</c:v>
                </c:pt>
                <c:pt idx="248">
                  <c:v>1513.5612484362093</c:v>
                </c:pt>
                <c:pt idx="249">
                  <c:v>1548.8166189124822</c:v>
                </c:pt>
                <c:pt idx="250">
                  <c:v>1584.8931924611156</c:v>
                </c:pt>
                <c:pt idx="251">
                  <c:v>1621.8100973589308</c:v>
                </c:pt>
                <c:pt idx="252">
                  <c:v>1659.5869074375626</c:v>
                </c:pt>
                <c:pt idx="253">
                  <c:v>1698.2436524617447</c:v>
                </c:pt>
                <c:pt idx="254">
                  <c:v>1737.8008287493772</c:v>
                </c:pt>
                <c:pt idx="255">
                  <c:v>1778.2794100389244</c:v>
                </c:pt>
                <c:pt idx="256">
                  <c:v>1819.7008586099832</c:v>
                </c:pt>
                <c:pt idx="257">
                  <c:v>1862.0871366628687</c:v>
                </c:pt>
                <c:pt idx="258">
                  <c:v>1905.4607179632485</c:v>
                </c:pt>
                <c:pt idx="259">
                  <c:v>1949.8445997580463</c:v>
                </c:pt>
                <c:pt idx="260">
                  <c:v>1995.2623149688804</c:v>
                </c:pt>
                <c:pt idx="261">
                  <c:v>2041.7379446695318</c:v>
                </c:pt>
                <c:pt idx="262">
                  <c:v>2089.2961308540398</c:v>
                </c:pt>
                <c:pt idx="263">
                  <c:v>2137.9620895022344</c:v>
                </c:pt>
                <c:pt idx="264">
                  <c:v>2187.7616239495528</c:v>
                </c:pt>
                <c:pt idx="265">
                  <c:v>2238.7211385683418</c:v>
                </c:pt>
                <c:pt idx="266">
                  <c:v>2290.8676527677749</c:v>
                </c:pt>
                <c:pt idx="267">
                  <c:v>2344.2288153199238</c:v>
                </c:pt>
                <c:pt idx="268">
                  <c:v>2398.8329190194918</c:v>
                </c:pt>
                <c:pt idx="269">
                  <c:v>2454.7089156850338</c:v>
                </c:pt>
                <c:pt idx="270">
                  <c:v>2511.8864315095811</c:v>
                </c:pt>
                <c:pt idx="271">
                  <c:v>2570.3957827688669</c:v>
                </c:pt>
                <c:pt idx="272">
                  <c:v>2630.2679918953822</c:v>
                </c:pt>
                <c:pt idx="273">
                  <c:v>2691.5348039269184</c:v>
                </c:pt>
                <c:pt idx="274">
                  <c:v>2754.228703338169</c:v>
                </c:pt>
                <c:pt idx="275">
                  <c:v>2818.3829312644561</c:v>
                </c:pt>
                <c:pt idx="276">
                  <c:v>2884.0315031266077</c:v>
                </c:pt>
                <c:pt idx="277">
                  <c:v>2951.2092266663899</c:v>
                </c:pt>
                <c:pt idx="278">
                  <c:v>3019.9517204020176</c:v>
                </c:pt>
                <c:pt idx="279">
                  <c:v>3090.295432513592</c:v>
                </c:pt>
                <c:pt idx="280">
                  <c:v>3162.2776601683804</c:v>
                </c:pt>
                <c:pt idx="281">
                  <c:v>3235.9365692962833</c:v>
                </c:pt>
                <c:pt idx="282">
                  <c:v>3311.3112148259115</c:v>
                </c:pt>
                <c:pt idx="283">
                  <c:v>3388.4415613920255</c:v>
                </c:pt>
                <c:pt idx="284">
                  <c:v>3467.3685045253224</c:v>
                </c:pt>
                <c:pt idx="285">
                  <c:v>3548.1338923357539</c:v>
                </c:pt>
                <c:pt idx="286">
                  <c:v>3630.7805477010188</c:v>
                </c:pt>
                <c:pt idx="287">
                  <c:v>3715.352290971724</c:v>
                </c:pt>
                <c:pt idx="288">
                  <c:v>3801.8939632056172</c:v>
                </c:pt>
                <c:pt idx="289">
                  <c:v>3890.451449942811</c:v>
                </c:pt>
                <c:pt idx="290">
                  <c:v>3981.0717055349769</c:v>
                </c:pt>
                <c:pt idx="291">
                  <c:v>4073.8027780411317</c:v>
                </c:pt>
                <c:pt idx="292">
                  <c:v>4168.6938347033583</c:v>
                </c:pt>
                <c:pt idx="293">
                  <c:v>4265.7951880159299</c:v>
                </c:pt>
                <c:pt idx="294">
                  <c:v>4365.1583224016631</c:v>
                </c:pt>
                <c:pt idx="295">
                  <c:v>4466.8359215096343</c:v>
                </c:pt>
                <c:pt idx="296">
                  <c:v>4570.8818961487532</c:v>
                </c:pt>
                <c:pt idx="297">
                  <c:v>4677.3514128719844</c:v>
                </c:pt>
                <c:pt idx="298">
                  <c:v>4786.3009232263848</c:v>
                </c:pt>
                <c:pt idx="299">
                  <c:v>4897.7881936844633</c:v>
                </c:pt>
                <c:pt idx="300">
                  <c:v>5011.8723362727324</c:v>
                </c:pt>
                <c:pt idx="301">
                  <c:v>5128.6138399136489</c:v>
                </c:pt>
                <c:pt idx="302">
                  <c:v>5248.0746024977352</c:v>
                </c:pt>
                <c:pt idx="303">
                  <c:v>5370.3179637025269</c:v>
                </c:pt>
                <c:pt idx="304">
                  <c:v>5495.4087385762541</c:v>
                </c:pt>
                <c:pt idx="305">
                  <c:v>5623.4132519034993</c:v>
                </c:pt>
                <c:pt idx="306">
                  <c:v>5754.399373371567</c:v>
                </c:pt>
                <c:pt idx="307">
                  <c:v>5888.4365535558973</c:v>
                </c:pt>
                <c:pt idx="308">
                  <c:v>6025.595860743585</c:v>
                </c:pt>
                <c:pt idx="309">
                  <c:v>6165.9500186148289</c:v>
                </c:pt>
                <c:pt idx="310">
                  <c:v>6309.5734448019384</c:v>
                </c:pt>
                <c:pt idx="311">
                  <c:v>6456.5422903465615</c:v>
                </c:pt>
                <c:pt idx="312">
                  <c:v>6606.9344800759654</c:v>
                </c:pt>
                <c:pt idx="313">
                  <c:v>6760.8297539198229</c:v>
                </c:pt>
                <c:pt idx="314">
                  <c:v>6918.3097091893687</c:v>
                </c:pt>
                <c:pt idx="315">
                  <c:v>7079.4578438413828</c:v>
                </c:pt>
                <c:pt idx="316">
                  <c:v>7244.3596007499036</c:v>
                </c:pt>
                <c:pt idx="317">
                  <c:v>7413.1024130091773</c:v>
                </c:pt>
                <c:pt idx="318">
                  <c:v>7585.7757502918394</c:v>
                </c:pt>
                <c:pt idx="319">
                  <c:v>7762.4711662869322</c:v>
                </c:pt>
                <c:pt idx="320">
                  <c:v>7943.2823472428154</c:v>
                </c:pt>
                <c:pt idx="321">
                  <c:v>8128.3051616410075</c:v>
                </c:pt>
                <c:pt idx="322">
                  <c:v>8317.6377110267094</c:v>
                </c:pt>
                <c:pt idx="323">
                  <c:v>8511.3803820237772</c:v>
                </c:pt>
                <c:pt idx="324">
                  <c:v>8709.6358995608189</c:v>
                </c:pt>
                <c:pt idx="325">
                  <c:v>8912.5093813374679</c:v>
                </c:pt>
                <c:pt idx="326">
                  <c:v>9120.1083935591087</c:v>
                </c:pt>
                <c:pt idx="327">
                  <c:v>9332.5430079699217</c:v>
                </c:pt>
                <c:pt idx="328">
                  <c:v>9549.9258602143691</c:v>
                </c:pt>
                <c:pt idx="329">
                  <c:v>9772.3722095581161</c:v>
                </c:pt>
                <c:pt idx="330">
                  <c:v>10000</c:v>
                </c:pt>
              </c:numCache>
            </c:numRef>
          </c:xVal>
          <c:yVal>
            <c:numRef>
              <c:f>'Sheet1 (2)'!$E$12:$E$343</c:f>
              <c:numCache>
                <c:formatCode>General</c:formatCode>
                <c:ptCount val="332"/>
                <c:pt idx="0">
                  <c:v>79.856612999999996</c:v>
                </c:pt>
                <c:pt idx="1">
                  <c:v>79.879075390999986</c:v>
                </c:pt>
                <c:pt idx="2">
                  <c:v>79.904105088000009</c:v>
                </c:pt>
                <c:pt idx="3">
                  <c:v>79.931671977000008</c:v>
                </c:pt>
                <c:pt idx="4">
                  <c:v>79.961745944</c:v>
                </c:pt>
                <c:pt idx="5">
                  <c:v>79.994296875000003</c:v>
                </c:pt>
                <c:pt idx="6">
                  <c:v>80.029294656000019</c:v>
                </c:pt>
                <c:pt idx="7">
                  <c:v>80.066709172999992</c:v>
                </c:pt>
                <c:pt idx="8">
                  <c:v>80.106510311999983</c:v>
                </c:pt>
                <c:pt idx="9">
                  <c:v>80.148667958999994</c:v>
                </c:pt>
                <c:pt idx="10">
                  <c:v>80.193151999999998</c:v>
                </c:pt>
                <c:pt idx="11">
                  <c:v>80.239932320999998</c:v>
                </c:pt>
                <c:pt idx="12">
                  <c:v>80.288978807999996</c:v>
                </c:pt>
                <c:pt idx="13">
                  <c:v>80.340261346999995</c:v>
                </c:pt>
                <c:pt idx="14">
                  <c:v>80.393749823999997</c:v>
                </c:pt>
                <c:pt idx="15">
                  <c:v>80.44941412499999</c:v>
                </c:pt>
                <c:pt idx="16">
                  <c:v>80.507224136000005</c:v>
                </c:pt>
                <c:pt idx="17">
                  <c:v>80.567149742999987</c:v>
                </c:pt>
                <c:pt idx="18">
                  <c:v>80.629160832000011</c:v>
                </c:pt>
                <c:pt idx="19">
                  <c:v>80.693227288999992</c:v>
                </c:pt>
                <c:pt idx="20">
                  <c:v>80.759319000000019</c:v>
                </c:pt>
                <c:pt idx="21">
                  <c:v>80.827405851000009</c:v>
                </c:pt>
                <c:pt idx="22">
                  <c:v>80.897457728000006</c:v>
                </c:pt>
                <c:pt idx="23">
                  <c:v>80.969444516999999</c:v>
                </c:pt>
                <c:pt idx="24">
                  <c:v>81.043336103999991</c:v>
                </c:pt>
                <c:pt idx="25">
                  <c:v>81.119102374999997</c:v>
                </c:pt>
                <c:pt idx="26">
                  <c:v>81.196713216000006</c:v>
                </c:pt>
                <c:pt idx="27">
                  <c:v>81.276138512999992</c:v>
                </c:pt>
                <c:pt idx="28">
                  <c:v>81.357348151999986</c:v>
                </c:pt>
                <c:pt idx="29">
                  <c:v>81.440312019000004</c:v>
                </c:pt>
                <c:pt idx="30">
                  <c:v>81.525000000000006</c:v>
                </c:pt>
                <c:pt idx="31">
                  <c:v>81.611381980999994</c:v>
                </c:pt>
                <c:pt idx="32">
                  <c:v>81.699427847999999</c:v>
                </c:pt>
                <c:pt idx="33">
                  <c:v>81.789107486999995</c:v>
                </c:pt>
                <c:pt idx="34">
                  <c:v>81.880390783999985</c:v>
                </c:pt>
                <c:pt idx="35">
                  <c:v>81.973247624999985</c:v>
                </c:pt>
                <c:pt idx="36">
                  <c:v>82.067647895999997</c:v>
                </c:pt>
                <c:pt idx="37">
                  <c:v>82.163561482999995</c:v>
                </c:pt>
                <c:pt idx="38">
                  <c:v>82.260958272000011</c:v>
                </c:pt>
                <c:pt idx="39">
                  <c:v>82.359808148999988</c:v>
                </c:pt>
                <c:pt idx="40">
                  <c:v>82.460080999999988</c:v>
                </c:pt>
                <c:pt idx="41">
                  <c:v>82.561746710999998</c:v>
                </c:pt>
                <c:pt idx="42">
                  <c:v>82.664775167999991</c:v>
                </c:pt>
                <c:pt idx="43">
                  <c:v>82.769136256999985</c:v>
                </c:pt>
                <c:pt idx="44">
                  <c:v>82.874799863999996</c:v>
                </c:pt>
                <c:pt idx="45">
                  <c:v>82.981735875000012</c:v>
                </c:pt>
                <c:pt idx="46">
                  <c:v>83.089914176000008</c:v>
                </c:pt>
                <c:pt idx="47">
                  <c:v>83.199304652999999</c:v>
                </c:pt>
                <c:pt idx="48">
                  <c:v>83.309877192000002</c:v>
                </c:pt>
                <c:pt idx="49">
                  <c:v>83.421601679000005</c:v>
                </c:pt>
                <c:pt idx="50">
                  <c:v>83.534447999999998</c:v>
                </c:pt>
                <c:pt idx="51">
                  <c:v>83.648386041000009</c:v>
                </c:pt>
                <c:pt idx="52">
                  <c:v>83.763385688</c:v>
                </c:pt>
                <c:pt idx="53">
                  <c:v>83.879416827</c:v>
                </c:pt>
                <c:pt idx="54">
                  <c:v>83.996449343999998</c:v>
                </c:pt>
                <c:pt idx="55">
                  <c:v>84.114453124999997</c:v>
                </c:pt>
                <c:pt idx="56">
                  <c:v>84.233398055999999</c:v>
                </c:pt>
                <c:pt idx="57">
                  <c:v>84.353254023000005</c:v>
                </c:pt>
                <c:pt idx="58">
                  <c:v>84.473990911999991</c:v>
                </c:pt>
                <c:pt idx="59">
                  <c:v>84.595578609</c:v>
                </c:pt>
                <c:pt idx="60">
                  <c:v>84.717987000000008</c:v>
                </c:pt>
                <c:pt idx="61">
                  <c:v>84.841185971000002</c:v>
                </c:pt>
                <c:pt idx="62">
                  <c:v>84.965145407999998</c:v>
                </c:pt>
                <c:pt idx="63">
                  <c:v>85.089835197000014</c:v>
                </c:pt>
                <c:pt idx="64">
                  <c:v>85.215225224000008</c:v>
                </c:pt>
                <c:pt idx="65">
                  <c:v>85.341285375000012</c:v>
                </c:pt>
                <c:pt idx="66">
                  <c:v>85.467985535999986</c:v>
                </c:pt>
                <c:pt idx="67">
                  <c:v>85.595295593000003</c:v>
                </c:pt>
                <c:pt idx="68">
                  <c:v>85.723185431999994</c:v>
                </c:pt>
                <c:pt idx="69">
                  <c:v>85.85162493899999</c:v>
                </c:pt>
                <c:pt idx="70">
                  <c:v>85.980584000000007</c:v>
                </c:pt>
                <c:pt idx="71">
                  <c:v>86.110032500999992</c:v>
                </c:pt>
                <c:pt idx="72">
                  <c:v>86.239940328000003</c:v>
                </c:pt>
                <c:pt idx="73">
                  <c:v>86.370277366999986</c:v>
                </c:pt>
                <c:pt idx="74">
                  <c:v>86.501013503999999</c:v>
                </c:pt>
                <c:pt idx="75">
                  <c:v>86.632118625000004</c:v>
                </c:pt>
                <c:pt idx="76">
                  <c:v>86.763562616000016</c:v>
                </c:pt>
                <c:pt idx="77">
                  <c:v>86.895315362999995</c:v>
                </c:pt>
                <c:pt idx="78">
                  <c:v>87.027346752000014</c:v>
                </c:pt>
                <c:pt idx="79">
                  <c:v>87.159626669000005</c:v>
                </c:pt>
                <c:pt idx="80">
                  <c:v>87.292124999999999</c:v>
                </c:pt>
                <c:pt idx="81">
                  <c:v>87.424811630999983</c:v>
                </c:pt>
                <c:pt idx="82">
                  <c:v>87.557656447999989</c:v>
                </c:pt>
                <c:pt idx="83">
                  <c:v>87.69062933699999</c:v>
                </c:pt>
                <c:pt idx="84">
                  <c:v>87.823700183999989</c:v>
                </c:pt>
                <c:pt idx="85">
                  <c:v>87.956838875000003</c:v>
                </c:pt>
                <c:pt idx="86">
                  <c:v>88.090015296000004</c:v>
                </c:pt>
                <c:pt idx="87">
                  <c:v>88.223199332999997</c:v>
                </c:pt>
                <c:pt idx="88">
                  <c:v>88.356360871999996</c:v>
                </c:pt>
                <c:pt idx="89">
                  <c:v>88.489469799000005</c:v>
                </c:pt>
                <c:pt idx="90">
                  <c:v>88.622495999999998</c:v>
                </c:pt>
                <c:pt idx="91">
                  <c:v>88.755409361000005</c:v>
                </c:pt>
                <c:pt idx="92">
                  <c:v>88.888179768000001</c:v>
                </c:pt>
                <c:pt idx="93">
                  <c:v>89.020777107000001</c:v>
                </c:pt>
                <c:pt idx="94">
                  <c:v>89.153171264000008</c:v>
                </c:pt>
                <c:pt idx="95">
                  <c:v>89.285332124999996</c:v>
                </c:pt>
                <c:pt idx="96">
                  <c:v>89.417229575999997</c:v>
                </c:pt>
                <c:pt idx="97">
                  <c:v>89.548833502999997</c:v>
                </c:pt>
                <c:pt idx="98">
                  <c:v>89.680113791999986</c:v>
                </c:pt>
                <c:pt idx="99">
                  <c:v>89.811040329000008</c:v>
                </c:pt>
                <c:pt idx="100">
                  <c:v>89.941582999999994</c:v>
                </c:pt>
                <c:pt idx="101">
                  <c:v>90.071711691000004</c:v>
                </c:pt>
                <c:pt idx="102">
                  <c:v>90.201396287999998</c:v>
                </c:pt>
                <c:pt idx="103">
                  <c:v>90.330606677000006</c:v>
                </c:pt>
                <c:pt idx="104">
                  <c:v>90.459312744000002</c:v>
                </c:pt>
                <c:pt idx="105">
                  <c:v>90.587484375000003</c:v>
                </c:pt>
                <c:pt idx="106">
                  <c:v>90.71509145600001</c:v>
                </c:pt>
                <c:pt idx="107">
                  <c:v>90.842103873000013</c:v>
                </c:pt>
                <c:pt idx="108">
                  <c:v>90.968491512</c:v>
                </c:pt>
                <c:pt idx="109">
                  <c:v>91.094224259000015</c:v>
                </c:pt>
                <c:pt idx="110">
                  <c:v>91.219272000000018</c:v>
                </c:pt>
                <c:pt idx="111">
                  <c:v>91.343604620999997</c:v>
                </c:pt>
                <c:pt idx="112">
                  <c:v>91.467192007999998</c:v>
                </c:pt>
                <c:pt idx="113">
                  <c:v>91.590004046999994</c:v>
                </c:pt>
                <c:pt idx="114">
                  <c:v>91.712010624000015</c:v>
                </c:pt>
                <c:pt idx="115">
                  <c:v>91.833181624999995</c:v>
                </c:pt>
                <c:pt idx="116">
                  <c:v>91.953486936000019</c:v>
                </c:pt>
                <c:pt idx="117">
                  <c:v>92.072896443000005</c:v>
                </c:pt>
                <c:pt idx="118">
                  <c:v>92.191380031999984</c:v>
                </c:pt>
                <c:pt idx="119">
                  <c:v>92.308907588999986</c:v>
                </c:pt>
                <c:pt idx="120">
                  <c:v>92.425449000000015</c:v>
                </c:pt>
                <c:pt idx="121">
                  <c:v>92.540974151</c:v>
                </c:pt>
                <c:pt idx="122">
                  <c:v>92.655452928000003</c:v>
                </c:pt>
                <c:pt idx="123">
                  <c:v>92.768855217000009</c:v>
                </c:pt>
                <c:pt idx="124">
                  <c:v>92.881150904000009</c:v>
                </c:pt>
                <c:pt idx="125">
                  <c:v>92.992309875000004</c:v>
                </c:pt>
                <c:pt idx="126">
                  <c:v>93.102302015999996</c:v>
                </c:pt>
                <c:pt idx="127">
                  <c:v>93.211097213000002</c:v>
                </c:pt>
                <c:pt idx="128">
                  <c:v>93.318665351999996</c:v>
                </c:pt>
                <c:pt idx="129">
                  <c:v>93.424976318999995</c:v>
                </c:pt>
                <c:pt idx="130">
                  <c:v>93.53</c:v>
                </c:pt>
                <c:pt idx="131">
                  <c:v>93.633706280999988</c:v>
                </c:pt>
                <c:pt idx="132">
                  <c:v>93.736065048</c:v>
                </c:pt>
                <c:pt idx="133">
                  <c:v>93.837046186999984</c:v>
                </c:pt>
                <c:pt idx="134">
                  <c:v>93.936619583999999</c:v>
                </c:pt>
                <c:pt idx="135">
                  <c:v>94.034755125000004</c:v>
                </c:pt>
                <c:pt idx="136">
                  <c:v>94.131422695999987</c:v>
                </c:pt>
                <c:pt idx="137">
                  <c:v>94.226592183000037</c:v>
                </c:pt>
                <c:pt idx="138">
                  <c:v>94.320233471999998</c:v>
                </c:pt>
                <c:pt idx="139">
                  <c:v>94.412316448999988</c:v>
                </c:pt>
                <c:pt idx="140">
                  <c:v>94.502811000000023</c:v>
                </c:pt>
                <c:pt idx="141">
                  <c:v>94.591687010999991</c:v>
                </c:pt>
                <c:pt idx="142">
                  <c:v>94.678914368000008</c:v>
                </c:pt>
                <c:pt idx="143">
                  <c:v>94.764462957000006</c:v>
                </c:pt>
                <c:pt idx="144">
                  <c:v>94.848302663999988</c:v>
                </c:pt>
                <c:pt idx="145">
                  <c:v>94.930403374999997</c:v>
                </c:pt>
                <c:pt idx="146">
                  <c:v>95.010734975999995</c:v>
                </c:pt>
                <c:pt idx="147">
                  <c:v>95.089267352999997</c:v>
                </c:pt>
                <c:pt idx="148">
                  <c:v>95.16597039200002</c:v>
                </c:pt>
                <c:pt idx="149">
                  <c:v>95.240813978999995</c:v>
                </c:pt>
                <c:pt idx="150">
                  <c:v>95.31376800000001</c:v>
                </c:pt>
                <c:pt idx="151">
                  <c:v>95.384802340999997</c:v>
                </c:pt>
                <c:pt idx="152">
                  <c:v>95.453886888000028</c:v>
                </c:pt>
                <c:pt idx="153">
                  <c:v>95.520991527000007</c:v>
                </c:pt>
                <c:pt idx="154">
                  <c:v>95.586086144000006</c:v>
                </c:pt>
                <c:pt idx="155">
                  <c:v>95.649140625000001</c:v>
                </c:pt>
                <c:pt idx="156">
                  <c:v>95.710124855999979</c:v>
                </c:pt>
                <c:pt idx="157">
                  <c:v>95.769008722999985</c:v>
                </c:pt>
                <c:pt idx="158">
                  <c:v>95.825762111999992</c:v>
                </c:pt>
                <c:pt idx="159">
                  <c:v>95.880354909000005</c:v>
                </c:pt>
                <c:pt idx="160">
                  <c:v>95.932757000000009</c:v>
                </c:pt>
                <c:pt idx="161">
                  <c:v>95.982938271000023</c:v>
                </c:pt>
                <c:pt idx="162">
                  <c:v>96.03086860800002</c:v>
                </c:pt>
                <c:pt idx="163">
                  <c:v>96.076517896999988</c:v>
                </c:pt>
                <c:pt idx="164">
                  <c:v>96.119856024000015</c:v>
                </c:pt>
                <c:pt idx="165">
                  <c:v>96.160852874999989</c:v>
                </c:pt>
                <c:pt idx="166">
                  <c:v>96.199478335999999</c:v>
                </c:pt>
                <c:pt idx="167">
                  <c:v>96.235702292999989</c:v>
                </c:pt>
                <c:pt idx="168">
                  <c:v>96.269494632000004</c:v>
                </c:pt>
                <c:pt idx="169">
                  <c:v>96.300825239000019</c:v>
                </c:pt>
                <c:pt idx="170">
                  <c:v>96.329664000000008</c:v>
                </c:pt>
                <c:pt idx="171">
                  <c:v>96.355980801000001</c:v>
                </c:pt>
                <c:pt idx="172">
                  <c:v>96.379745528000015</c:v>
                </c:pt>
                <c:pt idx="173">
                  <c:v>96.400928066999995</c:v>
                </c:pt>
                <c:pt idx="174">
                  <c:v>96.419498303999973</c:v>
                </c:pt>
                <c:pt idx="175">
                  <c:v>96.435426125000006</c:v>
                </c:pt>
                <c:pt idx="176">
                  <c:v>96.448681416000014</c:v>
                </c:pt>
                <c:pt idx="177">
                  <c:v>96.459234062999982</c:v>
                </c:pt>
                <c:pt idx="178">
                  <c:v>96.467053951999986</c:v>
                </c:pt>
                <c:pt idx="179">
                  <c:v>96.472110968999985</c:v>
                </c:pt>
                <c:pt idx="180">
                  <c:v>96.474374999999995</c:v>
                </c:pt>
                <c:pt idx="181">
                  <c:v>96.47381593099999</c:v>
                </c:pt>
                <c:pt idx="182">
                  <c:v>96.47040364800003</c:v>
                </c:pt>
                <c:pt idx="183">
                  <c:v>96.464108036999988</c:v>
                </c:pt>
                <c:pt idx="184">
                  <c:v>96.454898983999982</c:v>
                </c:pt>
                <c:pt idx="185">
                  <c:v>96.442746374999984</c:v>
                </c:pt>
                <c:pt idx="186">
                  <c:v>96.427620095999998</c:v>
                </c:pt>
                <c:pt idx="187">
                  <c:v>96.409490032999997</c:v>
                </c:pt>
                <c:pt idx="188">
                  <c:v>96.388326071999998</c:v>
                </c:pt>
                <c:pt idx="189">
                  <c:v>96.364098098999989</c:v>
                </c:pt>
                <c:pt idx="190">
                  <c:v>96.336776000000015</c:v>
                </c:pt>
                <c:pt idx="191">
                  <c:v>96.306329661000021</c:v>
                </c:pt>
                <c:pt idx="192">
                  <c:v>96.272728967999996</c:v>
                </c:pt>
                <c:pt idx="193">
                  <c:v>96.235943806999984</c:v>
                </c:pt>
                <c:pt idx="194">
                  <c:v>96.195944064000031</c:v>
                </c:pt>
                <c:pt idx="195">
                  <c:v>96.152699625000039</c:v>
                </c:pt>
                <c:pt idx="196">
                  <c:v>96.106180375999998</c:v>
                </c:pt>
                <c:pt idx="197">
                  <c:v>96.056356202999993</c:v>
                </c:pt>
                <c:pt idx="198">
                  <c:v>96.003196991999999</c:v>
                </c:pt>
                <c:pt idx="199">
                  <c:v>95.946672628999991</c:v>
                </c:pt>
                <c:pt idx="200">
                  <c:v>95.886752999999999</c:v>
                </c:pt>
                <c:pt idx="201">
                  <c:v>95.823407990999982</c:v>
                </c:pt>
                <c:pt idx="202">
                  <c:v>95.756607488000014</c:v>
                </c:pt>
                <c:pt idx="203">
                  <c:v>95.68632137699997</c:v>
                </c:pt>
                <c:pt idx="204">
                  <c:v>95.612519543999994</c:v>
                </c:pt>
                <c:pt idx="205">
                  <c:v>95.535171875000003</c:v>
                </c:pt>
                <c:pt idx="206">
                  <c:v>95.454248256</c:v>
                </c:pt>
                <c:pt idx="207">
                  <c:v>95.369718573</c:v>
                </c:pt>
                <c:pt idx="208">
                  <c:v>95.281552712000007</c:v>
                </c:pt>
                <c:pt idx="209">
                  <c:v>95.189720559000008</c:v>
                </c:pt>
                <c:pt idx="210">
                  <c:v>95.094191999999993</c:v>
                </c:pt>
                <c:pt idx="211">
                  <c:v>94.994936921000004</c:v>
                </c:pt>
                <c:pt idx="212">
                  <c:v>94.891925208000004</c:v>
                </c:pt>
                <c:pt idx="213">
                  <c:v>94.785126746999993</c:v>
                </c:pt>
                <c:pt idx="214">
                  <c:v>94.674511424000016</c:v>
                </c:pt>
              </c:numCache>
            </c:numRef>
          </c:yVal>
          <c:smooth val="0"/>
        </c:ser>
        <c:ser>
          <c:idx val="2"/>
          <c:order val="2"/>
          <c:tx>
            <c:strRef>
              <c:f>'Sheet1 (2)'!$F$2</c:f>
              <c:strCache>
                <c:ptCount val="1"/>
                <c:pt idx="0">
                  <c:v>Narrow-Focus  </c:v>
                </c:pt>
              </c:strCache>
            </c:strRef>
          </c:tx>
          <c:spPr>
            <a:ln w="19050" cap="rnd">
              <a:solidFill>
                <a:srgbClr val="56B4DF"/>
              </a:solidFill>
              <a:round/>
            </a:ln>
            <a:effectLst/>
          </c:spPr>
          <c:marker>
            <c:symbol val="none"/>
          </c:marker>
          <c:xVal>
            <c:numRef>
              <c:f>'Sheet1 (2)'!$C$13:$C$343</c:f>
              <c:numCache>
                <c:formatCode>General</c:formatCode>
                <c:ptCount val="331"/>
                <c:pt idx="0">
                  <c:v>5.1286138399136494</c:v>
                </c:pt>
                <c:pt idx="1">
                  <c:v>5.2480746024977263</c:v>
                </c:pt>
                <c:pt idx="2">
                  <c:v>5.3703179637025285</c:v>
                </c:pt>
                <c:pt idx="3">
                  <c:v>5.4954087385762458</c:v>
                </c:pt>
                <c:pt idx="4">
                  <c:v>5.6234132519034921</c:v>
                </c:pt>
                <c:pt idx="5">
                  <c:v>5.7543993733715713</c:v>
                </c:pt>
                <c:pt idx="6">
                  <c:v>5.8884365535558905</c:v>
                </c:pt>
                <c:pt idx="7">
                  <c:v>6.0255958607435796</c:v>
                </c:pt>
                <c:pt idx="8">
                  <c:v>6.1659500186148231</c:v>
                </c:pt>
                <c:pt idx="9">
                  <c:v>6.3095734448019343</c:v>
                </c:pt>
                <c:pt idx="10">
                  <c:v>6.4565422903465572</c:v>
                </c:pt>
                <c:pt idx="11">
                  <c:v>6.6069344800759611</c:v>
                </c:pt>
                <c:pt idx="12">
                  <c:v>6.7608297539198183</c:v>
                </c:pt>
                <c:pt idx="13">
                  <c:v>6.9183097091893666</c:v>
                </c:pt>
                <c:pt idx="14">
                  <c:v>7.0794578438413795</c:v>
                </c:pt>
                <c:pt idx="15">
                  <c:v>7.2443596007499025</c:v>
                </c:pt>
                <c:pt idx="16">
                  <c:v>7.4131024130091765</c:v>
                </c:pt>
                <c:pt idx="17">
                  <c:v>7.5857757502918375</c:v>
                </c:pt>
                <c:pt idx="18">
                  <c:v>7.7624711662869199</c:v>
                </c:pt>
                <c:pt idx="19">
                  <c:v>7.9432823472428176</c:v>
                </c:pt>
                <c:pt idx="20">
                  <c:v>8.1283051616409931</c:v>
                </c:pt>
                <c:pt idx="21">
                  <c:v>8.3176377110267108</c:v>
                </c:pt>
                <c:pt idx="22">
                  <c:v>8.5113803820237681</c:v>
                </c:pt>
                <c:pt idx="23">
                  <c:v>8.709635899560805</c:v>
                </c:pt>
                <c:pt idx="24">
                  <c:v>8.9125093813374576</c:v>
                </c:pt>
                <c:pt idx="25">
                  <c:v>9.1201083935590983</c:v>
                </c:pt>
                <c:pt idx="26">
                  <c:v>9.3325430079699103</c:v>
                </c:pt>
                <c:pt idx="27">
                  <c:v>9.5499258602143584</c:v>
                </c:pt>
                <c:pt idx="28">
                  <c:v>9.7723722095581103</c:v>
                </c:pt>
                <c:pt idx="29">
                  <c:v>10</c:v>
                </c:pt>
                <c:pt idx="30">
                  <c:v>10.232929922807543</c:v>
                </c:pt>
                <c:pt idx="31">
                  <c:v>10.471285480509</c:v>
                </c:pt>
                <c:pt idx="32">
                  <c:v>10.715193052376069</c:v>
                </c:pt>
                <c:pt idx="33">
                  <c:v>10.964781961431854</c:v>
                </c:pt>
                <c:pt idx="34">
                  <c:v>11.220184543019636</c:v>
                </c:pt>
                <c:pt idx="35">
                  <c:v>11.481536214968834</c:v>
                </c:pt>
                <c:pt idx="36">
                  <c:v>11.748975549395301</c:v>
                </c:pt>
                <c:pt idx="37">
                  <c:v>12.022644346174133</c:v>
                </c:pt>
                <c:pt idx="38">
                  <c:v>12.302687708123818</c:v>
                </c:pt>
                <c:pt idx="39">
                  <c:v>12.58925411794168</c:v>
                </c:pt>
                <c:pt idx="40">
                  <c:v>12.882495516931346</c:v>
                </c:pt>
                <c:pt idx="41">
                  <c:v>13.182567385564075</c:v>
                </c:pt>
                <c:pt idx="42">
                  <c:v>13.489628825916535</c:v>
                </c:pt>
                <c:pt idx="43">
                  <c:v>13.803842646028851</c:v>
                </c:pt>
                <c:pt idx="44">
                  <c:v>14.125375446227544</c:v>
                </c:pt>
                <c:pt idx="45">
                  <c:v>14.454397707459275</c:v>
                </c:pt>
                <c:pt idx="46">
                  <c:v>14.791083881682074</c:v>
                </c:pt>
                <c:pt idx="47">
                  <c:v>15.135612484362087</c:v>
                </c:pt>
                <c:pt idx="48">
                  <c:v>15.488166189124817</c:v>
                </c:pt>
                <c:pt idx="49">
                  <c:v>15.848931924611138</c:v>
                </c:pt>
                <c:pt idx="50">
                  <c:v>16.218100973589298</c:v>
                </c:pt>
                <c:pt idx="51">
                  <c:v>16.595869074375614</c:v>
                </c:pt>
                <c:pt idx="52">
                  <c:v>16.982436524617448</c:v>
                </c:pt>
                <c:pt idx="53">
                  <c:v>17.378008287493756</c:v>
                </c:pt>
                <c:pt idx="54">
                  <c:v>17.782794100389236</c:v>
                </c:pt>
                <c:pt idx="55">
                  <c:v>18.197008586099841</c:v>
                </c:pt>
                <c:pt idx="56">
                  <c:v>18.62087136662868</c:v>
                </c:pt>
                <c:pt idx="57">
                  <c:v>19.054607179632477</c:v>
                </c:pt>
                <c:pt idx="58">
                  <c:v>19.498445997580465</c:v>
                </c:pt>
                <c:pt idx="59">
                  <c:v>19.952623149688804</c:v>
                </c:pt>
                <c:pt idx="60">
                  <c:v>20.4173794466953</c:v>
                </c:pt>
                <c:pt idx="61">
                  <c:v>20.8929613085404</c:v>
                </c:pt>
                <c:pt idx="62">
                  <c:v>21.379620895022335</c:v>
                </c:pt>
                <c:pt idx="63">
                  <c:v>21.877616239495538</c:v>
                </c:pt>
                <c:pt idx="64">
                  <c:v>22.387211385683404</c:v>
                </c:pt>
                <c:pt idx="65">
                  <c:v>22.908676527677738</c:v>
                </c:pt>
                <c:pt idx="66">
                  <c:v>23.442288153199236</c:v>
                </c:pt>
                <c:pt idx="67">
                  <c:v>23.988329190194907</c:v>
                </c:pt>
                <c:pt idx="68">
                  <c:v>24.547089156850305</c:v>
                </c:pt>
                <c:pt idx="69">
                  <c:v>25.118864315095799</c:v>
                </c:pt>
                <c:pt idx="70">
                  <c:v>25.703957827688647</c:v>
                </c:pt>
                <c:pt idx="71">
                  <c:v>26.302679918953825</c:v>
                </c:pt>
                <c:pt idx="72">
                  <c:v>26.915348039269158</c:v>
                </c:pt>
                <c:pt idx="73">
                  <c:v>27.542287033381665</c:v>
                </c:pt>
                <c:pt idx="74">
                  <c:v>28.183829312644548</c:v>
                </c:pt>
                <c:pt idx="75">
                  <c:v>28.840315031266066</c:v>
                </c:pt>
                <c:pt idx="76">
                  <c:v>29.512092266663863</c:v>
                </c:pt>
                <c:pt idx="77">
                  <c:v>30.199517204020164</c:v>
                </c:pt>
                <c:pt idx="78">
                  <c:v>30.902954325135919</c:v>
                </c:pt>
                <c:pt idx="79">
                  <c:v>31.622776601683807</c:v>
                </c:pt>
                <c:pt idx="80">
                  <c:v>32.359365692962832</c:v>
                </c:pt>
                <c:pt idx="81">
                  <c:v>33.113112148259127</c:v>
                </c:pt>
                <c:pt idx="82">
                  <c:v>33.884415613920268</c:v>
                </c:pt>
                <c:pt idx="83">
                  <c:v>34.67368504525318</c:v>
                </c:pt>
                <c:pt idx="84">
                  <c:v>35.481338923357555</c:v>
                </c:pt>
                <c:pt idx="85">
                  <c:v>36.307805477010156</c:v>
                </c:pt>
                <c:pt idx="86">
                  <c:v>37.153522909717275</c:v>
                </c:pt>
                <c:pt idx="87">
                  <c:v>38.018939632056139</c:v>
                </c:pt>
                <c:pt idx="88">
                  <c:v>38.904514499428075</c:v>
                </c:pt>
                <c:pt idx="89">
                  <c:v>39.810717055349755</c:v>
                </c:pt>
                <c:pt idx="90">
                  <c:v>40.738027780411301</c:v>
                </c:pt>
                <c:pt idx="91">
                  <c:v>41.686938347033561</c:v>
                </c:pt>
                <c:pt idx="92">
                  <c:v>42.657951880159267</c:v>
                </c:pt>
                <c:pt idx="93">
                  <c:v>43.651583224016612</c:v>
                </c:pt>
                <c:pt idx="94">
                  <c:v>44.668359215096324</c:v>
                </c:pt>
                <c:pt idx="95">
                  <c:v>45.708818961487509</c:v>
                </c:pt>
                <c:pt idx="96">
                  <c:v>46.773514128719818</c:v>
                </c:pt>
                <c:pt idx="97">
                  <c:v>47.863009232263856</c:v>
                </c:pt>
                <c:pt idx="98">
                  <c:v>48.977881936844632</c:v>
                </c:pt>
                <c:pt idx="99">
                  <c:v>50.118723362727238</c:v>
                </c:pt>
                <c:pt idx="100">
                  <c:v>51.28613839913649</c:v>
                </c:pt>
                <c:pt idx="101">
                  <c:v>52.480746024977286</c:v>
                </c:pt>
                <c:pt idx="102">
                  <c:v>53.703179637025293</c:v>
                </c:pt>
                <c:pt idx="103">
                  <c:v>54.95408738576247</c:v>
                </c:pt>
                <c:pt idx="104">
                  <c:v>56.234132519034915</c:v>
                </c:pt>
                <c:pt idx="105">
                  <c:v>57.543993733715695</c:v>
                </c:pt>
                <c:pt idx="106">
                  <c:v>58.884365535558949</c:v>
                </c:pt>
                <c:pt idx="107">
                  <c:v>60.255958607435822</c:v>
                </c:pt>
                <c:pt idx="108">
                  <c:v>61.659500186148257</c:v>
                </c:pt>
                <c:pt idx="109">
                  <c:v>63.095734448019357</c:v>
                </c:pt>
                <c:pt idx="110">
                  <c:v>64.565422903465588</c:v>
                </c:pt>
                <c:pt idx="111">
                  <c:v>66.069344800759623</c:v>
                </c:pt>
                <c:pt idx="112">
                  <c:v>67.60829753919819</c:v>
                </c:pt>
                <c:pt idx="113">
                  <c:v>69.183097091893657</c:v>
                </c:pt>
                <c:pt idx="114">
                  <c:v>70.794578438413865</c:v>
                </c:pt>
                <c:pt idx="115">
                  <c:v>72.443596007499067</c:v>
                </c:pt>
                <c:pt idx="116">
                  <c:v>74.131024130091816</c:v>
                </c:pt>
                <c:pt idx="117">
                  <c:v>75.857757502918361</c:v>
                </c:pt>
                <c:pt idx="118">
                  <c:v>77.624711662869217</c:v>
                </c:pt>
                <c:pt idx="119">
                  <c:v>79.432823472428197</c:v>
                </c:pt>
                <c:pt idx="120">
                  <c:v>81.283051616409963</c:v>
                </c:pt>
                <c:pt idx="121">
                  <c:v>83.176377110267126</c:v>
                </c:pt>
                <c:pt idx="122">
                  <c:v>85.113803820237663</c:v>
                </c:pt>
                <c:pt idx="123">
                  <c:v>87.096358995608071</c:v>
                </c:pt>
                <c:pt idx="124">
                  <c:v>89.125093813374562</c:v>
                </c:pt>
                <c:pt idx="125">
                  <c:v>91.201083935590972</c:v>
                </c:pt>
                <c:pt idx="126">
                  <c:v>93.325430079699174</c:v>
                </c:pt>
                <c:pt idx="127">
                  <c:v>95.499258602143655</c:v>
                </c:pt>
                <c:pt idx="128">
                  <c:v>97.723722095581124</c:v>
                </c:pt>
                <c:pt idx="129">
                  <c:v>100</c:v>
                </c:pt>
                <c:pt idx="130">
                  <c:v>102.32929922807544</c:v>
                </c:pt>
                <c:pt idx="131">
                  <c:v>104.71285480508998</c:v>
                </c:pt>
                <c:pt idx="132">
                  <c:v>107.15193052376065</c:v>
                </c:pt>
                <c:pt idx="133">
                  <c:v>109.64781961431861</c:v>
                </c:pt>
                <c:pt idx="134">
                  <c:v>112.20184543019634</c:v>
                </c:pt>
                <c:pt idx="135">
                  <c:v>114.81536214968835</c:v>
                </c:pt>
                <c:pt idx="136">
                  <c:v>117.48975549395293</c:v>
                </c:pt>
                <c:pt idx="137">
                  <c:v>120.22644346174135</c:v>
                </c:pt>
                <c:pt idx="138">
                  <c:v>123.02687708123821</c:v>
                </c:pt>
                <c:pt idx="139">
                  <c:v>125.89254117941675</c:v>
                </c:pt>
                <c:pt idx="140">
                  <c:v>128.82495516931343</c:v>
                </c:pt>
                <c:pt idx="141">
                  <c:v>131.82567385564084</c:v>
                </c:pt>
                <c:pt idx="142">
                  <c:v>134.89628825916537</c:v>
                </c:pt>
                <c:pt idx="143">
                  <c:v>138.0384264602886</c:v>
                </c:pt>
                <c:pt idx="144">
                  <c:v>141.25375446227542</c:v>
                </c:pt>
                <c:pt idx="145">
                  <c:v>144.54397707459285</c:v>
                </c:pt>
                <c:pt idx="146">
                  <c:v>147.91083881682084</c:v>
                </c:pt>
                <c:pt idx="147">
                  <c:v>151.3561248436209</c:v>
                </c:pt>
                <c:pt idx="148">
                  <c:v>154.8816618912482</c:v>
                </c:pt>
                <c:pt idx="149">
                  <c:v>158.48931924611153</c:v>
                </c:pt>
                <c:pt idx="150">
                  <c:v>162.18100973589304</c:v>
                </c:pt>
                <c:pt idx="151">
                  <c:v>165.95869074375622</c:v>
                </c:pt>
                <c:pt idx="152">
                  <c:v>169.82436524617444</c:v>
                </c:pt>
                <c:pt idx="153">
                  <c:v>173.78008287493768</c:v>
                </c:pt>
                <c:pt idx="154">
                  <c:v>177.82794100389242</c:v>
                </c:pt>
                <c:pt idx="155">
                  <c:v>181.9700858609983</c:v>
                </c:pt>
                <c:pt idx="156">
                  <c:v>186.20871366628685</c:v>
                </c:pt>
                <c:pt idx="157">
                  <c:v>190.54607179632481</c:v>
                </c:pt>
                <c:pt idx="158">
                  <c:v>194.98445997580458</c:v>
                </c:pt>
                <c:pt idx="159">
                  <c:v>199.52623149688802</c:v>
                </c:pt>
                <c:pt idx="160">
                  <c:v>204.17379446695315</c:v>
                </c:pt>
                <c:pt idx="161">
                  <c:v>208.92961308540396</c:v>
                </c:pt>
                <c:pt idx="162">
                  <c:v>213.79620895022339</c:v>
                </c:pt>
                <c:pt idx="163">
                  <c:v>218.77616239495524</c:v>
                </c:pt>
                <c:pt idx="164">
                  <c:v>223.87211385683412</c:v>
                </c:pt>
                <c:pt idx="165">
                  <c:v>229.08676527677744</c:v>
                </c:pt>
                <c:pt idx="166">
                  <c:v>234.42288153199232</c:v>
                </c:pt>
                <c:pt idx="167">
                  <c:v>239.88329190194912</c:v>
                </c:pt>
                <c:pt idx="168">
                  <c:v>245.4708915685033</c:v>
                </c:pt>
                <c:pt idx="169">
                  <c:v>251.18864315095806</c:v>
                </c:pt>
                <c:pt idx="170">
                  <c:v>257.03957827688663</c:v>
                </c:pt>
                <c:pt idx="171">
                  <c:v>263.02679918953817</c:v>
                </c:pt>
                <c:pt idx="172">
                  <c:v>269.15348039269179</c:v>
                </c:pt>
                <c:pt idx="173">
                  <c:v>275.42287033381683</c:v>
                </c:pt>
                <c:pt idx="174">
                  <c:v>281.83829312644554</c:v>
                </c:pt>
                <c:pt idx="175">
                  <c:v>288.40315031266073</c:v>
                </c:pt>
                <c:pt idx="176">
                  <c:v>295.12092266663893</c:v>
                </c:pt>
                <c:pt idx="177">
                  <c:v>301.99517204020168</c:v>
                </c:pt>
                <c:pt idx="178">
                  <c:v>309.02954325135937</c:v>
                </c:pt>
                <c:pt idx="179">
                  <c:v>316.22776601683825</c:v>
                </c:pt>
                <c:pt idx="180">
                  <c:v>323.59365692962825</c:v>
                </c:pt>
                <c:pt idx="181">
                  <c:v>331.13112148259137</c:v>
                </c:pt>
                <c:pt idx="182">
                  <c:v>338.84415613920248</c:v>
                </c:pt>
                <c:pt idx="183">
                  <c:v>346.73685045253183</c:v>
                </c:pt>
                <c:pt idx="184">
                  <c:v>354.81338923357566</c:v>
                </c:pt>
                <c:pt idx="185">
                  <c:v>363.07805477010152</c:v>
                </c:pt>
                <c:pt idx="186">
                  <c:v>371.53522909717265</c:v>
                </c:pt>
                <c:pt idx="187">
                  <c:v>380.18939632056163</c:v>
                </c:pt>
                <c:pt idx="188">
                  <c:v>389.04514499428063</c:v>
                </c:pt>
                <c:pt idx="189">
                  <c:v>398.10717055349761</c:v>
                </c:pt>
                <c:pt idx="190">
                  <c:v>407.38027780411272</c:v>
                </c:pt>
                <c:pt idx="191">
                  <c:v>416.86938347033572</c:v>
                </c:pt>
                <c:pt idx="192">
                  <c:v>426.57951880159294</c:v>
                </c:pt>
                <c:pt idx="193">
                  <c:v>436.51583224016622</c:v>
                </c:pt>
                <c:pt idx="194">
                  <c:v>446.68359215096331</c:v>
                </c:pt>
                <c:pt idx="195">
                  <c:v>457.0881896148756</c:v>
                </c:pt>
                <c:pt idx="196">
                  <c:v>467.7351412871983</c:v>
                </c:pt>
                <c:pt idx="197">
                  <c:v>478.63009232263886</c:v>
                </c:pt>
                <c:pt idx="198">
                  <c:v>489.77881936844625</c:v>
                </c:pt>
                <c:pt idx="199">
                  <c:v>501.18723362727269</c:v>
                </c:pt>
                <c:pt idx="200">
                  <c:v>512.86138399136519</c:v>
                </c:pt>
                <c:pt idx="201">
                  <c:v>524.80746024977293</c:v>
                </c:pt>
                <c:pt idx="202">
                  <c:v>537.03179637025301</c:v>
                </c:pt>
                <c:pt idx="203">
                  <c:v>549.54087385762534</c:v>
                </c:pt>
                <c:pt idx="204">
                  <c:v>562.34132519034927</c:v>
                </c:pt>
                <c:pt idx="205">
                  <c:v>575.43993733715706</c:v>
                </c:pt>
                <c:pt idx="206">
                  <c:v>588.84365535558959</c:v>
                </c:pt>
                <c:pt idx="207">
                  <c:v>602.55958607435775</c:v>
                </c:pt>
                <c:pt idx="208">
                  <c:v>616.59500186148273</c:v>
                </c:pt>
                <c:pt idx="209">
                  <c:v>630.95734448019323</c:v>
                </c:pt>
                <c:pt idx="210">
                  <c:v>645.65422903465594</c:v>
                </c:pt>
                <c:pt idx="211">
                  <c:v>660.69344800759643</c:v>
                </c:pt>
                <c:pt idx="212">
                  <c:v>676.08297539198213</c:v>
                </c:pt>
                <c:pt idx="213">
                  <c:v>691.83097091893671</c:v>
                </c:pt>
                <c:pt idx="214">
                  <c:v>707.94578438413873</c:v>
                </c:pt>
                <c:pt idx="215">
                  <c:v>724.43596007499025</c:v>
                </c:pt>
                <c:pt idx="216">
                  <c:v>741.31024130091828</c:v>
                </c:pt>
                <c:pt idx="217">
                  <c:v>758.57757502918378</c:v>
                </c:pt>
                <c:pt idx="218">
                  <c:v>776.24711662869231</c:v>
                </c:pt>
                <c:pt idx="219">
                  <c:v>794.32823472428208</c:v>
                </c:pt>
                <c:pt idx="220">
                  <c:v>812.83051616409978</c:v>
                </c:pt>
                <c:pt idx="221">
                  <c:v>831.7637711026714</c:v>
                </c:pt>
                <c:pt idx="222">
                  <c:v>851.13803820237763</c:v>
                </c:pt>
                <c:pt idx="223">
                  <c:v>870.96358995608091</c:v>
                </c:pt>
                <c:pt idx="224">
                  <c:v>891.25093813374656</c:v>
                </c:pt>
                <c:pt idx="225">
                  <c:v>912.01083935590987</c:v>
                </c:pt>
                <c:pt idx="226">
                  <c:v>933.25430079699197</c:v>
                </c:pt>
                <c:pt idx="227">
                  <c:v>954.99258602143675</c:v>
                </c:pt>
                <c:pt idx="228">
                  <c:v>977.23722095581138</c:v>
                </c:pt>
                <c:pt idx="229">
                  <c:v>1000</c:v>
                </c:pt>
                <c:pt idx="230">
                  <c:v>1023.2929922807548</c:v>
                </c:pt>
                <c:pt idx="231">
                  <c:v>1047.1285480509</c:v>
                </c:pt>
                <c:pt idx="232">
                  <c:v>1071.5193052376069</c:v>
                </c:pt>
                <c:pt idx="233">
                  <c:v>1096.4781961431863</c:v>
                </c:pt>
                <c:pt idx="234">
                  <c:v>1122.0184543019636</c:v>
                </c:pt>
                <c:pt idx="235">
                  <c:v>1148.1536214968839</c:v>
                </c:pt>
                <c:pt idx="236">
                  <c:v>1174.8975549395295</c:v>
                </c:pt>
                <c:pt idx="237">
                  <c:v>1202.2644346174138</c:v>
                </c:pt>
                <c:pt idx="238">
                  <c:v>1230.2687708123824</c:v>
                </c:pt>
                <c:pt idx="239">
                  <c:v>1258.925411794168</c:v>
                </c:pt>
                <c:pt idx="240">
                  <c:v>1288.2495516931347</c:v>
                </c:pt>
                <c:pt idx="241">
                  <c:v>1318.2567385564089</c:v>
                </c:pt>
                <c:pt idx="242">
                  <c:v>1348.9628825916541</c:v>
                </c:pt>
                <c:pt idx="243">
                  <c:v>1380.3842646028863</c:v>
                </c:pt>
                <c:pt idx="244">
                  <c:v>1412.5375446227545</c:v>
                </c:pt>
                <c:pt idx="245">
                  <c:v>1445.4397707459289</c:v>
                </c:pt>
                <c:pt idx="246">
                  <c:v>1479.1083881682086</c:v>
                </c:pt>
                <c:pt idx="247">
                  <c:v>1513.5612484362093</c:v>
                </c:pt>
                <c:pt idx="248">
                  <c:v>1548.8166189124822</c:v>
                </c:pt>
                <c:pt idx="249">
                  <c:v>1584.8931924611156</c:v>
                </c:pt>
                <c:pt idx="250">
                  <c:v>1621.8100973589308</c:v>
                </c:pt>
                <c:pt idx="251">
                  <c:v>1659.5869074375626</c:v>
                </c:pt>
                <c:pt idx="252">
                  <c:v>1698.2436524617447</c:v>
                </c:pt>
                <c:pt idx="253">
                  <c:v>1737.8008287493772</c:v>
                </c:pt>
                <c:pt idx="254">
                  <c:v>1778.2794100389244</c:v>
                </c:pt>
                <c:pt idx="255">
                  <c:v>1819.7008586099832</c:v>
                </c:pt>
                <c:pt idx="256">
                  <c:v>1862.0871366628687</c:v>
                </c:pt>
                <c:pt idx="257">
                  <c:v>1905.4607179632485</c:v>
                </c:pt>
                <c:pt idx="258">
                  <c:v>1949.8445997580463</c:v>
                </c:pt>
                <c:pt idx="259">
                  <c:v>1995.2623149688804</c:v>
                </c:pt>
                <c:pt idx="260">
                  <c:v>2041.7379446695318</c:v>
                </c:pt>
                <c:pt idx="261">
                  <c:v>2089.2961308540398</c:v>
                </c:pt>
                <c:pt idx="262">
                  <c:v>2137.9620895022344</c:v>
                </c:pt>
                <c:pt idx="263">
                  <c:v>2187.7616239495528</c:v>
                </c:pt>
                <c:pt idx="264">
                  <c:v>2238.7211385683418</c:v>
                </c:pt>
                <c:pt idx="265">
                  <c:v>2290.8676527677749</c:v>
                </c:pt>
                <c:pt idx="266">
                  <c:v>2344.2288153199238</c:v>
                </c:pt>
                <c:pt idx="267">
                  <c:v>2398.8329190194918</c:v>
                </c:pt>
                <c:pt idx="268">
                  <c:v>2454.7089156850338</c:v>
                </c:pt>
                <c:pt idx="269">
                  <c:v>2511.8864315095811</c:v>
                </c:pt>
                <c:pt idx="270">
                  <c:v>2570.3957827688669</c:v>
                </c:pt>
                <c:pt idx="271">
                  <c:v>2630.2679918953822</c:v>
                </c:pt>
                <c:pt idx="272">
                  <c:v>2691.5348039269184</c:v>
                </c:pt>
                <c:pt idx="273">
                  <c:v>2754.228703338169</c:v>
                </c:pt>
                <c:pt idx="274">
                  <c:v>2818.3829312644561</c:v>
                </c:pt>
                <c:pt idx="275">
                  <c:v>2884.0315031266077</c:v>
                </c:pt>
                <c:pt idx="276">
                  <c:v>2951.2092266663899</c:v>
                </c:pt>
                <c:pt idx="277">
                  <c:v>3019.9517204020176</c:v>
                </c:pt>
                <c:pt idx="278">
                  <c:v>3090.295432513592</c:v>
                </c:pt>
                <c:pt idx="279">
                  <c:v>3162.2776601683804</c:v>
                </c:pt>
                <c:pt idx="280">
                  <c:v>3235.9365692962833</c:v>
                </c:pt>
                <c:pt idx="281">
                  <c:v>3311.3112148259115</c:v>
                </c:pt>
                <c:pt idx="282">
                  <c:v>3388.4415613920255</c:v>
                </c:pt>
                <c:pt idx="283">
                  <c:v>3467.3685045253224</c:v>
                </c:pt>
                <c:pt idx="284">
                  <c:v>3548.1338923357539</c:v>
                </c:pt>
                <c:pt idx="285">
                  <c:v>3630.7805477010188</c:v>
                </c:pt>
                <c:pt idx="286">
                  <c:v>3715.352290971724</c:v>
                </c:pt>
                <c:pt idx="287">
                  <c:v>3801.8939632056172</c:v>
                </c:pt>
                <c:pt idx="288">
                  <c:v>3890.451449942811</c:v>
                </c:pt>
                <c:pt idx="289">
                  <c:v>3981.0717055349769</c:v>
                </c:pt>
                <c:pt idx="290">
                  <c:v>4073.8027780411317</c:v>
                </c:pt>
                <c:pt idx="291">
                  <c:v>4168.6938347033583</c:v>
                </c:pt>
                <c:pt idx="292">
                  <c:v>4265.7951880159299</c:v>
                </c:pt>
                <c:pt idx="293">
                  <c:v>4365.1583224016631</c:v>
                </c:pt>
                <c:pt idx="294">
                  <c:v>4466.8359215096343</c:v>
                </c:pt>
                <c:pt idx="295">
                  <c:v>4570.8818961487532</c:v>
                </c:pt>
                <c:pt idx="296">
                  <c:v>4677.3514128719844</c:v>
                </c:pt>
                <c:pt idx="297">
                  <c:v>4786.3009232263848</c:v>
                </c:pt>
                <c:pt idx="298">
                  <c:v>4897.7881936844633</c:v>
                </c:pt>
                <c:pt idx="299">
                  <c:v>5011.8723362727324</c:v>
                </c:pt>
                <c:pt idx="300">
                  <c:v>5128.6138399136489</c:v>
                </c:pt>
                <c:pt idx="301">
                  <c:v>5248.0746024977352</c:v>
                </c:pt>
                <c:pt idx="302">
                  <c:v>5370.3179637025269</c:v>
                </c:pt>
                <c:pt idx="303">
                  <c:v>5495.4087385762541</c:v>
                </c:pt>
                <c:pt idx="304">
                  <c:v>5623.4132519034993</c:v>
                </c:pt>
                <c:pt idx="305">
                  <c:v>5754.399373371567</c:v>
                </c:pt>
                <c:pt idx="306">
                  <c:v>5888.4365535558973</c:v>
                </c:pt>
                <c:pt idx="307">
                  <c:v>6025.595860743585</c:v>
                </c:pt>
                <c:pt idx="308">
                  <c:v>6165.9500186148289</c:v>
                </c:pt>
                <c:pt idx="309">
                  <c:v>6309.5734448019384</c:v>
                </c:pt>
                <c:pt idx="310">
                  <c:v>6456.5422903465615</c:v>
                </c:pt>
                <c:pt idx="311">
                  <c:v>6606.9344800759654</c:v>
                </c:pt>
                <c:pt idx="312">
                  <c:v>6760.8297539198229</c:v>
                </c:pt>
                <c:pt idx="313">
                  <c:v>6918.3097091893687</c:v>
                </c:pt>
                <c:pt idx="314">
                  <c:v>7079.4578438413828</c:v>
                </c:pt>
                <c:pt idx="315">
                  <c:v>7244.3596007499036</c:v>
                </c:pt>
                <c:pt idx="316">
                  <c:v>7413.1024130091773</c:v>
                </c:pt>
                <c:pt idx="317">
                  <c:v>7585.7757502918394</c:v>
                </c:pt>
                <c:pt idx="318">
                  <c:v>7762.4711662869322</c:v>
                </c:pt>
                <c:pt idx="319">
                  <c:v>7943.2823472428154</c:v>
                </c:pt>
                <c:pt idx="320">
                  <c:v>8128.3051616410075</c:v>
                </c:pt>
                <c:pt idx="321">
                  <c:v>8317.6377110267094</c:v>
                </c:pt>
                <c:pt idx="322">
                  <c:v>8511.3803820237772</c:v>
                </c:pt>
                <c:pt idx="323">
                  <c:v>8709.6358995608189</c:v>
                </c:pt>
                <c:pt idx="324">
                  <c:v>8912.5093813374679</c:v>
                </c:pt>
                <c:pt idx="325">
                  <c:v>9120.1083935591087</c:v>
                </c:pt>
                <c:pt idx="326">
                  <c:v>9332.5430079699217</c:v>
                </c:pt>
                <c:pt idx="327">
                  <c:v>9549.9258602143691</c:v>
                </c:pt>
                <c:pt idx="328">
                  <c:v>9772.3722095581161</c:v>
                </c:pt>
                <c:pt idx="329">
                  <c:v>10000</c:v>
                </c:pt>
              </c:numCache>
            </c:numRef>
          </c:xVal>
          <c:yVal>
            <c:numRef>
              <c:f>'Sheet1 (2)'!$F$12:$F$343</c:f>
              <c:numCache>
                <c:formatCode>General</c:formatCode>
                <c:ptCount val="332"/>
                <c:pt idx="0">
                  <c:v>81.849720000000005</c:v>
                </c:pt>
                <c:pt idx="1">
                  <c:v>81.832632889999999</c:v>
                </c:pt>
                <c:pt idx="2">
                  <c:v>81.819459520000009</c:v>
                </c:pt>
                <c:pt idx="3">
                  <c:v>81.810160829999987</c:v>
                </c:pt>
                <c:pt idx="4">
                  <c:v>81.804697759999996</c:v>
                </c:pt>
                <c:pt idx="5">
                  <c:v>81.803031250000004</c:v>
                </c:pt>
                <c:pt idx="6">
                  <c:v>81.805122240000003</c:v>
                </c:pt>
                <c:pt idx="7">
                  <c:v>81.810931670000002</c:v>
                </c:pt>
                <c:pt idx="8">
                  <c:v>81.820420479999996</c:v>
                </c:pt>
                <c:pt idx="9">
                  <c:v>81.833549610000006</c:v>
                </c:pt>
                <c:pt idx="10">
                  <c:v>81.850280000000012</c:v>
                </c:pt>
                <c:pt idx="11">
                  <c:v>81.870572590000009</c:v>
                </c:pt>
                <c:pt idx="12">
                  <c:v>81.894388320000004</c:v>
                </c:pt>
                <c:pt idx="13">
                  <c:v>81.921688130000007</c:v>
                </c:pt>
                <c:pt idx="14">
                  <c:v>81.95243296000001</c:v>
                </c:pt>
                <c:pt idx="15">
                  <c:v>81.986583750000008</c:v>
                </c:pt>
                <c:pt idx="16">
                  <c:v>82.024101439999995</c:v>
                </c:pt>
                <c:pt idx="17">
                  <c:v>82.064946970000008</c:v>
                </c:pt>
                <c:pt idx="18">
                  <c:v>82.109081280000012</c:v>
                </c:pt>
                <c:pt idx="19">
                  <c:v>82.156465309999987</c:v>
                </c:pt>
                <c:pt idx="20">
                  <c:v>82.207059999999998</c:v>
                </c:pt>
                <c:pt idx="21">
                  <c:v>82.260826289999997</c:v>
                </c:pt>
                <c:pt idx="22">
                  <c:v>82.317725120000006</c:v>
                </c:pt>
                <c:pt idx="23">
                  <c:v>82.377717430000004</c:v>
                </c:pt>
                <c:pt idx="24">
                  <c:v>82.440764160000001</c:v>
                </c:pt>
                <c:pt idx="25">
                  <c:v>82.506826250000003</c:v>
                </c:pt>
                <c:pt idx="26">
                  <c:v>82.575864640000006</c:v>
                </c:pt>
                <c:pt idx="27">
                  <c:v>82.647840270000003</c:v>
                </c:pt>
                <c:pt idx="28">
                  <c:v>82.722714079999989</c:v>
                </c:pt>
                <c:pt idx="29">
                  <c:v>82.800447009999985</c:v>
                </c:pt>
                <c:pt idx="30">
                  <c:v>82.881</c:v>
                </c:pt>
                <c:pt idx="31">
                  <c:v>82.96433399</c:v>
                </c:pt>
                <c:pt idx="32">
                  <c:v>83.050409919999993</c:v>
                </c:pt>
                <c:pt idx="33">
                  <c:v>83.139188730000015</c:v>
                </c:pt>
                <c:pt idx="34">
                  <c:v>83.230631360000004</c:v>
                </c:pt>
                <c:pt idx="35">
                  <c:v>83.324698749999996</c:v>
                </c:pt>
                <c:pt idx="36">
                  <c:v>83.42135184</c:v>
                </c:pt>
                <c:pt idx="37">
                  <c:v>83.520551569999995</c:v>
                </c:pt>
                <c:pt idx="38">
                  <c:v>83.62225887999999</c:v>
                </c:pt>
                <c:pt idx="39">
                  <c:v>83.726434710000007</c:v>
                </c:pt>
                <c:pt idx="40">
                  <c:v>83.833040000000011</c:v>
                </c:pt>
                <c:pt idx="41">
                  <c:v>83.942035689999997</c:v>
                </c:pt>
                <c:pt idx="42">
                  <c:v>84.053382720000002</c:v>
                </c:pt>
                <c:pt idx="43">
                  <c:v>84.167042030000005</c:v>
                </c:pt>
                <c:pt idx="44">
                  <c:v>84.28297456</c:v>
                </c:pt>
                <c:pt idx="45">
                  <c:v>84.401141249999995</c:v>
                </c:pt>
                <c:pt idx="46">
                  <c:v>84.521503040000013</c:v>
                </c:pt>
                <c:pt idx="47">
                  <c:v>84.644020870000006</c:v>
                </c:pt>
                <c:pt idx="48">
                  <c:v>84.768655679999995</c:v>
                </c:pt>
                <c:pt idx="49">
                  <c:v>84.895368409999989</c:v>
                </c:pt>
                <c:pt idx="50">
                  <c:v>85.024119999999996</c:v>
                </c:pt>
                <c:pt idx="51">
                  <c:v>85.154871389999997</c:v>
                </c:pt>
                <c:pt idx="52">
                  <c:v>85.287583519999984</c:v>
                </c:pt>
                <c:pt idx="53">
                  <c:v>85.422217330000009</c:v>
                </c:pt>
                <c:pt idx="54">
                  <c:v>85.55873376000001</c:v>
                </c:pt>
                <c:pt idx="55">
                  <c:v>85.697093749999993</c:v>
                </c:pt>
                <c:pt idx="56">
                  <c:v>85.837258240000011</c:v>
                </c:pt>
                <c:pt idx="57">
                  <c:v>85.979188170000015</c:v>
                </c:pt>
                <c:pt idx="58">
                  <c:v>86.122844479999998</c:v>
                </c:pt>
                <c:pt idx="59">
                  <c:v>86.268188109999983</c:v>
                </c:pt>
                <c:pt idx="60">
                  <c:v>86.415180000000007</c:v>
                </c:pt>
                <c:pt idx="61">
                  <c:v>86.563781089999992</c:v>
                </c:pt>
                <c:pt idx="62">
                  <c:v>86.713952320000004</c:v>
                </c:pt>
                <c:pt idx="63">
                  <c:v>86.865654629999995</c:v>
                </c:pt>
                <c:pt idx="64">
                  <c:v>87.01884896</c:v>
                </c:pt>
                <c:pt idx="65">
                  <c:v>87.173496249999999</c:v>
                </c:pt>
                <c:pt idx="66">
                  <c:v>87.329557440000002</c:v>
                </c:pt>
                <c:pt idx="67">
                  <c:v>87.486993470000016</c:v>
                </c:pt>
                <c:pt idx="68">
                  <c:v>87.645765279999992</c:v>
                </c:pt>
                <c:pt idx="69">
                  <c:v>87.805833809999996</c:v>
                </c:pt>
                <c:pt idx="70">
                  <c:v>87.967160000000007</c:v>
                </c:pt>
                <c:pt idx="71">
                  <c:v>88.129704789999991</c:v>
                </c:pt>
                <c:pt idx="72">
                  <c:v>88.293429120000013</c:v>
                </c:pt>
                <c:pt idx="73">
                  <c:v>88.458293929999982</c:v>
                </c:pt>
                <c:pt idx="74">
                  <c:v>88.624260160000006</c:v>
                </c:pt>
                <c:pt idx="75">
                  <c:v>88.791288749999993</c:v>
                </c:pt>
                <c:pt idx="76">
                  <c:v>88.959340639999994</c:v>
                </c:pt>
                <c:pt idx="77">
                  <c:v>89.128376770000003</c:v>
                </c:pt>
                <c:pt idx="78">
                  <c:v>89.29835808</c:v>
                </c:pt>
                <c:pt idx="79">
                  <c:v>89.469245509999993</c:v>
                </c:pt>
                <c:pt idx="80">
                  <c:v>89.641000000000005</c:v>
                </c:pt>
                <c:pt idx="81">
                  <c:v>89.813582490000002</c:v>
                </c:pt>
                <c:pt idx="82">
                  <c:v>89.986953920000005</c:v>
                </c:pt>
                <c:pt idx="83">
                  <c:v>90.161075229999994</c:v>
                </c:pt>
                <c:pt idx="84">
                  <c:v>90.335907359999993</c:v>
                </c:pt>
                <c:pt idx="85">
                  <c:v>90.511411250000009</c:v>
                </c:pt>
                <c:pt idx="86">
                  <c:v>90.687547840000008</c:v>
                </c:pt>
                <c:pt idx="87">
                  <c:v>90.864278070000012</c:v>
                </c:pt>
                <c:pt idx="88">
                  <c:v>91.041562880000015</c:v>
                </c:pt>
                <c:pt idx="89">
                  <c:v>91.219363210000012</c:v>
                </c:pt>
                <c:pt idx="90">
                  <c:v>91.39764000000001</c:v>
                </c:pt>
                <c:pt idx="91">
                  <c:v>91.576354189999989</c:v>
                </c:pt>
                <c:pt idx="92">
                  <c:v>91.755466720000015</c:v>
                </c:pt>
                <c:pt idx="93">
                  <c:v>91.934938529999982</c:v>
                </c:pt>
                <c:pt idx="94">
                  <c:v>92.114730559999998</c:v>
                </c:pt>
                <c:pt idx="95">
                  <c:v>92.294803749999986</c:v>
                </c:pt>
                <c:pt idx="96">
                  <c:v>92.475119039999996</c:v>
                </c:pt>
                <c:pt idx="97">
                  <c:v>92.655637369999994</c:v>
                </c:pt>
                <c:pt idx="98">
                  <c:v>92.836319680000003</c:v>
                </c:pt>
                <c:pt idx="99">
                  <c:v>93.017126909999988</c:v>
                </c:pt>
                <c:pt idx="100">
                  <c:v>93.198019999999985</c:v>
                </c:pt>
                <c:pt idx="101">
                  <c:v>93.378959890000004</c:v>
                </c:pt>
                <c:pt idx="102">
                  <c:v>93.55990752000001</c:v>
                </c:pt>
                <c:pt idx="103">
                  <c:v>93.740823829999997</c:v>
                </c:pt>
                <c:pt idx="104">
                  <c:v>93.921669759999986</c:v>
                </c:pt>
                <c:pt idx="105">
                  <c:v>94.102406250000001</c:v>
                </c:pt>
                <c:pt idx="106">
                  <c:v>94.282994239999994</c:v>
                </c:pt>
                <c:pt idx="107">
                  <c:v>94.463394670000014</c:v>
                </c:pt>
                <c:pt idx="108">
                  <c:v>94.643568479999985</c:v>
                </c:pt>
                <c:pt idx="109">
                  <c:v>94.823476609999986</c:v>
                </c:pt>
                <c:pt idx="110">
                  <c:v>95.003080000000011</c:v>
                </c:pt>
                <c:pt idx="111">
                  <c:v>95.182339589999998</c:v>
                </c:pt>
                <c:pt idx="112">
                  <c:v>95.361216320000011</c:v>
                </c:pt>
                <c:pt idx="113">
                  <c:v>95.539671130000002</c:v>
                </c:pt>
                <c:pt idx="114">
                  <c:v>95.717664959999993</c:v>
                </c:pt>
                <c:pt idx="115">
                  <c:v>95.895158750000007</c:v>
                </c:pt>
                <c:pt idx="116">
                  <c:v>96.07211344000001</c:v>
                </c:pt>
                <c:pt idx="117">
                  <c:v>96.248489970000023</c:v>
                </c:pt>
                <c:pt idx="118">
                  <c:v>96.424249280000012</c:v>
                </c:pt>
                <c:pt idx="119">
                  <c:v>96.599352309999986</c:v>
                </c:pt>
                <c:pt idx="120">
                  <c:v>96.773759999999982</c:v>
                </c:pt>
                <c:pt idx="121">
                  <c:v>96.947433290000021</c:v>
                </c:pt>
                <c:pt idx="122">
                  <c:v>97.120333120000026</c:v>
                </c:pt>
                <c:pt idx="123">
                  <c:v>97.292420430000007</c:v>
                </c:pt>
                <c:pt idx="124">
                  <c:v>97.463656159999999</c:v>
                </c:pt>
                <c:pt idx="125">
                  <c:v>97.634001249999997</c:v>
                </c:pt>
                <c:pt idx="126">
                  <c:v>97.803416640000009</c:v>
                </c:pt>
                <c:pt idx="127">
                  <c:v>97.97186327</c:v>
                </c:pt>
                <c:pt idx="128">
                  <c:v>98.139302079999993</c:v>
                </c:pt>
                <c:pt idx="129">
                  <c:v>98.305694010000011</c:v>
                </c:pt>
                <c:pt idx="130">
                  <c:v>98.471000000000004</c:v>
                </c:pt>
                <c:pt idx="131">
                  <c:v>98.635180989999995</c:v>
                </c:pt>
                <c:pt idx="132">
                  <c:v>98.798197920000007</c:v>
                </c:pt>
                <c:pt idx="133">
                  <c:v>98.960011729999962</c:v>
                </c:pt>
                <c:pt idx="134">
                  <c:v>99.120583359999969</c:v>
                </c:pt>
                <c:pt idx="135">
                  <c:v>99.279873749999993</c:v>
                </c:pt>
                <c:pt idx="136">
                  <c:v>99.437843839999985</c:v>
                </c:pt>
                <c:pt idx="137">
                  <c:v>99.594454569999996</c:v>
                </c:pt>
                <c:pt idx="138">
                  <c:v>99.749666880000007</c:v>
                </c:pt>
                <c:pt idx="139">
                  <c:v>99.903441709999996</c:v>
                </c:pt>
                <c:pt idx="140">
                  <c:v>100.05573999999999</c:v>
                </c:pt>
                <c:pt idx="141">
                  <c:v>100.20652269000001</c:v>
                </c:pt>
                <c:pt idx="142">
                  <c:v>100.35575071999997</c:v>
                </c:pt>
                <c:pt idx="143">
                  <c:v>100.50338503</c:v>
                </c:pt>
                <c:pt idx="144">
                  <c:v>100.64938655999998</c:v>
                </c:pt>
                <c:pt idx="145">
                  <c:v>100.79371624999999</c:v>
                </c:pt>
                <c:pt idx="146">
                  <c:v>100.93633503999999</c:v>
                </c:pt>
                <c:pt idx="147">
                  <c:v>101.07720386999999</c:v>
                </c:pt>
                <c:pt idx="148">
                  <c:v>101.21628368000002</c:v>
                </c:pt>
                <c:pt idx="149">
                  <c:v>101.35353540999998</c:v>
                </c:pt>
                <c:pt idx="150">
                  <c:v>101.48891999999999</c:v>
                </c:pt>
                <c:pt idx="151">
                  <c:v>101.62239838999999</c:v>
                </c:pt>
                <c:pt idx="152">
                  <c:v>101.75393152000002</c:v>
                </c:pt>
                <c:pt idx="153">
                  <c:v>101.88348033000001</c:v>
                </c:pt>
                <c:pt idx="154">
                  <c:v>102.01100576</c:v>
                </c:pt>
                <c:pt idx="155">
                  <c:v>102.13646875000001</c:v>
                </c:pt>
                <c:pt idx="156">
                  <c:v>102.25983024</c:v>
                </c:pt>
                <c:pt idx="157">
                  <c:v>102.38105117000002</c:v>
                </c:pt>
                <c:pt idx="158">
                  <c:v>102.50009247999999</c:v>
                </c:pt>
                <c:pt idx="159">
                  <c:v>102.61691510999998</c:v>
                </c:pt>
                <c:pt idx="160">
                  <c:v>102.73147999999999</c:v>
                </c:pt>
                <c:pt idx="161">
                  <c:v>102.84374808999998</c:v>
                </c:pt>
                <c:pt idx="162">
                  <c:v>102.95368032000002</c:v>
                </c:pt>
                <c:pt idx="163">
                  <c:v>103.06123762999999</c:v>
                </c:pt>
                <c:pt idx="164">
                  <c:v>103.16638095999998</c:v>
                </c:pt>
                <c:pt idx="165">
                  <c:v>103.26907125000002</c:v>
                </c:pt>
                <c:pt idx="166">
                  <c:v>103.36926944000001</c:v>
                </c:pt>
                <c:pt idx="167">
                  <c:v>103.46693646999996</c:v>
                </c:pt>
                <c:pt idx="168">
                  <c:v>103.56203328000001</c:v>
                </c:pt>
                <c:pt idx="169">
                  <c:v>103.65452080999999</c:v>
                </c:pt>
                <c:pt idx="170">
                  <c:v>103.74436</c:v>
                </c:pt>
                <c:pt idx="171">
                  <c:v>103.83151179000001</c:v>
                </c:pt>
                <c:pt idx="172">
                  <c:v>103.91593712</c:v>
                </c:pt>
                <c:pt idx="173">
                  <c:v>103.99759693000001</c:v>
                </c:pt>
                <c:pt idx="174">
                  <c:v>104.07645216</c:v>
                </c:pt>
                <c:pt idx="175">
                  <c:v>104.15246375000002</c:v>
                </c:pt>
                <c:pt idx="176">
                  <c:v>104.22559263999999</c:v>
                </c:pt>
                <c:pt idx="177">
                  <c:v>104.29579976999999</c:v>
                </c:pt>
                <c:pt idx="178">
                  <c:v>104.36304608</c:v>
                </c:pt>
                <c:pt idx="179">
                  <c:v>104.42729251000002</c:v>
                </c:pt>
                <c:pt idx="180">
                  <c:v>104.4885</c:v>
                </c:pt>
                <c:pt idx="181">
                  <c:v>104.54662948999997</c:v>
                </c:pt>
                <c:pt idx="182">
                  <c:v>104.60164192000001</c:v>
                </c:pt>
                <c:pt idx="183">
                  <c:v>104.65349823000003</c:v>
                </c:pt>
                <c:pt idx="184">
                  <c:v>104.70215936000001</c:v>
                </c:pt>
                <c:pt idx="185">
                  <c:v>104.74758625000001</c:v>
                </c:pt>
                <c:pt idx="186">
                  <c:v>104.78973984000001</c:v>
                </c:pt>
                <c:pt idx="187">
                  <c:v>104.82858107000001</c:v>
                </c:pt>
                <c:pt idx="188">
                  <c:v>104.86407088</c:v>
                </c:pt>
                <c:pt idx="189">
                  <c:v>104.89617021000001</c:v>
                </c:pt>
                <c:pt idx="190">
                  <c:v>104.92484000000002</c:v>
                </c:pt>
                <c:pt idx="191">
                  <c:v>104.95004119000001</c:v>
                </c:pt>
                <c:pt idx="192">
                  <c:v>104.97173471999999</c:v>
                </c:pt>
                <c:pt idx="193">
                  <c:v>104.98988152999999</c:v>
                </c:pt>
                <c:pt idx="194">
                  <c:v>105.00444256</c:v>
                </c:pt>
                <c:pt idx="195">
                  <c:v>105.01537875000002</c:v>
                </c:pt>
                <c:pt idx="196">
                  <c:v>105.02265104</c:v>
                </c:pt>
                <c:pt idx="197">
                  <c:v>105.02622037</c:v>
                </c:pt>
                <c:pt idx="198">
                  <c:v>105.02604768000002</c:v>
                </c:pt>
                <c:pt idx="199">
                  <c:v>105.02209391000001</c:v>
                </c:pt>
                <c:pt idx="200">
                  <c:v>105.01432000000001</c:v>
                </c:pt>
                <c:pt idx="201">
                  <c:v>105.00268689000001</c:v>
                </c:pt>
                <c:pt idx="202">
                  <c:v>104.98715552000002</c:v>
                </c:pt>
                <c:pt idx="203">
                  <c:v>104.96768682999999</c:v>
                </c:pt>
                <c:pt idx="204">
                  <c:v>104.94424176000001</c:v>
                </c:pt>
                <c:pt idx="205">
                  <c:v>104.91678125</c:v>
                </c:pt>
                <c:pt idx="206">
                  <c:v>104.88526623999996</c:v>
                </c:pt>
                <c:pt idx="207">
                  <c:v>104.84965767000001</c:v>
                </c:pt>
                <c:pt idx="208">
                  <c:v>104.80991647999998</c:v>
                </c:pt>
                <c:pt idx="209">
                  <c:v>104.76600360999998</c:v>
                </c:pt>
                <c:pt idx="210">
                  <c:v>104.71788000000001</c:v>
                </c:pt>
                <c:pt idx="211">
                  <c:v>104.66550659000001</c:v>
                </c:pt>
                <c:pt idx="212">
                  <c:v>104.60884432</c:v>
                </c:pt>
                <c:pt idx="213">
                  <c:v>104.54785412999999</c:v>
                </c:pt>
                <c:pt idx="214">
                  <c:v>104.48249696000002</c:v>
                </c:pt>
              </c:numCache>
            </c:numRef>
          </c:yVal>
          <c:smooth val="0"/>
        </c:ser>
        <c:ser>
          <c:idx val="3"/>
          <c:order val="3"/>
          <c:tx>
            <c:strRef>
              <c:f>'Sheet1 (2)'!$G$2</c:f>
              <c:strCache>
                <c:ptCount val="1"/>
                <c:pt idx="0">
                  <c:v>Strategic</c:v>
                </c:pt>
              </c:strCache>
            </c:strRef>
          </c:tx>
          <c:spPr>
            <a:ln w="19050" cap="rnd">
              <a:solidFill>
                <a:srgbClr val="005CAF"/>
              </a:solidFill>
              <a:round/>
            </a:ln>
            <a:effectLst/>
          </c:spPr>
          <c:marker>
            <c:symbol val="none"/>
          </c:marker>
          <c:xVal>
            <c:numRef>
              <c:f>'Sheet1 (2)'!$C$12:$C$342</c:f>
              <c:numCache>
                <c:formatCode>General</c:formatCode>
                <c:ptCount val="331"/>
                <c:pt idx="0">
                  <c:v>5.0118723362727229</c:v>
                </c:pt>
                <c:pt idx="1">
                  <c:v>5.1286138399136494</c:v>
                </c:pt>
                <c:pt idx="2">
                  <c:v>5.2480746024977263</c:v>
                </c:pt>
                <c:pt idx="3">
                  <c:v>5.3703179637025285</c:v>
                </c:pt>
                <c:pt idx="4">
                  <c:v>5.4954087385762458</c:v>
                </c:pt>
                <c:pt idx="5">
                  <c:v>5.6234132519034921</c:v>
                </c:pt>
                <c:pt idx="6">
                  <c:v>5.7543993733715713</c:v>
                </c:pt>
                <c:pt idx="7">
                  <c:v>5.8884365535558905</c:v>
                </c:pt>
                <c:pt idx="8">
                  <c:v>6.0255958607435796</c:v>
                </c:pt>
                <c:pt idx="9">
                  <c:v>6.1659500186148231</c:v>
                </c:pt>
                <c:pt idx="10">
                  <c:v>6.3095734448019343</c:v>
                </c:pt>
                <c:pt idx="11">
                  <c:v>6.4565422903465572</c:v>
                </c:pt>
                <c:pt idx="12">
                  <c:v>6.6069344800759611</c:v>
                </c:pt>
                <c:pt idx="13">
                  <c:v>6.7608297539198183</c:v>
                </c:pt>
                <c:pt idx="14">
                  <c:v>6.9183097091893666</c:v>
                </c:pt>
                <c:pt idx="15">
                  <c:v>7.0794578438413795</c:v>
                </c:pt>
                <c:pt idx="16">
                  <c:v>7.2443596007499025</c:v>
                </c:pt>
                <c:pt idx="17">
                  <c:v>7.4131024130091765</c:v>
                </c:pt>
                <c:pt idx="18">
                  <c:v>7.5857757502918375</c:v>
                </c:pt>
                <c:pt idx="19">
                  <c:v>7.7624711662869199</c:v>
                </c:pt>
                <c:pt idx="20">
                  <c:v>7.9432823472428176</c:v>
                </c:pt>
                <c:pt idx="21">
                  <c:v>8.1283051616409931</c:v>
                </c:pt>
                <c:pt idx="22">
                  <c:v>8.3176377110267108</c:v>
                </c:pt>
                <c:pt idx="23">
                  <c:v>8.5113803820237681</c:v>
                </c:pt>
                <c:pt idx="24">
                  <c:v>8.709635899560805</c:v>
                </c:pt>
                <c:pt idx="25">
                  <c:v>8.9125093813374576</c:v>
                </c:pt>
                <c:pt idx="26">
                  <c:v>9.1201083935590983</c:v>
                </c:pt>
                <c:pt idx="27">
                  <c:v>9.3325430079699103</c:v>
                </c:pt>
                <c:pt idx="28">
                  <c:v>9.5499258602143584</c:v>
                </c:pt>
                <c:pt idx="29">
                  <c:v>9.7723722095581103</c:v>
                </c:pt>
                <c:pt idx="30">
                  <c:v>10</c:v>
                </c:pt>
                <c:pt idx="31">
                  <c:v>10.232929922807543</c:v>
                </c:pt>
                <c:pt idx="32">
                  <c:v>10.471285480509</c:v>
                </c:pt>
                <c:pt idx="33">
                  <c:v>10.715193052376069</c:v>
                </c:pt>
                <c:pt idx="34">
                  <c:v>10.964781961431854</c:v>
                </c:pt>
                <c:pt idx="35">
                  <c:v>11.220184543019636</c:v>
                </c:pt>
                <c:pt idx="36">
                  <c:v>11.481536214968834</c:v>
                </c:pt>
                <c:pt idx="37">
                  <c:v>11.748975549395301</c:v>
                </c:pt>
                <c:pt idx="38">
                  <c:v>12.022644346174133</c:v>
                </c:pt>
                <c:pt idx="39">
                  <c:v>12.302687708123818</c:v>
                </c:pt>
                <c:pt idx="40">
                  <c:v>12.58925411794168</c:v>
                </c:pt>
                <c:pt idx="41">
                  <c:v>12.882495516931346</c:v>
                </c:pt>
                <c:pt idx="42">
                  <c:v>13.182567385564075</c:v>
                </c:pt>
                <c:pt idx="43">
                  <c:v>13.489628825916535</c:v>
                </c:pt>
                <c:pt idx="44">
                  <c:v>13.803842646028851</c:v>
                </c:pt>
                <c:pt idx="45">
                  <c:v>14.125375446227544</c:v>
                </c:pt>
                <c:pt idx="46">
                  <c:v>14.454397707459275</c:v>
                </c:pt>
                <c:pt idx="47">
                  <c:v>14.791083881682074</c:v>
                </c:pt>
                <c:pt idx="48">
                  <c:v>15.135612484362087</c:v>
                </c:pt>
                <c:pt idx="49">
                  <c:v>15.488166189124817</c:v>
                </c:pt>
                <c:pt idx="50">
                  <c:v>15.848931924611138</c:v>
                </c:pt>
                <c:pt idx="51">
                  <c:v>16.218100973589298</c:v>
                </c:pt>
                <c:pt idx="52">
                  <c:v>16.595869074375614</c:v>
                </c:pt>
                <c:pt idx="53">
                  <c:v>16.982436524617448</c:v>
                </c:pt>
                <c:pt idx="54">
                  <c:v>17.378008287493756</c:v>
                </c:pt>
                <c:pt idx="55">
                  <c:v>17.782794100389236</c:v>
                </c:pt>
                <c:pt idx="56">
                  <c:v>18.197008586099841</c:v>
                </c:pt>
                <c:pt idx="57">
                  <c:v>18.62087136662868</c:v>
                </c:pt>
                <c:pt idx="58">
                  <c:v>19.054607179632477</c:v>
                </c:pt>
                <c:pt idx="59">
                  <c:v>19.498445997580465</c:v>
                </c:pt>
                <c:pt idx="60">
                  <c:v>19.952623149688804</c:v>
                </c:pt>
                <c:pt idx="61">
                  <c:v>20.4173794466953</c:v>
                </c:pt>
                <c:pt idx="62">
                  <c:v>20.8929613085404</c:v>
                </c:pt>
                <c:pt idx="63">
                  <c:v>21.379620895022335</c:v>
                </c:pt>
                <c:pt idx="64">
                  <c:v>21.877616239495538</c:v>
                </c:pt>
                <c:pt idx="65">
                  <c:v>22.387211385683404</c:v>
                </c:pt>
                <c:pt idx="66">
                  <c:v>22.908676527677738</c:v>
                </c:pt>
                <c:pt idx="67">
                  <c:v>23.442288153199236</c:v>
                </c:pt>
                <c:pt idx="68">
                  <c:v>23.988329190194907</c:v>
                </c:pt>
                <c:pt idx="69">
                  <c:v>24.547089156850305</c:v>
                </c:pt>
                <c:pt idx="70">
                  <c:v>25.118864315095799</c:v>
                </c:pt>
                <c:pt idx="71">
                  <c:v>25.703957827688647</c:v>
                </c:pt>
                <c:pt idx="72">
                  <c:v>26.302679918953825</c:v>
                </c:pt>
                <c:pt idx="73">
                  <c:v>26.915348039269158</c:v>
                </c:pt>
                <c:pt idx="74">
                  <c:v>27.542287033381665</c:v>
                </c:pt>
                <c:pt idx="75">
                  <c:v>28.183829312644548</c:v>
                </c:pt>
                <c:pt idx="76">
                  <c:v>28.840315031266066</c:v>
                </c:pt>
                <c:pt idx="77">
                  <c:v>29.512092266663863</c:v>
                </c:pt>
                <c:pt idx="78">
                  <c:v>30.199517204020164</c:v>
                </c:pt>
                <c:pt idx="79">
                  <c:v>30.902954325135919</c:v>
                </c:pt>
                <c:pt idx="80">
                  <c:v>31.622776601683807</c:v>
                </c:pt>
                <c:pt idx="81">
                  <c:v>32.359365692962832</c:v>
                </c:pt>
                <c:pt idx="82">
                  <c:v>33.113112148259127</c:v>
                </c:pt>
                <c:pt idx="83">
                  <c:v>33.884415613920268</c:v>
                </c:pt>
                <c:pt idx="84">
                  <c:v>34.67368504525318</c:v>
                </c:pt>
                <c:pt idx="85">
                  <c:v>35.481338923357555</c:v>
                </c:pt>
                <c:pt idx="86">
                  <c:v>36.307805477010156</c:v>
                </c:pt>
                <c:pt idx="87">
                  <c:v>37.153522909717275</c:v>
                </c:pt>
                <c:pt idx="88">
                  <c:v>38.018939632056139</c:v>
                </c:pt>
                <c:pt idx="89">
                  <c:v>38.904514499428075</c:v>
                </c:pt>
                <c:pt idx="90">
                  <c:v>39.810717055349755</c:v>
                </c:pt>
                <c:pt idx="91">
                  <c:v>40.738027780411301</c:v>
                </c:pt>
                <c:pt idx="92">
                  <c:v>41.686938347033561</c:v>
                </c:pt>
                <c:pt idx="93">
                  <c:v>42.657951880159267</c:v>
                </c:pt>
                <c:pt idx="94">
                  <c:v>43.651583224016612</c:v>
                </c:pt>
                <c:pt idx="95">
                  <c:v>44.668359215096324</c:v>
                </c:pt>
                <c:pt idx="96">
                  <c:v>45.708818961487509</c:v>
                </c:pt>
                <c:pt idx="97">
                  <c:v>46.773514128719818</c:v>
                </c:pt>
                <c:pt idx="98">
                  <c:v>47.863009232263856</c:v>
                </c:pt>
                <c:pt idx="99">
                  <c:v>48.977881936844632</c:v>
                </c:pt>
                <c:pt idx="100">
                  <c:v>50.118723362727238</c:v>
                </c:pt>
                <c:pt idx="101">
                  <c:v>51.28613839913649</c:v>
                </c:pt>
                <c:pt idx="102">
                  <c:v>52.480746024977286</c:v>
                </c:pt>
                <c:pt idx="103">
                  <c:v>53.703179637025293</c:v>
                </c:pt>
                <c:pt idx="104">
                  <c:v>54.95408738576247</c:v>
                </c:pt>
                <c:pt idx="105">
                  <c:v>56.234132519034915</c:v>
                </c:pt>
                <c:pt idx="106">
                  <c:v>57.543993733715695</c:v>
                </c:pt>
                <c:pt idx="107">
                  <c:v>58.884365535558949</c:v>
                </c:pt>
                <c:pt idx="108">
                  <c:v>60.255958607435822</c:v>
                </c:pt>
                <c:pt idx="109">
                  <c:v>61.659500186148257</c:v>
                </c:pt>
                <c:pt idx="110">
                  <c:v>63.095734448019357</c:v>
                </c:pt>
                <c:pt idx="111">
                  <c:v>64.565422903465588</c:v>
                </c:pt>
                <c:pt idx="112">
                  <c:v>66.069344800759623</c:v>
                </c:pt>
                <c:pt idx="113">
                  <c:v>67.60829753919819</c:v>
                </c:pt>
                <c:pt idx="114">
                  <c:v>69.183097091893657</c:v>
                </c:pt>
                <c:pt idx="115">
                  <c:v>70.794578438413865</c:v>
                </c:pt>
                <c:pt idx="116">
                  <c:v>72.443596007499067</c:v>
                </c:pt>
                <c:pt idx="117">
                  <c:v>74.131024130091816</c:v>
                </c:pt>
                <c:pt idx="118">
                  <c:v>75.857757502918361</c:v>
                </c:pt>
                <c:pt idx="119">
                  <c:v>77.624711662869217</c:v>
                </c:pt>
                <c:pt idx="120">
                  <c:v>79.432823472428197</c:v>
                </c:pt>
                <c:pt idx="121">
                  <c:v>81.283051616409963</c:v>
                </c:pt>
                <c:pt idx="122">
                  <c:v>83.176377110267126</c:v>
                </c:pt>
                <c:pt idx="123">
                  <c:v>85.113803820237663</c:v>
                </c:pt>
                <c:pt idx="124">
                  <c:v>87.096358995608071</c:v>
                </c:pt>
                <c:pt idx="125">
                  <c:v>89.125093813374562</c:v>
                </c:pt>
                <c:pt idx="126">
                  <c:v>91.201083935590972</c:v>
                </c:pt>
                <c:pt idx="127">
                  <c:v>93.325430079699174</c:v>
                </c:pt>
                <c:pt idx="128">
                  <c:v>95.499258602143655</c:v>
                </c:pt>
                <c:pt idx="129">
                  <c:v>97.723722095581124</c:v>
                </c:pt>
                <c:pt idx="130">
                  <c:v>100</c:v>
                </c:pt>
                <c:pt idx="131">
                  <c:v>102.32929922807544</c:v>
                </c:pt>
                <c:pt idx="132">
                  <c:v>104.71285480508998</c:v>
                </c:pt>
                <c:pt idx="133">
                  <c:v>107.15193052376065</c:v>
                </c:pt>
                <c:pt idx="134">
                  <c:v>109.64781961431861</c:v>
                </c:pt>
                <c:pt idx="135">
                  <c:v>112.20184543019634</c:v>
                </c:pt>
                <c:pt idx="136">
                  <c:v>114.81536214968835</c:v>
                </c:pt>
                <c:pt idx="137">
                  <c:v>117.48975549395293</c:v>
                </c:pt>
                <c:pt idx="138">
                  <c:v>120.22644346174135</c:v>
                </c:pt>
                <c:pt idx="139">
                  <c:v>123.02687708123821</c:v>
                </c:pt>
                <c:pt idx="140">
                  <c:v>125.89254117941675</c:v>
                </c:pt>
                <c:pt idx="141">
                  <c:v>128.82495516931343</c:v>
                </c:pt>
                <c:pt idx="142">
                  <c:v>131.82567385564084</c:v>
                </c:pt>
                <c:pt idx="143">
                  <c:v>134.89628825916537</c:v>
                </c:pt>
                <c:pt idx="144">
                  <c:v>138.0384264602886</c:v>
                </c:pt>
                <c:pt idx="145">
                  <c:v>141.25375446227542</c:v>
                </c:pt>
                <c:pt idx="146">
                  <c:v>144.54397707459285</c:v>
                </c:pt>
                <c:pt idx="147">
                  <c:v>147.91083881682084</c:v>
                </c:pt>
                <c:pt idx="148">
                  <c:v>151.3561248436209</c:v>
                </c:pt>
                <c:pt idx="149">
                  <c:v>154.8816618912482</c:v>
                </c:pt>
                <c:pt idx="150">
                  <c:v>158.48931924611153</c:v>
                </c:pt>
                <c:pt idx="151">
                  <c:v>162.18100973589304</c:v>
                </c:pt>
                <c:pt idx="152">
                  <c:v>165.95869074375622</c:v>
                </c:pt>
                <c:pt idx="153">
                  <c:v>169.82436524617444</c:v>
                </c:pt>
                <c:pt idx="154">
                  <c:v>173.78008287493768</c:v>
                </c:pt>
                <c:pt idx="155">
                  <c:v>177.82794100389242</c:v>
                </c:pt>
                <c:pt idx="156">
                  <c:v>181.9700858609983</c:v>
                </c:pt>
                <c:pt idx="157">
                  <c:v>186.20871366628685</c:v>
                </c:pt>
                <c:pt idx="158">
                  <c:v>190.54607179632481</c:v>
                </c:pt>
                <c:pt idx="159">
                  <c:v>194.98445997580458</c:v>
                </c:pt>
                <c:pt idx="160">
                  <c:v>199.52623149688802</c:v>
                </c:pt>
                <c:pt idx="161">
                  <c:v>204.17379446695315</c:v>
                </c:pt>
                <c:pt idx="162">
                  <c:v>208.92961308540396</c:v>
                </c:pt>
                <c:pt idx="163">
                  <c:v>213.79620895022339</c:v>
                </c:pt>
                <c:pt idx="164">
                  <c:v>218.77616239495524</c:v>
                </c:pt>
                <c:pt idx="165">
                  <c:v>223.87211385683412</c:v>
                </c:pt>
                <c:pt idx="166">
                  <c:v>229.08676527677744</c:v>
                </c:pt>
                <c:pt idx="167">
                  <c:v>234.42288153199232</c:v>
                </c:pt>
                <c:pt idx="168">
                  <c:v>239.88329190194912</c:v>
                </c:pt>
                <c:pt idx="169">
                  <c:v>245.4708915685033</c:v>
                </c:pt>
                <c:pt idx="170">
                  <c:v>251.18864315095806</c:v>
                </c:pt>
                <c:pt idx="171">
                  <c:v>257.03957827688663</c:v>
                </c:pt>
                <c:pt idx="172">
                  <c:v>263.02679918953817</c:v>
                </c:pt>
                <c:pt idx="173">
                  <c:v>269.15348039269179</c:v>
                </c:pt>
                <c:pt idx="174">
                  <c:v>275.42287033381683</c:v>
                </c:pt>
                <c:pt idx="175">
                  <c:v>281.83829312644554</c:v>
                </c:pt>
                <c:pt idx="176">
                  <c:v>288.40315031266073</c:v>
                </c:pt>
                <c:pt idx="177">
                  <c:v>295.12092266663893</c:v>
                </c:pt>
                <c:pt idx="178">
                  <c:v>301.99517204020168</c:v>
                </c:pt>
                <c:pt idx="179">
                  <c:v>309.02954325135937</c:v>
                </c:pt>
                <c:pt idx="180">
                  <c:v>316.22776601683825</c:v>
                </c:pt>
                <c:pt idx="181">
                  <c:v>323.59365692962825</c:v>
                </c:pt>
                <c:pt idx="182">
                  <c:v>331.13112148259137</c:v>
                </c:pt>
                <c:pt idx="183">
                  <c:v>338.84415613920248</c:v>
                </c:pt>
                <c:pt idx="184">
                  <c:v>346.73685045253183</c:v>
                </c:pt>
                <c:pt idx="185">
                  <c:v>354.81338923357566</c:v>
                </c:pt>
                <c:pt idx="186">
                  <c:v>363.07805477010152</c:v>
                </c:pt>
                <c:pt idx="187">
                  <c:v>371.53522909717265</c:v>
                </c:pt>
                <c:pt idx="188">
                  <c:v>380.18939632056163</c:v>
                </c:pt>
                <c:pt idx="189">
                  <c:v>389.04514499428063</c:v>
                </c:pt>
                <c:pt idx="190">
                  <c:v>398.10717055349761</c:v>
                </c:pt>
                <c:pt idx="191">
                  <c:v>407.38027780411272</c:v>
                </c:pt>
                <c:pt idx="192">
                  <c:v>416.86938347033572</c:v>
                </c:pt>
                <c:pt idx="193">
                  <c:v>426.57951880159294</c:v>
                </c:pt>
                <c:pt idx="194">
                  <c:v>436.51583224016622</c:v>
                </c:pt>
                <c:pt idx="195">
                  <c:v>446.68359215096331</c:v>
                </c:pt>
                <c:pt idx="196">
                  <c:v>457.0881896148756</c:v>
                </c:pt>
                <c:pt idx="197">
                  <c:v>467.7351412871983</c:v>
                </c:pt>
                <c:pt idx="198">
                  <c:v>478.63009232263886</c:v>
                </c:pt>
                <c:pt idx="199">
                  <c:v>489.77881936844625</c:v>
                </c:pt>
                <c:pt idx="200">
                  <c:v>501.18723362727269</c:v>
                </c:pt>
                <c:pt idx="201">
                  <c:v>512.86138399136519</c:v>
                </c:pt>
                <c:pt idx="202">
                  <c:v>524.80746024977293</c:v>
                </c:pt>
                <c:pt idx="203">
                  <c:v>537.03179637025301</c:v>
                </c:pt>
                <c:pt idx="204">
                  <c:v>549.54087385762534</c:v>
                </c:pt>
                <c:pt idx="205">
                  <c:v>562.34132519034927</c:v>
                </c:pt>
                <c:pt idx="206">
                  <c:v>575.43993733715706</c:v>
                </c:pt>
                <c:pt idx="207">
                  <c:v>588.84365535558959</c:v>
                </c:pt>
                <c:pt idx="208">
                  <c:v>602.55958607435775</c:v>
                </c:pt>
                <c:pt idx="209">
                  <c:v>616.59500186148273</c:v>
                </c:pt>
                <c:pt idx="210">
                  <c:v>630.95734448019323</c:v>
                </c:pt>
                <c:pt idx="211">
                  <c:v>645.65422903465594</c:v>
                </c:pt>
                <c:pt idx="212">
                  <c:v>660.69344800759643</c:v>
                </c:pt>
                <c:pt idx="213">
                  <c:v>676.08297539198213</c:v>
                </c:pt>
                <c:pt idx="214">
                  <c:v>691.83097091893671</c:v>
                </c:pt>
                <c:pt idx="215">
                  <c:v>707.94578438413873</c:v>
                </c:pt>
                <c:pt idx="216">
                  <c:v>724.43596007499025</c:v>
                </c:pt>
                <c:pt idx="217">
                  <c:v>741.31024130091828</c:v>
                </c:pt>
                <c:pt idx="218">
                  <c:v>758.57757502918378</c:v>
                </c:pt>
                <c:pt idx="219">
                  <c:v>776.24711662869231</c:v>
                </c:pt>
                <c:pt idx="220">
                  <c:v>794.32823472428208</c:v>
                </c:pt>
                <c:pt idx="221">
                  <c:v>812.83051616409978</c:v>
                </c:pt>
                <c:pt idx="222">
                  <c:v>831.7637711026714</c:v>
                </c:pt>
                <c:pt idx="223">
                  <c:v>851.13803820237763</c:v>
                </c:pt>
                <c:pt idx="224">
                  <c:v>870.96358995608091</c:v>
                </c:pt>
                <c:pt idx="225">
                  <c:v>891.25093813374656</c:v>
                </c:pt>
                <c:pt idx="226">
                  <c:v>912.01083935590987</c:v>
                </c:pt>
                <c:pt idx="227">
                  <c:v>933.25430079699197</c:v>
                </c:pt>
                <c:pt idx="228">
                  <c:v>954.99258602143675</c:v>
                </c:pt>
                <c:pt idx="229">
                  <c:v>977.23722095581138</c:v>
                </c:pt>
                <c:pt idx="230">
                  <c:v>1000</c:v>
                </c:pt>
                <c:pt idx="231">
                  <c:v>1023.2929922807548</c:v>
                </c:pt>
                <c:pt idx="232">
                  <c:v>1047.1285480509</c:v>
                </c:pt>
                <c:pt idx="233">
                  <c:v>1071.5193052376069</c:v>
                </c:pt>
                <c:pt idx="234">
                  <c:v>1096.4781961431863</c:v>
                </c:pt>
                <c:pt idx="235">
                  <c:v>1122.0184543019636</c:v>
                </c:pt>
                <c:pt idx="236">
                  <c:v>1148.1536214968839</c:v>
                </c:pt>
                <c:pt idx="237">
                  <c:v>1174.8975549395295</c:v>
                </c:pt>
                <c:pt idx="238">
                  <c:v>1202.2644346174138</c:v>
                </c:pt>
                <c:pt idx="239">
                  <c:v>1230.2687708123824</c:v>
                </c:pt>
                <c:pt idx="240">
                  <c:v>1258.925411794168</c:v>
                </c:pt>
                <c:pt idx="241">
                  <c:v>1288.2495516931347</c:v>
                </c:pt>
                <c:pt idx="242">
                  <c:v>1318.2567385564089</c:v>
                </c:pt>
                <c:pt idx="243">
                  <c:v>1348.9628825916541</c:v>
                </c:pt>
                <c:pt idx="244">
                  <c:v>1380.3842646028863</c:v>
                </c:pt>
                <c:pt idx="245">
                  <c:v>1412.5375446227545</c:v>
                </c:pt>
                <c:pt idx="246">
                  <c:v>1445.4397707459289</c:v>
                </c:pt>
                <c:pt idx="247">
                  <c:v>1479.1083881682086</c:v>
                </c:pt>
                <c:pt idx="248">
                  <c:v>1513.5612484362093</c:v>
                </c:pt>
                <c:pt idx="249">
                  <c:v>1548.8166189124822</c:v>
                </c:pt>
                <c:pt idx="250">
                  <c:v>1584.8931924611156</c:v>
                </c:pt>
                <c:pt idx="251">
                  <c:v>1621.8100973589308</c:v>
                </c:pt>
                <c:pt idx="252">
                  <c:v>1659.5869074375626</c:v>
                </c:pt>
                <c:pt idx="253">
                  <c:v>1698.2436524617447</c:v>
                </c:pt>
                <c:pt idx="254">
                  <c:v>1737.8008287493772</c:v>
                </c:pt>
                <c:pt idx="255">
                  <c:v>1778.2794100389244</c:v>
                </c:pt>
                <c:pt idx="256">
                  <c:v>1819.7008586099832</c:v>
                </c:pt>
                <c:pt idx="257">
                  <c:v>1862.0871366628687</c:v>
                </c:pt>
                <c:pt idx="258">
                  <c:v>1905.4607179632485</c:v>
                </c:pt>
                <c:pt idx="259">
                  <c:v>1949.8445997580463</c:v>
                </c:pt>
                <c:pt idx="260">
                  <c:v>1995.2623149688804</c:v>
                </c:pt>
                <c:pt idx="261">
                  <c:v>2041.7379446695318</c:v>
                </c:pt>
                <c:pt idx="262">
                  <c:v>2089.2961308540398</c:v>
                </c:pt>
                <c:pt idx="263">
                  <c:v>2137.9620895022344</c:v>
                </c:pt>
                <c:pt idx="264">
                  <c:v>2187.7616239495528</c:v>
                </c:pt>
                <c:pt idx="265">
                  <c:v>2238.7211385683418</c:v>
                </c:pt>
                <c:pt idx="266">
                  <c:v>2290.8676527677749</c:v>
                </c:pt>
                <c:pt idx="267">
                  <c:v>2344.2288153199238</c:v>
                </c:pt>
                <c:pt idx="268">
                  <c:v>2398.8329190194918</c:v>
                </c:pt>
                <c:pt idx="269">
                  <c:v>2454.7089156850338</c:v>
                </c:pt>
                <c:pt idx="270">
                  <c:v>2511.8864315095811</c:v>
                </c:pt>
                <c:pt idx="271">
                  <c:v>2570.3957827688669</c:v>
                </c:pt>
                <c:pt idx="272">
                  <c:v>2630.2679918953822</c:v>
                </c:pt>
                <c:pt idx="273">
                  <c:v>2691.5348039269184</c:v>
                </c:pt>
                <c:pt idx="274">
                  <c:v>2754.228703338169</c:v>
                </c:pt>
                <c:pt idx="275">
                  <c:v>2818.3829312644561</c:v>
                </c:pt>
                <c:pt idx="276">
                  <c:v>2884.0315031266077</c:v>
                </c:pt>
                <c:pt idx="277">
                  <c:v>2951.2092266663899</c:v>
                </c:pt>
                <c:pt idx="278">
                  <c:v>3019.9517204020176</c:v>
                </c:pt>
                <c:pt idx="279">
                  <c:v>3090.295432513592</c:v>
                </c:pt>
                <c:pt idx="280">
                  <c:v>3162.2776601683804</c:v>
                </c:pt>
                <c:pt idx="281">
                  <c:v>3235.9365692962833</c:v>
                </c:pt>
                <c:pt idx="282">
                  <c:v>3311.3112148259115</c:v>
                </c:pt>
                <c:pt idx="283">
                  <c:v>3388.4415613920255</c:v>
                </c:pt>
                <c:pt idx="284">
                  <c:v>3467.3685045253224</c:v>
                </c:pt>
                <c:pt idx="285">
                  <c:v>3548.1338923357539</c:v>
                </c:pt>
                <c:pt idx="286">
                  <c:v>3630.7805477010188</c:v>
                </c:pt>
                <c:pt idx="287">
                  <c:v>3715.352290971724</c:v>
                </c:pt>
                <c:pt idx="288">
                  <c:v>3801.8939632056172</c:v>
                </c:pt>
                <c:pt idx="289">
                  <c:v>3890.451449942811</c:v>
                </c:pt>
                <c:pt idx="290">
                  <c:v>3981.0717055349769</c:v>
                </c:pt>
                <c:pt idx="291">
                  <c:v>4073.8027780411317</c:v>
                </c:pt>
                <c:pt idx="292">
                  <c:v>4168.6938347033583</c:v>
                </c:pt>
                <c:pt idx="293">
                  <c:v>4265.7951880159299</c:v>
                </c:pt>
                <c:pt idx="294">
                  <c:v>4365.1583224016631</c:v>
                </c:pt>
                <c:pt idx="295">
                  <c:v>4466.8359215096343</c:v>
                </c:pt>
                <c:pt idx="296">
                  <c:v>4570.8818961487532</c:v>
                </c:pt>
                <c:pt idx="297">
                  <c:v>4677.3514128719844</c:v>
                </c:pt>
                <c:pt idx="298">
                  <c:v>4786.3009232263848</c:v>
                </c:pt>
                <c:pt idx="299">
                  <c:v>4897.7881936844633</c:v>
                </c:pt>
                <c:pt idx="300">
                  <c:v>5011.8723362727324</c:v>
                </c:pt>
                <c:pt idx="301">
                  <c:v>5128.6138399136489</c:v>
                </c:pt>
                <c:pt idx="302">
                  <c:v>5248.0746024977352</c:v>
                </c:pt>
                <c:pt idx="303">
                  <c:v>5370.3179637025269</c:v>
                </c:pt>
                <c:pt idx="304">
                  <c:v>5495.4087385762541</c:v>
                </c:pt>
                <c:pt idx="305">
                  <c:v>5623.4132519034993</c:v>
                </c:pt>
                <c:pt idx="306">
                  <c:v>5754.399373371567</c:v>
                </c:pt>
                <c:pt idx="307">
                  <c:v>5888.4365535558973</c:v>
                </c:pt>
                <c:pt idx="308">
                  <c:v>6025.595860743585</c:v>
                </c:pt>
                <c:pt idx="309">
                  <c:v>6165.9500186148289</c:v>
                </c:pt>
                <c:pt idx="310">
                  <c:v>6309.5734448019384</c:v>
                </c:pt>
                <c:pt idx="311">
                  <c:v>6456.5422903465615</c:v>
                </c:pt>
                <c:pt idx="312">
                  <c:v>6606.9344800759654</c:v>
                </c:pt>
                <c:pt idx="313">
                  <c:v>6760.8297539198229</c:v>
                </c:pt>
                <c:pt idx="314">
                  <c:v>6918.3097091893687</c:v>
                </c:pt>
                <c:pt idx="315">
                  <c:v>7079.4578438413828</c:v>
                </c:pt>
                <c:pt idx="316">
                  <c:v>7244.3596007499036</c:v>
                </c:pt>
                <c:pt idx="317">
                  <c:v>7413.1024130091773</c:v>
                </c:pt>
                <c:pt idx="318">
                  <c:v>7585.7757502918394</c:v>
                </c:pt>
                <c:pt idx="319">
                  <c:v>7762.4711662869322</c:v>
                </c:pt>
                <c:pt idx="320">
                  <c:v>7943.2823472428154</c:v>
                </c:pt>
                <c:pt idx="321">
                  <c:v>8128.3051616410075</c:v>
                </c:pt>
                <c:pt idx="322">
                  <c:v>8317.6377110267094</c:v>
                </c:pt>
                <c:pt idx="323">
                  <c:v>8511.3803820237772</c:v>
                </c:pt>
                <c:pt idx="324">
                  <c:v>8709.6358995608189</c:v>
                </c:pt>
                <c:pt idx="325">
                  <c:v>8912.5093813374679</c:v>
                </c:pt>
                <c:pt idx="326">
                  <c:v>9120.1083935591087</c:v>
                </c:pt>
                <c:pt idx="327">
                  <c:v>9332.5430079699217</c:v>
                </c:pt>
                <c:pt idx="328">
                  <c:v>9549.9258602143691</c:v>
                </c:pt>
                <c:pt idx="329">
                  <c:v>9772.3722095581161</c:v>
                </c:pt>
                <c:pt idx="330">
                  <c:v>10000</c:v>
                </c:pt>
              </c:numCache>
            </c:numRef>
          </c:xVal>
          <c:yVal>
            <c:numRef>
              <c:f>'Sheet1 (2)'!$G$12:$G$343</c:f>
              <c:numCache>
                <c:formatCode>General</c:formatCode>
                <c:ptCount val="332"/>
                <c:pt idx="0">
                  <c:v>82.226681999999983</c:v>
                </c:pt>
                <c:pt idx="1">
                  <c:v>82.664012914000011</c:v>
                </c:pt>
                <c:pt idx="2">
                  <c:v>83.097460351999999</c:v>
                </c:pt>
                <c:pt idx="3">
                  <c:v>83.527039758000001</c:v>
                </c:pt>
                <c:pt idx="4">
                  <c:v>83.952766575999973</c:v>
                </c:pt>
                <c:pt idx="5">
                  <c:v>84.374656250000001</c:v>
                </c:pt>
                <c:pt idx="6">
                  <c:v>84.792724224000011</c:v>
                </c:pt>
                <c:pt idx="7">
                  <c:v>85.206985942000003</c:v>
                </c:pt>
                <c:pt idx="8">
                  <c:v>85.617456847999989</c:v>
                </c:pt>
                <c:pt idx="9">
                  <c:v>86.024152385999997</c:v>
                </c:pt>
                <c:pt idx="10">
                  <c:v>86.427088000000012</c:v>
                </c:pt>
                <c:pt idx="11">
                  <c:v>86.826279134000018</c:v>
                </c:pt>
                <c:pt idx="12">
                  <c:v>87.221741231999999</c:v>
                </c:pt>
                <c:pt idx="13">
                  <c:v>87.613489737999998</c:v>
                </c:pt>
                <c:pt idx="14">
                  <c:v>88.001540095999999</c:v>
                </c:pt>
                <c:pt idx="15">
                  <c:v>88.385907750000001</c:v>
                </c:pt>
                <c:pt idx="16">
                  <c:v>88.766608144000017</c:v>
                </c:pt>
                <c:pt idx="17">
                  <c:v>89.143656722000017</c:v>
                </c:pt>
                <c:pt idx="18">
                  <c:v>89.517068928000015</c:v>
                </c:pt>
                <c:pt idx="19">
                  <c:v>89.88686020599998</c:v>
                </c:pt>
                <c:pt idx="20">
                  <c:v>90.253045999999998</c:v>
                </c:pt>
                <c:pt idx="21">
                  <c:v>90.615641753999995</c:v>
                </c:pt>
                <c:pt idx="22">
                  <c:v>90.974662911999999</c:v>
                </c:pt>
                <c:pt idx="23">
                  <c:v>91.330124917999981</c:v>
                </c:pt>
                <c:pt idx="24">
                  <c:v>91.682043215999997</c:v>
                </c:pt>
                <c:pt idx="25">
                  <c:v>92.030433250000002</c:v>
                </c:pt>
                <c:pt idx="26">
                  <c:v>92.375310463999995</c:v>
                </c:pt>
                <c:pt idx="27">
                  <c:v>92.716690302000003</c:v>
                </c:pt>
                <c:pt idx="28">
                  <c:v>93.054588207999984</c:v>
                </c:pt>
                <c:pt idx="29">
                  <c:v>93.389019625999993</c:v>
                </c:pt>
                <c:pt idx="30">
                  <c:v>93.72</c:v>
                </c:pt>
                <c:pt idx="31">
                  <c:v>94.047544773999988</c:v>
                </c:pt>
                <c:pt idx="32">
                  <c:v>94.371669392000001</c:v>
                </c:pt>
                <c:pt idx="33">
                  <c:v>94.692389297999995</c:v>
                </c:pt>
                <c:pt idx="34">
                  <c:v>95.00971993600001</c:v>
                </c:pt>
                <c:pt idx="35">
                  <c:v>95.323676750000004</c:v>
                </c:pt>
                <c:pt idx="36">
                  <c:v>95.634275184000018</c:v>
                </c:pt>
                <c:pt idx="37">
                  <c:v>95.941530681999978</c:v>
                </c:pt>
                <c:pt idx="38">
                  <c:v>96.245458688000014</c:v>
                </c:pt>
                <c:pt idx="39">
                  <c:v>96.546074645999994</c:v>
                </c:pt>
                <c:pt idx="40">
                  <c:v>96.843394000000018</c:v>
                </c:pt>
                <c:pt idx="41">
                  <c:v>97.137432193999999</c:v>
                </c:pt>
                <c:pt idx="42">
                  <c:v>97.428204672000007</c:v>
                </c:pt>
                <c:pt idx="43">
                  <c:v>97.715726877999984</c:v>
                </c:pt>
                <c:pt idx="44">
                  <c:v>98.000014256000014</c:v>
                </c:pt>
                <c:pt idx="45">
                  <c:v>98.281082250000011</c:v>
                </c:pt>
                <c:pt idx="46">
                  <c:v>98.558946304000017</c:v>
                </c:pt>
                <c:pt idx="47">
                  <c:v>98.833621862000001</c:v>
                </c:pt>
                <c:pt idx="48">
                  <c:v>99.105124368000006</c:v>
                </c:pt>
                <c:pt idx="49">
                  <c:v>99.373469266000001</c:v>
                </c:pt>
                <c:pt idx="50">
                  <c:v>99.638672</c:v>
                </c:pt>
                <c:pt idx="51">
                  <c:v>99.900748014000001</c:v>
                </c:pt>
                <c:pt idx="52">
                  <c:v>100.159712752</c:v>
                </c:pt>
                <c:pt idx="53">
                  <c:v>100.41558165799999</c:v>
                </c:pt>
                <c:pt idx="54">
                  <c:v>100.66837017600001</c:v>
                </c:pt>
                <c:pt idx="55">
                  <c:v>100.91809375</c:v>
                </c:pt>
                <c:pt idx="56">
                  <c:v>101.16476782399998</c:v>
                </c:pt>
                <c:pt idx="57">
                  <c:v>101.40840784200003</c:v>
                </c:pt>
                <c:pt idx="58">
                  <c:v>101.64902924799999</c:v>
                </c:pt>
                <c:pt idx="59">
                  <c:v>101.886647486</c:v>
                </c:pt>
                <c:pt idx="60">
                  <c:v>102.12127800000002</c:v>
                </c:pt>
                <c:pt idx="61">
                  <c:v>102.35293623399998</c:v>
                </c:pt>
                <c:pt idx="62">
                  <c:v>102.58163763199998</c:v>
                </c:pt>
                <c:pt idx="63">
                  <c:v>102.80739763800001</c:v>
                </c:pt>
                <c:pt idx="64">
                  <c:v>103.03023169599999</c:v>
                </c:pt>
                <c:pt idx="65">
                  <c:v>103.25015525000002</c:v>
                </c:pt>
                <c:pt idx="66">
                  <c:v>103.467183744</c:v>
                </c:pt>
                <c:pt idx="67">
                  <c:v>103.68133262200001</c:v>
                </c:pt>
                <c:pt idx="68">
                  <c:v>103.892617328</c:v>
                </c:pt>
                <c:pt idx="69">
                  <c:v>104.101053306</c:v>
                </c:pt>
                <c:pt idx="70">
                  <c:v>104.30665599999998</c:v>
                </c:pt>
                <c:pt idx="71">
                  <c:v>104.50944085400002</c:v>
                </c:pt>
                <c:pt idx="72">
                  <c:v>104.709423312</c:v>
                </c:pt>
                <c:pt idx="73">
                  <c:v>104.906618818</c:v>
                </c:pt>
                <c:pt idx="74">
                  <c:v>105.10104281600002</c:v>
                </c:pt>
                <c:pt idx="75">
                  <c:v>105.29271074999998</c:v>
                </c:pt>
                <c:pt idx="76">
                  <c:v>105.48163806399999</c:v>
                </c:pt>
                <c:pt idx="77">
                  <c:v>105.66784020200001</c:v>
                </c:pt>
                <c:pt idx="78">
                  <c:v>105.85133260799999</c:v>
                </c:pt>
                <c:pt idx="79">
                  <c:v>106.03213072600003</c:v>
                </c:pt>
                <c:pt idx="80">
                  <c:v>106.21025</c:v>
                </c:pt>
                <c:pt idx="81">
                  <c:v>106.385705874</c:v>
                </c:pt>
                <c:pt idx="82">
                  <c:v>106.55851379200003</c:v>
                </c:pt>
                <c:pt idx="83">
                  <c:v>106.728689198</c:v>
                </c:pt>
                <c:pt idx="84">
                  <c:v>106.896247536</c:v>
                </c:pt>
                <c:pt idx="85">
                  <c:v>107.06120425</c:v>
                </c:pt>
                <c:pt idx="86">
                  <c:v>107.22357478399998</c:v>
                </c:pt>
                <c:pt idx="87">
                  <c:v>107.38337458199999</c:v>
                </c:pt>
                <c:pt idx="88">
                  <c:v>107.54061908799999</c:v>
                </c:pt>
                <c:pt idx="89">
                  <c:v>107.69532374599999</c:v>
                </c:pt>
                <c:pt idx="90">
                  <c:v>107.84750400000001</c:v>
                </c:pt>
                <c:pt idx="91">
                  <c:v>107.997175294</c:v>
                </c:pt>
                <c:pt idx="92">
                  <c:v>108.144353072</c:v>
                </c:pt>
                <c:pt idx="93">
                  <c:v>108.28905277799998</c:v>
                </c:pt>
                <c:pt idx="94">
                  <c:v>108.43128985600001</c:v>
                </c:pt>
                <c:pt idx="95">
                  <c:v>108.57107975</c:v>
                </c:pt>
                <c:pt idx="96">
                  <c:v>108.70843790400001</c:v>
                </c:pt>
                <c:pt idx="97">
                  <c:v>108.843379762</c:v>
                </c:pt>
                <c:pt idx="98">
                  <c:v>108.97592076800001</c:v>
                </c:pt>
                <c:pt idx="99">
                  <c:v>109.10607636600002</c:v>
                </c:pt>
                <c:pt idx="100">
                  <c:v>109.23386199999999</c:v>
                </c:pt>
                <c:pt idx="101">
                  <c:v>109.359293114</c:v>
                </c:pt>
                <c:pt idx="102">
                  <c:v>109.48238515200002</c:v>
                </c:pt>
                <c:pt idx="103">
                  <c:v>109.60315355799997</c:v>
                </c:pt>
                <c:pt idx="104">
                  <c:v>109.72161377600001</c:v>
                </c:pt>
                <c:pt idx="105">
                  <c:v>109.83778125000001</c:v>
                </c:pt>
                <c:pt idx="106">
                  <c:v>109.95167142400001</c:v>
                </c:pt>
                <c:pt idx="107">
                  <c:v>110.06329974199998</c:v>
                </c:pt>
                <c:pt idx="108">
                  <c:v>110.17268164799999</c:v>
                </c:pt>
                <c:pt idx="109">
                  <c:v>110.279832586</c:v>
                </c:pt>
                <c:pt idx="110">
                  <c:v>110.38476800000001</c:v>
                </c:pt>
                <c:pt idx="111">
                  <c:v>110.487503334</c:v>
                </c:pt>
                <c:pt idx="112">
                  <c:v>110.58805403199999</c:v>
                </c:pt>
                <c:pt idx="113">
                  <c:v>110.68643553799998</c:v>
                </c:pt>
                <c:pt idx="114">
                  <c:v>110.78266329600001</c:v>
                </c:pt>
                <c:pt idx="115">
                  <c:v>110.87675274999998</c:v>
                </c:pt>
                <c:pt idx="116">
                  <c:v>110.96871934399999</c:v>
                </c:pt>
                <c:pt idx="117">
                  <c:v>111.05857852199999</c:v>
                </c:pt>
                <c:pt idx="118">
                  <c:v>111.14634572799999</c:v>
                </c:pt>
                <c:pt idx="119">
                  <c:v>111.23203640600001</c:v>
                </c:pt>
                <c:pt idx="120">
                  <c:v>111.31566599999999</c:v>
                </c:pt>
                <c:pt idx="121">
                  <c:v>111.39724995399999</c:v>
                </c:pt>
                <c:pt idx="122">
                  <c:v>111.47680371199999</c:v>
                </c:pt>
                <c:pt idx="123">
                  <c:v>111.554342718</c:v>
                </c:pt>
                <c:pt idx="124">
                  <c:v>111.629882416</c:v>
                </c:pt>
                <c:pt idx="125">
                  <c:v>111.70343824999999</c:v>
                </c:pt>
                <c:pt idx="126">
                  <c:v>111.775025664</c:v>
                </c:pt>
                <c:pt idx="127">
                  <c:v>111.84466010199999</c:v>
                </c:pt>
                <c:pt idx="128">
                  <c:v>111.91235700800001</c:v>
                </c:pt>
                <c:pt idx="129">
                  <c:v>111.97813182599998</c:v>
                </c:pt>
                <c:pt idx="130">
                  <c:v>112.042</c:v>
                </c:pt>
                <c:pt idx="131">
                  <c:v>112.10397697399999</c:v>
                </c:pt>
                <c:pt idx="132">
                  <c:v>112.16407819199999</c:v>
                </c:pt>
                <c:pt idx="133">
                  <c:v>112.22231909800001</c:v>
                </c:pt>
                <c:pt idx="134">
                  <c:v>112.27871513600002</c:v>
                </c:pt>
                <c:pt idx="135">
                  <c:v>112.33328175</c:v>
                </c:pt>
                <c:pt idx="136">
                  <c:v>112.386034384</c:v>
                </c:pt>
                <c:pt idx="137">
                  <c:v>112.43698848200002</c:v>
                </c:pt>
                <c:pt idx="138">
                  <c:v>112.48615948799998</c:v>
                </c:pt>
                <c:pt idx="139">
                  <c:v>112.53356284600001</c:v>
                </c:pt>
                <c:pt idx="140">
                  <c:v>112.57921399999999</c:v>
                </c:pt>
                <c:pt idx="141">
                  <c:v>112.62312839400001</c:v>
                </c:pt>
                <c:pt idx="142">
                  <c:v>112.66532147200002</c:v>
                </c:pt>
                <c:pt idx="143">
                  <c:v>112.705808678</c:v>
                </c:pt>
                <c:pt idx="144">
                  <c:v>112.74460545599999</c:v>
                </c:pt>
                <c:pt idx="145">
                  <c:v>112.78172725000003</c:v>
                </c:pt>
                <c:pt idx="146">
                  <c:v>112.81718950400001</c:v>
                </c:pt>
                <c:pt idx="147">
                  <c:v>112.85100766199999</c:v>
                </c:pt>
                <c:pt idx="148">
                  <c:v>112.883197168</c:v>
                </c:pt>
                <c:pt idx="149">
                  <c:v>112.91377346600001</c:v>
                </c:pt>
                <c:pt idx="150">
                  <c:v>112.94275200000001</c:v>
                </c:pt>
                <c:pt idx="151">
                  <c:v>112.97014821400001</c:v>
                </c:pt>
                <c:pt idx="152">
                  <c:v>112.995977552</c:v>
                </c:pt>
                <c:pt idx="153">
                  <c:v>113.02025545799999</c:v>
                </c:pt>
                <c:pt idx="154">
                  <c:v>113.04299737600002</c:v>
                </c:pt>
                <c:pt idx="155">
                  <c:v>113.06421874999999</c:v>
                </c:pt>
                <c:pt idx="156">
                  <c:v>113.08393502399998</c:v>
                </c:pt>
                <c:pt idx="157">
                  <c:v>113.102161642</c:v>
                </c:pt>
                <c:pt idx="158">
                  <c:v>113.11891404800001</c:v>
                </c:pt>
                <c:pt idx="159">
                  <c:v>113.134207686</c:v>
                </c:pt>
                <c:pt idx="160">
                  <c:v>113.14805800000001</c:v>
                </c:pt>
                <c:pt idx="161">
                  <c:v>113.16048043399998</c:v>
                </c:pt>
                <c:pt idx="162">
                  <c:v>113.17149043200003</c:v>
                </c:pt>
                <c:pt idx="163">
                  <c:v>113.18110343799999</c:v>
                </c:pt>
                <c:pt idx="164">
                  <c:v>113.18933489600002</c:v>
                </c:pt>
                <c:pt idx="165">
                  <c:v>113.19620024999996</c:v>
                </c:pt>
                <c:pt idx="166">
                  <c:v>113.20171494400002</c:v>
                </c:pt>
                <c:pt idx="167">
                  <c:v>113.20589442200001</c:v>
                </c:pt>
                <c:pt idx="168">
                  <c:v>113.20875412799998</c:v>
                </c:pt>
                <c:pt idx="169">
                  <c:v>113.21030950599999</c:v>
                </c:pt>
                <c:pt idx="170">
                  <c:v>113.210576</c:v>
                </c:pt>
                <c:pt idx="171">
                  <c:v>113.20956905400003</c:v>
                </c:pt>
                <c:pt idx="172">
                  <c:v>113.20730411200002</c:v>
                </c:pt>
                <c:pt idx="173">
                  <c:v>113.203796618</c:v>
                </c:pt>
                <c:pt idx="174">
                  <c:v>113.19906201600003</c:v>
                </c:pt>
                <c:pt idx="175">
                  <c:v>113.19311575</c:v>
                </c:pt>
                <c:pt idx="176">
                  <c:v>113.185973264</c:v>
                </c:pt>
                <c:pt idx="177">
                  <c:v>113.17765000199998</c:v>
                </c:pt>
                <c:pt idx="178">
                  <c:v>113.16816140799999</c:v>
                </c:pt>
                <c:pt idx="179">
                  <c:v>113.157522926</c:v>
                </c:pt>
                <c:pt idx="180">
                  <c:v>113.14575000000001</c:v>
                </c:pt>
                <c:pt idx="181">
                  <c:v>113.132858074</c:v>
                </c:pt>
                <c:pt idx="182">
                  <c:v>113.11886259199996</c:v>
                </c:pt>
                <c:pt idx="183">
                  <c:v>113.10377899800001</c:v>
                </c:pt>
                <c:pt idx="184">
                  <c:v>113.087622736</c:v>
                </c:pt>
                <c:pt idx="185">
                  <c:v>113.07040924999997</c:v>
                </c:pt>
                <c:pt idx="186">
                  <c:v>113.05215398399997</c:v>
                </c:pt>
                <c:pt idx="187">
                  <c:v>113.03287238200001</c:v>
                </c:pt>
                <c:pt idx="188">
                  <c:v>113.012579888</c:v>
                </c:pt>
                <c:pt idx="189">
                  <c:v>112.991291946</c:v>
                </c:pt>
                <c:pt idx="190">
                  <c:v>112.96902399999998</c:v>
                </c:pt>
                <c:pt idx="191">
                  <c:v>112.94579149400001</c:v>
                </c:pt>
                <c:pt idx="192">
                  <c:v>112.921609872</c:v>
                </c:pt>
                <c:pt idx="193">
                  <c:v>112.89649457800002</c:v>
                </c:pt>
                <c:pt idx="194">
                  <c:v>112.870461056</c:v>
                </c:pt>
                <c:pt idx="195">
                  <c:v>112.84352475</c:v>
                </c:pt>
                <c:pt idx="196">
                  <c:v>112.81570110400001</c:v>
                </c:pt>
                <c:pt idx="197">
                  <c:v>112.787005562</c:v>
                </c:pt>
                <c:pt idx="198">
                  <c:v>112.75745356799997</c:v>
                </c:pt>
                <c:pt idx="199">
                  <c:v>112.72706056600003</c:v>
                </c:pt>
                <c:pt idx="200">
                  <c:v>112.695842</c:v>
                </c:pt>
                <c:pt idx="201">
                  <c:v>112.663813314</c:v>
                </c:pt>
                <c:pt idx="202">
                  <c:v>112.63098995199999</c:v>
                </c:pt>
                <c:pt idx="203">
                  <c:v>112.59738735800001</c:v>
                </c:pt>
                <c:pt idx="204">
                  <c:v>112.56302097600002</c:v>
                </c:pt>
                <c:pt idx="205">
                  <c:v>112.52790625</c:v>
                </c:pt>
                <c:pt idx="206">
                  <c:v>112.49205862399999</c:v>
                </c:pt>
                <c:pt idx="207">
                  <c:v>112.45549354199997</c:v>
                </c:pt>
                <c:pt idx="208">
                  <c:v>112.418226448</c:v>
                </c:pt>
                <c:pt idx="209">
                  <c:v>112.38027278599999</c:v>
                </c:pt>
                <c:pt idx="210">
                  <c:v>112.34164800000001</c:v>
                </c:pt>
                <c:pt idx="211">
                  <c:v>112.30236753399998</c:v>
                </c:pt>
                <c:pt idx="212">
                  <c:v>112.26244683199999</c:v>
                </c:pt>
                <c:pt idx="213">
                  <c:v>112.221901338</c:v>
                </c:pt>
                <c:pt idx="214">
                  <c:v>112.18074649599998</c:v>
                </c:pt>
              </c:numCache>
            </c:numRef>
          </c:yVal>
          <c:smooth val="0"/>
        </c:ser>
        <c:dLbls>
          <c:showLegendKey val="0"/>
          <c:showVal val="0"/>
          <c:showCatName val="0"/>
          <c:showSerName val="0"/>
          <c:showPercent val="0"/>
          <c:showBubbleSize val="0"/>
        </c:dLbls>
        <c:axId val="348173496"/>
        <c:axId val="348171928"/>
      </c:scatterChart>
      <c:valAx>
        <c:axId val="348173496"/>
        <c:scaling>
          <c:logBase val="10"/>
          <c:orientation val="minMax"/>
          <c:max val="700"/>
          <c:min val="10"/>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Employment</a:t>
                </a:r>
              </a:p>
            </c:rich>
          </c:tx>
          <c:layout/>
          <c:overlay val="0"/>
          <c:spPr>
            <a:noFill/>
            <a:ln w="25400">
              <a:noFill/>
            </a:ln>
          </c:spPr>
        </c:title>
        <c:numFmt formatCode="General" sourceLinked="1"/>
        <c:majorTickMark val="out"/>
        <c:minorTickMark val="none"/>
        <c:tickLblPos val="nextTo"/>
        <c:spPr>
          <a:noFill/>
          <a:ln w="3175" cap="flat" cmpd="sng" algn="ctr">
            <a:solidFill>
              <a:srgbClr val="BCBFC1"/>
            </a:solidFill>
            <a:prstDash val="solid"/>
            <a:round/>
          </a:ln>
          <a:effectLst/>
        </c:spPr>
        <c:txPr>
          <a:bodyPr rot="0" vert="horz"/>
          <a:lstStyle/>
          <a:p>
            <a:pPr>
              <a:defRPr sz="900" b="0" i="0" u="none" strike="noStrike" baseline="0">
                <a:solidFill>
                  <a:srgbClr val="373737"/>
                </a:solidFill>
                <a:latin typeface="Arial"/>
                <a:ea typeface="Arial"/>
                <a:cs typeface="Arial"/>
              </a:defRPr>
            </a:pPr>
            <a:endParaRPr lang="en-US"/>
          </a:p>
        </c:txPr>
        <c:crossAx val="348171928"/>
        <c:crosses val="autoZero"/>
        <c:crossBetween val="midCat"/>
        <c:majorUnit val="10"/>
      </c:valAx>
      <c:valAx>
        <c:axId val="348171928"/>
        <c:scaling>
          <c:orientation val="minMax"/>
          <c:max val="150"/>
          <c:min val="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sz="900">
                    <a:solidFill>
                      <a:srgbClr val="373737"/>
                    </a:solidFill>
                  </a:rPr>
                  <a:t>Labour Productvity ($'000s)</a:t>
                </a:r>
              </a:p>
            </c:rich>
          </c:tx>
          <c:layout/>
          <c:overlay val="0"/>
          <c:spPr>
            <a:noFill/>
            <a:ln w="25400">
              <a:noFill/>
            </a:ln>
          </c:sp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48173496"/>
        <c:crosses val="autoZero"/>
        <c:crossBetween val="midCat"/>
      </c:valAx>
      <c:spPr>
        <a:noFill/>
        <a:ln w="25400">
          <a:noFill/>
        </a:ln>
      </c:spPr>
    </c:plotArea>
    <c:legend>
      <c:legendPos val="b"/>
      <c:layout>
        <c:manualLayout>
          <c:xMode val="edge"/>
          <c:yMode val="edge"/>
          <c:x val="4.3012191043687109E-3"/>
          <c:y val="0.88438185408092873"/>
          <c:w val="0.99056415245391627"/>
          <c:h val="0.11487562544107965"/>
        </c:manualLayout>
      </c:layout>
      <c:overlay val="0"/>
      <c:spPr>
        <a:noFill/>
        <a:ln w="25400">
          <a:noFill/>
        </a:ln>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3024637100185"/>
          <c:y val="7.9508492952656301E-2"/>
          <c:w val="0.7543196754772773"/>
          <c:h val="0.51581245526127417"/>
        </c:manualLayout>
      </c:layout>
      <c:barChart>
        <c:barDir val="col"/>
        <c:grouping val="clustered"/>
        <c:varyColors val="0"/>
        <c:ser>
          <c:idx val="3"/>
          <c:order val="0"/>
          <c:tx>
            <c:strRef>
              <c:f>Sheet1!$B$13</c:f>
              <c:strCache>
                <c:ptCount val="1"/>
                <c:pt idx="0">
                  <c:v>Low Engagement</c:v>
                </c:pt>
              </c:strCache>
            </c:strRef>
          </c:tx>
          <c:spPr>
            <a:solidFill>
              <a:srgbClr val="BCBFC1"/>
            </a:solidFill>
            <a:ln>
              <a:noFill/>
            </a:ln>
            <a:effectLst/>
          </c:spPr>
          <c:invertIfNegative val="0"/>
          <c:cat>
            <c:strRef>
              <c:f>Sheet1!$A$14:$A$17</c:f>
              <c:strCache>
                <c:ptCount val="4"/>
                <c:pt idx="0">
                  <c:v>0-4 persons</c:v>
                </c:pt>
                <c:pt idx="1">
                  <c:v>5-19 persons</c:v>
                </c:pt>
                <c:pt idx="2">
                  <c:v>20-199 persons</c:v>
                </c:pt>
                <c:pt idx="3">
                  <c:v>200 or more persons</c:v>
                </c:pt>
              </c:strCache>
            </c:strRef>
          </c:cat>
          <c:val>
            <c:numRef>
              <c:f>Sheet1!$B$14:$B$17</c:f>
              <c:numCache>
                <c:formatCode>General</c:formatCode>
                <c:ptCount val="4"/>
                <c:pt idx="0">
                  <c:v>35.9</c:v>
                </c:pt>
                <c:pt idx="1">
                  <c:v>53.300000000000004</c:v>
                </c:pt>
                <c:pt idx="2">
                  <c:v>58.8</c:v>
                </c:pt>
                <c:pt idx="3">
                  <c:v>58.3</c:v>
                </c:pt>
              </c:numCache>
            </c:numRef>
          </c:val>
        </c:ser>
        <c:ser>
          <c:idx val="2"/>
          <c:order val="1"/>
          <c:tx>
            <c:strRef>
              <c:f>Sheet1!$C$13</c:f>
              <c:strCache>
                <c:ptCount val="1"/>
                <c:pt idx="0">
                  <c:v>Ad Hoc</c:v>
                </c:pt>
              </c:strCache>
            </c:strRef>
          </c:tx>
          <c:spPr>
            <a:solidFill>
              <a:srgbClr val="9ED9DF"/>
            </a:solidFill>
            <a:ln>
              <a:noFill/>
            </a:ln>
            <a:effectLst/>
          </c:spPr>
          <c:invertIfNegative val="0"/>
          <c:cat>
            <c:strRef>
              <c:f>Sheet1!$A$14:$A$17</c:f>
              <c:strCache>
                <c:ptCount val="4"/>
                <c:pt idx="0">
                  <c:v>0-4 persons</c:v>
                </c:pt>
                <c:pt idx="1">
                  <c:v>5-19 persons</c:v>
                </c:pt>
                <c:pt idx="2">
                  <c:v>20-199 persons</c:v>
                </c:pt>
                <c:pt idx="3">
                  <c:v>200 or more persons</c:v>
                </c:pt>
              </c:strCache>
            </c:strRef>
          </c:cat>
          <c:val>
            <c:numRef>
              <c:f>Sheet1!$C$14:$C$17</c:f>
              <c:numCache>
                <c:formatCode>General</c:formatCode>
                <c:ptCount val="4"/>
                <c:pt idx="0">
                  <c:v>60.5</c:v>
                </c:pt>
                <c:pt idx="1">
                  <c:v>67.5</c:v>
                </c:pt>
                <c:pt idx="2">
                  <c:v>72.7</c:v>
                </c:pt>
                <c:pt idx="3">
                  <c:v>69.900000000000006</c:v>
                </c:pt>
              </c:numCache>
            </c:numRef>
          </c:val>
        </c:ser>
        <c:ser>
          <c:idx val="1"/>
          <c:order val="2"/>
          <c:tx>
            <c:strRef>
              <c:f>Sheet1!$D$13</c:f>
              <c:strCache>
                <c:ptCount val="1"/>
                <c:pt idx="0">
                  <c:v>Narrow-Focus</c:v>
                </c:pt>
              </c:strCache>
            </c:strRef>
          </c:tx>
          <c:spPr>
            <a:solidFill>
              <a:srgbClr val="56B4DF"/>
            </a:solidFill>
            <a:ln>
              <a:noFill/>
            </a:ln>
            <a:effectLst/>
          </c:spPr>
          <c:invertIfNegative val="0"/>
          <c:cat>
            <c:strRef>
              <c:f>Sheet1!$A$14:$A$17</c:f>
              <c:strCache>
                <c:ptCount val="4"/>
                <c:pt idx="0">
                  <c:v>0-4 persons</c:v>
                </c:pt>
                <c:pt idx="1">
                  <c:v>5-19 persons</c:v>
                </c:pt>
                <c:pt idx="2">
                  <c:v>20-199 persons</c:v>
                </c:pt>
                <c:pt idx="3">
                  <c:v>200 or more persons</c:v>
                </c:pt>
              </c:strCache>
            </c:strRef>
          </c:cat>
          <c:val>
            <c:numRef>
              <c:f>Sheet1!$D$14:$D$17</c:f>
              <c:numCache>
                <c:formatCode>General</c:formatCode>
                <c:ptCount val="4"/>
                <c:pt idx="0">
                  <c:v>83</c:v>
                </c:pt>
                <c:pt idx="1">
                  <c:v>83.6</c:v>
                </c:pt>
                <c:pt idx="2">
                  <c:v>82.300000000000011</c:v>
                </c:pt>
                <c:pt idx="3">
                  <c:v>73.7</c:v>
                </c:pt>
              </c:numCache>
            </c:numRef>
          </c:val>
        </c:ser>
        <c:ser>
          <c:idx val="0"/>
          <c:order val="3"/>
          <c:tx>
            <c:strRef>
              <c:f>Sheet1!$E$13</c:f>
              <c:strCache>
                <c:ptCount val="1"/>
                <c:pt idx="0">
                  <c:v>Strategic</c:v>
                </c:pt>
              </c:strCache>
            </c:strRef>
          </c:tx>
          <c:spPr>
            <a:solidFill>
              <a:srgbClr val="005CAF"/>
            </a:solidFill>
            <a:ln>
              <a:noFill/>
            </a:ln>
            <a:effectLst/>
          </c:spPr>
          <c:invertIfNegative val="0"/>
          <c:cat>
            <c:strRef>
              <c:f>Sheet1!$A$14:$A$17</c:f>
              <c:strCache>
                <c:ptCount val="4"/>
                <c:pt idx="0">
                  <c:v>0-4 persons</c:v>
                </c:pt>
                <c:pt idx="1">
                  <c:v>5-19 persons</c:v>
                </c:pt>
                <c:pt idx="2">
                  <c:v>20-199 persons</c:v>
                </c:pt>
                <c:pt idx="3">
                  <c:v>200 or more persons</c:v>
                </c:pt>
              </c:strCache>
            </c:strRef>
          </c:cat>
          <c:val>
            <c:numRef>
              <c:f>Sheet1!$E$14:$E$17</c:f>
              <c:numCache>
                <c:formatCode>General</c:formatCode>
                <c:ptCount val="4"/>
                <c:pt idx="0">
                  <c:v>84.6</c:v>
                </c:pt>
                <c:pt idx="1">
                  <c:v>85.8</c:v>
                </c:pt>
                <c:pt idx="2">
                  <c:v>89.7</c:v>
                </c:pt>
                <c:pt idx="3">
                  <c:v>79.2</c:v>
                </c:pt>
              </c:numCache>
            </c:numRef>
          </c:val>
        </c:ser>
        <c:dLbls>
          <c:showLegendKey val="0"/>
          <c:showVal val="0"/>
          <c:showCatName val="0"/>
          <c:showSerName val="0"/>
          <c:showPercent val="0"/>
          <c:showBubbleSize val="0"/>
        </c:dLbls>
        <c:gapWidth val="219"/>
        <c:axId val="348369312"/>
        <c:axId val="348366568"/>
      </c:barChart>
      <c:catAx>
        <c:axId val="34836931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66568"/>
        <c:crosses val="autoZero"/>
        <c:auto val="1"/>
        <c:lblAlgn val="ctr"/>
        <c:lblOffset val="100"/>
        <c:noMultiLvlLbl val="0"/>
      </c:catAx>
      <c:valAx>
        <c:axId val="348366568"/>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Share of firms (per cent)</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69312"/>
        <c:crosses val="autoZero"/>
        <c:crossBetween val="between"/>
        <c:majorUnit val="20"/>
      </c:valAx>
      <c:spPr>
        <a:noFill/>
        <a:ln w="25400">
          <a:noFill/>
        </a:ln>
        <a:effectLst/>
      </c:spPr>
    </c:plotArea>
    <c:legend>
      <c:legendPos val="b"/>
      <c:layout>
        <c:manualLayout>
          <c:xMode val="edge"/>
          <c:yMode val="edge"/>
          <c:x val="0.1352616887391645"/>
          <c:y val="0.80535264642721793"/>
          <c:w val="0.81822020028906939"/>
          <c:h val="0.162561792075455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3024637100185"/>
          <c:y val="6.5324084050126421E-2"/>
          <c:w val="0.7543196754772773"/>
          <c:h val="0.51137729049246705"/>
        </c:manualLayout>
      </c:layout>
      <c:barChart>
        <c:barDir val="col"/>
        <c:grouping val="clustered"/>
        <c:varyColors val="0"/>
        <c:ser>
          <c:idx val="3"/>
          <c:order val="0"/>
          <c:tx>
            <c:strRef>
              <c:f>'Sheet1 (2)'!$B$13</c:f>
              <c:strCache>
                <c:ptCount val="1"/>
                <c:pt idx="0">
                  <c:v>Low engagement</c:v>
                </c:pt>
              </c:strCache>
            </c:strRef>
          </c:tx>
          <c:spPr>
            <a:solidFill>
              <a:srgbClr val="BCBFC1"/>
            </a:solidFill>
            <a:ln>
              <a:noFill/>
            </a:ln>
            <a:effectLst/>
          </c:spPr>
          <c:invertIfNegative val="0"/>
          <c:cat>
            <c:strRef>
              <c:f>'Sheet1 (2)'!$A$14:$A$17</c:f>
              <c:strCache>
                <c:ptCount val="4"/>
                <c:pt idx="0">
                  <c:v>0-4 persons</c:v>
                </c:pt>
                <c:pt idx="1">
                  <c:v>5-19 persons</c:v>
                </c:pt>
                <c:pt idx="2">
                  <c:v>20-199 persons</c:v>
                </c:pt>
                <c:pt idx="3">
                  <c:v>200 or more persons</c:v>
                </c:pt>
              </c:strCache>
            </c:strRef>
          </c:cat>
          <c:val>
            <c:numRef>
              <c:f>'Sheet1 (2)'!$B$14:$B$17</c:f>
              <c:numCache>
                <c:formatCode>General</c:formatCode>
                <c:ptCount val="4"/>
                <c:pt idx="0">
                  <c:v>28.00000011920929</c:v>
                </c:pt>
                <c:pt idx="1">
                  <c:v>38.600000739097595</c:v>
                </c:pt>
                <c:pt idx="2">
                  <c:v>34.999999403953552</c:v>
                </c:pt>
                <c:pt idx="3">
                  <c:v>30.59999942779541</c:v>
                </c:pt>
              </c:numCache>
            </c:numRef>
          </c:val>
        </c:ser>
        <c:ser>
          <c:idx val="2"/>
          <c:order val="1"/>
          <c:tx>
            <c:strRef>
              <c:f>'Sheet1 (2)'!$C$13</c:f>
              <c:strCache>
                <c:ptCount val="1"/>
                <c:pt idx="0">
                  <c:v>Adhoc</c:v>
                </c:pt>
              </c:strCache>
            </c:strRef>
          </c:tx>
          <c:spPr>
            <a:solidFill>
              <a:srgbClr val="9ED9DF"/>
            </a:solidFill>
            <a:ln>
              <a:noFill/>
            </a:ln>
            <a:effectLst/>
          </c:spPr>
          <c:invertIfNegative val="0"/>
          <c:cat>
            <c:strRef>
              <c:f>'Sheet1 (2)'!$A$14:$A$17</c:f>
              <c:strCache>
                <c:ptCount val="4"/>
                <c:pt idx="0">
                  <c:v>0-4 persons</c:v>
                </c:pt>
                <c:pt idx="1">
                  <c:v>5-19 persons</c:v>
                </c:pt>
                <c:pt idx="2">
                  <c:v>20-199 persons</c:v>
                </c:pt>
                <c:pt idx="3">
                  <c:v>200 or more persons</c:v>
                </c:pt>
              </c:strCache>
            </c:strRef>
          </c:cat>
          <c:val>
            <c:numRef>
              <c:f>'Sheet1 (2)'!$C$14:$C$17</c:f>
              <c:numCache>
                <c:formatCode>General</c:formatCode>
                <c:ptCount val="4"/>
                <c:pt idx="0">
                  <c:v>39.100000262260437</c:v>
                </c:pt>
                <c:pt idx="1">
                  <c:v>39.70000147819519</c:v>
                </c:pt>
                <c:pt idx="2">
                  <c:v>39.300000667572021</c:v>
                </c:pt>
                <c:pt idx="3">
                  <c:v>38.499999046325684</c:v>
                </c:pt>
              </c:numCache>
            </c:numRef>
          </c:val>
        </c:ser>
        <c:ser>
          <c:idx val="1"/>
          <c:order val="2"/>
          <c:tx>
            <c:strRef>
              <c:f>'Sheet1 (2)'!$D$13</c:f>
              <c:strCache>
                <c:ptCount val="1"/>
                <c:pt idx="0">
                  <c:v>Narrow focus</c:v>
                </c:pt>
              </c:strCache>
            </c:strRef>
          </c:tx>
          <c:spPr>
            <a:solidFill>
              <a:srgbClr val="56B4DF"/>
            </a:solidFill>
            <a:ln>
              <a:noFill/>
            </a:ln>
            <a:effectLst/>
          </c:spPr>
          <c:invertIfNegative val="0"/>
          <c:cat>
            <c:strRef>
              <c:f>'Sheet1 (2)'!$A$14:$A$17</c:f>
              <c:strCache>
                <c:ptCount val="4"/>
                <c:pt idx="0">
                  <c:v>0-4 persons</c:v>
                </c:pt>
                <c:pt idx="1">
                  <c:v>5-19 persons</c:v>
                </c:pt>
                <c:pt idx="2">
                  <c:v>20-199 persons</c:v>
                </c:pt>
                <c:pt idx="3">
                  <c:v>200 or more persons</c:v>
                </c:pt>
              </c:strCache>
            </c:strRef>
          </c:cat>
          <c:val>
            <c:numRef>
              <c:f>'Sheet1 (2)'!$D$14:$D$17</c:f>
              <c:numCache>
                <c:formatCode>General</c:formatCode>
                <c:ptCount val="4"/>
                <c:pt idx="0">
                  <c:v>57.099997997283936</c:v>
                </c:pt>
                <c:pt idx="1">
                  <c:v>54.900002479553223</c:v>
                </c:pt>
                <c:pt idx="2">
                  <c:v>50.199997425079346</c:v>
                </c:pt>
                <c:pt idx="3">
                  <c:v>57.499998807907104</c:v>
                </c:pt>
              </c:numCache>
            </c:numRef>
          </c:val>
        </c:ser>
        <c:ser>
          <c:idx val="0"/>
          <c:order val="3"/>
          <c:tx>
            <c:strRef>
              <c:f>'Sheet1 (2)'!$E$13</c:f>
              <c:strCache>
                <c:ptCount val="1"/>
                <c:pt idx="0">
                  <c:v>Strategic</c:v>
                </c:pt>
              </c:strCache>
            </c:strRef>
          </c:tx>
          <c:spPr>
            <a:solidFill>
              <a:srgbClr val="005CAF"/>
            </a:solidFill>
            <a:ln>
              <a:noFill/>
            </a:ln>
            <a:effectLst/>
          </c:spPr>
          <c:invertIfNegative val="0"/>
          <c:cat>
            <c:strRef>
              <c:f>'Sheet1 (2)'!$A$14:$A$17</c:f>
              <c:strCache>
                <c:ptCount val="4"/>
                <c:pt idx="0">
                  <c:v>0-4 persons</c:v>
                </c:pt>
                <c:pt idx="1">
                  <c:v>5-19 persons</c:v>
                </c:pt>
                <c:pt idx="2">
                  <c:v>20-199 persons</c:v>
                </c:pt>
                <c:pt idx="3">
                  <c:v>200 or more persons</c:v>
                </c:pt>
              </c:strCache>
            </c:strRef>
          </c:cat>
          <c:val>
            <c:numRef>
              <c:f>'Sheet1 (2)'!$E$14:$E$17</c:f>
              <c:numCache>
                <c:formatCode>General</c:formatCode>
                <c:ptCount val="4"/>
                <c:pt idx="0">
                  <c:v>76.30000114440918</c:v>
                </c:pt>
                <c:pt idx="1">
                  <c:v>64.800000190734863</c:v>
                </c:pt>
                <c:pt idx="2">
                  <c:v>66.699999570846558</c:v>
                </c:pt>
                <c:pt idx="3">
                  <c:v>71.799999475479126</c:v>
                </c:pt>
              </c:numCache>
            </c:numRef>
          </c:val>
        </c:ser>
        <c:dLbls>
          <c:showLegendKey val="0"/>
          <c:showVal val="0"/>
          <c:showCatName val="0"/>
          <c:showSerName val="0"/>
          <c:showPercent val="0"/>
          <c:showBubbleSize val="0"/>
        </c:dLbls>
        <c:gapWidth val="219"/>
        <c:axId val="348370488"/>
        <c:axId val="348369704"/>
      </c:barChart>
      <c:catAx>
        <c:axId val="34837048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69704"/>
        <c:crosses val="autoZero"/>
        <c:auto val="1"/>
        <c:lblAlgn val="ctr"/>
        <c:lblOffset val="100"/>
        <c:noMultiLvlLbl val="0"/>
      </c:catAx>
      <c:valAx>
        <c:axId val="348369704"/>
        <c:scaling>
          <c:orientation val="minMax"/>
          <c:max val="100"/>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Share of firms (per cent)</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70488"/>
        <c:crosses val="autoZero"/>
        <c:crossBetween val="between"/>
        <c:majorUnit val="20"/>
      </c:valAx>
      <c:spPr>
        <a:noFill/>
        <a:ln w="25400">
          <a:noFill/>
        </a:ln>
        <a:effectLst/>
      </c:spPr>
    </c:plotArea>
    <c:legend>
      <c:legendPos val="b"/>
      <c:layout>
        <c:manualLayout>
          <c:xMode val="edge"/>
          <c:yMode val="edge"/>
          <c:x val="0.13526153958449283"/>
          <c:y val="0.75513926312813706"/>
          <c:w val="0.81822020028906939"/>
          <c:h val="0.162561792075455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3024637100185"/>
          <c:y val="7.9508492952656301E-2"/>
          <c:w val="0.7543196754772773"/>
          <c:h val="0.51581245526127417"/>
        </c:manualLayout>
      </c:layout>
      <c:barChart>
        <c:barDir val="col"/>
        <c:grouping val="clustered"/>
        <c:varyColors val="0"/>
        <c:ser>
          <c:idx val="3"/>
          <c:order val="0"/>
          <c:tx>
            <c:strRef>
              <c:f>'Sheet1 (3)'!$B$13</c:f>
              <c:strCache>
                <c:ptCount val="1"/>
                <c:pt idx="0">
                  <c:v>Low engagement</c:v>
                </c:pt>
              </c:strCache>
            </c:strRef>
          </c:tx>
          <c:spPr>
            <a:solidFill>
              <a:srgbClr val="BCBFC1"/>
            </a:solidFill>
            <a:ln>
              <a:noFill/>
            </a:ln>
            <a:effectLst/>
          </c:spPr>
          <c:invertIfNegative val="0"/>
          <c:cat>
            <c:strRef>
              <c:f>'Sheet1 (3)'!$A$14:$A$17</c:f>
              <c:strCache>
                <c:ptCount val="4"/>
                <c:pt idx="0">
                  <c:v>0-4 persons</c:v>
                </c:pt>
                <c:pt idx="1">
                  <c:v>5-19 persons</c:v>
                </c:pt>
                <c:pt idx="2">
                  <c:v>20-199 persons</c:v>
                </c:pt>
                <c:pt idx="3">
                  <c:v>200 or more persons</c:v>
                </c:pt>
              </c:strCache>
            </c:strRef>
          </c:cat>
          <c:val>
            <c:numRef>
              <c:f>'Sheet1 (3)'!$B$14:$B$17</c:f>
              <c:numCache>
                <c:formatCode>General</c:formatCode>
                <c:ptCount val="4"/>
                <c:pt idx="0">
                  <c:v>55.900001525878906</c:v>
                </c:pt>
                <c:pt idx="1">
                  <c:v>65.299999713897705</c:v>
                </c:pt>
                <c:pt idx="2">
                  <c:v>76.700001955032349</c:v>
                </c:pt>
                <c:pt idx="3">
                  <c:v>68.800002336502075</c:v>
                </c:pt>
              </c:numCache>
            </c:numRef>
          </c:val>
        </c:ser>
        <c:ser>
          <c:idx val="2"/>
          <c:order val="1"/>
          <c:tx>
            <c:strRef>
              <c:f>'Sheet1 (3)'!$C$13</c:f>
              <c:strCache>
                <c:ptCount val="1"/>
                <c:pt idx="0">
                  <c:v>Adhoc</c:v>
                </c:pt>
              </c:strCache>
            </c:strRef>
          </c:tx>
          <c:spPr>
            <a:solidFill>
              <a:srgbClr val="9ED9DF"/>
            </a:solidFill>
            <a:ln>
              <a:noFill/>
            </a:ln>
            <a:effectLst/>
          </c:spPr>
          <c:invertIfNegative val="0"/>
          <c:cat>
            <c:strRef>
              <c:f>'Sheet1 (3)'!$A$14:$A$17</c:f>
              <c:strCache>
                <c:ptCount val="4"/>
                <c:pt idx="0">
                  <c:v>0-4 persons</c:v>
                </c:pt>
                <c:pt idx="1">
                  <c:v>5-19 persons</c:v>
                </c:pt>
                <c:pt idx="2">
                  <c:v>20-199 persons</c:v>
                </c:pt>
                <c:pt idx="3">
                  <c:v>200 or more persons</c:v>
                </c:pt>
              </c:strCache>
            </c:strRef>
          </c:cat>
          <c:val>
            <c:numRef>
              <c:f>'Sheet1 (3)'!$C$14:$C$17</c:f>
              <c:numCache>
                <c:formatCode>General</c:formatCode>
                <c:ptCount val="4"/>
                <c:pt idx="0">
                  <c:v>62.900000810623169</c:v>
                </c:pt>
                <c:pt idx="1">
                  <c:v>75</c:v>
                </c:pt>
                <c:pt idx="2">
                  <c:v>84.10000205039978</c:v>
                </c:pt>
                <c:pt idx="3">
                  <c:v>83.300000429153442</c:v>
                </c:pt>
              </c:numCache>
            </c:numRef>
          </c:val>
        </c:ser>
        <c:ser>
          <c:idx val="1"/>
          <c:order val="2"/>
          <c:tx>
            <c:strRef>
              <c:f>'Sheet1 (3)'!$D$13</c:f>
              <c:strCache>
                <c:ptCount val="1"/>
                <c:pt idx="0">
                  <c:v>Narrow focus</c:v>
                </c:pt>
              </c:strCache>
            </c:strRef>
          </c:tx>
          <c:spPr>
            <a:solidFill>
              <a:srgbClr val="56B4DF"/>
            </a:solidFill>
            <a:ln>
              <a:solidFill>
                <a:srgbClr val="9ED9DF"/>
              </a:solidFill>
            </a:ln>
            <a:effectLst/>
          </c:spPr>
          <c:invertIfNegative val="0"/>
          <c:dPt>
            <c:idx val="0"/>
            <c:invertIfNegative val="0"/>
            <c:bubble3D val="0"/>
            <c:spPr>
              <a:solidFill>
                <a:srgbClr val="56B4DF"/>
              </a:solidFill>
              <a:ln>
                <a:solidFill>
                  <a:srgbClr val="9ED9DF"/>
                </a:solidFill>
              </a:ln>
              <a:effectLst/>
            </c:spPr>
          </c:dPt>
          <c:dPt>
            <c:idx val="1"/>
            <c:invertIfNegative val="0"/>
            <c:bubble3D val="0"/>
            <c:spPr>
              <a:solidFill>
                <a:srgbClr val="56B4DF"/>
              </a:solidFill>
              <a:ln>
                <a:solidFill>
                  <a:srgbClr val="9ED9DF"/>
                </a:solidFill>
              </a:ln>
              <a:effectLst/>
            </c:spPr>
          </c:dPt>
          <c:dPt>
            <c:idx val="2"/>
            <c:invertIfNegative val="0"/>
            <c:bubble3D val="0"/>
            <c:spPr>
              <a:solidFill>
                <a:srgbClr val="56B4DF"/>
              </a:solidFill>
              <a:ln>
                <a:noFill/>
              </a:ln>
              <a:effectLst/>
            </c:spPr>
          </c:dPt>
          <c:dPt>
            <c:idx val="3"/>
            <c:invertIfNegative val="0"/>
            <c:bubble3D val="0"/>
            <c:spPr>
              <a:solidFill>
                <a:srgbClr val="56B4DF"/>
              </a:solidFill>
              <a:ln>
                <a:solidFill>
                  <a:srgbClr val="9ED9DF"/>
                </a:solidFill>
              </a:ln>
              <a:effectLst/>
            </c:spPr>
          </c:dPt>
          <c:cat>
            <c:strRef>
              <c:f>'Sheet1 (3)'!$A$14:$A$17</c:f>
              <c:strCache>
                <c:ptCount val="4"/>
                <c:pt idx="0">
                  <c:v>0-4 persons</c:v>
                </c:pt>
                <c:pt idx="1">
                  <c:v>5-19 persons</c:v>
                </c:pt>
                <c:pt idx="2">
                  <c:v>20-199 persons</c:v>
                </c:pt>
                <c:pt idx="3">
                  <c:v>200 or more persons</c:v>
                </c:pt>
              </c:strCache>
            </c:strRef>
          </c:cat>
          <c:val>
            <c:numRef>
              <c:f>'Sheet1 (3)'!$D$14:$D$17</c:f>
              <c:numCache>
                <c:formatCode>General</c:formatCode>
                <c:ptCount val="4"/>
                <c:pt idx="0">
                  <c:v>79.199999570846558</c:v>
                </c:pt>
                <c:pt idx="1">
                  <c:v>84.799998998641968</c:v>
                </c:pt>
                <c:pt idx="2">
                  <c:v>85.100001096725464</c:v>
                </c:pt>
                <c:pt idx="3">
                  <c:v>89.999997615814209</c:v>
                </c:pt>
              </c:numCache>
            </c:numRef>
          </c:val>
        </c:ser>
        <c:ser>
          <c:idx val="0"/>
          <c:order val="3"/>
          <c:tx>
            <c:strRef>
              <c:f>'Sheet1 (3)'!$E$13</c:f>
              <c:strCache>
                <c:ptCount val="1"/>
                <c:pt idx="0">
                  <c:v>Strategic</c:v>
                </c:pt>
              </c:strCache>
            </c:strRef>
          </c:tx>
          <c:spPr>
            <a:solidFill>
              <a:srgbClr val="005CAF"/>
            </a:solidFill>
            <a:ln>
              <a:noFill/>
            </a:ln>
            <a:effectLst/>
          </c:spPr>
          <c:invertIfNegative val="0"/>
          <c:cat>
            <c:strRef>
              <c:f>'Sheet1 (3)'!$A$14:$A$17</c:f>
              <c:strCache>
                <c:ptCount val="4"/>
                <c:pt idx="0">
                  <c:v>0-4 persons</c:v>
                </c:pt>
                <c:pt idx="1">
                  <c:v>5-19 persons</c:v>
                </c:pt>
                <c:pt idx="2">
                  <c:v>20-199 persons</c:v>
                </c:pt>
                <c:pt idx="3">
                  <c:v>200 or more persons</c:v>
                </c:pt>
              </c:strCache>
            </c:strRef>
          </c:cat>
          <c:val>
            <c:numRef>
              <c:f>'Sheet1 (3)'!$E$14:$E$17</c:f>
              <c:numCache>
                <c:formatCode>General</c:formatCode>
                <c:ptCount val="4"/>
                <c:pt idx="0">
                  <c:v>0</c:v>
                </c:pt>
                <c:pt idx="1">
                  <c:v>87.199997901916504</c:v>
                </c:pt>
                <c:pt idx="2">
                  <c:v>89.600002765655518</c:v>
                </c:pt>
                <c:pt idx="3">
                  <c:v>92.699998617172241</c:v>
                </c:pt>
              </c:numCache>
            </c:numRef>
          </c:val>
        </c:ser>
        <c:dLbls>
          <c:showLegendKey val="0"/>
          <c:showVal val="0"/>
          <c:showCatName val="0"/>
          <c:showSerName val="0"/>
          <c:showPercent val="0"/>
          <c:showBubbleSize val="0"/>
        </c:dLbls>
        <c:gapWidth val="219"/>
        <c:axId val="348367744"/>
        <c:axId val="348370096"/>
      </c:barChart>
      <c:catAx>
        <c:axId val="348367744"/>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70096"/>
        <c:crosses val="autoZero"/>
        <c:auto val="1"/>
        <c:lblAlgn val="ctr"/>
        <c:lblOffset val="100"/>
        <c:noMultiLvlLbl val="0"/>
      </c:catAx>
      <c:valAx>
        <c:axId val="348370096"/>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Share of firms (per cent)</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67744"/>
        <c:crosses val="autoZero"/>
        <c:crossBetween val="between"/>
        <c:majorUnit val="20"/>
      </c:valAx>
      <c:spPr>
        <a:noFill/>
        <a:ln w="25400">
          <a:noFill/>
        </a:ln>
        <a:effectLst/>
      </c:spPr>
    </c:plotArea>
    <c:legend>
      <c:legendPos val="b"/>
      <c:layout>
        <c:manualLayout>
          <c:xMode val="edge"/>
          <c:yMode val="edge"/>
          <c:x val="0.1352616887391645"/>
          <c:y val="0.80535264642721793"/>
          <c:w val="0.81822020028906939"/>
          <c:h val="0.162561792075455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43024637100185"/>
          <c:y val="6.7928839502538821E-2"/>
          <c:w val="0.7543196754772773"/>
          <c:h val="0.52739200824196042"/>
        </c:manualLayout>
      </c:layout>
      <c:barChart>
        <c:barDir val="col"/>
        <c:grouping val="clustered"/>
        <c:varyColors val="0"/>
        <c:ser>
          <c:idx val="3"/>
          <c:order val="0"/>
          <c:tx>
            <c:strRef>
              <c:f>'Sheet1 (4)'!$B$13</c:f>
              <c:strCache>
                <c:ptCount val="1"/>
                <c:pt idx="0">
                  <c:v>Low engagement</c:v>
                </c:pt>
              </c:strCache>
            </c:strRef>
          </c:tx>
          <c:spPr>
            <a:solidFill>
              <a:srgbClr val="BCBFC1"/>
            </a:solidFill>
            <a:ln>
              <a:noFill/>
            </a:ln>
            <a:effectLst/>
          </c:spPr>
          <c:invertIfNegative val="0"/>
          <c:cat>
            <c:strRef>
              <c:f>'Sheet1 (4)'!$A$14:$A$17</c:f>
              <c:strCache>
                <c:ptCount val="4"/>
                <c:pt idx="0">
                  <c:v>0-4 persons</c:v>
                </c:pt>
                <c:pt idx="1">
                  <c:v>5-19 persons</c:v>
                </c:pt>
                <c:pt idx="2">
                  <c:v>20-199 persons</c:v>
                </c:pt>
                <c:pt idx="3">
                  <c:v>200 or more persons</c:v>
                </c:pt>
              </c:strCache>
            </c:strRef>
          </c:cat>
          <c:val>
            <c:numRef>
              <c:f>'Sheet1 (4)'!$B$14:$B$17</c:f>
              <c:numCache>
                <c:formatCode>General</c:formatCode>
                <c:ptCount val="4"/>
                <c:pt idx="0">
                  <c:v>47.499999403953552</c:v>
                </c:pt>
                <c:pt idx="1">
                  <c:v>54.29999828338623</c:v>
                </c:pt>
                <c:pt idx="2">
                  <c:v>69.599997997283936</c:v>
                </c:pt>
                <c:pt idx="3">
                  <c:v>72.899997234344482</c:v>
                </c:pt>
              </c:numCache>
            </c:numRef>
          </c:val>
        </c:ser>
        <c:ser>
          <c:idx val="2"/>
          <c:order val="1"/>
          <c:tx>
            <c:strRef>
              <c:f>'Sheet1 (4)'!$C$13</c:f>
              <c:strCache>
                <c:ptCount val="1"/>
                <c:pt idx="0">
                  <c:v>Adhoc</c:v>
                </c:pt>
              </c:strCache>
            </c:strRef>
          </c:tx>
          <c:spPr>
            <a:solidFill>
              <a:srgbClr val="9ED9DF"/>
            </a:solidFill>
            <a:ln>
              <a:noFill/>
            </a:ln>
            <a:effectLst/>
          </c:spPr>
          <c:invertIfNegative val="0"/>
          <c:cat>
            <c:strRef>
              <c:f>'Sheet1 (4)'!$A$14:$A$17</c:f>
              <c:strCache>
                <c:ptCount val="4"/>
                <c:pt idx="0">
                  <c:v>0-4 persons</c:v>
                </c:pt>
                <c:pt idx="1">
                  <c:v>5-19 persons</c:v>
                </c:pt>
                <c:pt idx="2">
                  <c:v>20-199 persons</c:v>
                </c:pt>
                <c:pt idx="3">
                  <c:v>200 or more persons</c:v>
                </c:pt>
              </c:strCache>
            </c:strRef>
          </c:cat>
          <c:val>
            <c:numRef>
              <c:f>'Sheet1 (4)'!$C$14:$C$17</c:f>
              <c:numCache>
                <c:formatCode>General</c:formatCode>
                <c:ptCount val="4"/>
                <c:pt idx="0">
                  <c:v>60.900002717971802</c:v>
                </c:pt>
                <c:pt idx="1">
                  <c:v>72.399997711181641</c:v>
                </c:pt>
                <c:pt idx="2">
                  <c:v>65.200001001358032</c:v>
                </c:pt>
                <c:pt idx="3">
                  <c:v>75</c:v>
                </c:pt>
              </c:numCache>
            </c:numRef>
          </c:val>
        </c:ser>
        <c:ser>
          <c:idx val="1"/>
          <c:order val="2"/>
          <c:tx>
            <c:strRef>
              <c:f>'Sheet1 (4)'!$D$13</c:f>
              <c:strCache>
                <c:ptCount val="1"/>
                <c:pt idx="0">
                  <c:v>Narrow focus</c:v>
                </c:pt>
              </c:strCache>
            </c:strRef>
          </c:tx>
          <c:spPr>
            <a:solidFill>
              <a:srgbClr val="56B4DF"/>
            </a:solidFill>
            <a:ln>
              <a:noFill/>
            </a:ln>
            <a:effectLst/>
          </c:spPr>
          <c:invertIfNegative val="0"/>
          <c:cat>
            <c:strRef>
              <c:f>'Sheet1 (4)'!$A$14:$A$17</c:f>
              <c:strCache>
                <c:ptCount val="4"/>
                <c:pt idx="0">
                  <c:v>0-4 persons</c:v>
                </c:pt>
                <c:pt idx="1">
                  <c:v>5-19 persons</c:v>
                </c:pt>
                <c:pt idx="2">
                  <c:v>20-199 persons</c:v>
                </c:pt>
                <c:pt idx="3">
                  <c:v>200 or more persons</c:v>
                </c:pt>
              </c:strCache>
            </c:strRef>
          </c:cat>
          <c:val>
            <c:numRef>
              <c:f>'Sheet1 (4)'!$D$14:$D$17</c:f>
              <c:numCache>
                <c:formatCode>General</c:formatCode>
                <c:ptCount val="4"/>
                <c:pt idx="0">
                  <c:v>79.600000381469727</c:v>
                </c:pt>
                <c:pt idx="1">
                  <c:v>79.900002479553223</c:v>
                </c:pt>
                <c:pt idx="2">
                  <c:v>81.099998950958252</c:v>
                </c:pt>
                <c:pt idx="3">
                  <c:v>90.399998426437378</c:v>
                </c:pt>
              </c:numCache>
            </c:numRef>
          </c:val>
        </c:ser>
        <c:ser>
          <c:idx val="0"/>
          <c:order val="3"/>
          <c:tx>
            <c:strRef>
              <c:f>'Sheet1 (4)'!$E$13</c:f>
              <c:strCache>
                <c:ptCount val="1"/>
                <c:pt idx="0">
                  <c:v>Strategic</c:v>
                </c:pt>
              </c:strCache>
            </c:strRef>
          </c:tx>
          <c:spPr>
            <a:solidFill>
              <a:srgbClr val="005CAF"/>
            </a:solidFill>
            <a:ln>
              <a:noFill/>
            </a:ln>
            <a:effectLst/>
          </c:spPr>
          <c:invertIfNegative val="0"/>
          <c:cat>
            <c:strRef>
              <c:f>'Sheet1 (4)'!$A$14:$A$17</c:f>
              <c:strCache>
                <c:ptCount val="4"/>
                <c:pt idx="0">
                  <c:v>0-4 persons</c:v>
                </c:pt>
                <c:pt idx="1">
                  <c:v>5-19 persons</c:v>
                </c:pt>
                <c:pt idx="2">
                  <c:v>20-199 persons</c:v>
                </c:pt>
                <c:pt idx="3">
                  <c:v>200 or more persons</c:v>
                </c:pt>
              </c:strCache>
            </c:strRef>
          </c:cat>
          <c:val>
            <c:numRef>
              <c:f>'Sheet1 (4)'!$E$14:$E$17</c:f>
              <c:numCache>
                <c:formatCode>General</c:formatCode>
                <c:ptCount val="4"/>
                <c:pt idx="0">
                  <c:v>73.69999885559082</c:v>
                </c:pt>
                <c:pt idx="1">
                  <c:v>83.700001239776611</c:v>
                </c:pt>
                <c:pt idx="2">
                  <c:v>87.099999189376831</c:v>
                </c:pt>
                <c:pt idx="3">
                  <c:v>87.800002098083496</c:v>
                </c:pt>
              </c:numCache>
            </c:numRef>
          </c:val>
        </c:ser>
        <c:dLbls>
          <c:showLegendKey val="0"/>
          <c:showVal val="0"/>
          <c:showCatName val="0"/>
          <c:showSerName val="0"/>
          <c:showPercent val="0"/>
          <c:showBubbleSize val="0"/>
        </c:dLbls>
        <c:gapWidth val="219"/>
        <c:axId val="348365392"/>
        <c:axId val="348370880"/>
      </c:barChart>
      <c:catAx>
        <c:axId val="348365392"/>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70880"/>
        <c:crosses val="autoZero"/>
        <c:auto val="1"/>
        <c:lblAlgn val="ctr"/>
        <c:lblOffset val="100"/>
        <c:noMultiLvlLbl val="0"/>
      </c:catAx>
      <c:valAx>
        <c:axId val="348370880"/>
        <c:scaling>
          <c:orientation val="minMax"/>
        </c:scaling>
        <c:delete val="0"/>
        <c:axPos val="l"/>
        <c:title>
          <c:tx>
            <c:rich>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Share of firms (per cent)</a:t>
                </a:r>
              </a:p>
            </c:rich>
          </c:tx>
          <c:layout/>
          <c:overlay val="0"/>
          <c:spPr>
            <a:noFill/>
            <a:ln>
              <a:noFill/>
            </a:ln>
            <a:effectLst/>
          </c:spPr>
          <c:txPr>
            <a:bodyPr rot="-540000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365392"/>
        <c:crosses val="autoZero"/>
        <c:crossBetween val="between"/>
        <c:majorUnit val="20"/>
      </c:valAx>
      <c:spPr>
        <a:noFill/>
        <a:ln w="25400">
          <a:noFill/>
        </a:ln>
        <a:effectLst/>
      </c:spPr>
    </c:plotArea>
    <c:legend>
      <c:legendPos val="b"/>
      <c:layout>
        <c:manualLayout>
          <c:xMode val="edge"/>
          <c:yMode val="edge"/>
          <c:x val="0.12601083860817119"/>
          <c:y val="0.78024596661796886"/>
          <c:w val="0.81822020028906939"/>
          <c:h val="0.162561792075455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65381791263963"/>
          <c:y val="3.09709668417796E-2"/>
          <c:w val="0.82534609254207136"/>
          <c:h val="0.73575239920895863"/>
        </c:manualLayout>
      </c:layout>
      <c:barChart>
        <c:barDir val="col"/>
        <c:grouping val="clustered"/>
        <c:varyColors val="0"/>
        <c:ser>
          <c:idx val="3"/>
          <c:order val="0"/>
          <c:tx>
            <c:strRef>
              <c:f>Unweighted!$B$35</c:f>
              <c:strCache>
                <c:ptCount val="1"/>
                <c:pt idx="0">
                  <c:v>High School</c:v>
                </c:pt>
              </c:strCache>
            </c:strRef>
          </c:tx>
          <c:spPr>
            <a:solidFill>
              <a:srgbClr val="9ED9DF"/>
            </a:solidFill>
            <a:ln w="25400">
              <a:noFill/>
            </a:ln>
          </c:spPr>
          <c:invertIfNegative val="0"/>
          <c:cat>
            <c:strRef>
              <c:f>Unweighted!$A$36:$A$39</c:f>
              <c:strCache>
                <c:ptCount val="4"/>
                <c:pt idx="0">
                  <c:v>0-4 persons</c:v>
                </c:pt>
                <c:pt idx="1">
                  <c:v>5-19 persons</c:v>
                </c:pt>
                <c:pt idx="2">
                  <c:v>20-199 persons</c:v>
                </c:pt>
                <c:pt idx="3">
                  <c:v>200 or more persons</c:v>
                </c:pt>
              </c:strCache>
            </c:strRef>
          </c:cat>
          <c:val>
            <c:numRef>
              <c:f>Unweighted!$B$36:$B$39</c:f>
              <c:numCache>
                <c:formatCode>General</c:formatCode>
                <c:ptCount val="4"/>
                <c:pt idx="0">
                  <c:v>8.9000001549720764</c:v>
                </c:pt>
                <c:pt idx="1">
                  <c:v>21.899999678134918</c:v>
                </c:pt>
                <c:pt idx="2">
                  <c:v>41.600000858306885</c:v>
                </c:pt>
                <c:pt idx="3">
                  <c:v>79.699999094009399</c:v>
                </c:pt>
              </c:numCache>
            </c:numRef>
          </c:val>
        </c:ser>
        <c:ser>
          <c:idx val="0"/>
          <c:order val="1"/>
          <c:tx>
            <c:strRef>
              <c:f>Unweighted!$C$35</c:f>
              <c:strCache>
                <c:ptCount val="1"/>
                <c:pt idx="0">
                  <c:v>TAFE</c:v>
                </c:pt>
              </c:strCache>
            </c:strRef>
          </c:tx>
          <c:spPr>
            <a:solidFill>
              <a:srgbClr val="56B4DF"/>
            </a:solidFill>
          </c:spPr>
          <c:invertIfNegative val="0"/>
          <c:cat>
            <c:strRef>
              <c:f>Unweighted!$A$36:$A$39</c:f>
              <c:strCache>
                <c:ptCount val="4"/>
                <c:pt idx="0">
                  <c:v>0-4 persons</c:v>
                </c:pt>
                <c:pt idx="1">
                  <c:v>5-19 persons</c:v>
                </c:pt>
                <c:pt idx="2">
                  <c:v>20-199 persons</c:v>
                </c:pt>
                <c:pt idx="3">
                  <c:v>200 or more persons</c:v>
                </c:pt>
              </c:strCache>
            </c:strRef>
          </c:cat>
          <c:val>
            <c:numRef>
              <c:f>Unweighted!$C$36:$C$39</c:f>
              <c:numCache>
                <c:formatCode>General</c:formatCode>
                <c:ptCount val="4"/>
                <c:pt idx="0">
                  <c:v>10.499999672174454</c:v>
                </c:pt>
                <c:pt idx="1">
                  <c:v>24.799999594688416</c:v>
                </c:pt>
                <c:pt idx="2">
                  <c:v>49.300000071525574</c:v>
                </c:pt>
                <c:pt idx="3">
                  <c:v>74.099999666213989</c:v>
                </c:pt>
              </c:numCache>
            </c:numRef>
          </c:val>
        </c:ser>
        <c:ser>
          <c:idx val="1"/>
          <c:order val="2"/>
          <c:tx>
            <c:strRef>
              <c:f>Unweighted!$D$35</c:f>
              <c:strCache>
                <c:ptCount val="1"/>
                <c:pt idx="0">
                  <c:v>University </c:v>
                </c:pt>
              </c:strCache>
            </c:strRef>
          </c:tx>
          <c:spPr>
            <a:solidFill>
              <a:srgbClr val="005CAF"/>
            </a:solidFill>
          </c:spPr>
          <c:invertIfNegative val="0"/>
          <c:cat>
            <c:strRef>
              <c:f>Unweighted!$A$36:$A$39</c:f>
              <c:strCache>
                <c:ptCount val="4"/>
                <c:pt idx="0">
                  <c:v>0-4 persons</c:v>
                </c:pt>
                <c:pt idx="1">
                  <c:v>5-19 persons</c:v>
                </c:pt>
                <c:pt idx="2">
                  <c:v>20-199 persons</c:v>
                </c:pt>
                <c:pt idx="3">
                  <c:v>200 or more persons</c:v>
                </c:pt>
              </c:strCache>
            </c:strRef>
          </c:cat>
          <c:val>
            <c:numRef>
              <c:f>Unweighted!$D$36:$D$39</c:f>
              <c:numCache>
                <c:formatCode>General</c:formatCode>
                <c:ptCount val="4"/>
                <c:pt idx="0">
                  <c:v>17.499999701976776</c:v>
                </c:pt>
                <c:pt idx="1">
                  <c:v>40.000000596046448</c:v>
                </c:pt>
                <c:pt idx="2">
                  <c:v>65.299999713897705</c:v>
                </c:pt>
                <c:pt idx="3">
                  <c:v>83.99999737739563</c:v>
                </c:pt>
              </c:numCache>
            </c:numRef>
          </c:val>
        </c:ser>
        <c:dLbls>
          <c:showLegendKey val="0"/>
          <c:showVal val="0"/>
          <c:showCatName val="0"/>
          <c:showSerName val="0"/>
          <c:showPercent val="0"/>
          <c:showBubbleSize val="0"/>
        </c:dLbls>
        <c:gapWidth val="150"/>
        <c:axId val="348372056"/>
        <c:axId val="348364608"/>
      </c:barChart>
      <c:catAx>
        <c:axId val="34837205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a:solidFill>
                  <a:srgbClr val="373737"/>
                </a:solidFill>
              </a:defRPr>
            </a:pPr>
            <a:endParaRPr lang="en-US"/>
          </a:p>
        </c:txPr>
        <c:crossAx val="348364608"/>
        <c:crosses val="autoZero"/>
        <c:auto val="1"/>
        <c:lblAlgn val="ctr"/>
        <c:lblOffset val="100"/>
        <c:noMultiLvlLbl val="0"/>
      </c:catAx>
      <c:valAx>
        <c:axId val="348364608"/>
        <c:scaling>
          <c:orientation val="minMax"/>
        </c:scaling>
        <c:delete val="0"/>
        <c:axPos val="l"/>
        <c:title>
          <c:tx>
            <c:rich>
              <a:bodyPr/>
              <a:lstStyle/>
              <a:p>
                <a:pPr algn="ctr" rtl="0">
                  <a:defRPr sz="900" b="0" i="0" u="none" strike="noStrike" kern="1200" baseline="0">
                    <a:solidFill>
                      <a:srgbClr val="373737"/>
                    </a:solidFill>
                    <a:latin typeface="Arial" panose="020B0604020202020204" pitchFamily="34" charset="0"/>
                    <a:cs typeface="Arial" panose="020B0604020202020204" pitchFamily="34" charset="0"/>
                  </a:defRPr>
                </a:pPr>
                <a:r>
                  <a:rPr lang="en-US" sz="900" b="0" i="0" u="none" strike="noStrike" kern="1200" baseline="0">
                    <a:solidFill>
                      <a:srgbClr val="373737"/>
                    </a:solidFill>
                    <a:latin typeface="Arial" panose="020B0604020202020204" pitchFamily="34" charset="0"/>
                    <a:cs typeface="Arial" panose="020B0604020202020204" pitchFamily="34" charset="0"/>
                  </a:rPr>
                  <a:t>Share of firms top-tier strategic management (per cent)</a:t>
                </a:r>
              </a:p>
            </c:rich>
          </c:tx>
          <c:layout>
            <c:manualLayout>
              <c:xMode val="edge"/>
              <c:yMode val="edge"/>
              <c:x val="7.2880313766692734E-3"/>
              <c:y val="7.819467866978877E-2"/>
            </c:manualLayout>
          </c:layout>
          <c:overlay val="0"/>
        </c:title>
        <c:numFmt formatCode="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a:solidFill>
                  <a:srgbClr val="373737"/>
                </a:solidFill>
              </a:defRPr>
            </a:pPr>
            <a:endParaRPr lang="en-US"/>
          </a:p>
        </c:txPr>
        <c:crossAx val="348372056"/>
        <c:crosses val="autoZero"/>
        <c:crossBetween val="between"/>
      </c:valAx>
      <c:spPr>
        <a:noFill/>
        <a:ln w="25400">
          <a:noFill/>
        </a:ln>
      </c:spPr>
    </c:plotArea>
    <c:legend>
      <c:legendPos val="b"/>
      <c:layout>
        <c:manualLayout>
          <c:xMode val="edge"/>
          <c:yMode val="edge"/>
          <c:x val="0.25312113089730348"/>
          <c:y val="0.91814906033510069"/>
          <c:w val="0.49375773820539304"/>
          <c:h val="8.0614240884787053E-2"/>
        </c:manualLayout>
      </c:layout>
      <c:overlay val="0"/>
      <c:txPr>
        <a:bodyPr/>
        <a:lstStyle/>
        <a:p>
          <a:pPr>
            <a:defRPr>
              <a:solidFill>
                <a:srgbClr val="373737"/>
              </a:solidFill>
            </a:defRPr>
          </a:pPr>
          <a:endParaRPr lang="en-US"/>
        </a:p>
      </c:txPr>
    </c:legend>
    <c:plotVisOnly val="1"/>
    <c:dispBlanksAs val="gap"/>
    <c:showDLblsOverMax val="0"/>
  </c:chart>
  <c:spPr>
    <a:solidFill>
      <a:schemeClr val="bg1"/>
    </a:solidFill>
    <a:ln w="25400">
      <a:noFill/>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Unweighted!$C$4</c:f>
              <c:strCache>
                <c:ptCount val="1"/>
                <c:pt idx="0">
                  <c:v>Strategic</c:v>
                </c:pt>
              </c:strCache>
            </c:strRef>
          </c:tx>
          <c:spPr>
            <a:solidFill>
              <a:srgbClr val="005CAF"/>
            </a:solidFill>
            <a:ln>
              <a:noFill/>
            </a:ln>
            <a:effectLst/>
          </c:spPr>
          <c:invertIfNegative val="0"/>
          <c:cat>
            <c:multiLvlStrRef>
              <c:f>Unweighted!$A$5:$B$8</c:f>
              <c:multiLvlStrCache>
                <c:ptCount val="4"/>
                <c:lvl>
                  <c:pt idx="0">
                    <c:v>No Foreign Ownership</c:v>
                  </c:pt>
                  <c:pt idx="1">
                    <c:v>Some Foreign Ownership</c:v>
                  </c:pt>
                  <c:pt idx="2">
                    <c:v>No Foreign Ownership</c:v>
                  </c:pt>
                  <c:pt idx="3">
                    <c:v>Some Foreign Ownership</c:v>
                  </c:pt>
                </c:lvl>
                <c:lvl>
                  <c:pt idx="0">
                    <c:v>20-199 persons</c:v>
                  </c:pt>
                  <c:pt idx="2">
                    <c:v>200 or more persons</c:v>
                  </c:pt>
                </c:lvl>
              </c:multiLvlStrCache>
            </c:multiLvlStrRef>
          </c:cat>
          <c:val>
            <c:numRef>
              <c:f>Unweighted!$C$5:$C$8</c:f>
              <c:numCache>
                <c:formatCode>General</c:formatCode>
                <c:ptCount val="4"/>
                <c:pt idx="0">
                  <c:v>34.13978494623656</c:v>
                </c:pt>
                <c:pt idx="1">
                  <c:v>58.536585365853654</c:v>
                </c:pt>
                <c:pt idx="2">
                  <c:v>71.5311004784689</c:v>
                </c:pt>
                <c:pt idx="3">
                  <c:v>79.82832618025752</c:v>
                </c:pt>
              </c:numCache>
            </c:numRef>
          </c:val>
        </c:ser>
        <c:ser>
          <c:idx val="1"/>
          <c:order val="1"/>
          <c:tx>
            <c:strRef>
              <c:f>Unweighted!$D$4</c:f>
              <c:strCache>
                <c:ptCount val="1"/>
                <c:pt idx="0">
                  <c:v>Ad Hoc</c:v>
                </c:pt>
              </c:strCache>
            </c:strRef>
          </c:tx>
          <c:spPr>
            <a:solidFill>
              <a:srgbClr val="56B4DF"/>
            </a:solidFill>
            <a:ln>
              <a:noFill/>
            </a:ln>
            <a:effectLst/>
          </c:spPr>
          <c:invertIfNegative val="0"/>
          <c:cat>
            <c:multiLvlStrRef>
              <c:f>Unweighted!$A$5:$B$8</c:f>
              <c:multiLvlStrCache>
                <c:ptCount val="4"/>
                <c:lvl>
                  <c:pt idx="0">
                    <c:v>No Foreign Ownership</c:v>
                  </c:pt>
                  <c:pt idx="1">
                    <c:v>Some Foreign Ownership</c:v>
                  </c:pt>
                  <c:pt idx="2">
                    <c:v>No Foreign Ownership</c:v>
                  </c:pt>
                  <c:pt idx="3">
                    <c:v>Some Foreign Ownership</c:v>
                  </c:pt>
                </c:lvl>
                <c:lvl>
                  <c:pt idx="0">
                    <c:v>20-199 persons</c:v>
                  </c:pt>
                  <c:pt idx="2">
                    <c:v>200 or more persons</c:v>
                  </c:pt>
                </c:lvl>
              </c:multiLvlStrCache>
            </c:multiLvlStrRef>
          </c:cat>
          <c:val>
            <c:numRef>
              <c:f>Unweighted!$D$5:$D$8</c:f>
              <c:numCache>
                <c:formatCode>General</c:formatCode>
                <c:ptCount val="4"/>
                <c:pt idx="0">
                  <c:v>25.896057347670247</c:v>
                </c:pt>
                <c:pt idx="1">
                  <c:v>16.097560975609756</c:v>
                </c:pt>
                <c:pt idx="2">
                  <c:v>16.028708133971293</c:v>
                </c:pt>
                <c:pt idx="3">
                  <c:v>12.446351931330472</c:v>
                </c:pt>
              </c:numCache>
            </c:numRef>
          </c:val>
        </c:ser>
        <c:ser>
          <c:idx val="2"/>
          <c:order val="2"/>
          <c:tx>
            <c:strRef>
              <c:f>Unweighted!$E$4</c:f>
              <c:strCache>
                <c:ptCount val="1"/>
                <c:pt idx="0">
                  <c:v>Narrow-Focus</c:v>
                </c:pt>
              </c:strCache>
            </c:strRef>
          </c:tx>
          <c:spPr>
            <a:solidFill>
              <a:srgbClr val="9ED9DF"/>
            </a:solidFill>
            <a:ln>
              <a:noFill/>
            </a:ln>
            <a:effectLst/>
          </c:spPr>
          <c:invertIfNegative val="0"/>
          <c:cat>
            <c:multiLvlStrRef>
              <c:f>Unweighted!$A$5:$B$8</c:f>
              <c:multiLvlStrCache>
                <c:ptCount val="4"/>
                <c:lvl>
                  <c:pt idx="0">
                    <c:v>No Foreign Ownership</c:v>
                  </c:pt>
                  <c:pt idx="1">
                    <c:v>Some Foreign Ownership</c:v>
                  </c:pt>
                  <c:pt idx="2">
                    <c:v>No Foreign Ownership</c:v>
                  </c:pt>
                  <c:pt idx="3">
                    <c:v>Some Foreign Ownership</c:v>
                  </c:pt>
                </c:lvl>
                <c:lvl>
                  <c:pt idx="0">
                    <c:v>20-199 persons</c:v>
                  </c:pt>
                  <c:pt idx="2">
                    <c:v>200 or more persons</c:v>
                  </c:pt>
                </c:lvl>
              </c:multiLvlStrCache>
            </c:multiLvlStrRef>
          </c:cat>
          <c:val>
            <c:numRef>
              <c:f>Unweighted!$E$5:$E$8</c:f>
              <c:numCache>
                <c:formatCode>General</c:formatCode>
                <c:ptCount val="4"/>
                <c:pt idx="0">
                  <c:v>17.473118279569892</c:v>
                </c:pt>
                <c:pt idx="1">
                  <c:v>15.121951219512194</c:v>
                </c:pt>
                <c:pt idx="2">
                  <c:v>6.0606060606060606</c:v>
                </c:pt>
                <c:pt idx="3">
                  <c:v>3.8626609442060089</c:v>
                </c:pt>
              </c:numCache>
            </c:numRef>
          </c:val>
        </c:ser>
        <c:ser>
          <c:idx val="3"/>
          <c:order val="3"/>
          <c:tx>
            <c:strRef>
              <c:f>Unweighted!$F$4</c:f>
              <c:strCache>
                <c:ptCount val="1"/>
                <c:pt idx="0">
                  <c:v>Low Engagement</c:v>
                </c:pt>
              </c:strCache>
            </c:strRef>
          </c:tx>
          <c:spPr>
            <a:solidFill>
              <a:srgbClr val="BCBFC1"/>
            </a:solidFill>
            <a:ln>
              <a:noFill/>
            </a:ln>
            <a:effectLst/>
          </c:spPr>
          <c:invertIfNegative val="0"/>
          <c:cat>
            <c:multiLvlStrRef>
              <c:f>Unweighted!$A$5:$B$8</c:f>
              <c:multiLvlStrCache>
                <c:ptCount val="4"/>
                <c:lvl>
                  <c:pt idx="0">
                    <c:v>No Foreign Ownership</c:v>
                  </c:pt>
                  <c:pt idx="1">
                    <c:v>Some Foreign Ownership</c:v>
                  </c:pt>
                  <c:pt idx="2">
                    <c:v>No Foreign Ownership</c:v>
                  </c:pt>
                  <c:pt idx="3">
                    <c:v>Some Foreign Ownership</c:v>
                  </c:pt>
                </c:lvl>
                <c:lvl>
                  <c:pt idx="0">
                    <c:v>20-199 persons</c:v>
                  </c:pt>
                  <c:pt idx="2">
                    <c:v>200 or more persons</c:v>
                  </c:pt>
                </c:lvl>
              </c:multiLvlStrCache>
            </c:multiLvlStrRef>
          </c:cat>
          <c:val>
            <c:numRef>
              <c:f>Unweighted!$F$5:$F$8</c:f>
              <c:numCache>
                <c:formatCode>General</c:formatCode>
                <c:ptCount val="4"/>
                <c:pt idx="0">
                  <c:v>22.491039426523297</c:v>
                </c:pt>
                <c:pt idx="1">
                  <c:v>10.24390243902439</c:v>
                </c:pt>
                <c:pt idx="2">
                  <c:v>6.3795853269537472</c:v>
                </c:pt>
                <c:pt idx="3">
                  <c:v>3.8626609442060089</c:v>
                </c:pt>
              </c:numCache>
            </c:numRef>
          </c:val>
        </c:ser>
        <c:dLbls>
          <c:showLegendKey val="0"/>
          <c:showVal val="0"/>
          <c:showCatName val="0"/>
          <c:showSerName val="0"/>
          <c:showPercent val="0"/>
          <c:showBubbleSize val="0"/>
        </c:dLbls>
        <c:gapWidth val="219"/>
        <c:overlap val="100"/>
        <c:axId val="348368136"/>
        <c:axId val="348366960"/>
      </c:barChart>
      <c:catAx>
        <c:axId val="34836813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48366960"/>
        <c:crosses val="autoZero"/>
        <c:auto val="1"/>
        <c:lblAlgn val="ctr"/>
        <c:lblOffset val="100"/>
        <c:noMultiLvlLbl val="0"/>
      </c:catAx>
      <c:valAx>
        <c:axId val="348366960"/>
        <c:scaling>
          <c:orientation val="minMax"/>
          <c:max val="100"/>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a:solidFill>
                      <a:srgbClr val="373737"/>
                    </a:solidFill>
                  </a:rPr>
                  <a:t>Share of firms</a:t>
                </a:r>
                <a:r>
                  <a:rPr lang="en-AU" baseline="0">
                    <a:solidFill>
                      <a:srgbClr val="373737"/>
                    </a:solidFill>
                  </a:rPr>
                  <a:t> (per cent)</a:t>
                </a:r>
                <a:endParaRPr lang="en-AU">
                  <a:solidFill>
                    <a:srgbClr val="373737"/>
                  </a:solidFill>
                </a:endParaRP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48368136"/>
        <c:crosses val="autoZero"/>
        <c:crossBetween val="between"/>
        <c:majorUnit val="20"/>
        <c:minorUnit val="10"/>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legend>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rgbClr val="56B4DF"/>
              </a:solidFill>
              <a:ln w="9525">
                <a:noFill/>
              </a:ln>
              <a:effectLst/>
            </c:spPr>
          </c:marker>
          <c:dLbls>
            <c:dLbl>
              <c:idx val="0"/>
              <c:layout/>
              <c:tx>
                <c:rich>
                  <a:bodyPr/>
                  <a:lstStyle/>
                  <a:p>
                    <a:fld id="{1E438D7B-4E62-4E72-9132-F7CD02D33373}"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59E32CFF-D56C-4557-9726-8989EF5E9C3E}"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500B3941-5B97-45BF-B46E-638A1D0BA610}"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AFDB6A8F-4B86-4DEE-959D-38AD499D598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3D3EDF50-8082-4BCC-881A-AFA3EEA0ADC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BB888E30-53F4-4EDB-BD74-47FA62D4D53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D312A8A8-0A9D-4035-8405-7BADC52FF939}"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7"/>
              <c:layout/>
              <c:tx>
                <c:rich>
                  <a:bodyPr/>
                  <a:lstStyle/>
                  <a:p>
                    <a:fld id="{D299D3ED-8282-48DC-9FE0-2F1A85C2A6DB}"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8"/>
              <c:layout/>
              <c:tx>
                <c:rich>
                  <a:bodyPr/>
                  <a:lstStyle/>
                  <a:p>
                    <a:fld id="{E3699298-750D-4768-926B-85B42CEEFDF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9"/>
              <c:layout/>
              <c:tx>
                <c:rich>
                  <a:bodyPr/>
                  <a:lstStyle/>
                  <a:p>
                    <a:fld id="{AB869D58-C561-41CC-82AF-5E9F8C8D705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0"/>
              <c:layout/>
              <c:tx>
                <c:rich>
                  <a:bodyPr/>
                  <a:lstStyle/>
                  <a:p>
                    <a:fld id="{1681F80E-6604-4EC7-B2AB-BF08D46513D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1"/>
              <c:layout>
                <c:manualLayout>
                  <c:x val="-5.5555555555555558E-3"/>
                  <c:y val="1.8518518518518517E-2"/>
                </c:manualLayout>
              </c:layout>
              <c:tx>
                <c:rich>
                  <a:bodyPr/>
                  <a:lstStyle/>
                  <a:p>
                    <a:fld id="{E2408657-E488-481E-BE6C-E9B58EAE51E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2"/>
              <c:layout>
                <c:manualLayout>
                  <c:x val="-1.1111111111111162E-2"/>
                  <c:y val="-4.1666666666666755E-2"/>
                </c:manualLayout>
              </c:layout>
              <c:tx>
                <c:rich>
                  <a:bodyPr/>
                  <a:lstStyle/>
                  <a:p>
                    <a:fld id="{0AFB04EE-5FF2-4118-BD04-672F14E80F4E}"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3"/>
              <c:layout/>
              <c:tx>
                <c:rich>
                  <a:bodyPr/>
                  <a:lstStyle/>
                  <a:p>
                    <a:fld id="{45663CCD-D80D-4DE2-AADA-2B2F9CB82774}"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4"/>
              <c:layout/>
              <c:tx>
                <c:rich>
                  <a:bodyPr/>
                  <a:lstStyle/>
                  <a:p>
                    <a:fld id="{329BBEB1-B99B-4ECE-ABAF-DA20C73CFA6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5"/>
              <c:layout/>
              <c:tx>
                <c:rich>
                  <a:bodyPr/>
                  <a:lstStyle/>
                  <a:p>
                    <a:fld id="{A87DF093-7C34-4E3A-8D80-30467441A1B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6"/>
              <c:layout/>
              <c:tx>
                <c:rich>
                  <a:bodyPr/>
                  <a:lstStyle/>
                  <a:p>
                    <a:fld id="{2EAA6232-6A78-415D-A2A1-22D3E890462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trendline>
            <c:spPr>
              <a:ln w="19050" cap="rnd">
                <a:solidFill>
                  <a:srgbClr val="005CAF"/>
                </a:solidFill>
                <a:prstDash val="solid"/>
              </a:ln>
              <a:effectLst/>
            </c:spPr>
            <c:trendlineType val="linear"/>
            <c:dispRSqr val="0"/>
            <c:dispEq val="0"/>
          </c:trendline>
          <c:xVal>
            <c:numRef>
              <c:f>sf!$C$2:$C$18</c:f>
              <c:numCache>
                <c:formatCode>General</c:formatCode>
                <c:ptCount val="17"/>
                <c:pt idx="0">
                  <c:v>3.5983944259492199E-3</c:v>
                </c:pt>
                <c:pt idx="1">
                  <c:v>0.101876156448636</c:v>
                </c:pt>
                <c:pt idx="2">
                  <c:v>3.4042264157208103E-2</c:v>
                </c:pt>
                <c:pt idx="3">
                  <c:v>7.9047732143474506E-2</c:v>
                </c:pt>
                <c:pt idx="4">
                  <c:v>2.7059575506412701E-3</c:v>
                </c:pt>
                <c:pt idx="5">
                  <c:v>1.9911851841893698E-2</c:v>
                </c:pt>
                <c:pt idx="6">
                  <c:v>1.8318045983324299E-2</c:v>
                </c:pt>
                <c:pt idx="7">
                  <c:v>5.5643187285181602E-3</c:v>
                </c:pt>
                <c:pt idx="8">
                  <c:v>5.1234601298164699E-2</c:v>
                </c:pt>
                <c:pt idx="9">
                  <c:v>6.3186906177724905E-2</c:v>
                </c:pt>
                <c:pt idx="10">
                  <c:v>4.3956870945231701E-2</c:v>
                </c:pt>
                <c:pt idx="11">
                  <c:v>1.31219991376464E-2</c:v>
                </c:pt>
                <c:pt idx="12">
                  <c:v>1.29254183680055E-2</c:v>
                </c:pt>
                <c:pt idx="13">
                  <c:v>1.3084718807135401E-2</c:v>
                </c:pt>
                <c:pt idx="14">
                  <c:v>3.3933533657375301E-3</c:v>
                </c:pt>
                <c:pt idx="15">
                  <c:v>1.3445667815172599E-2</c:v>
                </c:pt>
                <c:pt idx="16">
                  <c:v>5.1565637045737304E-3</c:v>
                </c:pt>
              </c:numCache>
            </c:numRef>
          </c:xVal>
          <c:yVal>
            <c:numRef>
              <c:f>sf!$H$2:$H$18</c:f>
              <c:numCache>
                <c:formatCode>General</c:formatCode>
                <c:ptCount val="17"/>
                <c:pt idx="0">
                  <c:v>2.0986358608323301</c:v>
                </c:pt>
                <c:pt idx="1">
                  <c:v>12.314709289310599</c:v>
                </c:pt>
                <c:pt idx="2">
                  <c:v>7.3958336833877398</c:v>
                </c:pt>
                <c:pt idx="3">
                  <c:v>12.410986879269901</c:v>
                </c:pt>
                <c:pt idx="4">
                  <c:v>2.6694044923220801</c:v>
                </c:pt>
                <c:pt idx="5">
                  <c:v>8.0000003973643103</c:v>
                </c:pt>
                <c:pt idx="6">
                  <c:v>4.7169812646952698</c:v>
                </c:pt>
                <c:pt idx="7">
                  <c:v>5.2301254977407599</c:v>
                </c:pt>
                <c:pt idx="8">
                  <c:v>3.5789474955556102</c:v>
                </c:pt>
                <c:pt idx="9">
                  <c:v>11.586638928316001</c:v>
                </c:pt>
                <c:pt idx="10">
                  <c:v>16.907216982629102</c:v>
                </c:pt>
                <c:pt idx="11">
                  <c:v>7.6190474688721403</c:v>
                </c:pt>
                <c:pt idx="12">
                  <c:v>7.5335395880600897</c:v>
                </c:pt>
                <c:pt idx="13">
                  <c:v>11.6719244706361</c:v>
                </c:pt>
                <c:pt idx="14">
                  <c:v>8.6134458220766597</c:v>
                </c:pt>
                <c:pt idx="15">
                  <c:v>13.163717129608401</c:v>
                </c:pt>
                <c:pt idx="16">
                  <c:v>4.2487046664127703</c:v>
                </c:pt>
              </c:numCache>
            </c:numRef>
          </c:yVal>
          <c:smooth val="0"/>
          <c:extLst>
            <c:ext xmlns:c15="http://schemas.microsoft.com/office/drawing/2012/chart" uri="{02D57815-91ED-43cb-92C2-25804820EDAC}">
              <c15:datalabelsRange>
                <c15:f>sf!$B$2:$B$18</c15:f>
                <c15:dlblRangeCache>
                  <c:ptCount val="17"/>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Q</c:v>
                  </c:pt>
                  <c:pt idx="15">
                    <c:v>R</c:v>
                  </c:pt>
                  <c:pt idx="16">
                    <c:v>S</c:v>
                  </c:pt>
                </c15:dlblRangeCache>
              </c15:datalabelsRange>
            </c:ext>
          </c:extLst>
        </c:ser>
        <c:dLbls>
          <c:showLegendKey val="0"/>
          <c:showVal val="0"/>
          <c:showCatName val="0"/>
          <c:showSerName val="0"/>
          <c:showPercent val="0"/>
          <c:showBubbleSize val="0"/>
        </c:dLbls>
        <c:axId val="349402904"/>
        <c:axId val="349403688"/>
      </c:scatterChart>
      <c:valAx>
        <c:axId val="349402904"/>
        <c:scaling>
          <c:orientation val="minMax"/>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a:solidFill>
                      <a:srgbClr val="373737"/>
                    </a:solidFill>
                  </a:rPr>
                  <a:t>Herfindahl-Hirschman Index</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49403688"/>
        <c:crosses val="autoZero"/>
        <c:crossBetween val="midCat"/>
      </c:valAx>
      <c:valAx>
        <c:axId val="34940368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US">
                    <a:solidFill>
                      <a:srgbClr val="373737"/>
                    </a:solidFill>
                  </a:rPr>
                  <a:t>Share of firms with highest level of strategic management (per cent)</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349402904"/>
        <c:crosses val="autoZero"/>
        <c:crossBetween val="midCat"/>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5CAF"/>
            </a:solidFill>
            <a:ln>
              <a:noFill/>
            </a:ln>
            <a:effectLst/>
          </c:spPr>
          <c:invertIfNegative val="0"/>
          <c:cat>
            <c:strRef>
              <c:f>'Strategic Planning'!$B$6:$D$6</c:f>
              <c:strCache>
                <c:ptCount val="3"/>
                <c:pt idx="0">
                  <c:v>Yes, and described in a written document</c:v>
                </c:pt>
                <c:pt idx="1">
                  <c:v>Yes, but not a written plan or policy</c:v>
                </c:pt>
                <c:pt idx="2">
                  <c:v>No</c:v>
                </c:pt>
              </c:strCache>
            </c:strRef>
          </c:cat>
          <c:val>
            <c:numRef>
              <c:f>'Strategic Planning'!$B$7:$D$7</c:f>
              <c:numCache>
                <c:formatCode>#,##0.0</c:formatCode>
                <c:ptCount val="3"/>
                <c:pt idx="0">
                  <c:v>10.3</c:v>
                </c:pt>
                <c:pt idx="1">
                  <c:v>30.4</c:v>
                </c:pt>
                <c:pt idx="2">
                  <c:v>59.3</c:v>
                </c:pt>
              </c:numCache>
            </c:numRef>
          </c:val>
        </c:ser>
        <c:dLbls>
          <c:showLegendKey val="0"/>
          <c:showVal val="0"/>
          <c:showCatName val="0"/>
          <c:showSerName val="0"/>
          <c:showPercent val="0"/>
          <c:showBubbleSize val="0"/>
        </c:dLbls>
        <c:gapWidth val="219"/>
        <c:overlap val="-27"/>
        <c:axId val="349403296"/>
        <c:axId val="349400160"/>
      </c:barChart>
      <c:catAx>
        <c:axId val="34940329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349400160"/>
        <c:crosses val="autoZero"/>
        <c:auto val="1"/>
        <c:lblAlgn val="ctr"/>
        <c:lblOffset val="100"/>
        <c:noMultiLvlLbl val="0"/>
      </c:catAx>
      <c:valAx>
        <c:axId val="349400160"/>
        <c:scaling>
          <c:orientation val="minMax"/>
        </c:scaling>
        <c:delete val="0"/>
        <c:axPos val="l"/>
        <c:title>
          <c:tx>
            <c:rich>
              <a:bodyPr rot="-5400000" spcFirstLastPara="1" vertOverflow="ellipsis" vert="horz" wrap="square" anchor="ctr" anchorCtr="1"/>
              <a:lstStyle/>
              <a:p>
                <a:pPr>
                  <a:defRPr sz="800" b="0" i="0" u="none" strike="noStrike" kern="1200" baseline="0">
                    <a:solidFill>
                      <a:srgbClr val="595A5B"/>
                    </a:solidFill>
                    <a:latin typeface="Arial"/>
                    <a:ea typeface="Arial"/>
                    <a:cs typeface="Arial"/>
                  </a:defRPr>
                </a:pPr>
                <a:r>
                  <a:rPr lang="en-AU" sz="800"/>
                  <a:t>Share of firms (per cent)</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title>
        <c:numFmt formatCode="#,##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349403296"/>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77636826497161"/>
          <c:y val="2.7699387739399024E-2"/>
          <c:w val="0.57692118628712075"/>
          <c:h val="0.84577628122217619"/>
        </c:manualLayout>
      </c:layout>
      <c:barChart>
        <c:barDir val="bar"/>
        <c:grouping val="clustered"/>
        <c:varyColors val="0"/>
        <c:ser>
          <c:idx val="0"/>
          <c:order val="0"/>
          <c:tx>
            <c:strRef>
              <c:f>'mgmt cpability by country chart'!$C$3</c:f>
              <c:strCache>
                <c:ptCount val="1"/>
                <c:pt idx="0">
                  <c:v>Domestic firms</c:v>
                </c:pt>
              </c:strCache>
            </c:strRef>
          </c:tx>
          <c:spPr>
            <a:solidFill>
              <a:srgbClr val="005CAF"/>
            </a:solidFill>
            <a:ln>
              <a:noFill/>
            </a:ln>
            <a:effectLst/>
          </c:spPr>
          <c:invertIfNegative val="0"/>
          <c:dPt>
            <c:idx val="5"/>
            <c:invertIfNegative val="0"/>
            <c:bubble3D val="0"/>
            <c:spPr>
              <a:solidFill>
                <a:srgbClr val="F36A5A"/>
              </a:solidFill>
              <a:ln>
                <a:noFill/>
              </a:ln>
              <a:effectLst/>
            </c:spPr>
          </c:dPt>
          <c:cat>
            <c:strRef>
              <c:f>'mgmt cpability by country chart'!$B$4:$B$16</c:f>
              <c:strCache>
                <c:ptCount val="13"/>
                <c:pt idx="0">
                  <c:v>China</c:v>
                </c:pt>
                <c:pt idx="1">
                  <c:v>Portugal</c:v>
                </c:pt>
                <c:pt idx="2">
                  <c:v>Poland</c:v>
                </c:pt>
                <c:pt idx="3">
                  <c:v>Mexico</c:v>
                </c:pt>
                <c:pt idx="4">
                  <c:v>Singapore</c:v>
                </c:pt>
                <c:pt idx="5">
                  <c:v>Australia</c:v>
                </c:pt>
                <c:pt idx="6">
                  <c:v>Italy</c:v>
                </c:pt>
                <c:pt idx="7">
                  <c:v>France</c:v>
                </c:pt>
                <c:pt idx="8">
                  <c:v>United Kingdom</c:v>
                </c:pt>
                <c:pt idx="9">
                  <c:v>Canada</c:v>
                </c:pt>
                <c:pt idx="10">
                  <c:v>Sweden</c:v>
                </c:pt>
                <c:pt idx="11">
                  <c:v>Germany</c:v>
                </c:pt>
                <c:pt idx="12">
                  <c:v>United States</c:v>
                </c:pt>
              </c:strCache>
            </c:strRef>
          </c:cat>
          <c:val>
            <c:numRef>
              <c:f>'mgmt cpability by country chart'!$C$4:$C$16</c:f>
              <c:numCache>
                <c:formatCode>General</c:formatCode>
                <c:ptCount val="13"/>
                <c:pt idx="0">
                  <c:v>2.6452950558213701</c:v>
                </c:pt>
                <c:pt idx="1">
                  <c:v>2.7145135566188099</c:v>
                </c:pt>
                <c:pt idx="2">
                  <c:v>2.7346092503987198</c:v>
                </c:pt>
                <c:pt idx="3">
                  <c:v>2.73684210526315</c:v>
                </c:pt>
                <c:pt idx="4">
                  <c:v>2.7524720893141899</c:v>
                </c:pt>
                <c:pt idx="5">
                  <c:v>2.8685805422647501</c:v>
                </c:pt>
                <c:pt idx="6">
                  <c:v>2.8685805422647501</c:v>
                </c:pt>
                <c:pt idx="7">
                  <c:v>2.8886762360446498</c:v>
                </c:pt>
                <c:pt idx="8">
                  <c:v>2.9020733652312498</c:v>
                </c:pt>
                <c:pt idx="9">
                  <c:v>3.03381180223285</c:v>
                </c:pt>
                <c:pt idx="10">
                  <c:v>3.1521531100478399</c:v>
                </c:pt>
                <c:pt idx="11">
                  <c:v>3.17448165869218</c:v>
                </c:pt>
                <c:pt idx="12">
                  <c:v>3.2972886762360401</c:v>
                </c:pt>
              </c:numCache>
            </c:numRef>
          </c:val>
        </c:ser>
        <c:dLbls>
          <c:showLegendKey val="0"/>
          <c:showVal val="0"/>
          <c:showCatName val="0"/>
          <c:showSerName val="0"/>
          <c:showPercent val="0"/>
          <c:showBubbleSize val="0"/>
        </c:dLbls>
        <c:gapWidth val="182"/>
        <c:axId val="6897560"/>
        <c:axId val="6897952"/>
      </c:barChart>
      <c:catAx>
        <c:axId val="6897560"/>
        <c:scaling>
          <c:orientation val="minMax"/>
        </c:scaling>
        <c:delete val="0"/>
        <c:axPos val="l"/>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7952"/>
        <c:crosses val="autoZero"/>
        <c:auto val="1"/>
        <c:lblAlgn val="ctr"/>
        <c:lblOffset val="100"/>
        <c:noMultiLvlLbl val="0"/>
      </c:catAx>
      <c:valAx>
        <c:axId val="6897952"/>
        <c:scaling>
          <c:orientation val="minMax"/>
          <c:max val="3.4"/>
          <c:min val="2"/>
        </c:scaling>
        <c:delete val="0"/>
        <c:axPos val="b"/>
        <c:title>
          <c:tx>
            <c:rich>
              <a:bodyPr rot="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r>
                  <a:rPr lang="en-AU" sz="900" b="0" i="0" u="none" strike="noStrike" kern="1200" baseline="0">
                    <a:solidFill>
                      <a:srgbClr val="595A5B"/>
                    </a:solidFill>
                    <a:latin typeface="Arial" panose="020B0604020202020204" pitchFamily="34" charset="0"/>
                    <a:cs typeface="Arial" panose="020B0604020202020204" pitchFamily="34" charset="0"/>
                  </a:rPr>
                  <a:t>Management score</a:t>
                </a:r>
              </a:p>
            </c:rich>
          </c:tx>
          <c:layout>
            <c:manualLayout>
              <c:xMode val="edge"/>
              <c:yMode val="edge"/>
              <c:x val="0.44322407533703956"/>
              <c:y val="0.93958103638368262"/>
            </c:manualLayout>
          </c:layout>
          <c:overlay val="0"/>
          <c:spPr>
            <a:noFill/>
            <a:ln>
              <a:noFill/>
            </a:ln>
            <a:effectLst/>
          </c:spPr>
          <c:txPr>
            <a:bodyPr rot="0" spcFirstLastPara="1" vertOverflow="ellipsis" vert="horz" wrap="square" anchor="ctr" anchorCtr="1"/>
            <a:lstStyle/>
            <a:p>
              <a:pPr algn="ctr" rtl="0">
                <a:defRPr sz="900" b="0" i="0" u="none" strike="noStrike" kern="1200" baseline="0">
                  <a:solidFill>
                    <a:srgbClr val="595A5B"/>
                  </a:solidFill>
                  <a:latin typeface="Arial" panose="020B0604020202020204" pitchFamily="34" charset="0"/>
                  <a:ea typeface="Arial"/>
                  <a:cs typeface="Arial" panose="020B0604020202020204" pitchFamily="34" charset="0"/>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7560"/>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5CAF"/>
            </a:solidFill>
            <a:ln>
              <a:noFill/>
            </a:ln>
            <a:effectLst/>
          </c:spPr>
          <c:invertIfNegative val="0"/>
          <c:cat>
            <c:strRef>
              <c:f>'Number of KPI topics monitored'!$B$7:$G$7</c:f>
              <c:strCache>
                <c:ptCount val="6"/>
                <c:pt idx="0">
                  <c:v>Don't know</c:v>
                </c:pt>
                <c:pt idx="1">
                  <c:v>No Key Performance Indicators monitored</c:v>
                </c:pt>
                <c:pt idx="2">
                  <c:v>1 or 2</c:v>
                </c:pt>
                <c:pt idx="3">
                  <c:v>3 to 5</c:v>
                </c:pt>
                <c:pt idx="4">
                  <c:v>6 to 9</c:v>
                </c:pt>
                <c:pt idx="5">
                  <c:v>10 or more</c:v>
                </c:pt>
              </c:strCache>
            </c:strRef>
          </c:cat>
          <c:val>
            <c:numRef>
              <c:f>'Number of KPI topics monitored'!$B$8:$G$8</c:f>
              <c:numCache>
                <c:formatCode>#,##0.0</c:formatCode>
                <c:ptCount val="6"/>
                <c:pt idx="0">
                  <c:v>10.3</c:v>
                </c:pt>
                <c:pt idx="1">
                  <c:v>47.7</c:v>
                </c:pt>
                <c:pt idx="2">
                  <c:v>18.3</c:v>
                </c:pt>
                <c:pt idx="3">
                  <c:v>16.5</c:v>
                </c:pt>
                <c:pt idx="4">
                  <c:v>3.9</c:v>
                </c:pt>
                <c:pt idx="5">
                  <c:v>3.2</c:v>
                </c:pt>
              </c:numCache>
            </c:numRef>
          </c:val>
        </c:ser>
        <c:dLbls>
          <c:showLegendKey val="0"/>
          <c:showVal val="0"/>
          <c:showCatName val="0"/>
          <c:showSerName val="0"/>
          <c:showPercent val="0"/>
          <c:showBubbleSize val="0"/>
        </c:dLbls>
        <c:gapWidth val="219"/>
        <c:overlap val="-27"/>
        <c:axId val="349404080"/>
        <c:axId val="349397024"/>
      </c:barChart>
      <c:catAx>
        <c:axId val="349404080"/>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349397024"/>
        <c:crosses val="autoZero"/>
        <c:auto val="1"/>
        <c:lblAlgn val="ctr"/>
        <c:lblOffset val="100"/>
        <c:noMultiLvlLbl val="0"/>
      </c:catAx>
      <c:valAx>
        <c:axId val="349397024"/>
        <c:scaling>
          <c:orientation val="minMax"/>
        </c:scaling>
        <c:delete val="0"/>
        <c:axPos val="l"/>
        <c:title>
          <c:tx>
            <c:rich>
              <a:bodyPr rot="-5400000" spcFirstLastPara="1" vertOverflow="ellipsis" vert="horz" wrap="square" anchor="ctr" anchorCtr="1"/>
              <a:lstStyle/>
              <a:p>
                <a:pPr>
                  <a:defRPr sz="800" b="0" i="0" u="none" strike="noStrike" kern="1200" baseline="0">
                    <a:solidFill>
                      <a:srgbClr val="595A5B"/>
                    </a:solidFill>
                    <a:latin typeface="Arial"/>
                    <a:ea typeface="Arial"/>
                    <a:cs typeface="Arial"/>
                  </a:defRPr>
                </a:pPr>
                <a:r>
                  <a:rPr lang="en-AU" sz="800"/>
                  <a:t>Share of firms (per cent)</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title>
        <c:numFmt formatCode="#,##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349404080"/>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22140392828255"/>
          <c:y val="5.5513499873832958E-2"/>
          <c:w val="0.84583460086357132"/>
          <c:h val="0.79681224555484687"/>
        </c:manualLayout>
      </c:layout>
      <c:barChart>
        <c:barDir val="col"/>
        <c:grouping val="clustered"/>
        <c:varyColors val="0"/>
        <c:ser>
          <c:idx val="0"/>
          <c:order val="0"/>
          <c:spPr>
            <a:solidFill>
              <a:srgbClr val="005CAF"/>
            </a:solidFill>
            <a:ln>
              <a:noFill/>
            </a:ln>
            <a:effectLst/>
          </c:spPr>
          <c:invertIfNegative val="0"/>
          <c:cat>
            <c:strRef>
              <c:f>'Number of KPI topics'!$I$2:$L$2</c:f>
              <c:strCache>
                <c:ptCount val="4"/>
                <c:pt idx="0">
                  <c:v>None</c:v>
                </c:pt>
                <c:pt idx="1">
                  <c:v>1 to 2 topics</c:v>
                </c:pt>
                <c:pt idx="2">
                  <c:v>3 to 5 topics</c:v>
                </c:pt>
                <c:pt idx="3">
                  <c:v>6 or more topcs</c:v>
                </c:pt>
              </c:strCache>
            </c:strRef>
          </c:cat>
          <c:val>
            <c:numRef>
              <c:f>'Number of KPI topics'!$I$21:$L$21</c:f>
              <c:numCache>
                <c:formatCode>General</c:formatCode>
                <c:ptCount val="4"/>
                <c:pt idx="0">
                  <c:v>54.230793730124894</c:v>
                </c:pt>
                <c:pt idx="1">
                  <c:v>22.319647993257778</c:v>
                </c:pt>
                <c:pt idx="2">
                  <c:v>19.212027223684018</c:v>
                </c:pt>
                <c:pt idx="3">
                  <c:v>4.2375310529333081</c:v>
                </c:pt>
              </c:numCache>
            </c:numRef>
          </c:val>
        </c:ser>
        <c:dLbls>
          <c:showLegendKey val="0"/>
          <c:showVal val="0"/>
          <c:showCatName val="0"/>
          <c:showSerName val="0"/>
          <c:showPercent val="0"/>
          <c:showBubbleSize val="0"/>
        </c:dLbls>
        <c:gapWidth val="219"/>
        <c:overlap val="-27"/>
        <c:axId val="349401728"/>
        <c:axId val="349398200"/>
      </c:barChart>
      <c:catAx>
        <c:axId val="349401728"/>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349398200"/>
        <c:crosses val="autoZero"/>
        <c:auto val="1"/>
        <c:lblAlgn val="ctr"/>
        <c:lblOffset val="100"/>
        <c:noMultiLvlLbl val="0"/>
      </c:catAx>
      <c:valAx>
        <c:axId val="349398200"/>
        <c:scaling>
          <c:orientation val="minMax"/>
        </c:scaling>
        <c:delete val="0"/>
        <c:axPos val="l"/>
        <c:title>
          <c:tx>
            <c:rich>
              <a:bodyPr rot="-5400000" spcFirstLastPara="1" vertOverflow="ellipsis" vert="horz" wrap="square" anchor="ctr" anchorCtr="1"/>
              <a:lstStyle/>
              <a:p>
                <a:pPr>
                  <a:defRPr sz="800" b="0" i="0" u="none" strike="noStrike" kern="1200" baseline="0">
                    <a:solidFill>
                      <a:srgbClr val="595A5B"/>
                    </a:solidFill>
                    <a:latin typeface="Arial"/>
                    <a:ea typeface="Arial"/>
                    <a:cs typeface="Arial"/>
                  </a:defRPr>
                </a:pPr>
                <a:r>
                  <a:rPr lang="en-AU" sz="800"/>
                  <a:t>Share of firms (per cent)</a:t>
                </a:r>
              </a:p>
            </c:rich>
          </c:tx>
          <c:layout/>
          <c:overlay val="0"/>
          <c:spPr>
            <a:noFill/>
            <a:ln>
              <a:noFill/>
            </a:ln>
            <a:effectLst/>
          </c:spPr>
          <c:txPr>
            <a:bodyPr rot="-54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800" b="0" i="0" u="none" strike="noStrike" kern="1200" baseline="0">
                <a:solidFill>
                  <a:srgbClr val="595A5B"/>
                </a:solidFill>
                <a:latin typeface="Arial"/>
                <a:ea typeface="Arial"/>
                <a:cs typeface="Arial"/>
              </a:defRPr>
            </a:pPr>
            <a:endParaRPr lang="en-US"/>
          </a:p>
        </c:txPr>
        <c:crossAx val="349401728"/>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09770247704788"/>
          <c:y val="2.1566692575445235E-2"/>
          <c:w val="0.78566902733134891"/>
          <c:h val="0.82589537359332232"/>
        </c:manualLayout>
      </c:layout>
      <c:barChart>
        <c:barDir val="col"/>
        <c:grouping val="clustered"/>
        <c:varyColors val="0"/>
        <c:ser>
          <c:idx val="0"/>
          <c:order val="0"/>
          <c:spPr>
            <a:solidFill>
              <a:srgbClr val="005CAF"/>
            </a:solidFill>
            <a:ln>
              <a:noFill/>
            </a:ln>
            <a:effectLst/>
          </c:spPr>
          <c:invertIfNegative val="0"/>
          <c:cat>
            <c:strRef>
              <c:f>Sheet1!$C$2:$C$9</c:f>
              <c:strCache>
                <c:ptCount val="8"/>
                <c:pt idx="0">
                  <c:v>2009-
10</c:v>
                </c:pt>
                <c:pt idx="1">
                  <c:v>2010-
11</c:v>
                </c:pt>
                <c:pt idx="2">
                  <c:v>2011-
12</c:v>
                </c:pt>
                <c:pt idx="3">
                  <c:v>2012-
13</c:v>
                </c:pt>
                <c:pt idx="4">
                  <c:v>2013-
14</c:v>
                </c:pt>
                <c:pt idx="5">
                  <c:v>2014-
15</c:v>
                </c:pt>
                <c:pt idx="6">
                  <c:v>2015-
16</c:v>
                </c:pt>
                <c:pt idx="7">
                  <c:v>2016-
17</c:v>
                </c:pt>
              </c:strCache>
            </c:strRef>
          </c:cat>
          <c:val>
            <c:numRef>
              <c:f>Sheet1!$D$2:$D$9</c:f>
              <c:numCache>
                <c:formatCode>General</c:formatCode>
                <c:ptCount val="8"/>
                <c:pt idx="0">
                  <c:v>17.94857</c:v>
                </c:pt>
                <c:pt idx="1">
                  <c:v>17.590479999999999</c:v>
                </c:pt>
                <c:pt idx="2">
                  <c:v>18.055240000000001</c:v>
                </c:pt>
                <c:pt idx="3">
                  <c:v>17.278099999999998</c:v>
                </c:pt>
                <c:pt idx="4">
                  <c:v>17.559999999999999</c:v>
                </c:pt>
                <c:pt idx="5">
                  <c:v>17.567620000000002</c:v>
                </c:pt>
                <c:pt idx="6">
                  <c:v>18.8019</c:v>
                </c:pt>
                <c:pt idx="7">
                  <c:v>18.329519999999999</c:v>
                </c:pt>
              </c:numCache>
            </c:numRef>
          </c:val>
        </c:ser>
        <c:dLbls>
          <c:showLegendKey val="0"/>
          <c:showVal val="0"/>
          <c:showCatName val="0"/>
          <c:showSerName val="0"/>
          <c:showPercent val="0"/>
          <c:showBubbleSize val="0"/>
        </c:dLbls>
        <c:gapWidth val="219"/>
        <c:overlap val="-27"/>
        <c:axId val="6898736"/>
        <c:axId val="6894816"/>
      </c:barChart>
      <c:catAx>
        <c:axId val="6898736"/>
        <c:scaling>
          <c:orientation val="minMax"/>
        </c:scaling>
        <c:delete val="0"/>
        <c:axPos val="b"/>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4816"/>
        <c:crosses val="autoZero"/>
        <c:auto val="1"/>
        <c:lblAlgn val="ctr"/>
        <c:lblOffset val="100"/>
        <c:noMultiLvlLbl val="0"/>
      </c:catAx>
      <c:valAx>
        <c:axId val="6894816"/>
        <c:scaling>
          <c:orientation val="minMax"/>
          <c:max val="25"/>
          <c:min val="0"/>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AU"/>
                  <a:t>Per cent of firms</a:t>
                </a:r>
              </a:p>
            </c:rich>
          </c:tx>
          <c:layout>
            <c:manualLayout>
              <c:xMode val="edge"/>
              <c:yMode val="edge"/>
              <c:x val="6.5727900944485889E-3"/>
              <c:y val="0.28546961949491706"/>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8736"/>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9101547482131"/>
          <c:y val="5.1502145922746781E-2"/>
          <c:w val="0.73116542958620923"/>
          <c:h val="0.79055177649107666"/>
        </c:manualLayout>
      </c:layout>
      <c:scatterChart>
        <c:scatterStyle val="lineMarker"/>
        <c:varyColors val="0"/>
        <c:ser>
          <c:idx val="0"/>
          <c:order val="0"/>
          <c:tx>
            <c:strRef>
              <c:f>'Default Dataset (2)'!$D$1</c:f>
              <c:strCache>
                <c:ptCount val="1"/>
                <c:pt idx="0">
                  <c:v>Average management practice score</c:v>
                </c:pt>
              </c:strCache>
            </c:strRef>
          </c:tx>
          <c:spPr>
            <a:ln w="19050" cap="rnd">
              <a:noFill/>
              <a:round/>
            </a:ln>
            <a:effectLst/>
          </c:spPr>
          <c:marker>
            <c:symbol val="circle"/>
            <c:size val="5"/>
            <c:spPr>
              <a:solidFill>
                <a:srgbClr val="005CAF"/>
              </a:solidFill>
              <a:ln w="9525">
                <a:noFill/>
              </a:ln>
              <a:effectLst/>
            </c:spPr>
          </c:marker>
          <c:dPt>
            <c:idx val="12"/>
            <c:marker>
              <c:symbol val="circle"/>
              <c:size val="5"/>
              <c:spPr>
                <a:solidFill>
                  <a:srgbClr val="F36A5A"/>
                </a:solidFill>
                <a:ln w="9525">
                  <a:noFill/>
                </a:ln>
                <a:effectLst/>
              </c:spPr>
            </c:marker>
            <c:bubble3D val="0"/>
          </c:dPt>
          <c:dLbls>
            <c:dLbl>
              <c:idx val="0"/>
              <c:tx>
                <c:rich>
                  <a:bodyPr/>
                  <a:lstStyle/>
                  <a:p>
                    <a:r>
                      <a:rPr lang="en-US"/>
                      <a:t>Mexico</a:t>
                    </a:r>
                  </a:p>
                </c:rich>
              </c:tx>
              <c:dLblPos val="t"/>
              <c:showLegendKey val="0"/>
              <c:showVal val="0"/>
              <c:showCatName val="0"/>
              <c:showSerName val="0"/>
              <c:showPercent val="0"/>
              <c:showBubbleSize val="0"/>
              <c:extLst>
                <c:ext xmlns:c15="http://schemas.microsoft.com/office/drawing/2012/chart" uri="{CE6537A1-D6FC-4f65-9D91-7224C49458BB}"/>
              </c:extLst>
            </c:dLbl>
            <c:dLbl>
              <c:idx val="1"/>
              <c:layout/>
              <c:tx>
                <c:rich>
                  <a:bodyPr/>
                  <a:lstStyle/>
                  <a:p>
                    <a:fld id="{A64AD39D-9F57-4F4C-AD43-AF8F72B9D93E}"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3"/>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4"/>
              <c:layout/>
              <c:tx>
                <c:rich>
                  <a:bodyPr/>
                  <a:lstStyle/>
                  <a:p>
                    <a:fld id="{628A9A7B-26D9-4521-985E-13F399E46B5E}" type="CELLRANGE">
                      <a:rPr lang="en-AU"/>
                      <a:pPr/>
                      <a:t>[CELLRANGE]</a:t>
                    </a:fld>
                    <a:endParaRPr lang="en-AU"/>
                  </a:p>
                </c:rich>
              </c:tx>
              <c:dLblPos val="t"/>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6"/>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7"/>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8"/>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9"/>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0.20153766619604713"/>
                  <c:y val="5.0515457779497758E-2"/>
                </c:manualLayout>
              </c:layout>
              <c:tx>
                <c:rich>
                  <a:bodyPr rot="0" spcFirstLastPara="1" vertOverflow="ellipsis" vert="horz" wrap="square" lIns="38100" tIns="19050" rIns="38100" bIns="19050" anchor="ctr" anchorCtr="1">
                    <a:noAutofit/>
                  </a:bodyPr>
                  <a:lstStyle/>
                  <a:p>
                    <a:pPr>
                      <a:defRPr sz="900" b="0" i="0" u="none" strike="noStrike" kern="1200" baseline="0">
                        <a:solidFill>
                          <a:srgbClr val="373737"/>
                        </a:solidFill>
                        <a:latin typeface="Arial"/>
                        <a:ea typeface="Arial"/>
                        <a:cs typeface="Arial"/>
                      </a:defRPr>
                    </a:pPr>
                    <a:r>
                      <a:rPr lang="en-US"/>
                      <a:t>United States</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373737"/>
                      </a:solidFill>
                      <a:latin typeface="Arial"/>
                      <a:ea typeface="Arial"/>
                      <a:cs typeface="Arial"/>
                    </a:defRPr>
                  </a:pPr>
                  <a:endParaRPr lang="en-US"/>
                </a:p>
              </c:txPr>
              <c:dLblPos val="r"/>
              <c:showLegendKey val="0"/>
              <c:showVal val="0"/>
              <c:showCatName val="0"/>
              <c:showSerName val="0"/>
              <c:showPercent val="0"/>
              <c:showBubbleSize val="0"/>
              <c:extLst>
                <c:ext xmlns:c15="http://schemas.microsoft.com/office/drawing/2012/chart" uri="{CE6537A1-D6FC-4f65-9D91-7224C49458BB}">
                  <c15:layout>
                    <c:manualLayout>
                      <c:w val="0.29238332534425299"/>
                      <c:h val="9.0144638572538946E-2"/>
                    </c:manualLayout>
                  </c15:layout>
                </c:ext>
              </c:extLst>
            </c:dLbl>
            <c:dLbl>
              <c:idx val="11"/>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extLst>
            </c:dLbl>
            <c:dLbl>
              <c:idx val="12"/>
              <c:layout>
                <c:manualLayout>
                  <c:x val="-8.0144390865870455E-2"/>
                  <c:y val="-3.8824470571315606E-2"/>
                </c:manualLayout>
              </c:layout>
              <c:tx>
                <c:rich>
                  <a:bodyPr/>
                  <a:lstStyle/>
                  <a:p>
                    <a:r>
                      <a:rPr lang="en-US"/>
                      <a:t>Australia</a:t>
                    </a:r>
                  </a:p>
                </c:rich>
              </c:tx>
              <c:dLblPos val="r"/>
              <c:showLegendKey val="0"/>
              <c:showVal val="0"/>
              <c:showCatName val="0"/>
              <c:showSerName val="0"/>
              <c:showPercent val="0"/>
              <c:showBubbleSize val="0"/>
              <c:extLst>
                <c:ext xmlns:c15="http://schemas.microsoft.com/office/drawing/2012/chart" uri="{CE6537A1-D6FC-4f65-9D91-7224C49458BB}">
                  <c15:layout/>
                </c:ext>
              </c:extLst>
            </c:dLbl>
            <c:dLbl>
              <c:idx val="13"/>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4.2449151220438535E-3"/>
                  <c:y val="-5.7850345761574322E-2"/>
                </c:manualLayout>
              </c:layout>
              <c:tx>
                <c:rich>
                  <a:bodyPr/>
                  <a:lstStyle/>
                  <a:p>
                    <a:r>
                      <a:rPr lang="en-US"/>
                      <a:t>Germany</a:t>
                    </a:r>
                  </a:p>
                </c:rich>
              </c:tx>
              <c:dLblPos val="r"/>
              <c:showLegendKey val="0"/>
              <c:showVal val="0"/>
              <c:showCatName val="0"/>
              <c:showSerName val="0"/>
              <c:showPercent val="0"/>
              <c:showBubbleSize val="0"/>
              <c:extLst>
                <c:ext xmlns:c15="http://schemas.microsoft.com/office/drawing/2012/chart" uri="{CE6537A1-D6FC-4f65-9D91-7224C49458BB}">
                  <c15:layout/>
                </c:ext>
              </c:extLst>
            </c:dLbl>
            <c:dLbl>
              <c:idx val="15"/>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0.20955428052113645"/>
                  <c:y val="9.6160368652548567E-2"/>
                </c:manualLayout>
              </c:layout>
              <c:tx>
                <c:rich>
                  <a:bodyPr/>
                  <a:lstStyle/>
                  <a:p>
                    <a:r>
                      <a:rPr lang="en-US"/>
                      <a:t>Great Britain</a:t>
                    </a:r>
                  </a:p>
                </c:rich>
              </c:tx>
              <c:dLblPos val="r"/>
              <c:showLegendKey val="0"/>
              <c:showVal val="0"/>
              <c:showCatName val="0"/>
              <c:showSerName val="0"/>
              <c:showPercent val="0"/>
              <c:showBubbleSize val="0"/>
              <c:extLst>
                <c:ext xmlns:c15="http://schemas.microsoft.com/office/drawing/2012/chart" uri="{CE6537A1-D6FC-4f65-9D91-7224C49458BB}">
                  <c15:layout/>
                </c:ext>
              </c:extLst>
            </c:dLbl>
            <c:dLbl>
              <c:idx val="17"/>
              <c:layout/>
              <c:tx>
                <c:rich>
                  <a:bodyPr/>
                  <a:lstStyle/>
                  <a:p>
                    <a:r>
                      <a:rPr lang="en-US"/>
                      <a:t>​</a:t>
                    </a:r>
                  </a:p>
                </c:rich>
              </c:tx>
              <c:dLblPos val="t"/>
              <c:showLegendKey val="0"/>
              <c:showVal val="0"/>
              <c:showCatName val="0"/>
              <c:showSerName val="0"/>
              <c:showPercent val="0"/>
              <c:showBubbleSize val="0"/>
              <c:extLst>
                <c:ext xmlns:c15="http://schemas.microsoft.com/office/drawing/2012/chart" uri="{CE6537A1-D6FC-4f65-9D91-7224C49458BB}">
                  <c15:layout/>
                </c:ext>
              </c:extLst>
            </c:dLbl>
            <c:dLbl>
              <c:idx val="18"/>
              <c:layout>
                <c:manualLayout>
                  <c:x val="-0.17157337983905138"/>
                  <c:y val="-2.7402022667536271E-2"/>
                </c:manualLayout>
              </c:layout>
              <c:tx>
                <c:rich>
                  <a:bodyPr/>
                  <a:lstStyle/>
                  <a:p>
                    <a:r>
                      <a:rPr lang="en-US"/>
                      <a:t>Sweden</a:t>
                    </a:r>
                  </a:p>
                </c:rich>
              </c:tx>
              <c:dLblPos val="r"/>
              <c:showLegendKey val="0"/>
              <c:showVal val="0"/>
              <c:showCatName val="0"/>
              <c:showSerName val="0"/>
              <c:showPercent val="0"/>
              <c:showBubbleSize val="0"/>
              <c:extLst>
                <c:ext xmlns:c15="http://schemas.microsoft.com/office/drawing/2012/chart" uri="{CE6537A1-D6FC-4f65-9D91-7224C49458BB}">
                  <c15:layout/>
                </c:ext>
              </c:extLst>
            </c:dLbl>
            <c:dLbl>
              <c:idx val="19"/>
              <c:layout>
                <c:manualLayout>
                  <c:x val="-0.13405000564416261"/>
                  <c:y val="2.7684093136426616E-2"/>
                </c:manualLayout>
              </c:layout>
              <c:tx>
                <c:rich>
                  <a:bodyPr/>
                  <a:lstStyle/>
                  <a:p>
                    <a:r>
                      <a:rPr lang="en-US"/>
                      <a:t>Japan</a:t>
                    </a:r>
                  </a:p>
                </c:rich>
              </c:tx>
              <c:dLblPos val="r"/>
              <c:showLegendKey val="0"/>
              <c:showVal val="0"/>
              <c:showCatName val="0"/>
              <c:showSerName val="0"/>
              <c:showPercent val="0"/>
              <c:showBubbleSize val="0"/>
              <c:extLst>
                <c:ext xmlns:c15="http://schemas.microsoft.com/office/drawing/2012/chart" uri="{CE6537A1-D6FC-4f65-9D91-7224C49458BB}">
                  <c15:layout/>
                </c:ext>
              </c:extLst>
            </c:dLbl>
            <c:dLbl>
              <c:idx val="20"/>
              <c:layout>
                <c:manualLayout>
                  <c:x val="-0.11040799933251642"/>
                  <c:y val="3.2778914544675873E-2"/>
                </c:manualLayout>
              </c:layout>
              <c:tx>
                <c:rich>
                  <a:bodyPr/>
                  <a:lstStyle/>
                  <a:p>
                    <a:r>
                      <a:rPr lang="en-US"/>
                      <a:t>France</a:t>
                    </a:r>
                  </a:p>
                </c:rich>
              </c:tx>
              <c:dLblPos val="r"/>
              <c:showLegendKey val="0"/>
              <c:showVal val="0"/>
              <c:showCatName val="0"/>
              <c:showSerName val="0"/>
              <c:showPercent val="0"/>
              <c:showBubbleSize val="0"/>
              <c:extLst>
                <c:ext xmlns:c15="http://schemas.microsoft.com/office/drawing/2012/chart" uri="{CE6537A1-D6FC-4f65-9D91-7224C49458BB}">
                  <c15:layout/>
                </c:ext>
              </c:extLst>
            </c:dLbl>
            <c:dLbl>
              <c:idx val="21"/>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373737"/>
                    </a:solidFill>
                    <a:latin typeface="Arial"/>
                    <a:ea typeface="Arial"/>
                    <a:cs typeface="Arial"/>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xVal>
            <c:numRef>
              <c:f>'Default Dataset (2)'!$D$2:$D$23</c:f>
              <c:numCache>
                <c:formatCode>General</c:formatCode>
                <c:ptCount val="22"/>
                <c:pt idx="0">
                  <c:v>2.9227336912273501</c:v>
                </c:pt>
                <c:pt idx="1">
                  <c:v>2.6874236718909001</c:v>
                </c:pt>
                <c:pt idx="2">
                  <c:v>2.7400566736209999</c:v>
                </c:pt>
                <c:pt idx="3">
                  <c:v>2.7569681202931</c:v>
                </c:pt>
                <c:pt idx="4">
                  <c:v>3.13987285009159</c:v>
                </c:pt>
                <c:pt idx="5">
                  <c:v>2.7191570832485201</c:v>
                </c:pt>
                <c:pt idx="6">
                  <c:v>2.78865382658253</c:v>
                </c:pt>
                <c:pt idx="7">
                  <c:v>2.8497210843679999</c:v>
                </c:pt>
                <c:pt idx="8">
                  <c:v>2.8434430973946601</c:v>
                </c:pt>
                <c:pt idx="9">
                  <c:v>2.7614046916344299</c:v>
                </c:pt>
                <c:pt idx="10">
                  <c:v>3.3188861184612199</c:v>
                </c:pt>
                <c:pt idx="11">
                  <c:v>2.55104919346631</c:v>
                </c:pt>
                <c:pt idx="12">
                  <c:v>2.9781097343781799</c:v>
                </c:pt>
                <c:pt idx="13">
                  <c:v>2.7110281396295499</c:v>
                </c:pt>
                <c:pt idx="14">
                  <c:v>3.21164035467128</c:v>
                </c:pt>
                <c:pt idx="15">
                  <c:v>3.01606865713413</c:v>
                </c:pt>
                <c:pt idx="16">
                  <c:v>3.02030009668227</c:v>
                </c:pt>
                <c:pt idx="17">
                  <c:v>2.8836536993690198</c:v>
                </c:pt>
                <c:pt idx="18">
                  <c:v>3.1845534169550098</c:v>
                </c:pt>
                <c:pt idx="19">
                  <c:v>3.2287617036433902</c:v>
                </c:pt>
                <c:pt idx="20">
                  <c:v>3.0038657006920402</c:v>
                </c:pt>
              </c:numCache>
            </c:numRef>
          </c:xVal>
          <c:yVal>
            <c:numRef>
              <c:f>'Default Dataset (2)'!$C$2:$C$23</c:f>
              <c:numCache>
                <c:formatCode>General</c:formatCode>
                <c:ptCount val="22"/>
                <c:pt idx="0">
                  <c:v>4.0465935400976996</c:v>
                </c:pt>
                <c:pt idx="1">
                  <c:v>3.8226373269896099</c:v>
                </c:pt>
                <c:pt idx="2">
                  <c:v>3.7953070934255999</c:v>
                </c:pt>
                <c:pt idx="3">
                  <c:v>3.73744561622226</c:v>
                </c:pt>
                <c:pt idx="4">
                  <c:v>3.72637326989619</c:v>
                </c:pt>
                <c:pt idx="5">
                  <c:v>3.6967150290046802</c:v>
                </c:pt>
                <c:pt idx="6">
                  <c:v>3.6455370318542601</c:v>
                </c:pt>
                <c:pt idx="7">
                  <c:v>3.6045822308162001</c:v>
                </c:pt>
                <c:pt idx="8">
                  <c:v>3.5807869428047998</c:v>
                </c:pt>
                <c:pt idx="9">
                  <c:v>3.5741702498473402</c:v>
                </c:pt>
                <c:pt idx="10">
                  <c:v>3.5899129223488599</c:v>
                </c:pt>
                <c:pt idx="11">
                  <c:v>3.5576404437207398</c:v>
                </c:pt>
                <c:pt idx="12">
                  <c:v>3.5634747735599399</c:v>
                </c:pt>
                <c:pt idx="13">
                  <c:v>3.4926518293303399</c:v>
                </c:pt>
                <c:pt idx="14">
                  <c:v>3.5561425045796802</c:v>
                </c:pt>
                <c:pt idx="15">
                  <c:v>3.4987628485650299</c:v>
                </c:pt>
                <c:pt idx="16">
                  <c:v>3.4817464507429201</c:v>
                </c:pt>
                <c:pt idx="17">
                  <c:v>3.41062773509057</c:v>
                </c:pt>
                <c:pt idx="18">
                  <c:v>3.3691290962751799</c:v>
                </c:pt>
                <c:pt idx="19">
                  <c:v>3.3486206874618301</c:v>
                </c:pt>
                <c:pt idx="20">
                  <c:v>3.1994707917769101</c:v>
                </c:pt>
              </c:numCache>
            </c:numRef>
          </c:yVal>
          <c:smooth val="0"/>
          <c:extLst>
            <c:ext xmlns:c15="http://schemas.microsoft.com/office/drawing/2012/chart" uri="{02D57815-91ED-43cb-92C2-25804820EDAC}">
              <c15:datalabelsRange>
                <c15:f>'Default Dataset (2)'!$B$2:$B$22</c15:f>
                <c15:dlblRangeCache>
                  <c:ptCount val="21"/>
                  <c:pt idx="0">
                    <c:v>Mexico</c:v>
                  </c:pt>
                  <c:pt idx="1">
                    <c:v>Brazil</c:v>
                  </c:pt>
                  <c:pt idx="4">
                    <c:v>Canada</c:v>
                  </c:pt>
                  <c:pt idx="10">
                    <c:v>United States</c:v>
                  </c:pt>
                  <c:pt idx="12">
                    <c:v>Australia</c:v>
                  </c:pt>
                  <c:pt idx="14">
                    <c:v>Germany</c:v>
                  </c:pt>
                  <c:pt idx="16">
                    <c:v>Great Britain</c:v>
                  </c:pt>
                  <c:pt idx="18">
                    <c:v>Sweden</c:v>
                  </c:pt>
                  <c:pt idx="19">
                    <c:v>Japan</c:v>
                  </c:pt>
                  <c:pt idx="20">
                    <c:v>France</c:v>
                  </c:pt>
                </c15:dlblRangeCache>
              </c15:datalabelsRange>
            </c:ext>
          </c:extLst>
        </c:ser>
        <c:dLbls>
          <c:dLblPos val="t"/>
          <c:showLegendKey val="0"/>
          <c:showVal val="1"/>
          <c:showCatName val="0"/>
          <c:showSerName val="0"/>
          <c:showPercent val="0"/>
          <c:showBubbleSize val="0"/>
        </c:dLbls>
        <c:axId val="6899520"/>
        <c:axId val="6899912"/>
      </c:scatterChart>
      <c:valAx>
        <c:axId val="6899520"/>
        <c:scaling>
          <c:orientation val="minMax"/>
          <c:max val="4"/>
          <c:min val="2.6"/>
        </c:scaling>
        <c:delete val="0"/>
        <c:axPos val="b"/>
        <c:title>
          <c:tx>
            <c:rich>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a:solidFill>
                      <a:srgbClr val="373737"/>
                    </a:solidFill>
                  </a:rPr>
                  <a:t>Average management practice score</a:t>
                </a:r>
              </a:p>
            </c:rich>
          </c:tx>
          <c:layout/>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 sourceLinked="0"/>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6899912"/>
        <c:crosses val="autoZero"/>
        <c:crossBetween val="midCat"/>
        <c:majorUnit val="0.2"/>
      </c:valAx>
      <c:valAx>
        <c:axId val="6899912"/>
        <c:scaling>
          <c:orientation val="minMax"/>
          <c:max val="4"/>
          <c:min val="2.6"/>
        </c:scaling>
        <c:delete val="0"/>
        <c:axPos val="l"/>
        <c:title>
          <c:tx>
            <c:rich>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r>
                  <a:rPr lang="en-AU">
                    <a:solidFill>
                      <a:srgbClr val="373737"/>
                    </a:solidFill>
                  </a:rPr>
                  <a:t>Average management practice self-score</a:t>
                </a:r>
              </a:p>
            </c:rich>
          </c:tx>
          <c:layout>
            <c:manualLayout>
              <c:xMode val="edge"/>
              <c:yMode val="edge"/>
              <c:x val="5.129840278379913E-2"/>
              <c:y val="7.6193733776662706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title>
        <c:numFmt formatCode="#,##0.0" sourceLinked="0"/>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373737"/>
                </a:solidFill>
                <a:latin typeface="Arial"/>
                <a:ea typeface="Arial"/>
                <a:cs typeface="Arial"/>
              </a:defRPr>
            </a:pPr>
            <a:endParaRPr lang="en-US"/>
          </a:p>
        </c:txPr>
        <c:crossAx val="6899520"/>
        <c:crosses val="autoZero"/>
        <c:crossBetween val="midCat"/>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023001199906873"/>
          <c:y val="5.0925798793725462E-2"/>
          <c:w val="0.83444400699912513"/>
          <c:h val="0.69204817934528451"/>
        </c:manualLayout>
      </c:layout>
      <c:barChart>
        <c:barDir val="col"/>
        <c:grouping val="clustered"/>
        <c:varyColors val="0"/>
        <c:ser>
          <c:idx val="3"/>
          <c:order val="0"/>
          <c:spPr>
            <a:solidFill>
              <a:srgbClr val="005CAF"/>
            </a:solidFill>
            <a:ln w="25400">
              <a:noFill/>
            </a:ln>
          </c:spPr>
          <c:invertIfNegative val="0"/>
          <c:cat>
            <c:strRef>
              <c:f>Weighted!$B$10:$E$10</c:f>
              <c:strCache>
                <c:ptCount val="4"/>
                <c:pt idx="0">
                  <c:v>Low Engagement</c:v>
                </c:pt>
                <c:pt idx="1">
                  <c:v>Ad hoc </c:v>
                </c:pt>
                <c:pt idx="2">
                  <c:v>Narrow-Focus  </c:v>
                </c:pt>
                <c:pt idx="3">
                  <c:v>Strategic</c:v>
                </c:pt>
              </c:strCache>
            </c:strRef>
          </c:cat>
          <c:val>
            <c:numRef>
              <c:f>Weighted!$B$11:$E$11</c:f>
              <c:numCache>
                <c:formatCode>General</c:formatCode>
                <c:ptCount val="4"/>
                <c:pt idx="0">
                  <c:v>57.752341656023326</c:v>
                </c:pt>
                <c:pt idx="1">
                  <c:v>22.892819696823008</c:v>
                </c:pt>
                <c:pt idx="2">
                  <c:v>13.111342471923919</c:v>
                </c:pt>
                <c:pt idx="3">
                  <c:v>6.2434961752297466</c:v>
                </c:pt>
              </c:numCache>
            </c:numRef>
          </c:val>
        </c:ser>
        <c:dLbls>
          <c:showLegendKey val="0"/>
          <c:showVal val="0"/>
          <c:showCatName val="0"/>
          <c:showSerName val="0"/>
          <c:showPercent val="0"/>
          <c:showBubbleSize val="0"/>
        </c:dLbls>
        <c:gapWidth val="150"/>
        <c:axId val="348175064"/>
        <c:axId val="348172712"/>
      </c:barChart>
      <c:catAx>
        <c:axId val="348175064"/>
        <c:scaling>
          <c:orientation val="minMax"/>
        </c:scaling>
        <c:delete val="0"/>
        <c:axPos val="b"/>
        <c:title>
          <c:tx>
            <c:rich>
              <a:bodyPr/>
              <a:lstStyle/>
              <a:p>
                <a:pPr>
                  <a:defRPr/>
                </a:pPr>
                <a:r>
                  <a:rPr lang="en-AU"/>
                  <a:t>Strategic management capability</a:t>
                </a:r>
              </a:p>
            </c:rich>
          </c:tx>
          <c:layout>
            <c:manualLayout>
              <c:xMode val="edge"/>
              <c:yMode val="edge"/>
              <c:x val="0.40532161682973861"/>
              <c:y val="0.90966591647613415"/>
            </c:manualLayout>
          </c:layout>
          <c:overlay val="0"/>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a:solidFill>
                  <a:srgbClr val="595A5B"/>
                </a:solidFill>
              </a:defRPr>
            </a:pPr>
            <a:endParaRPr lang="en-US"/>
          </a:p>
        </c:txPr>
        <c:crossAx val="348172712"/>
        <c:crosses val="autoZero"/>
        <c:auto val="1"/>
        <c:lblAlgn val="ctr"/>
        <c:lblOffset val="100"/>
        <c:noMultiLvlLbl val="0"/>
      </c:catAx>
      <c:valAx>
        <c:axId val="348172712"/>
        <c:scaling>
          <c:orientation val="minMax"/>
        </c:scaling>
        <c:delete val="0"/>
        <c:axPos val="l"/>
        <c:title>
          <c:tx>
            <c:rich>
              <a:bodyPr/>
              <a:lstStyle/>
              <a:p>
                <a:pPr algn="ctr" rtl="0">
                  <a:defRPr sz="900" b="0" i="0" u="none" strike="noStrike" kern="1200" baseline="0">
                    <a:solidFill>
                      <a:srgbClr val="595A5B"/>
                    </a:solidFill>
                    <a:latin typeface="Arial" panose="020B0604020202020204" pitchFamily="34" charset="0"/>
                    <a:cs typeface="Arial" panose="020B0604020202020204" pitchFamily="34" charset="0"/>
                  </a:defRPr>
                </a:pPr>
                <a:r>
                  <a:rPr lang="en-US" sz="900" b="0" i="0" u="none" strike="noStrike" kern="1200" baseline="0">
                    <a:solidFill>
                      <a:srgbClr val="595A5B"/>
                    </a:solidFill>
                    <a:latin typeface="Arial" panose="020B0604020202020204" pitchFamily="34" charset="0"/>
                    <a:cs typeface="Arial" panose="020B0604020202020204" pitchFamily="34" charset="0"/>
                  </a:rPr>
                  <a:t>Per cent</a:t>
                </a:r>
              </a:p>
            </c:rich>
          </c:tx>
          <c:layout/>
          <c:overlay val="0"/>
        </c:title>
        <c:numFmt formatCode="0" sourceLinked="0"/>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a:pPr>
            <a:endParaRPr lang="en-US"/>
          </a:p>
        </c:txPr>
        <c:crossAx val="348175064"/>
        <c:crosses val="autoZero"/>
        <c:crossBetween val="between"/>
      </c:valAx>
      <c:spPr>
        <a:noFill/>
        <a:ln w="25400">
          <a:noFill/>
        </a:ln>
      </c:spPr>
    </c:plotArea>
    <c:plotVisOnly val="1"/>
    <c:dispBlanksAs val="gap"/>
    <c:showDLblsOverMax val="0"/>
  </c:chart>
  <c:spPr>
    <a:solidFill>
      <a:schemeClr val="bg1"/>
    </a:solidFill>
    <a:ln w="25400">
      <a:noFill/>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's1'!$C$1</c:f>
              <c:strCache>
                <c:ptCount val="1"/>
                <c:pt idx="0">
                  <c:v>p50</c:v>
                </c:pt>
              </c:strCache>
            </c:strRef>
          </c:tx>
          <c:spPr>
            <a:ln w="28575" cap="rnd">
              <a:noFill/>
              <a:round/>
            </a:ln>
            <a:effectLst/>
          </c:spPr>
          <c:marker>
            <c:symbol val="circle"/>
            <c:size val="5"/>
            <c:spPr>
              <a:solidFill>
                <a:srgbClr val="005CAF"/>
              </a:solidFill>
              <a:ln w="9525">
                <a:noFill/>
              </a:ln>
              <a:effectLst/>
            </c:spPr>
          </c:marker>
          <c:errBars>
            <c:errDir val="y"/>
            <c:errBarType val="both"/>
            <c:errValType val="cust"/>
            <c:noEndCap val="0"/>
            <c:plus>
              <c:numRef>
                <c:f>'s1'!$G$2:$G$5</c:f>
                <c:numCache>
                  <c:formatCode>General</c:formatCode>
                  <c:ptCount val="4"/>
                  <c:pt idx="0">
                    <c:v>0.57560912147164345</c:v>
                  </c:pt>
                  <c:pt idx="1">
                    <c:v>0.43797315657138824</c:v>
                  </c:pt>
                  <c:pt idx="2">
                    <c:v>0.48742812871932983</c:v>
                  </c:pt>
                  <c:pt idx="3">
                    <c:v>0.69543957710266113</c:v>
                  </c:pt>
                </c:numCache>
              </c:numRef>
            </c:plus>
            <c:minus>
              <c:numRef>
                <c:f>'s1'!$F$2:$F$5</c:f>
                <c:numCache>
                  <c:formatCode>General</c:formatCode>
                  <c:ptCount val="4"/>
                  <c:pt idx="0">
                    <c:v>0.49915379285812378</c:v>
                  </c:pt>
                  <c:pt idx="1">
                    <c:v>0.51206545531749725</c:v>
                  </c:pt>
                  <c:pt idx="2">
                    <c:v>0.42307919263839722</c:v>
                  </c:pt>
                  <c:pt idx="3">
                    <c:v>0.54917848110198975</c:v>
                  </c:pt>
                </c:numCache>
              </c:numRef>
            </c:minus>
            <c:spPr>
              <a:noFill/>
              <a:ln w="9525" cap="flat" cmpd="sng" algn="ctr">
                <a:solidFill>
                  <a:srgbClr val="005CAF"/>
                </a:solidFill>
                <a:round/>
              </a:ln>
              <a:effectLst/>
            </c:spPr>
          </c:errBars>
          <c:cat>
            <c:strRef>
              <c:f>'s1'!$A$2:$A$5</c:f>
              <c:strCache>
                <c:ptCount val="4"/>
                <c:pt idx="0">
                  <c:v>Low Engagement</c:v>
                </c:pt>
                <c:pt idx="1">
                  <c:v>Ad hoc</c:v>
                </c:pt>
                <c:pt idx="2">
                  <c:v>Narrow-Focus</c:v>
                </c:pt>
                <c:pt idx="3">
                  <c:v>Strategic</c:v>
                </c:pt>
              </c:strCache>
            </c:strRef>
          </c:cat>
          <c:val>
            <c:numRef>
              <c:f>'s1'!$C$2:$C$5</c:f>
              <c:numCache>
                <c:formatCode>General</c:formatCode>
                <c:ptCount val="4"/>
                <c:pt idx="0">
                  <c:v>-0.53579443693161011</c:v>
                </c:pt>
                <c:pt idx="1">
                  <c:v>0.29571516811847687</c:v>
                </c:pt>
                <c:pt idx="2">
                  <c:v>1.064609169960022</c:v>
                </c:pt>
                <c:pt idx="3">
                  <c:v>1.8874986171722412</c:v>
                </c:pt>
              </c:numCache>
            </c:numRef>
          </c:val>
          <c:smooth val="0"/>
        </c:ser>
        <c:dLbls>
          <c:showLegendKey val="0"/>
          <c:showVal val="0"/>
          <c:showCatName val="0"/>
          <c:showSerName val="0"/>
          <c:showPercent val="0"/>
          <c:showBubbleSize val="0"/>
        </c:dLbls>
        <c:marker val="1"/>
        <c:smooth val="0"/>
        <c:axId val="348175848"/>
        <c:axId val="348177808"/>
      </c:lineChart>
      <c:catAx>
        <c:axId val="348175848"/>
        <c:scaling>
          <c:orientation val="minMax"/>
        </c:scaling>
        <c:delete val="0"/>
        <c:axPos val="b"/>
        <c:title>
          <c:tx>
            <c:rich>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t>Strategic management capability</a:t>
                </a:r>
              </a:p>
            </c:rich>
          </c:tx>
          <c:layout>
            <c:manualLayout>
              <c:xMode val="edge"/>
              <c:yMode val="edge"/>
              <c:x val="0.37031929777257849"/>
              <c:y val="0.9196988918051908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General" sourceLinked="1"/>
        <c:majorTickMark val="out"/>
        <c:minorTickMark val="none"/>
        <c:tickLblPos val="low"/>
        <c:spPr>
          <a:noFill/>
          <a:ln w="3175" cap="flat" cmpd="sng" algn="ctr">
            <a:solidFill>
              <a:srgbClr val="BCBFC1"/>
            </a:solidFill>
            <a:prstDash val="solid"/>
            <a:roun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177808"/>
        <c:crosses val="autoZero"/>
        <c:auto val="1"/>
        <c:lblAlgn val="ctr"/>
        <c:lblOffset val="100"/>
        <c:noMultiLvlLbl val="0"/>
      </c:catAx>
      <c:valAx>
        <c:axId val="348177808"/>
        <c:scaling>
          <c:orientation val="minMax"/>
        </c:scaling>
        <c:delete val="0"/>
        <c:axPos val="l"/>
        <c:title>
          <c:tx>
            <c:rich>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r>
                  <a:rPr lang="en-US"/>
                  <a:t>First dimension of MCA</a:t>
                </a:r>
              </a:p>
            </c:rich>
          </c:tx>
          <c:layout/>
          <c:overlay val="0"/>
          <c:spPr>
            <a:noFill/>
            <a:ln>
              <a:noFill/>
            </a:ln>
            <a:effectLst/>
          </c:spPr>
          <c:txPr>
            <a:bodyPr rot="-54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title>
        <c:numFmt formatCode="#,##0.0" sourceLinked="0"/>
        <c:majorTickMark val="out"/>
        <c:minorTickMark val="none"/>
        <c:tickLblPos val="nextTo"/>
        <c:spPr>
          <a:noFill/>
          <a:ln w="3175">
            <a:solidFill>
              <a:srgbClr val="BCBFC1"/>
            </a:solidFill>
            <a:prstDash val="solid"/>
          </a:ln>
          <a:effectLst/>
        </c:spPr>
        <c:txPr>
          <a:bodyPr rot="-60000000" spcFirstLastPara="1" vertOverflow="ellipsis" vert="horz" wrap="square" anchor="ctr" anchorCtr="1"/>
          <a:lstStyle/>
          <a:p>
            <a:pPr>
              <a:defRPr sz="900" b="0" i="0" u="none" strike="noStrike" kern="1200" baseline="0">
                <a:solidFill>
                  <a:srgbClr val="595A5B"/>
                </a:solidFill>
                <a:latin typeface="Arial"/>
                <a:ea typeface="Arial"/>
                <a:cs typeface="Arial"/>
              </a:defRPr>
            </a:pPr>
            <a:endParaRPr lang="en-US"/>
          </a:p>
        </c:txPr>
        <c:crossAx val="348175848"/>
        <c:crosses val="autoZero"/>
        <c:crossBetween val="between"/>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45166229221345"/>
          <c:y val="5.0925906988899108E-2"/>
          <c:w val="0.83954833770778647"/>
          <c:h val="0.67708309188624149"/>
        </c:manualLayout>
      </c:layout>
      <c:barChart>
        <c:barDir val="col"/>
        <c:grouping val="clustered"/>
        <c:varyColors val="0"/>
        <c:ser>
          <c:idx val="0"/>
          <c:order val="0"/>
          <c:tx>
            <c:strRef>
              <c:f>Weighted!$C$21</c:f>
              <c:strCache>
                <c:ptCount val="1"/>
                <c:pt idx="0">
                  <c:v>Low Engagement</c:v>
                </c:pt>
              </c:strCache>
            </c:strRef>
          </c:tx>
          <c:spPr>
            <a:solidFill>
              <a:srgbClr val="BCBFC1"/>
            </a:solidFill>
            <a:ln w="25400">
              <a:noFill/>
            </a:ln>
          </c:spPr>
          <c:invertIfNegative val="0"/>
          <c:cat>
            <c:strRef>
              <c:f>Weighted!$A$22:$A$25</c:f>
              <c:strCache>
                <c:ptCount val="4"/>
                <c:pt idx="0">
                  <c:v>0 to 4 
employees</c:v>
                </c:pt>
                <c:pt idx="1">
                  <c:v>5 to 19 
employees</c:v>
                </c:pt>
                <c:pt idx="2">
                  <c:v>20 to 99 
employees</c:v>
                </c:pt>
                <c:pt idx="3">
                  <c:v>100 or more 
employees</c:v>
                </c:pt>
              </c:strCache>
            </c:strRef>
          </c:cat>
          <c:val>
            <c:numRef>
              <c:f>Weighted!$C$22:$C$25</c:f>
              <c:numCache>
                <c:formatCode>General</c:formatCode>
                <c:ptCount val="4"/>
                <c:pt idx="0">
                  <c:v>67.289719597245451</c:v>
                </c:pt>
                <c:pt idx="1">
                  <c:v>46.603971290211739</c:v>
                </c:pt>
                <c:pt idx="2">
                  <c:v>28.767123459747516</c:v>
                </c:pt>
                <c:pt idx="3">
                  <c:v>10.315789090629433</c:v>
                </c:pt>
              </c:numCache>
            </c:numRef>
          </c:val>
        </c:ser>
        <c:ser>
          <c:idx val="1"/>
          <c:order val="1"/>
          <c:tx>
            <c:strRef>
              <c:f>Weighted!$D$21</c:f>
              <c:strCache>
                <c:ptCount val="1"/>
                <c:pt idx="0">
                  <c:v>Ad hoc</c:v>
                </c:pt>
              </c:strCache>
            </c:strRef>
          </c:tx>
          <c:spPr>
            <a:solidFill>
              <a:srgbClr val="9ED9DF"/>
            </a:solidFill>
            <a:ln w="25400">
              <a:noFill/>
            </a:ln>
          </c:spPr>
          <c:invertIfNegative val="0"/>
          <c:cat>
            <c:strRef>
              <c:f>Weighted!$A$22:$A$25</c:f>
              <c:strCache>
                <c:ptCount val="4"/>
                <c:pt idx="0">
                  <c:v>0 to 4 
employees</c:v>
                </c:pt>
                <c:pt idx="1">
                  <c:v>5 to 19 
employees</c:v>
                </c:pt>
                <c:pt idx="2">
                  <c:v>20 to 99 
employees</c:v>
                </c:pt>
                <c:pt idx="3">
                  <c:v>100 or more 
employees</c:v>
                </c:pt>
              </c:strCache>
            </c:strRef>
          </c:cat>
          <c:val>
            <c:numRef>
              <c:f>Weighted!$D$22:$D$25</c:f>
              <c:numCache>
                <c:formatCode>General</c:formatCode>
                <c:ptCount val="4"/>
                <c:pt idx="0">
                  <c:v>22.222222308187153</c:v>
                </c:pt>
                <c:pt idx="1">
                  <c:v>24.764890391956357</c:v>
                </c:pt>
                <c:pt idx="2">
                  <c:v>22.339304244843067</c:v>
                </c:pt>
                <c:pt idx="3">
                  <c:v>13.473684702553573</c:v>
                </c:pt>
              </c:numCache>
            </c:numRef>
          </c:val>
        </c:ser>
        <c:ser>
          <c:idx val="2"/>
          <c:order val="2"/>
          <c:tx>
            <c:strRef>
              <c:f>Weighted!$E$21</c:f>
              <c:strCache>
                <c:ptCount val="1"/>
                <c:pt idx="0">
                  <c:v>Narrow-focus</c:v>
                </c:pt>
              </c:strCache>
            </c:strRef>
          </c:tx>
          <c:spPr>
            <a:solidFill>
              <a:srgbClr val="56B4DF"/>
            </a:solidFill>
            <a:ln w="25400">
              <a:noFill/>
            </a:ln>
          </c:spPr>
          <c:invertIfNegative val="0"/>
          <c:cat>
            <c:strRef>
              <c:f>Weighted!$A$22:$A$25</c:f>
              <c:strCache>
                <c:ptCount val="4"/>
                <c:pt idx="0">
                  <c:v>0 to 4 
employees</c:v>
                </c:pt>
                <c:pt idx="1">
                  <c:v>5 to 19 
employees</c:v>
                </c:pt>
                <c:pt idx="2">
                  <c:v>20 to 99 
employees</c:v>
                </c:pt>
                <c:pt idx="3">
                  <c:v>100 or more 
employees</c:v>
                </c:pt>
              </c:strCache>
            </c:strRef>
          </c:cat>
          <c:val>
            <c:numRef>
              <c:f>Weighted!$E$22:$E$25</c:f>
              <c:numCache>
                <c:formatCode>General</c:formatCode>
                <c:ptCount val="4"/>
                <c:pt idx="0">
                  <c:v>7.9958462433048982</c:v>
                </c:pt>
                <c:pt idx="1">
                  <c:v>20.376174594334771</c:v>
                </c:pt>
                <c:pt idx="2">
                  <c:v>24.341412641385169</c:v>
                </c:pt>
                <c:pt idx="3">
                  <c:v>26.842104466503024</c:v>
                </c:pt>
              </c:numCache>
            </c:numRef>
          </c:val>
        </c:ser>
        <c:ser>
          <c:idx val="3"/>
          <c:order val="3"/>
          <c:tx>
            <c:strRef>
              <c:f>Weighted!$F$21</c:f>
              <c:strCache>
                <c:ptCount val="1"/>
                <c:pt idx="0">
                  <c:v>Strategic</c:v>
                </c:pt>
              </c:strCache>
            </c:strRef>
          </c:tx>
          <c:spPr>
            <a:solidFill>
              <a:srgbClr val="005CAF"/>
            </a:solidFill>
            <a:ln w="25400">
              <a:noFill/>
            </a:ln>
          </c:spPr>
          <c:invertIfNegative val="0"/>
          <c:cat>
            <c:strRef>
              <c:f>Weighted!$A$22:$A$25</c:f>
              <c:strCache>
                <c:ptCount val="4"/>
                <c:pt idx="0">
                  <c:v>0 to 4 
employees</c:v>
                </c:pt>
                <c:pt idx="1">
                  <c:v>5 to 19 
employees</c:v>
                </c:pt>
                <c:pt idx="2">
                  <c:v>20 to 99 
employees</c:v>
                </c:pt>
                <c:pt idx="3">
                  <c:v>100 or more 
employees</c:v>
                </c:pt>
              </c:strCache>
            </c:strRef>
          </c:cat>
          <c:val>
            <c:numRef>
              <c:f>Weighted!$F$22:$F$25</c:f>
              <c:numCache>
                <c:formatCode>General</c:formatCode>
                <c:ptCount val="4"/>
                <c:pt idx="0">
                  <c:v>2.4922118512625051</c:v>
                </c:pt>
                <c:pt idx="1">
                  <c:v>8.2549637234971378</c:v>
                </c:pt>
                <c:pt idx="2">
                  <c:v>24.552159654024244</c:v>
                </c:pt>
                <c:pt idx="3">
                  <c:v>49.36842174031397</c:v>
                </c:pt>
              </c:numCache>
            </c:numRef>
          </c:val>
        </c:ser>
        <c:dLbls>
          <c:showLegendKey val="0"/>
          <c:showVal val="0"/>
          <c:showCatName val="0"/>
          <c:showSerName val="0"/>
          <c:showPercent val="0"/>
          <c:showBubbleSize val="0"/>
        </c:dLbls>
        <c:gapWidth val="150"/>
        <c:axId val="348174280"/>
        <c:axId val="348176240"/>
      </c:barChart>
      <c:catAx>
        <c:axId val="348174280"/>
        <c:scaling>
          <c:orientation val="minMax"/>
        </c:scaling>
        <c:delete val="0"/>
        <c:axPos val="b"/>
        <c:numFmt formatCode="General" sourceLinked="1"/>
        <c:majorTickMark val="none"/>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sz="850">
                <a:solidFill>
                  <a:srgbClr val="595A5B"/>
                </a:solidFill>
              </a:defRPr>
            </a:pPr>
            <a:endParaRPr lang="en-US"/>
          </a:p>
        </c:txPr>
        <c:crossAx val="348176240"/>
        <c:crosses val="autoZero"/>
        <c:auto val="1"/>
        <c:lblAlgn val="ctr"/>
        <c:lblOffset val="100"/>
        <c:noMultiLvlLbl val="0"/>
      </c:catAx>
      <c:valAx>
        <c:axId val="348176240"/>
        <c:scaling>
          <c:orientation val="minMax"/>
          <c:max val="100"/>
        </c:scaling>
        <c:delete val="0"/>
        <c:axPos val="l"/>
        <c:title>
          <c:tx>
            <c:rich>
              <a:bodyPr/>
              <a:lstStyle/>
              <a:p>
                <a:pPr algn="ctr" rtl="0">
                  <a:defRPr sz="850" b="0" i="0" u="none" strike="noStrike" kern="1200" baseline="0">
                    <a:solidFill>
                      <a:srgbClr val="595A5B"/>
                    </a:solidFill>
                    <a:latin typeface="Arial" panose="020B0604020202020204" pitchFamily="34" charset="0"/>
                    <a:cs typeface="Arial" panose="020B0604020202020204" pitchFamily="34" charset="0"/>
                  </a:defRPr>
                </a:pPr>
                <a:r>
                  <a:rPr lang="en-US" sz="850" b="0" i="0" u="none" strike="noStrike" kern="1200" baseline="0">
                    <a:solidFill>
                      <a:srgbClr val="595A5B"/>
                    </a:solidFill>
                    <a:latin typeface="Arial" panose="020B0604020202020204" pitchFamily="34" charset="0"/>
                    <a:cs typeface="Arial" panose="020B0604020202020204" pitchFamily="34" charset="0"/>
                  </a:rPr>
                  <a:t>Per cent</a:t>
                </a:r>
              </a:p>
            </c:rich>
          </c:tx>
          <c:layout/>
          <c:overlay val="0"/>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sz="850"/>
            </a:pPr>
            <a:endParaRPr lang="en-US"/>
          </a:p>
        </c:txPr>
        <c:crossAx val="348174280"/>
        <c:crosses val="autoZero"/>
        <c:crossBetween val="between"/>
      </c:valAx>
      <c:spPr>
        <a:noFill/>
        <a:ln w="25400">
          <a:noFill/>
        </a:ln>
      </c:spPr>
    </c:plotArea>
    <c:legend>
      <c:legendPos val="b"/>
      <c:layout>
        <c:manualLayout>
          <c:xMode val="edge"/>
          <c:yMode val="edge"/>
          <c:x val="0.14017061362401725"/>
          <c:y val="0.89666036546943917"/>
          <c:w val="0.7621149403329891"/>
          <c:h val="9.7038437303087588E-2"/>
        </c:manualLayout>
      </c:layout>
      <c:overlay val="0"/>
      <c:spPr>
        <a:noFill/>
        <a:ln w="25400">
          <a:noFill/>
        </a:ln>
      </c:spPr>
      <c:txPr>
        <a:bodyPr rot="0" vert="horz"/>
        <a:lstStyle/>
        <a:p>
          <a:pPr>
            <a:defRPr sz="850" b="0" u="none">
              <a:solidFill>
                <a:srgbClr val="595A5B"/>
              </a:solidFill>
              <a:latin typeface="Arial"/>
              <a:ea typeface="Arial"/>
              <a:cs typeface="Arial"/>
            </a:defRPr>
          </a:pPr>
          <a:endParaRPr lang="en-US"/>
        </a:p>
      </c:txPr>
    </c:legend>
    <c:plotVisOnly val="1"/>
    <c:dispBlanksAs val="gap"/>
    <c:showDLblsOverMax val="0"/>
  </c:chart>
  <c:spPr>
    <a:solidFill>
      <a:schemeClr val="bg1"/>
    </a:solidFill>
    <a:ln w="25400">
      <a:noFill/>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7249682114223973"/>
          <c:y val="3.1340504495422992E-2"/>
          <c:w val="0.47137738563574172"/>
          <c:h val="0.77231133453703638"/>
        </c:manualLayout>
      </c:layout>
      <c:barChart>
        <c:barDir val="bar"/>
        <c:grouping val="stacked"/>
        <c:varyColors val="0"/>
        <c:ser>
          <c:idx val="3"/>
          <c:order val="0"/>
          <c:tx>
            <c:strRef>
              <c:f>Weighted!$F$46</c:f>
              <c:strCache>
                <c:ptCount val="1"/>
                <c:pt idx="0">
                  <c:v>Strategic</c:v>
                </c:pt>
              </c:strCache>
            </c:strRef>
          </c:tx>
          <c:spPr>
            <a:solidFill>
              <a:srgbClr val="005CAF"/>
            </a:solidFill>
            <a:ln w="25400">
              <a:noFill/>
            </a:ln>
          </c:spPr>
          <c:invertIfNegative val="0"/>
          <c:cat>
            <c:strRef>
              <c:f>Weighted!$M$47:$M$63</c:f>
              <c:strCache>
                <c:ptCount val="17"/>
                <c:pt idx="0">
                  <c:v>A - Agriculture, Forestry and Fishing</c:v>
                </c:pt>
                <c:pt idx="1">
                  <c:v>E - Construction</c:v>
                </c:pt>
                <c:pt idx="2">
                  <c:v>I - Transport, Postal and Warehousing</c:v>
                </c:pt>
                <c:pt idx="3">
                  <c:v>S - Other Services</c:v>
                </c:pt>
                <c:pt idx="4">
                  <c:v>G - Retail Trade</c:v>
                </c:pt>
                <c:pt idx="5">
                  <c:v>H - Accommodation and Food </c:v>
                </c:pt>
                <c:pt idx="6">
                  <c:v>C - Manufacturing</c:v>
                </c:pt>
                <c:pt idx="7">
                  <c:v>M - Professional Services</c:v>
                </c:pt>
                <c:pt idx="8">
                  <c:v>L - Rental, Hiring and Real Estate </c:v>
                </c:pt>
                <c:pt idx="9">
                  <c:v>F - Wholesale Trade</c:v>
                </c:pt>
                <c:pt idx="10">
                  <c:v>Q - Health Care and Social Assistance</c:v>
                </c:pt>
                <c:pt idx="11">
                  <c:v>J - Information Media and Telecom.</c:v>
                </c:pt>
                <c:pt idx="12">
                  <c:v>N - Administrative and Support </c:v>
                </c:pt>
                <c:pt idx="13">
                  <c:v>B - Mining</c:v>
                </c:pt>
                <c:pt idx="14">
                  <c:v>D - Electricity, Gas, Water and Waste </c:v>
                </c:pt>
                <c:pt idx="15">
                  <c:v>R - Arts and Recreation </c:v>
                </c:pt>
                <c:pt idx="16">
                  <c:v>K - Financial and Insurance </c:v>
                </c:pt>
              </c:strCache>
            </c:strRef>
          </c:cat>
          <c:val>
            <c:numRef>
              <c:f>Weighted!$F$47:$F$63</c:f>
              <c:numCache>
                <c:formatCode>General</c:formatCode>
                <c:ptCount val="17"/>
                <c:pt idx="0">
                  <c:v>2.0986358608323314</c:v>
                </c:pt>
                <c:pt idx="1">
                  <c:v>2.6694044923220814</c:v>
                </c:pt>
                <c:pt idx="2">
                  <c:v>3.5789474955556111</c:v>
                </c:pt>
                <c:pt idx="3">
                  <c:v>4.2487046664127703</c:v>
                </c:pt>
                <c:pt idx="4">
                  <c:v>4.7169812646952742</c:v>
                </c:pt>
                <c:pt idx="5">
                  <c:v>5.2301254977407616</c:v>
                </c:pt>
                <c:pt idx="6">
                  <c:v>7.3958336833877434</c:v>
                </c:pt>
                <c:pt idx="7">
                  <c:v>7.5335395880600915</c:v>
                </c:pt>
                <c:pt idx="8">
                  <c:v>7.6190474688721439</c:v>
                </c:pt>
                <c:pt idx="9">
                  <c:v>8.0000003973643103</c:v>
                </c:pt>
                <c:pt idx="10">
                  <c:v>8.6134458220766561</c:v>
                </c:pt>
                <c:pt idx="11">
                  <c:v>11.586638928315958</c:v>
                </c:pt>
                <c:pt idx="12">
                  <c:v>11.671924470636052</c:v>
                </c:pt>
                <c:pt idx="13">
                  <c:v>12.314709289310626</c:v>
                </c:pt>
                <c:pt idx="14">
                  <c:v>12.410986879269906</c:v>
                </c:pt>
                <c:pt idx="15">
                  <c:v>13.163717129608438</c:v>
                </c:pt>
                <c:pt idx="16">
                  <c:v>16.907216982629148</c:v>
                </c:pt>
              </c:numCache>
            </c:numRef>
          </c:val>
        </c:ser>
        <c:ser>
          <c:idx val="2"/>
          <c:order val="1"/>
          <c:tx>
            <c:strRef>
              <c:f>Weighted!$E$46</c:f>
              <c:strCache>
                <c:ptCount val="1"/>
                <c:pt idx="0">
                  <c:v>Narrow focus</c:v>
                </c:pt>
              </c:strCache>
            </c:strRef>
          </c:tx>
          <c:spPr>
            <a:solidFill>
              <a:srgbClr val="56B4DF"/>
            </a:solidFill>
            <a:ln w="25400">
              <a:noFill/>
            </a:ln>
          </c:spPr>
          <c:invertIfNegative val="0"/>
          <c:cat>
            <c:strRef>
              <c:f>Weighted!$M$47:$M$63</c:f>
              <c:strCache>
                <c:ptCount val="17"/>
                <c:pt idx="0">
                  <c:v>A - Agriculture, Forestry and Fishing</c:v>
                </c:pt>
                <c:pt idx="1">
                  <c:v>E - Construction</c:v>
                </c:pt>
                <c:pt idx="2">
                  <c:v>I - Transport, Postal and Warehousing</c:v>
                </c:pt>
                <c:pt idx="3">
                  <c:v>S - Other Services</c:v>
                </c:pt>
                <c:pt idx="4">
                  <c:v>G - Retail Trade</c:v>
                </c:pt>
                <c:pt idx="5">
                  <c:v>H - Accommodation and Food </c:v>
                </c:pt>
                <c:pt idx="6">
                  <c:v>C - Manufacturing</c:v>
                </c:pt>
                <c:pt idx="7">
                  <c:v>M - Professional Services</c:v>
                </c:pt>
                <c:pt idx="8">
                  <c:v>L - Rental, Hiring and Real Estate </c:v>
                </c:pt>
                <c:pt idx="9">
                  <c:v>F - Wholesale Trade</c:v>
                </c:pt>
                <c:pt idx="10">
                  <c:v>Q - Health Care and Social Assistance</c:v>
                </c:pt>
                <c:pt idx="11">
                  <c:v>J - Information Media and Telecom.</c:v>
                </c:pt>
                <c:pt idx="12">
                  <c:v>N - Administrative and Support </c:v>
                </c:pt>
                <c:pt idx="13">
                  <c:v>B - Mining</c:v>
                </c:pt>
                <c:pt idx="14">
                  <c:v>D - Electricity, Gas, Water and Waste </c:v>
                </c:pt>
                <c:pt idx="15">
                  <c:v>R - Arts and Recreation </c:v>
                </c:pt>
                <c:pt idx="16">
                  <c:v>K - Financial and Insurance </c:v>
                </c:pt>
              </c:strCache>
            </c:strRef>
          </c:cat>
          <c:val>
            <c:numRef>
              <c:f>Weighted!$E$47:$E$63</c:f>
              <c:numCache>
                <c:formatCode>General</c:formatCode>
                <c:ptCount val="17"/>
                <c:pt idx="0">
                  <c:v>11.96222468037527</c:v>
                </c:pt>
                <c:pt idx="1">
                  <c:v>5.3388089846441629</c:v>
                </c:pt>
                <c:pt idx="2">
                  <c:v>8.9473683467532137</c:v>
                </c:pt>
                <c:pt idx="3">
                  <c:v>13.782383185264566</c:v>
                </c:pt>
                <c:pt idx="4">
                  <c:v>17.714884465160079</c:v>
                </c:pt>
                <c:pt idx="5">
                  <c:v>18.828452259476393</c:v>
                </c:pt>
                <c:pt idx="6">
                  <c:v>15.208333331716453</c:v>
                </c:pt>
                <c:pt idx="7">
                  <c:v>12.383900597906401</c:v>
                </c:pt>
                <c:pt idx="8">
                  <c:v>16.190476265563927</c:v>
                </c:pt>
                <c:pt idx="9">
                  <c:v>17.025640872024841</c:v>
                </c:pt>
                <c:pt idx="10">
                  <c:v>17.121849411960564</c:v>
                </c:pt>
                <c:pt idx="11">
                  <c:v>14.509394357704894</c:v>
                </c:pt>
                <c:pt idx="12">
                  <c:v>11.8822290560908</c:v>
                </c:pt>
                <c:pt idx="13">
                  <c:v>13.112884789134558</c:v>
                </c:pt>
                <c:pt idx="14">
                  <c:v>9.6642928318585799</c:v>
                </c:pt>
                <c:pt idx="15">
                  <c:v>13.053097436303016</c:v>
                </c:pt>
                <c:pt idx="16">
                  <c:v>20.309278055944734</c:v>
                </c:pt>
              </c:numCache>
            </c:numRef>
          </c:val>
        </c:ser>
        <c:ser>
          <c:idx val="1"/>
          <c:order val="2"/>
          <c:tx>
            <c:strRef>
              <c:f>Weighted!$D$46</c:f>
              <c:strCache>
                <c:ptCount val="1"/>
                <c:pt idx="0">
                  <c:v>Ad hoc</c:v>
                </c:pt>
              </c:strCache>
            </c:strRef>
          </c:tx>
          <c:spPr>
            <a:solidFill>
              <a:srgbClr val="9ED9DF"/>
            </a:solidFill>
            <a:ln w="25400">
              <a:noFill/>
            </a:ln>
          </c:spPr>
          <c:invertIfNegative val="0"/>
          <c:cat>
            <c:strRef>
              <c:f>Weighted!$M$47:$M$63</c:f>
              <c:strCache>
                <c:ptCount val="17"/>
                <c:pt idx="0">
                  <c:v>A - Agriculture, Forestry and Fishing</c:v>
                </c:pt>
                <c:pt idx="1">
                  <c:v>E - Construction</c:v>
                </c:pt>
                <c:pt idx="2">
                  <c:v>I - Transport, Postal and Warehousing</c:v>
                </c:pt>
                <c:pt idx="3">
                  <c:v>S - Other Services</c:v>
                </c:pt>
                <c:pt idx="4">
                  <c:v>G - Retail Trade</c:v>
                </c:pt>
                <c:pt idx="5">
                  <c:v>H - Accommodation and Food </c:v>
                </c:pt>
                <c:pt idx="6">
                  <c:v>C - Manufacturing</c:v>
                </c:pt>
                <c:pt idx="7">
                  <c:v>M - Professional Services</c:v>
                </c:pt>
                <c:pt idx="8">
                  <c:v>L - Rental, Hiring and Real Estate </c:v>
                </c:pt>
                <c:pt idx="9">
                  <c:v>F - Wholesale Trade</c:v>
                </c:pt>
                <c:pt idx="10">
                  <c:v>Q - Health Care and Social Assistance</c:v>
                </c:pt>
                <c:pt idx="11">
                  <c:v>J - Information Media and Telecom.</c:v>
                </c:pt>
                <c:pt idx="12">
                  <c:v>N - Administrative and Support </c:v>
                </c:pt>
                <c:pt idx="13">
                  <c:v>B - Mining</c:v>
                </c:pt>
                <c:pt idx="14">
                  <c:v>D - Electricity, Gas, Water and Waste </c:v>
                </c:pt>
                <c:pt idx="15">
                  <c:v>R - Arts and Recreation </c:v>
                </c:pt>
                <c:pt idx="16">
                  <c:v>K - Financial and Insurance </c:v>
                </c:pt>
              </c:strCache>
            </c:strRef>
          </c:cat>
          <c:val>
            <c:numRef>
              <c:f>Weighted!$D$47:$D$63</c:f>
              <c:numCache>
                <c:formatCode>General</c:formatCode>
                <c:ptCount val="17"/>
                <c:pt idx="0">
                  <c:v>18.782791912157794</c:v>
                </c:pt>
                <c:pt idx="1">
                  <c:v>21.355235938576651</c:v>
                </c:pt>
                <c:pt idx="2">
                  <c:v>18.84210544808089</c:v>
                </c:pt>
                <c:pt idx="3">
                  <c:v>23.108808175743455</c:v>
                </c:pt>
                <c:pt idx="4">
                  <c:v>29.035640125215362</c:v>
                </c:pt>
                <c:pt idx="5">
                  <c:v>26.778243421304047</c:v>
                </c:pt>
                <c:pt idx="6">
                  <c:v>23.229167514719961</c:v>
                </c:pt>
                <c:pt idx="7">
                  <c:v>25.180598728192816</c:v>
                </c:pt>
                <c:pt idx="8">
                  <c:v>25.608466067335119</c:v>
                </c:pt>
                <c:pt idx="9">
                  <c:v>28.102563793764222</c:v>
                </c:pt>
                <c:pt idx="10">
                  <c:v>16.70168048318957</c:v>
                </c:pt>
                <c:pt idx="11">
                  <c:v>22.025051620546378</c:v>
                </c:pt>
                <c:pt idx="12">
                  <c:v>19.453207451060088</c:v>
                </c:pt>
                <c:pt idx="13">
                  <c:v>15.507412138159419</c:v>
                </c:pt>
                <c:pt idx="14">
                  <c:v>22.787386192855422</c:v>
                </c:pt>
                <c:pt idx="15">
                  <c:v>20.022123279317668</c:v>
                </c:pt>
                <c:pt idx="16">
                  <c:v>17.422680409203707</c:v>
                </c:pt>
              </c:numCache>
            </c:numRef>
          </c:val>
        </c:ser>
        <c:ser>
          <c:idx val="0"/>
          <c:order val="3"/>
          <c:tx>
            <c:strRef>
              <c:f>Weighted!$C$46</c:f>
              <c:strCache>
                <c:ptCount val="1"/>
                <c:pt idx="0">
                  <c:v>Low engagement</c:v>
                </c:pt>
              </c:strCache>
            </c:strRef>
          </c:tx>
          <c:spPr>
            <a:solidFill>
              <a:srgbClr val="BCBFC1"/>
            </a:solidFill>
            <a:ln w="25400">
              <a:noFill/>
            </a:ln>
          </c:spPr>
          <c:invertIfNegative val="0"/>
          <c:cat>
            <c:strRef>
              <c:f>Weighted!$M$47:$M$63</c:f>
              <c:strCache>
                <c:ptCount val="17"/>
                <c:pt idx="0">
                  <c:v>A - Agriculture, Forestry and Fishing</c:v>
                </c:pt>
                <c:pt idx="1">
                  <c:v>E - Construction</c:v>
                </c:pt>
                <c:pt idx="2">
                  <c:v>I - Transport, Postal and Warehousing</c:v>
                </c:pt>
                <c:pt idx="3">
                  <c:v>S - Other Services</c:v>
                </c:pt>
                <c:pt idx="4">
                  <c:v>G - Retail Trade</c:v>
                </c:pt>
                <c:pt idx="5">
                  <c:v>H - Accommodation and Food </c:v>
                </c:pt>
                <c:pt idx="6">
                  <c:v>C - Manufacturing</c:v>
                </c:pt>
                <c:pt idx="7">
                  <c:v>M - Professional Services</c:v>
                </c:pt>
                <c:pt idx="8">
                  <c:v>L - Rental, Hiring and Real Estate </c:v>
                </c:pt>
                <c:pt idx="9">
                  <c:v>F - Wholesale Trade</c:v>
                </c:pt>
                <c:pt idx="10">
                  <c:v>Q - Health Care and Social Assistance</c:v>
                </c:pt>
                <c:pt idx="11">
                  <c:v>J - Information Media and Telecom.</c:v>
                </c:pt>
                <c:pt idx="12">
                  <c:v>N - Administrative and Support </c:v>
                </c:pt>
                <c:pt idx="13">
                  <c:v>B - Mining</c:v>
                </c:pt>
                <c:pt idx="14">
                  <c:v>D - Electricity, Gas, Water and Waste </c:v>
                </c:pt>
                <c:pt idx="15">
                  <c:v>R - Arts and Recreation </c:v>
                </c:pt>
                <c:pt idx="16">
                  <c:v>K - Financial and Insurance </c:v>
                </c:pt>
              </c:strCache>
            </c:strRef>
          </c:cat>
          <c:val>
            <c:numRef>
              <c:f>Weighted!$C$47:$C$63</c:f>
              <c:numCache>
                <c:formatCode>General</c:formatCode>
                <c:ptCount val="17"/>
                <c:pt idx="0">
                  <c:v>67.156347546634606</c:v>
                </c:pt>
                <c:pt idx="1">
                  <c:v>70.636550584457098</c:v>
                </c:pt>
                <c:pt idx="2">
                  <c:v>68.631578709610281</c:v>
                </c:pt>
                <c:pt idx="3">
                  <c:v>58.860103972579203</c:v>
                </c:pt>
                <c:pt idx="4">
                  <c:v>48.532494144929281</c:v>
                </c:pt>
                <c:pt idx="5">
                  <c:v>49.163178821478795</c:v>
                </c:pt>
                <c:pt idx="6">
                  <c:v>54.166665470175843</c:v>
                </c:pt>
                <c:pt idx="7">
                  <c:v>54.901961085840689</c:v>
                </c:pt>
                <c:pt idx="8">
                  <c:v>50.582010198228808</c:v>
                </c:pt>
                <c:pt idx="9">
                  <c:v>46.871794936846619</c:v>
                </c:pt>
                <c:pt idx="10">
                  <c:v>57.563024282773213</c:v>
                </c:pt>
                <c:pt idx="11">
                  <c:v>51.878915093432767</c:v>
                </c:pt>
                <c:pt idx="12">
                  <c:v>56.992639022213062</c:v>
                </c:pt>
                <c:pt idx="13">
                  <c:v>59.064993783395401</c:v>
                </c:pt>
                <c:pt idx="14">
                  <c:v>55.137334096016097</c:v>
                </c:pt>
                <c:pt idx="15">
                  <c:v>53.761062154770876</c:v>
                </c:pt>
                <c:pt idx="16">
                  <c:v>45.360824552222411</c:v>
                </c:pt>
              </c:numCache>
            </c:numRef>
          </c:val>
        </c:ser>
        <c:dLbls>
          <c:showLegendKey val="0"/>
          <c:showVal val="0"/>
          <c:showCatName val="0"/>
          <c:showSerName val="0"/>
          <c:showPercent val="0"/>
          <c:showBubbleSize val="0"/>
        </c:dLbls>
        <c:gapWidth val="30"/>
        <c:overlap val="100"/>
        <c:axId val="348173104"/>
        <c:axId val="348178200"/>
      </c:barChart>
      <c:catAx>
        <c:axId val="348173104"/>
        <c:scaling>
          <c:orientation val="minMax"/>
        </c:scaling>
        <c:delete val="0"/>
        <c:axPos val="l"/>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sz="800">
                <a:solidFill>
                  <a:srgbClr val="595A5B"/>
                </a:solidFill>
              </a:defRPr>
            </a:pPr>
            <a:endParaRPr lang="en-US"/>
          </a:p>
        </c:txPr>
        <c:crossAx val="348178200"/>
        <c:crosses val="autoZero"/>
        <c:auto val="1"/>
        <c:lblAlgn val="ctr"/>
        <c:lblOffset val="100"/>
        <c:noMultiLvlLbl val="0"/>
      </c:catAx>
      <c:valAx>
        <c:axId val="348178200"/>
        <c:scaling>
          <c:orientation val="minMax"/>
          <c:max val="100"/>
        </c:scaling>
        <c:delete val="0"/>
        <c:axPos val="b"/>
        <c:title>
          <c:tx>
            <c:rich>
              <a:bodyPr/>
              <a:lstStyle/>
              <a:p>
                <a:pPr algn="ctr" rtl="0">
                  <a:defRPr sz="850" b="0" i="0" u="none" strike="noStrike" kern="1200" baseline="0">
                    <a:solidFill>
                      <a:srgbClr val="595A5B"/>
                    </a:solidFill>
                    <a:latin typeface="Arial" panose="020B0604020202020204" pitchFamily="34" charset="0"/>
                    <a:cs typeface="Arial" panose="020B0604020202020204" pitchFamily="34" charset="0"/>
                  </a:defRPr>
                </a:pPr>
                <a:r>
                  <a:rPr lang="en-US" sz="850" b="0" i="0" u="none" strike="noStrike" kern="1200" baseline="0">
                    <a:solidFill>
                      <a:srgbClr val="595A5B"/>
                    </a:solidFill>
                    <a:latin typeface="Arial" panose="020B0604020202020204" pitchFamily="34" charset="0"/>
                    <a:cs typeface="Arial" panose="020B0604020202020204" pitchFamily="34" charset="0"/>
                  </a:rPr>
                  <a:t>Per cent</a:t>
                </a:r>
              </a:p>
            </c:rich>
          </c:tx>
          <c:layout>
            <c:manualLayout>
              <c:xMode val="edge"/>
              <c:yMode val="edge"/>
              <c:x val="0.63594130825180029"/>
              <c:y val="0.86394155604195677"/>
            </c:manualLayout>
          </c:layout>
          <c:overlay val="0"/>
        </c:title>
        <c:numFmt formatCode="General" sourceLinked="1"/>
        <c:majorTickMark val="out"/>
        <c:minorTickMark val="none"/>
        <c:tickLblPos val="nextTo"/>
        <c:spPr>
          <a:noFill/>
          <a:ln w="3175" cap="flat" cmpd="sng" algn="ctr">
            <a:solidFill>
              <a:srgbClr val="BCBFC1"/>
            </a:solidFill>
            <a:prstDash val="solid"/>
            <a:round/>
            <a:headEnd type="none" w="med" len="med"/>
            <a:tailEnd type="none" w="med" len="med"/>
          </a:ln>
          <a:effectLst/>
        </c:spPr>
        <c:txPr>
          <a:bodyPr rot="-60000000" vert="horz"/>
          <a:lstStyle/>
          <a:p>
            <a:pPr>
              <a:defRPr sz="850"/>
            </a:pPr>
            <a:endParaRPr lang="en-US"/>
          </a:p>
        </c:txPr>
        <c:crossAx val="348173104"/>
        <c:crosses val="autoZero"/>
        <c:crossBetween val="between"/>
      </c:valAx>
      <c:spPr>
        <a:noFill/>
        <a:ln w="25400">
          <a:noFill/>
        </a:ln>
      </c:spPr>
    </c:plotArea>
    <c:legend>
      <c:legendPos val="b"/>
      <c:layout>
        <c:manualLayout>
          <c:xMode val="edge"/>
          <c:yMode val="edge"/>
          <c:x val="0.1940863799347736"/>
          <c:y val="0.91570008622568388"/>
          <c:w val="0.65038697393947043"/>
          <c:h val="6.5474288638108002E-2"/>
        </c:manualLayout>
      </c:layout>
      <c:overlay val="0"/>
      <c:spPr>
        <a:noFill/>
        <a:ln w="25400">
          <a:noFill/>
        </a:ln>
      </c:spPr>
      <c:txPr>
        <a:bodyPr rot="0" vert="horz"/>
        <a:lstStyle/>
        <a:p>
          <a:pPr>
            <a:defRPr sz="850" b="0" u="none">
              <a:solidFill>
                <a:srgbClr val="595A5B"/>
              </a:solidFill>
              <a:latin typeface="Arial"/>
              <a:ea typeface="Arial"/>
              <a:cs typeface="Arial"/>
            </a:defRPr>
          </a:pPr>
          <a:endParaRPr lang="en-US"/>
        </a:p>
      </c:txPr>
    </c:legend>
    <c:plotVisOnly val="1"/>
    <c:dispBlanksAs val="gap"/>
    <c:showDLblsOverMax val="0"/>
  </c:chart>
  <c:spPr>
    <a:solidFill>
      <a:schemeClr val="bg1"/>
    </a:solidFill>
    <a:ln w="25400">
      <a:noFill/>
    </a:ln>
    <a:effectLst/>
  </c:spPr>
  <c:txPr>
    <a:bodyPr/>
    <a:lstStyle/>
    <a:p>
      <a:pPr>
        <a:defRPr sz="900" b="0">
          <a:solidFill>
            <a:srgbClr val="595A5B"/>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345450301507"/>
          <c:y val="6.3127690100430414E-2"/>
          <c:w val="0.84558812317386289"/>
          <c:h val="0.7078909612625538"/>
        </c:manualLayout>
      </c:layout>
      <c:scatterChart>
        <c:scatterStyle val="lineMarker"/>
        <c:varyColors val="0"/>
        <c:ser>
          <c:idx val="0"/>
          <c:order val="0"/>
          <c:tx>
            <c:strRef>
              <c:f>chartdata!$R$1</c:f>
              <c:strCache>
                <c:ptCount val="1"/>
              </c:strCache>
            </c:strRef>
          </c:tx>
          <c:spPr>
            <a:ln w="19050" cap="rnd">
              <a:noFill/>
              <a:round/>
            </a:ln>
            <a:effectLst/>
          </c:spPr>
          <c:marker>
            <c:symbol val="circle"/>
            <c:size val="5"/>
            <c:spPr>
              <a:solidFill>
                <a:srgbClr val="56B4DF"/>
              </a:solidFill>
              <a:ln w="9525">
                <a:noFill/>
              </a:ln>
              <a:effectLst/>
            </c:spPr>
          </c:marker>
          <c:dLbls>
            <c:dLbl>
              <c:idx val="0"/>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1"/>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2"/>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3"/>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4"/>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5"/>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6"/>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7"/>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8"/>
              <c:layout>
                <c:manualLayout>
                  <c:x val="-6.4798904692722065E-2"/>
                  <c:y val="4.0817903500943303E-2"/>
                </c:manualLayout>
              </c:layout>
              <c:tx>
                <c:rich>
                  <a:bodyPr/>
                  <a:lstStyle/>
                  <a:p>
                    <a:endParaRPr lang="en-US"/>
                  </a:p>
                </c:rich>
              </c:tx>
              <c:dLblPos val="r"/>
              <c:showLegendKey val="0"/>
              <c:showVal val="0"/>
              <c:showCatName val="0"/>
              <c:showSerName val="0"/>
              <c:showPercent val="0"/>
              <c:showBubbleSize val="0"/>
              <c:extLst>
                <c:ext xmlns:c15="http://schemas.microsoft.com/office/drawing/2012/chart" uri="{CE6537A1-D6FC-4f65-9D91-7224C49458BB}"/>
              </c:extLst>
            </c:dLbl>
            <c:dLbl>
              <c:idx val="9"/>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10"/>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11"/>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12"/>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13"/>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dLbl>
              <c:idx val="14"/>
              <c:tx>
                <c:rich>
                  <a:bodyPr/>
                  <a:lstStyle/>
                  <a:p>
                    <a:endParaRPr lang="en-US"/>
                  </a:p>
                </c:rich>
              </c:tx>
              <c:dLblPos val="t"/>
              <c:showLegendKey val="0"/>
              <c:showVal val="0"/>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50" b="0" i="0" u="none" strike="noStrike" kern="1200" baseline="0">
                    <a:solidFill>
                      <a:srgbClr val="595A5B"/>
                    </a:solidFill>
                    <a:latin typeface="Arial"/>
                    <a:ea typeface="Arial"/>
                    <a:cs typeface="Arial"/>
                  </a:defRPr>
                </a:pPr>
                <a:endParaRPr lang="en-US"/>
              </a:p>
            </c:txPr>
            <c:dLblPos val="t"/>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5CAF"/>
                </a:solidFill>
                <a:prstDash val="solid"/>
              </a:ln>
              <a:effectLst/>
            </c:spPr>
            <c:trendlineType val="linear"/>
            <c:dispRSqr val="0"/>
            <c:dispEq val="0"/>
          </c:trendline>
          <c:xVal>
            <c:numRef>
              <c:f>chartdata!$R$2:$R$16</c:f>
              <c:numCache>
                <c:formatCode>General</c:formatCode>
                <c:ptCount val="15"/>
              </c:numCache>
            </c:numRef>
          </c:xVal>
          <c:yVal>
            <c:numRef>
              <c:f>chartdata!$G$2:$G$16</c:f>
              <c:numCache>
                <c:formatCode>General</c:formatCode>
                <c:ptCount val="15"/>
                <c:pt idx="0">
                  <c:v>2.0986358608323301</c:v>
                </c:pt>
                <c:pt idx="1">
                  <c:v>7.3958336833877398</c:v>
                </c:pt>
                <c:pt idx="2">
                  <c:v>2.6694044923220801</c:v>
                </c:pt>
                <c:pt idx="3">
                  <c:v>8.0000003973643103</c:v>
                </c:pt>
                <c:pt idx="4">
                  <c:v>4.7169812646952698</c:v>
                </c:pt>
                <c:pt idx="5">
                  <c:v>5.2301254977407599</c:v>
                </c:pt>
                <c:pt idx="6">
                  <c:v>3.5789474955556102</c:v>
                </c:pt>
                <c:pt idx="7">
                  <c:v>11.586638928316001</c:v>
                </c:pt>
                <c:pt idx="8">
                  <c:v>16.907216982629102</c:v>
                </c:pt>
                <c:pt idx="9">
                  <c:v>7.6190474688721403</c:v>
                </c:pt>
                <c:pt idx="10">
                  <c:v>7.5335395880600897</c:v>
                </c:pt>
                <c:pt idx="11">
                  <c:v>11.6719244706361</c:v>
                </c:pt>
                <c:pt idx="12">
                  <c:v>8.6134458220766597</c:v>
                </c:pt>
                <c:pt idx="13">
                  <c:v>13.163717129608401</c:v>
                </c:pt>
                <c:pt idx="14">
                  <c:v>4.2487046664127703</c:v>
                </c:pt>
              </c:numCache>
            </c:numRef>
          </c:yVal>
          <c:smooth val="0"/>
          <c:extLst/>
        </c:ser>
        <c:ser>
          <c:idx val="1"/>
          <c:order val="1"/>
          <c:tx>
            <c:strRef>
              <c:f>chartdata!$G$1</c:f>
              <c:strCache>
                <c:ptCount val="1"/>
                <c:pt idx="0">
                  <c:v>High</c:v>
                </c:pt>
              </c:strCache>
            </c:strRef>
          </c:tx>
          <c:spPr>
            <a:ln w="25400" cap="rnd">
              <a:noFill/>
              <a:round/>
            </a:ln>
            <a:effectLst/>
          </c:spPr>
          <c:marker>
            <c:symbol val="circle"/>
            <c:size val="5"/>
            <c:spPr>
              <a:solidFill>
                <a:srgbClr val="56B4DF"/>
              </a:solidFill>
              <a:ln w="9525">
                <a:noFill/>
              </a:ln>
              <a:effectLst/>
            </c:spPr>
          </c:marker>
          <c:dLbls>
            <c:dLbl>
              <c:idx val="0"/>
              <c:layout/>
              <c:tx>
                <c:rich>
                  <a:bodyPr/>
                  <a:lstStyle/>
                  <a:p>
                    <a:fld id="{A9383882-CF66-4765-AD12-29A20FE67FB5}" type="CELLRANGE">
                      <a:rPr lang="en-US"/>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Lst>
            </c:dLbl>
            <c:dLbl>
              <c:idx val="1"/>
              <c:layout/>
              <c:tx>
                <c:rich>
                  <a:bodyPr/>
                  <a:lstStyle/>
                  <a:p>
                    <a:fld id="{29247C40-59E3-4C48-AD5C-AB22271F3306}"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2"/>
              <c:layout/>
              <c:tx>
                <c:rich>
                  <a:bodyPr/>
                  <a:lstStyle/>
                  <a:p>
                    <a:fld id="{27F90384-D49E-4651-A769-6B7F9EDBD468}"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3"/>
              <c:layout/>
              <c:tx>
                <c:rich>
                  <a:bodyPr/>
                  <a:lstStyle/>
                  <a:p>
                    <a:fld id="{181F183D-2961-42C5-96BD-39327E3D4E52}"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4"/>
              <c:layout/>
              <c:tx>
                <c:rich>
                  <a:bodyPr/>
                  <a:lstStyle/>
                  <a:p>
                    <a:fld id="{2F7DF39F-D3AA-4FF1-9CE6-2EE5DEC51FB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5"/>
              <c:layout/>
              <c:tx>
                <c:rich>
                  <a:bodyPr/>
                  <a:lstStyle/>
                  <a:p>
                    <a:fld id="{D464E1B7-AFBF-4AC1-AE96-3AA10BB29E2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6"/>
              <c:layout/>
              <c:tx>
                <c:rich>
                  <a:bodyPr/>
                  <a:lstStyle/>
                  <a:p>
                    <a:fld id="{E6A6A587-AB11-486D-BFE9-D17FE918F54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7"/>
              <c:layout/>
              <c:tx>
                <c:rich>
                  <a:bodyPr/>
                  <a:lstStyle/>
                  <a:p>
                    <a:fld id="{ADCEFFD6-6B6C-4F57-82DB-67906D0CBA65}"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8"/>
              <c:layout/>
              <c:tx>
                <c:rich>
                  <a:bodyPr/>
                  <a:lstStyle/>
                  <a:p>
                    <a:fld id="{2DC830FB-6C0D-437B-B8F7-5EB9A1B3711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9"/>
              <c:layout/>
              <c:tx>
                <c:rich>
                  <a:bodyPr/>
                  <a:lstStyle/>
                  <a:p>
                    <a:fld id="{426867CC-63DC-45A1-97E9-F61978A315F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0"/>
              <c:layout/>
              <c:tx>
                <c:rich>
                  <a:bodyPr/>
                  <a:lstStyle/>
                  <a:p>
                    <a:fld id="{182870E4-8A79-4E56-BF75-F2F291C251AD}"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1"/>
              <c:layout/>
              <c:tx>
                <c:rich>
                  <a:bodyPr/>
                  <a:lstStyle/>
                  <a:p>
                    <a:fld id="{C2C4A12C-7891-4F0A-B2CD-C37501E83501}"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2"/>
              <c:layout/>
              <c:tx>
                <c:rich>
                  <a:bodyPr/>
                  <a:lstStyle/>
                  <a:p>
                    <a:fld id="{14814C90-B2A2-4ABE-B715-9ACEF417152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3"/>
              <c:layout/>
              <c:tx>
                <c:rich>
                  <a:bodyPr/>
                  <a:lstStyle/>
                  <a:p>
                    <a:fld id="{26285D1D-DDEF-4943-B373-ECF6ABBF7B77}"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dLbl>
              <c:idx val="14"/>
              <c:layout/>
              <c:tx>
                <c:rich>
                  <a:bodyPr/>
                  <a:lstStyle/>
                  <a:p>
                    <a:fld id="{562F68D5-5032-469E-9574-565A28CD83EA}" type="CELLRANGE">
                      <a:rPr lang="en-AU"/>
                      <a:pPr/>
                      <a:t>[CELLRANGE]</a:t>
                    </a:fld>
                    <a:endParaRPr lang="en-AU"/>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A5B"/>
                    </a:solidFill>
                    <a:latin typeface="Arial"/>
                    <a:ea typeface="Arial"/>
                    <a:cs typeface="Arial"/>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005CAF"/>
                </a:solidFill>
                <a:prstDash val="solid"/>
              </a:ln>
              <a:effectLst/>
            </c:spPr>
            <c:trendlineType val="linear"/>
            <c:dispRSqr val="0"/>
            <c:dispEq val="0"/>
          </c:trendline>
          <c:xVal>
            <c:numRef>
              <c:f>chartdata!$U$2:$U$16</c:f>
              <c:numCache>
                <c:formatCode>General</c:formatCode>
                <c:ptCount val="15"/>
                <c:pt idx="0">
                  <c:v>0.28999999999999998</c:v>
                </c:pt>
                <c:pt idx="1">
                  <c:v>1.87</c:v>
                </c:pt>
                <c:pt idx="2">
                  <c:v>0.34</c:v>
                </c:pt>
                <c:pt idx="3">
                  <c:v>1.6</c:v>
                </c:pt>
                <c:pt idx="4">
                  <c:v>0.85</c:v>
                </c:pt>
                <c:pt idx="5">
                  <c:v>2.0299999999999998</c:v>
                </c:pt>
                <c:pt idx="6">
                  <c:v>2.78</c:v>
                </c:pt>
                <c:pt idx="7">
                  <c:v>1.9</c:v>
                </c:pt>
                <c:pt idx="8">
                  <c:v>1.78</c:v>
                </c:pt>
                <c:pt idx="9">
                  <c:v>0.76</c:v>
                </c:pt>
                <c:pt idx="10">
                  <c:v>0.67</c:v>
                </c:pt>
                <c:pt idx="11">
                  <c:v>2.98</c:v>
                </c:pt>
                <c:pt idx="12">
                  <c:v>1.67</c:v>
                </c:pt>
                <c:pt idx="13">
                  <c:v>0.79</c:v>
                </c:pt>
                <c:pt idx="14">
                  <c:v>0.06</c:v>
                </c:pt>
              </c:numCache>
            </c:numRef>
          </c:xVal>
          <c:yVal>
            <c:numRef>
              <c:f>chartdata!$V$2:$V$16</c:f>
              <c:numCache>
                <c:formatCode>General</c:formatCode>
                <c:ptCount val="15"/>
                <c:pt idx="0">
                  <c:v>2.0986358608323301</c:v>
                </c:pt>
                <c:pt idx="1">
                  <c:v>7.3958336833877398</c:v>
                </c:pt>
                <c:pt idx="2">
                  <c:v>2.6694044923220801</c:v>
                </c:pt>
                <c:pt idx="3">
                  <c:v>8.0000003973643103</c:v>
                </c:pt>
                <c:pt idx="4">
                  <c:v>4.7169812646952698</c:v>
                </c:pt>
                <c:pt idx="5">
                  <c:v>5.2301254977407599</c:v>
                </c:pt>
                <c:pt idx="6">
                  <c:v>3.5789474955556102</c:v>
                </c:pt>
                <c:pt idx="7">
                  <c:v>11.586638928316001</c:v>
                </c:pt>
                <c:pt idx="8">
                  <c:v>16.907216982629102</c:v>
                </c:pt>
                <c:pt idx="9">
                  <c:v>7.6190474688721403</c:v>
                </c:pt>
                <c:pt idx="10">
                  <c:v>7.5335395880600897</c:v>
                </c:pt>
                <c:pt idx="11">
                  <c:v>11.6719244706361</c:v>
                </c:pt>
                <c:pt idx="12">
                  <c:v>8.6134458220766597</c:v>
                </c:pt>
                <c:pt idx="13">
                  <c:v>13.163717129608401</c:v>
                </c:pt>
                <c:pt idx="14">
                  <c:v>4.2487046664127703</c:v>
                </c:pt>
              </c:numCache>
            </c:numRef>
          </c:yVal>
          <c:smooth val="0"/>
          <c:extLst>
            <c:ext xmlns:c15="http://schemas.microsoft.com/office/drawing/2012/chart" uri="{02D57815-91ED-43cb-92C2-25804820EDAC}">
              <c15:datalabelsRange>
                <c15:f>chartdata!$B$2:$B$16</c15:f>
                <c15:dlblRangeCache>
                  <c:ptCount val="15"/>
                  <c:pt idx="0">
                    <c:v>A</c:v>
                  </c:pt>
                  <c:pt idx="1">
                    <c:v>C</c:v>
                  </c:pt>
                  <c:pt idx="2">
                    <c:v>E</c:v>
                  </c:pt>
                  <c:pt idx="3">
                    <c:v>F</c:v>
                  </c:pt>
                  <c:pt idx="4">
                    <c:v>G</c:v>
                  </c:pt>
                  <c:pt idx="5">
                    <c:v>H</c:v>
                  </c:pt>
                  <c:pt idx="6">
                    <c:v>I</c:v>
                  </c:pt>
                  <c:pt idx="7">
                    <c:v>J</c:v>
                  </c:pt>
                  <c:pt idx="8">
                    <c:v>K</c:v>
                  </c:pt>
                  <c:pt idx="9">
                    <c:v>L</c:v>
                  </c:pt>
                  <c:pt idx="10">
                    <c:v>M</c:v>
                  </c:pt>
                  <c:pt idx="11">
                    <c:v>N</c:v>
                  </c:pt>
                  <c:pt idx="12">
                    <c:v>Q</c:v>
                  </c:pt>
                  <c:pt idx="13">
                    <c:v>R</c:v>
                  </c:pt>
                  <c:pt idx="14">
                    <c:v>S</c:v>
                  </c:pt>
                </c15:dlblRangeCache>
              </c15:datalabelsRange>
            </c:ext>
          </c:extLst>
        </c:ser>
        <c:dLbls>
          <c:showLegendKey val="0"/>
          <c:showVal val="0"/>
          <c:showCatName val="0"/>
          <c:showSerName val="0"/>
          <c:showPercent val="0"/>
          <c:showBubbleSize val="0"/>
        </c:dLbls>
        <c:axId val="348178592"/>
        <c:axId val="348175456"/>
      </c:scatterChart>
      <c:valAx>
        <c:axId val="348178592"/>
        <c:scaling>
          <c:orientation val="minMax"/>
        </c:scaling>
        <c:delete val="0"/>
        <c:axPos val="b"/>
        <c:title>
          <c:tx>
            <c:rich>
              <a:bodyPr rot="0" spcFirstLastPara="1" vertOverflow="ellipsis" vert="horz" wrap="square" anchor="ctr" anchorCtr="1"/>
              <a:lstStyle/>
              <a:p>
                <a:pPr>
                  <a:defRPr sz="850" b="0" i="0" u="none" strike="noStrike" kern="1200" baseline="0">
                    <a:solidFill>
                      <a:srgbClr val="373737"/>
                    </a:solidFill>
                    <a:latin typeface="Arial"/>
                    <a:ea typeface="Arial"/>
                    <a:cs typeface="Arial"/>
                  </a:defRPr>
                </a:pPr>
                <a:r>
                  <a:rPr lang="en-US" sz="850">
                    <a:solidFill>
                      <a:srgbClr val="373737"/>
                    </a:solidFill>
                  </a:rPr>
                  <a:t>Share of firms with 100 or more employees (per cent)</a:t>
                </a:r>
              </a:p>
            </c:rich>
          </c:tx>
          <c:layout/>
          <c:overlay val="0"/>
          <c:spPr>
            <a:noFill/>
            <a:ln>
              <a:noFill/>
            </a:ln>
            <a:effectLst/>
          </c:spPr>
          <c:txPr>
            <a:bodyPr rot="0" spcFirstLastPara="1" vertOverflow="ellipsis" vert="horz" wrap="square" anchor="ctr" anchorCtr="1"/>
            <a:lstStyle/>
            <a:p>
              <a:pPr>
                <a:defRPr sz="85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850" b="0" i="0" u="none" strike="noStrike" kern="1200" baseline="0">
                <a:solidFill>
                  <a:srgbClr val="373737"/>
                </a:solidFill>
                <a:latin typeface="Arial"/>
                <a:ea typeface="Arial"/>
                <a:cs typeface="Arial"/>
              </a:defRPr>
            </a:pPr>
            <a:endParaRPr lang="en-US"/>
          </a:p>
        </c:txPr>
        <c:crossAx val="348175456"/>
        <c:crosses val="autoZero"/>
        <c:crossBetween val="midCat"/>
      </c:valAx>
      <c:valAx>
        <c:axId val="348175456"/>
        <c:scaling>
          <c:orientation val="minMax"/>
        </c:scaling>
        <c:delete val="0"/>
        <c:axPos val="l"/>
        <c:title>
          <c:tx>
            <c:rich>
              <a:bodyPr rot="-5400000" spcFirstLastPara="1" vertOverflow="ellipsis" vert="horz" wrap="square" anchor="ctr" anchorCtr="1"/>
              <a:lstStyle/>
              <a:p>
                <a:pPr>
                  <a:defRPr sz="850" b="0" i="0" u="none" strike="noStrike" kern="1200" baseline="0">
                    <a:solidFill>
                      <a:srgbClr val="373737"/>
                    </a:solidFill>
                    <a:latin typeface="Arial"/>
                    <a:ea typeface="Arial"/>
                    <a:cs typeface="Arial"/>
                  </a:defRPr>
                </a:pPr>
                <a:r>
                  <a:rPr lang="en-US" sz="850">
                    <a:solidFill>
                      <a:srgbClr val="373737"/>
                    </a:solidFill>
                  </a:rPr>
                  <a:t>Share of firms in top category of strategicmangement (per cnet)</a:t>
                </a:r>
              </a:p>
            </c:rich>
          </c:tx>
          <c:layout/>
          <c:overlay val="0"/>
          <c:spPr>
            <a:noFill/>
            <a:ln>
              <a:noFill/>
            </a:ln>
            <a:effectLst/>
          </c:spPr>
          <c:txPr>
            <a:bodyPr rot="-5400000" spcFirstLastPara="1" vertOverflow="ellipsis" vert="horz" wrap="square" anchor="ctr" anchorCtr="1"/>
            <a:lstStyle/>
            <a:p>
              <a:pPr>
                <a:defRPr sz="850" b="0" i="0" u="none" strike="noStrike" kern="1200" baseline="0">
                  <a:solidFill>
                    <a:srgbClr val="373737"/>
                  </a:solidFill>
                  <a:latin typeface="Arial"/>
                  <a:ea typeface="Arial"/>
                  <a:cs typeface="Arial"/>
                </a:defRPr>
              </a:pPr>
              <a:endParaRPr lang="en-US"/>
            </a:p>
          </c:txPr>
        </c:title>
        <c:numFmt formatCode="General" sourceLinked="1"/>
        <c:majorTickMark val="out"/>
        <c:minorTickMark val="none"/>
        <c:tickLblPos val="nextTo"/>
        <c:spPr>
          <a:noFill/>
          <a:ln w="3175" cap="flat" cmpd="sng" algn="ctr">
            <a:solidFill>
              <a:srgbClr val="BCBFC1"/>
            </a:solidFill>
            <a:prstDash val="solid"/>
            <a:round/>
          </a:ln>
          <a:effectLst/>
        </c:spPr>
        <c:txPr>
          <a:bodyPr rot="-60000000" spcFirstLastPara="1" vertOverflow="ellipsis" vert="horz" wrap="square" anchor="ctr" anchorCtr="1"/>
          <a:lstStyle/>
          <a:p>
            <a:pPr>
              <a:defRPr sz="850" b="0" i="0" u="none" strike="noStrike" kern="1200" baseline="0">
                <a:solidFill>
                  <a:srgbClr val="373737"/>
                </a:solidFill>
                <a:latin typeface="Arial"/>
                <a:ea typeface="Arial"/>
                <a:cs typeface="Arial"/>
              </a:defRPr>
            </a:pPr>
            <a:endParaRPr lang="en-US"/>
          </a:p>
        </c:txPr>
        <c:crossAx val="348178592"/>
        <c:crosses val="autoZero"/>
        <c:crossBetween val="midCat"/>
      </c:valAx>
      <c:spPr>
        <a:noFill/>
        <a:ln w="25400">
          <a:noFill/>
        </a:ln>
        <a:effectLst/>
      </c:spPr>
    </c:plotArea>
    <c:plotVisOnly val="1"/>
    <c:dispBlanksAs val="gap"/>
    <c:showDLblsOverMax val="0"/>
  </c:chart>
  <c:spPr>
    <a:solidFill>
      <a:schemeClr val="bg1"/>
    </a:solidFill>
    <a:ln w="25400" cap="flat" cmpd="sng" algn="ctr">
      <a:noFill/>
      <a:round/>
    </a:ln>
    <a:effectLst/>
  </c:spPr>
  <c:txPr>
    <a:bodyPr/>
    <a:lstStyle/>
    <a:p>
      <a:pPr>
        <a:defRPr sz="900" b="0">
          <a:solidFill>
            <a:srgbClr val="595A5B"/>
          </a:solidFill>
          <a:latin typeface="Arial"/>
          <a:ea typeface="Arial"/>
          <a:cs typeface="Aria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0.21917</cdr:x>
      <cdr:y>0.11583</cdr:y>
    </cdr:from>
    <cdr:to>
      <cdr:x>0.91104</cdr:x>
      <cdr:y>0.83549</cdr:y>
    </cdr:to>
    <cdr:cxnSp macro="">
      <cdr:nvCxnSpPr>
        <cdr:cNvPr id="3" name="Straight Connector 2"/>
        <cdr:cNvCxnSpPr/>
      </cdr:nvCxnSpPr>
      <cdr:spPr>
        <a:xfrm xmlns:a="http://schemas.openxmlformats.org/drawingml/2006/main" flipV="1">
          <a:off x="669840" y="333572"/>
          <a:ext cx="2114532" cy="2072423"/>
        </a:xfrm>
        <a:prstGeom xmlns:a="http://schemas.openxmlformats.org/drawingml/2006/main" prst="line">
          <a:avLst/>
        </a:prstGeom>
        <a:ln xmlns:a="http://schemas.openxmlformats.org/drawingml/2006/main" w="19050">
          <a:solidFill>
            <a:srgbClr val="BCBFC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0.60078</cdr:x>
      <cdr:y>0.46605</cdr:y>
    </cdr:from>
    <cdr:to>
      <cdr:x>0.9772</cdr:x>
      <cdr:y>0.87671</cdr:y>
    </cdr:to>
    <cdr:sp macro="" textlink="">
      <cdr:nvSpPr>
        <cdr:cNvPr id="5" name="Text Box 4"/>
        <cdr:cNvSpPr txBox="1"/>
      </cdr:nvSpPr>
      <cdr:spPr>
        <a:xfrm xmlns:a="http://schemas.openxmlformats.org/drawingml/2006/main">
          <a:off x="1771650" y="1555460"/>
          <a:ext cx="1110042" cy="13706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a:solidFill>
                <a:srgbClr val="373737"/>
              </a:solidFill>
              <a:latin typeface="+mj-lt"/>
            </a:rPr>
            <a:t>45</a:t>
          </a:r>
          <a:r>
            <a:rPr lang="en-AU" sz="900" baseline="0">
              <a:solidFill>
                <a:srgbClr val="373737"/>
              </a:solidFill>
              <a:latin typeface="+mj-lt"/>
            </a:rPr>
            <a:t> degree line indicating where average managment practice scores are equal to average self-scores</a:t>
          </a:r>
          <a:endParaRPr lang="en-AU" sz="900">
            <a:solidFill>
              <a:srgbClr val="373737"/>
            </a:solidFill>
            <a:latin typeface="+mj-lt"/>
          </a:endParaRPr>
        </a:p>
      </cdr:txBody>
    </cdr:sp>
  </cdr:relSizeAnchor>
  <cdr:relSizeAnchor xmlns:cdr="http://schemas.openxmlformats.org/drawingml/2006/chartDrawing">
    <cdr:from>
      <cdr:x>0.69466</cdr:x>
      <cdr:y>0.37329</cdr:y>
    </cdr:from>
    <cdr:to>
      <cdr:x>0.78899</cdr:x>
      <cdr:y>0.46605</cdr:y>
    </cdr:to>
    <cdr:cxnSp macro="">
      <cdr:nvCxnSpPr>
        <cdr:cNvPr id="7" name="Straight Arrow Connector 6"/>
        <cdr:cNvCxnSpPr>
          <a:stCxn xmlns:a="http://schemas.openxmlformats.org/drawingml/2006/main" id="5" idx="0"/>
        </cdr:cNvCxnSpPr>
      </cdr:nvCxnSpPr>
      <cdr:spPr>
        <a:xfrm xmlns:a="http://schemas.openxmlformats.org/drawingml/2006/main" flipH="1" flipV="1">
          <a:off x="2080260" y="1245870"/>
          <a:ext cx="282483" cy="309590"/>
        </a:xfrm>
        <a:prstGeom xmlns:a="http://schemas.openxmlformats.org/drawingml/2006/main" prst="straightConnector1">
          <a:avLst/>
        </a:prstGeom>
        <a:ln xmlns:a="http://schemas.openxmlformats.org/drawingml/2006/main">
          <a:solidFill>
            <a:srgbClr val="373737"/>
          </a:solidFill>
          <a:headEnd w="sm" len="sm"/>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3ABF86518E4B9E88FAD4A12C731797"/>
        <w:category>
          <w:name w:val="General"/>
          <w:gallery w:val="placeholder"/>
        </w:category>
        <w:types>
          <w:type w:val="bbPlcHdr"/>
        </w:types>
        <w:behaviors>
          <w:behavior w:val="content"/>
        </w:behaviors>
        <w:guid w:val="{5DD890C6-49BA-4D93-B092-6312D6F93B30}"/>
      </w:docPartPr>
      <w:docPartBody>
        <w:p w:rsidR="00195FBA" w:rsidRDefault="00174EC9" w:rsidP="00174EC9">
          <w:pPr>
            <w:pStyle w:val="9A3ABF86518E4B9E88FAD4A12C731797"/>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C9"/>
    <w:rsid w:val="0005100A"/>
    <w:rsid w:val="000618FF"/>
    <w:rsid w:val="0008519E"/>
    <w:rsid w:val="000B6225"/>
    <w:rsid w:val="000D0F34"/>
    <w:rsid w:val="00115BF3"/>
    <w:rsid w:val="00160257"/>
    <w:rsid w:val="00174EC9"/>
    <w:rsid w:val="00195FBA"/>
    <w:rsid w:val="00236B0B"/>
    <w:rsid w:val="002C4BE6"/>
    <w:rsid w:val="00311370"/>
    <w:rsid w:val="003163AE"/>
    <w:rsid w:val="003C08B9"/>
    <w:rsid w:val="003D3AB4"/>
    <w:rsid w:val="00482F3B"/>
    <w:rsid w:val="004B3BF2"/>
    <w:rsid w:val="004E0C36"/>
    <w:rsid w:val="0051147E"/>
    <w:rsid w:val="00547ED7"/>
    <w:rsid w:val="00550AC4"/>
    <w:rsid w:val="005669E9"/>
    <w:rsid w:val="00577F5A"/>
    <w:rsid w:val="0059448A"/>
    <w:rsid w:val="005D1D6F"/>
    <w:rsid w:val="006005A5"/>
    <w:rsid w:val="00624904"/>
    <w:rsid w:val="00634595"/>
    <w:rsid w:val="00642BDF"/>
    <w:rsid w:val="00664DFF"/>
    <w:rsid w:val="00724AC9"/>
    <w:rsid w:val="0075353E"/>
    <w:rsid w:val="007F554D"/>
    <w:rsid w:val="00846FCD"/>
    <w:rsid w:val="0085148D"/>
    <w:rsid w:val="0085258E"/>
    <w:rsid w:val="00865E40"/>
    <w:rsid w:val="008C63D8"/>
    <w:rsid w:val="008C64C5"/>
    <w:rsid w:val="008F4F72"/>
    <w:rsid w:val="00900184"/>
    <w:rsid w:val="00925287"/>
    <w:rsid w:val="0099253D"/>
    <w:rsid w:val="009C04AE"/>
    <w:rsid w:val="009D53D3"/>
    <w:rsid w:val="009E47DE"/>
    <w:rsid w:val="00A317C0"/>
    <w:rsid w:val="00A41A18"/>
    <w:rsid w:val="00A65381"/>
    <w:rsid w:val="00A72CB8"/>
    <w:rsid w:val="00A9528F"/>
    <w:rsid w:val="00AA0EB3"/>
    <w:rsid w:val="00B436FE"/>
    <w:rsid w:val="00B57369"/>
    <w:rsid w:val="00BC15EB"/>
    <w:rsid w:val="00C0263A"/>
    <w:rsid w:val="00C07AE6"/>
    <w:rsid w:val="00C115AB"/>
    <w:rsid w:val="00C603BD"/>
    <w:rsid w:val="00C60832"/>
    <w:rsid w:val="00C81D02"/>
    <w:rsid w:val="00CF22BF"/>
    <w:rsid w:val="00CF44FB"/>
    <w:rsid w:val="00D12791"/>
    <w:rsid w:val="00D20B95"/>
    <w:rsid w:val="00D309C0"/>
    <w:rsid w:val="00D96AE6"/>
    <w:rsid w:val="00DE15C1"/>
    <w:rsid w:val="00E363AC"/>
    <w:rsid w:val="00E616E5"/>
    <w:rsid w:val="00F0049D"/>
    <w:rsid w:val="00F41B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EC9"/>
    <w:rPr>
      <w:color w:val="808080"/>
    </w:rPr>
  </w:style>
  <w:style w:type="paragraph" w:customStyle="1" w:styleId="9A3ABF86518E4B9E88FAD4A12C731797">
    <w:name w:val="9A3ABF86518E4B9E88FAD4A12C731797"/>
    <w:rsid w:val="00174EC9"/>
  </w:style>
  <w:style w:type="paragraph" w:customStyle="1" w:styleId="8790CB8A26A74CB79F1B81E603C944AF">
    <w:name w:val="8790CB8A26A74CB79F1B81E603C944AF"/>
    <w:rsid w:val="00E363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Custom 1">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38FC13F25CFC48B3E9413FBC0DABDD" ma:contentTypeVersion="13" ma:contentTypeDescription="Create a new document." ma:contentTypeScope="" ma:versionID="35ff0ac804b9aca81c8df39c2e31e142">
  <xsd:schema xmlns:xsd="http://www.w3.org/2001/XMLSchema" xmlns:xs="http://www.w3.org/2001/XMLSchema" xmlns:p="http://schemas.microsoft.com/office/2006/metadata/properties" xmlns:ns1="http://schemas.microsoft.com/sharepoint/v3" xmlns:ns2="e47d1c65-9f6c-49e5-a774-2c92ccb46d02" targetNamespace="http://schemas.microsoft.com/office/2006/metadata/properties" ma:root="true" ma:fieldsID="cf92236c3e19656b663d5895a1787f7b" ns1:_="" ns2:_="">
    <xsd:import namespace="http://schemas.microsoft.com/sharepoint/v3"/>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99e4c9942c6404eb103464a00e6097b xmlns="e47d1c65-9f6c-49e5-a774-2c92ccb46d02">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e47d1c65-9f6c-49e5-a774-2c92ccb46d02">
      <Terms xmlns="http://schemas.microsoft.com/office/infopath/2007/PartnerControls"/>
    </adb9bed2e36e4a93af574aeb444da63e>
    <pe2555c81638466f9eb614edb9ecde52 xmlns="e47d1c65-9f6c-49e5-a774-2c92ccb46d02">
      <Terms xmlns="http://schemas.microsoft.com/office/infopath/2007/PartnerControls">
        <TermInfo xmlns="http://schemas.microsoft.com/office/infopath/2007/PartnerControls">
          <TermName xmlns="http://schemas.microsoft.com/office/infopath/2007/PartnerControls">Analysis</TermName>
          <TermId xmlns="http://schemas.microsoft.com/office/infopath/2007/PartnerControls">48c54089-4c01-49cb-b266-0173afb66157</TermId>
        </TermInfo>
      </Terms>
    </pe2555c81638466f9eb614edb9ecde52>
    <TaxCatchAll xmlns="e47d1c65-9f6c-49e5-a774-2c92ccb46d02">
      <Value>1480</Value>
      <Value>82</Value>
      <Value>3</Value>
      <Value>38</Value>
    </TaxCatchAll>
    <aa25a1a23adf4c92a153145de6afe324 xmlns="e47d1c65-9f6c-49e5-a774-2c92ccb46d0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e47d1c65-9f6c-49e5-a774-2c92ccb46d02">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Comments xmlns="http://schemas.microsoft.com/sharepoint/v3" xsi:nil="true"/>
    <_dlc_DocId xmlns="e47d1c65-9f6c-49e5-a774-2c92ccb46d02">EUCW2WRC2PUD-35403349-16</_dlc_DocId>
    <_dlc_DocIdUrl xmlns="e47d1c65-9f6c-49e5-a774-2c92ccb46d02">
      <Url>https://dochub/div/economicanalyticalservices/businessfunctions/dataanalyticalservices/innovationresearch/_layouts/15/DocIdRedir.aspx?ID=EUCW2WRC2PUD-35403349-16</Url>
      <Description>EUCW2WRC2PUD-35403349-16</Description>
    </_dlc_DocIdUrl>
  </documentManagement>
</p:properti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b:Source>
    <b:Tag>Yuk02</b:Tag>
    <b:SourceType>JournalArticle</b:SourceType>
    <b:Guid>{B3A6B249-C855-4EE0-89F1-A55D66D75885}</b:Guid>
    <b:Title>A Hierarchical Taxonomy of Leadership Behavior: Integrating a Half Century of Behavior</b:Title>
    <b:JournalName>Journal of Leadership and Organizational Studies</b:JournalName>
    <b:Year>2002</b:Year>
    <b:Pages>15-32</b:Pages>
    <b:Volume>7</b:Volume>
    <b:Issue>1</b:Issue>
    <b:Author>
      <b:Author>
        <b:NameList>
          <b:Person>
            <b:Last>Yukl</b:Last>
            <b:First>Gary</b:First>
          </b:Person>
          <b:Person>
            <b:Last>Gordon</b:Last>
            <b:First>Angela</b:First>
          </b:Person>
          <b:Person>
            <b:Last>Taber</b:Last>
            <b:First>Tom</b:First>
          </b:Person>
        </b:NameList>
      </b:Author>
    </b:Author>
    <b:RefOrder>1</b:RefOrder>
  </b:Source>
  <b:Source>
    <b:Tag>Tet00</b:Tag>
    <b:SourceType>JournalArticle</b:SourceType>
    <b:Guid>{638FC0B1-313D-4188-9FD8-883951040243}</b:Guid>
    <b:Title>Development and Content Validation of a "Hyperdeminsional" Taxonomy of Managerial Competence</b:Title>
    <b:JournalName>Human Performance</b:JournalName>
    <b:Year>2000</b:Year>
    <b:Pages>205-251</b:Pages>
    <b:Volume>13</b:Volume>
    <b:Issue>3</b:Issue>
    <b:Author>
      <b:Author>
        <b:NameList>
          <b:Person>
            <b:Last>Tett</b:Last>
            <b:Middle>P</b:Middle>
            <b:First>Robert</b:First>
          </b:Person>
          <b:Person>
            <b:Last>Guterman</b:Last>
            <b:Middle>A</b:Middle>
            <b:First>Hal</b:First>
          </b:Person>
          <b:Person>
            <b:Last>Bleier </b:Last>
            <b:First>Angela</b:First>
          </b:Person>
          <b:Person>
            <b:Last>Murphy</b:Last>
            <b:Middle>J</b:Middle>
            <b:First>Patrick </b:First>
          </b:Person>
        </b:NameList>
      </b:Author>
    </b:Author>
    <b:RefOrder>2</b:RefOrder>
  </b:Source>
  <b:Source>
    <b:Tag>Tee87</b:Tag>
    <b:SourceType>BookSection</b:SourceType>
    <b:Guid>{BFCCEEA9-B3A9-4C9D-9453-F3BE27B4DF0C}</b:Guid>
    <b:Title>Technological Change and the Nature of the Firm</b:Title>
    <b:Year>1987</b:Year>
    <b:Publisher>Harper and Row</b:Publisher>
    <b:City>New York</b:City>
    <b:Author>
      <b:Author>
        <b:NameList>
          <b:Person>
            <b:Last>Teece</b:Last>
            <b:First>D</b:First>
          </b:Person>
        </b:NameList>
      </b:Author>
      <b:Editor>
        <b:NameList>
          <b:Person>
            <b:Last>Teece</b:Last>
            <b:First>D</b:First>
          </b:Person>
        </b:NameList>
      </b:Editor>
    </b:Author>
    <b:BookTitle>The Competitive Challenge</b:BookTitle>
    <b:Pages>256-281</b:Pages>
    <b:RefOrder>3</b:RefOrder>
  </b:Source>
  <b:Source>
    <b:Tag>Pen59</b:Tag>
    <b:SourceType>Report</b:SourceType>
    <b:Guid>{0B9EA855-D6C0-4E76-87FC-F141B022A7EC}</b:Guid>
    <b:Author>
      <b:Author>
        <b:NameList>
          <b:Person>
            <b:Last>Penrose</b:Last>
            <b:First>E</b:First>
          </b:Person>
        </b:NameList>
      </b:Author>
    </b:Author>
    <b:Title>The Theory of Growth of the Firm</b:Title>
    <b:Year>1959</b:Year>
    <b:Publisher>Blackwell</b:Publisher>
    <b:City>Oxford</b:City>
    <b:RefOrder>4</b:RefOrder>
  </b:Source>
  <b:Source>
    <b:Tag>Nel82</b:Tag>
    <b:SourceType>Report</b:SourceType>
    <b:Guid>{5BF80C53-0933-45C9-A8DD-CA01060B70EC}</b:Guid>
    <b:Title>An Evolutionary Theory of Economic Change</b:Title>
    <b:Year>1982</b:Year>
    <b:Publisher>The Belknap Press</b:Publisher>
    <b:City>Cambridge</b:City>
    <b:Author>
      <b:Author>
        <b:NameList>
          <b:Person>
            <b:Last>Nelson</b:Last>
            <b:Middle>R</b:Middle>
            <b:First>R</b:First>
          </b:Person>
          <b:Person>
            <b:Last>Winter</b:Last>
            <b:Middle>G</b:Middle>
            <b:First>S</b:First>
          </b:Person>
        </b:NameList>
      </b:Author>
    </b:Author>
    <b:RefOrder>5</b:RefOrder>
  </b:Source>
  <b:Source>
    <b:Tag>Kar95</b:Tag>
    <b:SourceType>Report</b:SourceType>
    <b:Guid>{10955697-69B6-40D0-A96C-B33A2F886109}</b:Guid>
    <b:Title>Enterprising Nation: Reviewing Australia’s Mangers to Meet the Challenges of the Asia-Pacific Century: Report of the Industry Task Force on Leadership and Management Skills</b:Title>
    <b:Year>1995</b:Year>
    <b:Author>
      <b:Author>
        <b:NameList>
          <b:Person>
            <b:Last>Karpin</b:Last>
            <b:First>D</b:First>
          </b:Person>
        </b:NameList>
      </b:Author>
    </b:Author>
    <b:Publisher>Commonwealth of Australia.</b:Publisher>
    <b:City>Canberra</b:City>
    <b:RefOrder>6</b:RefOrder>
  </b:Source>
  <b:Source>
    <b:Tag>Kap92</b:Tag>
    <b:SourceType>JournalArticle</b:SourceType>
    <b:Guid>{D2A5060C-30CF-428B-84D7-73E8634C7AB8}</b:Guid>
    <b:Title>The Balanced Scorecard: Measures that Drive Performance</b:Title>
    <b:JournalName>Harvard Business Review</b:JournalName>
    <b:Year>1992</b:Year>
    <b:Pages>71-79</b:Pages>
    <b:Author>
      <b:Author>
        <b:NameList>
          <b:Person>
            <b:Last>Kaplan</b:Last>
            <b:Middle>S</b:Middle>
            <b:First>R</b:First>
          </b:Person>
          <b:Person>
            <b:Last>Norton</b:Last>
            <b:Middle>P</b:Middle>
            <b:First>D</b:First>
          </b:Person>
        </b:NameList>
      </b:Author>
    </b:Author>
    <b:RefOrder>7</b:RefOrder>
  </b:Source>
  <b:Source>
    <b:Tag>Hsu</b:Tag>
    <b:SourceType>JournalArticle</b:SourceType>
    <b:Guid>{3B824895-A56F-478B-9525-64C03E9385EC}</b:Guid>
    <b:Author>
      <b:Author>
        <b:NameList>
          <b:Person>
            <b:Last>Hsu</b:Last>
            <b:Middle>C</b:Middle>
            <b:First>C</b:First>
          </b:Person>
          <b:Person>
            <b:Last>Tan</b:Last>
            <b:Middle>C</b:Middle>
            <b:First>K</b:First>
          </b:Person>
          <b:Person>
            <b:Last>Kannan</b:Last>
            <b:First>V</b:First>
          </b:Person>
        </b:NameList>
      </b:Author>
    </b:Author>
    <b:Title>Supply chain management practices as a mediator of the relationship between operations capability and firm performance</b:Title>
    <b:JournalName>International Journal of Production Research</b:JournalName>
    <b:Year>2009</b:Year>
    <b:Pages>835-855</b:Pages>
    <b:Volume>47</b:Volume>
    <b:Issue>3</b:Issue>
    <b:RefOrder>8</b:RefOrder>
  </b:Source>
  <b:Source>
    <b:Tag>Fel03</b:Tag>
    <b:SourceType>JournalArticle</b:SourceType>
    <b:Guid>{C4FE4B67-C22A-4CF9-8ED6-A70EF68A8A58}</b:Guid>
    <b:Title>Reconceptualizing Organizational Routines as a Source of Flexibility and Change</b:Title>
    <b:Year>2003</b:Year>
    <b:JournalName>Administrative Science Quarterly</b:JournalName>
    <b:Pages>94-118</b:Pages>
    <b:Volume>48</b:Volume>
    <b:Issue>1</b:Issue>
    <b:Author>
      <b:Author>
        <b:NameList>
          <b:Person>
            <b:Last>Feldman</b:Last>
            <b:Middle>S</b:Middle>
            <b:First>M</b:First>
          </b:Person>
          <b:Person>
            <b:Last>Pentland </b:Last>
            <b:Middle>T</b:Middle>
            <b:First>B</b:First>
          </b:Person>
        </b:NameList>
      </b:Author>
    </b:Author>
    <b:RefOrder>9</b:RefOrder>
  </b:Source>
  <b:Source>
    <b:Tag>DeG09</b:Tag>
    <b:SourceType>JournalArticle</b:SourceType>
    <b:Guid>{FA35BB68-AE60-44EF-8440-8B1768400D5B}</b:Guid>
    <b:Title>Does the Balanced Scorecard Add Value? Empirical Evidence on its Effect on Performance</b:Title>
    <b:Year>2009</b:Year>
    <b:Author>
      <b:Author>
        <b:NameList>
          <b:Person>
            <b:Last>De Geuser</b:Last>
            <b:First>Fabien</b:First>
          </b:Person>
          <b:Person>
            <b:Last>Mooraj</b:Last>
            <b:First>Stella</b:First>
          </b:Person>
          <b:Person>
            <b:Last>Oyon</b:Last>
            <b:First>Daniel</b:First>
          </b:Person>
        </b:NameList>
      </b:Author>
    </b:Author>
    <b:JournalName>European Accounting Review</b:JournalName>
    <b:Pages>93-122</b:Pages>
    <b:Volume>18</b:Volume>
    <b:Issue>1</b:Issue>
    <b:RefOrder>10</b:RefOrder>
  </b:Source>
  <b:Source>
    <b:Tag>Dav04</b:Tag>
    <b:SourceType>JournalArticle</b:SourceType>
    <b:Guid>{05835DFA-EE28-473B-B2D2-C4B5F81EABB6}</b:Guid>
    <b:Title>An investigation of the effect of balanced scorecard implementation on financial performance</b:Title>
    <b:JournalName>Management accounting research</b:JournalName>
    <b:Year>2004</b:Year>
    <b:Pages>135-153</b:Pages>
    <b:Volume>15</b:Volume>
    <b:Issue>2</b:Issue>
    <b:Author>
      <b:Author>
        <b:NameList>
          <b:Person>
            <b:Last>Davis</b:Last>
            <b:First>S</b:First>
          </b:Person>
          <b:Person>
            <b:Last>Albright</b:Last>
            <b:First>T</b:First>
          </b:Person>
        </b:NameList>
      </b:Author>
    </b:Author>
    <b:RefOrder>11</b:RefOrder>
  </b:Source>
  <b:Source>
    <b:Tag>Cha77</b:Tag>
    <b:SourceType>Book</b:SourceType>
    <b:Guid>{12A3E59E-F379-45F9-98E5-BA4687C95743}</b:Guid>
    <b:Title>The Visible Hand: The Managerial Revolution in American Business</b:Title>
    <b:Year>1977</b:Year>
    <b:Author>
      <b:Author>
        <b:NameList>
          <b:Person>
            <b:Last>Chandler</b:Last>
            <b:First>A</b:First>
          </b:Person>
        </b:NameList>
      </b:Author>
    </b:Author>
    <b:Publisher>The Belknap Press of Harvard University Press</b:Publisher>
    <b:RefOrder>12</b:RefOrder>
  </b:Source>
  <b:Source>
    <b:Tag>Bro14</b:Tag>
    <b:SourceType>JournalArticle</b:SourceType>
    <b:Guid>{5C785ED3-A7ED-46EB-963E-B93F7C0E19EE}</b:Guid>
    <b:Title>Group versus individual compensation schemes for senior executives and firm performance: Some evidence based on archival data</b:Title>
    <b:Year>2014</b:Year>
    <b:Author>
      <b:Author>
        <b:NameList>
          <b:Person>
            <b:Last>Brown</b:Last>
            <b:Middle>J</b:Middle>
            <b:First>P </b:First>
          </b:Person>
          <b:Person>
            <b:Last>Matolcsy</b:Last>
            <b:Middle>P</b:Middle>
            <b:First>Z</b:First>
          </b:Person>
          <b:Person>
            <b:Last>Wells </b:Last>
            <b:First>P</b:First>
          </b:Person>
        </b:NameList>
      </b:Author>
    </b:Author>
    <b:Pages>100-114</b:Pages>
    <b:Volume>10</b:Volume>
    <b:Issue>2</b:Issue>
    <b:JournalName>Journal of Contemporary Accounting and Economics</b:JournalName>
    <b:RefOrder>13</b:RefOrder>
  </b:Source>
  <b:Source>
    <b:Tag>Blo17</b:Tag>
    <b:SourceType>ConferenceProceedings</b:SourceType>
    <b:Guid>{B4FCBD21-BE8E-40B9-BF02-E2DE29BE24CE}</b:Guid>
    <b:Title>What Drives Differences in Management</b:Title>
    <b:Year>2017</b:Year>
    <b:Author>
      <b:Author>
        <b:NameList>
          <b:Person>
            <b:Last>Bloom</b:Last>
            <b:First>Nick</b:First>
          </b:Person>
          <b:Person>
            <b:Last>Brynjolfsson</b:Last>
            <b:First>Erik</b:First>
          </b:Person>
          <b:Person>
            <b:Last>Foster</b:Last>
            <b:First>Lucia</b:First>
          </b:Person>
          <b:Person>
            <b:Last>Jarmin</b:Last>
            <b:First>Ron</b:First>
          </b:Person>
          <b:Person>
            <b:Last>Patnaik</b:Last>
            <b:First>Megha</b:First>
          </b:Person>
          <b:Person>
            <b:Last>Saporta-Eksten</b:Last>
            <b:First>Itay</b:First>
          </b:Person>
          <b:Person>
            <b:Last>Van Reenen</b:Last>
            <b:First>John</b:First>
          </b:Person>
        </b:NameList>
      </b:Author>
    </b:Author>
    <b:Publisher>CEP Discussion Papers dp1470, Centre for Economic Performance, LSE</b:Publisher>
    <b:RefOrder>14</b:RefOrder>
  </b:Source>
  <b:Source>
    <b:Tag>Blo06</b:Tag>
    <b:SourceType>Report</b:SourceType>
    <b:Guid>{C5AC4DDF-B58E-4D02-B9FA-D88A1A0E849E}</b:Guid>
    <b:Title>Measuring and Explaining Management Practices Across Firms and Countries</b:Title>
    <b:Year>2006</b:Year>
    <b:Author>
      <b:Author>
        <b:NameList>
          <b:Person>
            <b:Last>Bloom</b:Last>
            <b:First>Nick</b:First>
          </b:Person>
          <b:Person>
            <b:Last>Van Reenen</b:Last>
            <b:First>John</b:First>
          </b:Person>
        </b:NameList>
      </b:Author>
    </b:Author>
    <b:Publisher>NBER Working Papers 12216, National Bureau of Economic Research, Inc.</b:Publisher>
    <b:RefOrder>15</b:RefOrder>
  </b:Source>
  <b:Source>
    <b:Tag>Blo07</b:Tag>
    <b:SourceType>Report</b:SourceType>
    <b:Guid>{CE079007-BFD8-4078-A43A-DE3E023168C6}</b:Guid>
    <b:Title>Management Practice and Productivity: Why They Matter</b:Title>
    <b:Year>2007</b:Year>
    <b:Publisher>McKinsey &amp; Company Operations Extranet</b:Publisher>
    <b:Author>
      <b:Author>
        <b:NameList>
          <b:Person>
            <b:Last>Bloom</b:Last>
            <b:First>Nick</b:First>
          </b:Person>
          <b:Person>
            <b:Last>Drgan </b:Last>
            <b:First>Stephen</b:First>
          </b:Person>
          <b:Person>
            <b:Last>Downdy</b:Last>
            <b:First>John</b:First>
          </b:Person>
          <b:Person>
            <b:Last>Van Reenen</b:Last>
            <b:First>John</b:First>
          </b:Person>
        </b:NameList>
      </b:Author>
    </b:Author>
    <b:RefOrder>16</b:RefOrder>
  </b:Source>
  <b:Source>
    <b:Tag>Blo171</b:Tag>
    <b:SourceType>Report</b:SourceType>
    <b:Guid>{9589ACA3-A0BD-43F9-A399-AD07B48A6206}</b:Guid>
    <b:Author>
      <b:Author>
        <b:NameList>
          <b:Person>
            <b:Last>Bloom</b:Last>
            <b:First>Nicholas</b:First>
          </b:Person>
          <b:Person>
            <b:Last>Sadun</b:Last>
            <b:First>Raffaella</b:First>
          </b:Person>
          <b:Person>
            <b:Last>Van Reenen</b:Last>
            <b:First>John</b:First>
          </b:Person>
        </b:NameList>
      </b:Author>
    </b:Author>
    <b:Title>Management as a Technology?</b:Title>
    <b:Year>2017</b:Year>
    <b:Publisher> NBER Working Papers 22327, National Bureau of Economic Research, Inc.</b:Publisher>
    <b:RefOrder>17</b:RefOrder>
  </b:Source>
  <b:Source>
    <b:Tag>Blo</b:Tag>
    <b:SourceType>Report</b:SourceType>
    <b:Guid>{2127050C-BB50-48E8-A289-88A76600790C}</b:Guid>
    <b:Title>Does Management Matter in Schools?</b:Title>
    <b:Publisher>Discussion Papers 13-032, Stanford Institute for Economic Policy Research.</b:Publisher>
    <b:Author>
      <b:Author>
        <b:NameList>
          <b:Person>
            <b:Last>Bloom</b:Last>
            <b:First>Nicholas</b:First>
          </b:Person>
          <b:Person>
            <b:Last>Lemos</b:Last>
            <b:First>Renata</b:First>
          </b:Person>
          <b:Person>
            <b:Last>Sadun</b:Last>
            <b:First>Rafaella</b:First>
          </b:Person>
        </b:NameList>
      </b:Author>
    </b:Author>
    <b:Year>2013</b:Year>
    <b:RefOrder>18</b:RefOrder>
  </b:Source>
  <b:Source>
    <b:Tag>Blo13</b:Tag>
    <b:SourceType>ConferenceProceedings</b:SourceType>
    <b:Guid>{014A1A81-6231-483B-8885-302F8801592B}</b:Guid>
    <b:Author>
      <b:Author>
        <b:NameList>
          <b:Person>
            <b:Last>Bloom</b:Last>
            <b:First>Nicholas</b:First>
          </b:Person>
          <b:Person>
            <b:Last>Sadun</b:Last>
            <b:First>Raffaella</b:First>
          </b:Person>
          <b:Person>
            <b:Last>Van Reenen</b:Last>
            <b:First>John</b:First>
          </b:Person>
        </b:NameList>
      </b:Author>
    </b:Author>
    <b:Title>Does Management Matter in Healthcare</b:Title>
    <b:Year>2013</b:Year>
    <b:Publisher>Discussion Papers 13-032, Stanford Institute for Economic Policy Research</b:Publisher>
    <b:RefOrder>19</b:RefOrder>
  </b:Source>
  <b:Source>
    <b:Tag>Aru12</b:Tag>
    <b:SourceType>BookSection</b:SourceType>
    <b:Guid>{B46AB4B3-522A-4E7C-9516-54EB7B5E3BD0}</b:Guid>
    <b:Title>Innovation Metrics for Australia</b:Title>
    <b:Year>2012</b:Year>
    <b:City>Canberra, Australia.</b:City>
    <b:Publisher>Department of Innovation, Industry, Science and Research</b:Publisher>
    <b:Author>
      <b:Author>
        <b:NameList>
          <b:Person>
            <b:Last>Arundel</b:Last>
            <b:First>A</b:First>
          </b:Person>
          <b:Person>
            <b:Last>O’Brien</b:Last>
            <b:First>K</b:First>
          </b:Person>
        </b:NameList>
      </b:Author>
    </b:Author>
    <b:BookTitle>Innovation Metrics Framework </b:BookTitle>
    <b:RefOrder>20</b:RefOrder>
  </b:Source>
  <b:Source>
    <b:Tag>Aru04</b:Tag>
    <b:SourceType>Book</b:SourceType>
    <b:Guid>{EB4128D1-3B62-46FC-838D-0C53566EA555}</b:Guid>
    <b:Title>European Innovation Scoreboard - EXIS: An Exploratory Approach to Innovation Scoreboards</b:Title>
    <b:Year>2004</b:Year>
    <b:City>Brussels</b:City>
    <b:Publisher>European Commission</b:Publisher>
    <b:Author>
      <b:Author>
        <b:NameList>
          <b:Person>
            <b:Last>Arundel</b:Last>
            <b:First>A</b:First>
          </b:Person>
          <b:Person>
            <b:Last>Hollanders</b:Last>
            <b:First>H</b:First>
          </b:Person>
        </b:NameList>
      </b:Author>
    </b:Author>
    <b:RefOrder>21</b:RefOrder>
  </b:Source>
  <b:Source>
    <b:Tag>Ara121</b:Tag>
    <b:SourceType>JournalArticle</b:SourceType>
    <b:Guid>{D064532F-35B8-4EC1-B349-9E8E8EA835D6}</b:Guid>
    <b:Title>The Relationship between Strategic Planning and Firm Performance </b:Title>
    <b:JournalName>International Journal of Humanities and Science</b:JournalName>
    <b:Year>2012</b:Year>
    <b:Pages>201-213</b:Pages>
    <b:Volume>2</b:Volume>
    <b:Issue>12</b:Issue>
    <b:Author>
      <b:Author>
        <b:NameList>
          <b:Person>
            <b:Last>Arasa</b:Last>
            <b:First>R</b:First>
          </b:Person>
          <b:Person>
            <b:Last>K'Obonyo</b:Last>
            <b:First>P</b:First>
          </b:Person>
        </b:NameList>
      </b:Author>
    </b:Author>
    <b:RefOrder>22</b:RefOrder>
  </b:Source>
  <b:Source>
    <b:Tag>Aga11</b:Tag>
    <b:SourceType>BookSection</b:SourceType>
    <b:Guid>{C9BCCB45-1B8A-40EE-B1A7-3E2EE1ED8101}</b:Guid>
    <b:Title>The role of education and skills in Australian management practice and productivity</b:Title>
    <b:Year>2011</b:Year>
    <b:Publisher>NCVER</b:Publisher>
    <b:BookTitle>Fostering enterprise: the innovation and skills nexus – research readings</b:BookTitle>
    <b:Pages>79-102</b:Pages>
    <b:Author>
      <b:Author>
        <b:NameList>
          <b:Person>
            <b:Last>Agarwal</b:Last>
            <b:First>R</b:First>
          </b:Person>
          <b:Person>
            <b:Last>Green</b:Last>
            <b:First>R</b:First>
          </b:Person>
        </b:NameList>
      </b:Author>
    </b:Author>
    <b:RefOrder>23</b:RefOrder>
  </b:Source>
  <b:Source>
    <b:Tag>Aga14</b:Tag>
    <b:SourceType>JournalArticle</b:SourceType>
    <b:Guid>{C1805432-1B82-44E1-902E-382D8A8B5FB8}</b:Guid>
    <b:Title>Management Practices of Australian manufacturing firms: Why are some firms more innovative?</b:Title>
    <b:Year>2014</b:Year>
    <b:Pages>6496-6517</b:Pages>
    <b:Author>
      <b:Author>
        <b:NameList>
          <b:Person>
            <b:Last>Agarwal</b:Last>
            <b:First>R</b:First>
          </b:Person>
          <b:Person>
            <b:Last>Brown</b:Last>
            <b:Middle>J</b:Middle>
            <b:First>P</b:First>
          </b:Person>
          <b:Person>
            <b:Last>Green</b:Last>
            <b:First>R</b:First>
          </b:Person>
          <b:Person>
            <b:Last>Randhawa</b:Last>
            <b:First>K</b:First>
          </b:Person>
        </b:NameList>
      </b:Author>
    </b:Author>
    <b:JournalName>International Journal of Production Research</b:JournalName>
    <b:Volume>52 </b:Volume>
    <b:Issue>21</b:Issue>
    <b:RefOrder>24</b:RefOrder>
  </b:Source>
  <b:Source>
    <b:Tag>Aga15</b:Tag>
    <b:SourceType>BookSection</b:SourceType>
    <b:Guid>{F7C6DB67-D349-4543-87F7-1A2D2B5CA59C}</b:Guid>
    <b:Title>Global Comparisons of Management Practices</b:Title>
    <b:BookTitle>Handbook of Research on Managing Managers</b:BookTitle>
    <b:Year>2015</b:Year>
    <b:City>Cheltenham, UK</b:City>
    <b:Publisher>Edward Elgar</b:Publisher>
    <b:Author>
      <b:Author>
        <b:NameList>
          <b:Person>
            <b:Last>Agarwal</b:Last>
            <b:First>R</b:First>
          </b:Person>
          <b:Person>
            <b:Last>Bajada</b:Last>
            <b:First>C</b:First>
          </b:Person>
          <b:Person>
            <b:Last>Brown</b:Last>
            <b:First>P</b:First>
          </b:Person>
          <b:Person>
            <b:Last>Green</b:Last>
            <b:First>R</b:First>
          </b:Person>
        </b:NameList>
      </b:Author>
      <b:Editor>
        <b:NameList>
          <b:Person>
            <b:Last>Wilkinson</b:Last>
            <b:First>A</b:First>
          </b:Person>
          <b:Person>
            <b:Last>Townsend</b:Last>
            <b:First>K</b:First>
          </b:Person>
          <b:Person>
            <b:Last>Suder</b:Last>
          </b:Person>
        </b:NameList>
      </b:Editor>
    </b:Author>
    <b:RefOrder>25</b:RefOrder>
  </b:Source>
  <b:Source>
    <b:Tag>Aga13</b:Tag>
    <b:SourceType>JournalArticle</b:SourceType>
    <b:Guid>{E63DB1F1-573C-4FA1-B4AF-1D2A4BA61C64}</b:Guid>
    <b:Title>Determinants of quality management practices: An empirical study of New Zealand manufacturing firms </b:Title>
    <b:JournalName>International Journal of Production Economics</b:JournalName>
    <b:Year>2013</b:Year>
    <b:Pages>130-145 </b:Pages>
    <b:Volume>142</b:Volume>
    <b:Issue>1</b:Issue>
    <b:Author>
      <b:Author>
        <b:NameList>
          <b:Person>
            <b:Last>Agarwal</b:Last>
            <b:First>R</b:First>
          </b:Person>
          <b:Person>
            <b:Last>Green</b:Last>
            <b:First>R</b:First>
          </b:Person>
          <b:Person>
            <b:Last>Brown</b:Last>
            <b:Middle>J.</b:Middle>
            <b:First>P.</b:First>
          </b:Person>
          <b:Person>
            <b:Last>Tan</b:Last>
            <b:First>H</b:First>
          </b:Person>
          <b:Person>
            <b:Last>Randhawa</b:Last>
            <b:First>K</b:First>
          </b:Person>
        </b:NameList>
      </b:Author>
    </b:Author>
    <b:RefOrder>26</b:RefOrder>
  </b:Source>
  <b:Source>
    <b:Tag>Off18</b:Tag>
    <b:SourceType>Report</b:SourceType>
    <b:Guid>{157F1CBF-0886-4ADD-89E9-2415132D5AC6}</b:Guid>
    <b:Title>Program Insights</b:Title>
    <b:Year>2018</b:Year>
    <b:Author>
      <b:Author>
        <b:Corporate>Office of the Chief Economist</b:Corporate>
      </b:Author>
    </b:Author>
    <b:Publisher>Department of Industry, Innovation and Science</b:Publisher>
    <b:RefOrder>27</b:RefOrder>
  </b:Source>
  <b:Source>
    <b:Tag>New17</b:Tag>
    <b:SourceType>InternetSite</b:SourceType>
    <b:Guid>{47309F0D-1AC9-47EE-BD6D-B197F2C710C8}</b:Guid>
    <b:Title>Industry benchmarks</b:Title>
    <b:Year>2017</b:Year>
    <b:Author>
      <b:Author>
        <b:Corporate>New Zealand Department of Inland Revenue</b:Corporate>
      </b:Author>
    </b:Author>
    <b:YearAccessed>2018</b:YearAccessed>
    <b:MonthAccessed>November</b:MonthAccessed>
    <b:DayAccessed>20</b:DayAccessed>
    <b:URL>https://www.ird.govt.nz/industry-benchmarks/bm-about-benchmarks/benchmarks-about.html</b:URL>
    <b:RefOrder>28</b:RefOrder>
  </b:Source>
  <b:Source>
    <b:Tag>Majng</b:Tag>
    <b:SourceType>ConferenceProceedings</b:SourceType>
    <b:Guid>{27F2400A-C83F-4D62-88CE-55FC8E4D1587}</b:Guid>
    <b:Title>What drives high-growth? Characterics of Australian firms</b:Title>
    <b:Year>forthcoming</b:Year>
    <b:Publisher>Department of Industry, Innovation and Science Office of the Chief Economist</b:Publisher>
    <b:City>Canberra</b:City>
    <b:Author>
      <b:Author>
        <b:NameList>
          <b:Person>
            <b:Last>Majeed</b:Last>
            <b:First>Omer</b:First>
          </b:Person>
          <b:Person>
            <b:Last>Balaguer</b:Last>
            <b:First>Antonio</b:First>
          </b:Person>
          <b:Person>
            <b:Last>Hansell</b:Last>
            <b:First>David</b:First>
          </b:Person>
          <b:Person>
            <b:Last>Hendrickson</b:Last>
            <b:First>Luke</b:First>
          </b:Person>
          <b:Person>
            <b:Last>Latcham</b:Last>
            <b:First>Abasi</b:First>
          </b:Person>
          <b:Person>
            <b:Last>Satherley</b:Last>
            <b:First>Tessa</b:First>
          </b:Person>
        </b:NameList>
      </b:Author>
    </b:Author>
    <b:RefOrder>29</b:RefOrder>
  </b:Source>
</b:Sources>
</file>

<file path=customXml/itemProps1.xml><?xml version="1.0" encoding="utf-8"?>
<ds:datastoreItem xmlns:ds="http://schemas.openxmlformats.org/officeDocument/2006/customXml" ds:itemID="{1C20FE1B-2920-4308-B9A3-093B7F36BD00}">
  <ds:schemaRefs>
    <ds:schemaRef ds:uri="http://schemas.microsoft.com/sharepoint/events"/>
  </ds:schemaRefs>
</ds:datastoreItem>
</file>

<file path=customXml/itemProps2.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3.xml><?xml version="1.0" encoding="utf-8"?>
<ds:datastoreItem xmlns:ds="http://schemas.openxmlformats.org/officeDocument/2006/customXml" ds:itemID="{5007E530-EF8A-4935-881B-9C8A8356A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2E28D-6947-480F-BBF1-3DFDF858D2E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
    <ds:schemaRef ds:uri="e47d1c65-9f6c-49e5-a774-2c92ccb46d02"/>
    <ds:schemaRef ds:uri="http://www.w3.org/XML/1998/namespace"/>
    <ds:schemaRef ds:uri="http://purl.org/dc/dcmitype/"/>
  </ds:schemaRefs>
</ds:datastoreItem>
</file>

<file path=customXml/itemProps5.xml><?xml version="1.0" encoding="utf-8"?>
<ds:datastoreItem xmlns:ds="http://schemas.openxmlformats.org/officeDocument/2006/customXml" ds:itemID="{6CA7BF50-DBB5-41DD-835C-9711023A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39</Pages>
  <Words>9041</Words>
  <Characters>51540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60461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subject/>
  <dc:creator>Majeed, Omer</dc:creator>
  <cp:keywords/>
  <dc:description/>
  <cp:lastModifiedBy>Francis, Sophie</cp:lastModifiedBy>
  <cp:revision>22</cp:revision>
  <cp:lastPrinted>2018-12-19T01:30:00Z</cp:lastPrinted>
  <dcterms:created xsi:type="dcterms:W3CDTF">2018-12-19T21:23:00Z</dcterms:created>
  <dcterms:modified xsi:type="dcterms:W3CDTF">2018-12-20T01:05:00Z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0x0101000138FC13F25CFC48B3E9413FBC0DABDD</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3e878179-3554-4b0a-bfeb-407b69e0e98f</vt:lpwstr>
  </property>
  <property fmtid="{D5CDD505-2E9C-101B-9397-08002B2CF9AE}" pid="8" name="DocHub_Year">
    <vt:lpwstr>1480;#2018|224abc7b-6f7e-4064-b773-6750976429b5</vt:lpwstr>
  </property>
  <property fmtid="{D5CDD505-2E9C-101B-9397-08002B2CF9AE}" pid="9" name="DocHub_DocumentType">
    <vt:lpwstr>38;#Analysis|48c54089-4c01-49cb-b266-0173afb66157</vt:lpwstr>
  </property>
  <property fmtid="{D5CDD505-2E9C-101B-9397-08002B2CF9AE}" pid="10" name="DocHub_SecurityClassification">
    <vt:lpwstr>3;#UNCLASSIFIED|6106d03b-a1a0-4e30-9d91-d5e9fb4314f9</vt:lpwstr>
  </property>
  <property fmtid="{D5CDD505-2E9C-101B-9397-08002B2CF9AE}" pid="11" name="DocHub_Keywords">
    <vt:lpwstr/>
  </property>
  <property fmtid="{D5CDD505-2E9C-101B-9397-08002B2CF9AE}" pid="12" name="DocHub_WorkActivity">
    <vt:lpwstr>82;#Research|7b4c149d-8b70-4bf0-8e72-df534d298464</vt:lpwstr>
  </property>
</Properties>
</file>