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5C" w:rsidRPr="00680B5C" w:rsidRDefault="00680B5C" w:rsidP="00680B5C">
      <w:pPr>
        <w:pStyle w:val="Heading1"/>
        <w:rPr>
          <w:color w:val="005677"/>
          <w:spacing w:val="-10"/>
          <w:kern w:val="28"/>
          <w:sz w:val="44"/>
          <w:szCs w:val="44"/>
        </w:rPr>
      </w:pPr>
      <w:r w:rsidRPr="00680B5C">
        <w:rPr>
          <w:color w:val="005677"/>
          <w:spacing w:val="-10"/>
          <w:kern w:val="28"/>
          <w:sz w:val="44"/>
          <w:szCs w:val="44"/>
        </w:rPr>
        <w:t>Review of the Occupational Health and Safety Regime for Workers involved</w:t>
      </w:r>
      <w:r>
        <w:rPr>
          <w:color w:val="005677"/>
          <w:spacing w:val="-10"/>
          <w:kern w:val="28"/>
          <w:sz w:val="44"/>
          <w:szCs w:val="44"/>
        </w:rPr>
        <w:t xml:space="preserve"> </w:t>
      </w:r>
      <w:r w:rsidRPr="00680B5C">
        <w:rPr>
          <w:color w:val="005677"/>
          <w:spacing w:val="-10"/>
          <w:kern w:val="28"/>
          <w:sz w:val="44"/>
          <w:szCs w:val="44"/>
        </w:rPr>
        <w:t>in Offshore Petroleum Operations in Commonwealth Waters</w:t>
      </w:r>
    </w:p>
    <w:p w:rsidR="00680B5C" w:rsidRDefault="00680B5C" w:rsidP="00680B5C">
      <w:pPr>
        <w:pStyle w:val="Heading1"/>
      </w:pPr>
      <w:r w:rsidRPr="00680B5C">
        <w:t>Terms of Reference</w:t>
      </w:r>
    </w:p>
    <w:p w:rsidR="00680B5C" w:rsidRPr="00680B5C" w:rsidRDefault="00680B5C" w:rsidP="00680B5C">
      <w:pPr>
        <w:pStyle w:val="Heading2"/>
      </w:pPr>
      <w:r w:rsidRPr="00680B5C">
        <w:t>Purpose</w:t>
      </w:r>
    </w:p>
    <w:p w:rsidR="00680B5C" w:rsidRPr="00680B5C" w:rsidRDefault="00680B5C" w:rsidP="00680B5C">
      <w:pPr>
        <w:rPr>
          <w:lang w:val="en-US"/>
        </w:rPr>
      </w:pPr>
      <w:r w:rsidRPr="00680B5C">
        <w:rPr>
          <w:lang w:val="en-US"/>
        </w:rPr>
        <w:t xml:space="preserve">To review the </w:t>
      </w:r>
      <w:r w:rsidRPr="00680B5C">
        <w:rPr>
          <w:i/>
          <w:lang w:val="en-US"/>
        </w:rPr>
        <w:t>Offshore Petroleum and Greenhouse Gas Storage (Safety) Regulations 2009</w:t>
      </w:r>
      <w:r w:rsidRPr="00680B5C">
        <w:rPr>
          <w:lang w:val="en-US"/>
        </w:rPr>
        <w:t xml:space="preserve"> and the associated parts of the </w:t>
      </w:r>
      <w:r w:rsidRPr="00680B5C">
        <w:rPr>
          <w:i/>
          <w:lang w:val="en-US"/>
        </w:rPr>
        <w:t>Offshore Petroleum and Greenhouse Gas Storage Act 2006</w:t>
      </w:r>
      <w:r w:rsidRPr="00680B5C">
        <w:rPr>
          <w:lang w:val="en-US"/>
        </w:rPr>
        <w:t xml:space="preserve"> to ensure that they:</w:t>
      </w:r>
    </w:p>
    <w:p w:rsidR="00680B5C" w:rsidRPr="00773110" w:rsidRDefault="00680B5C" w:rsidP="00773110">
      <w:pPr>
        <w:numPr>
          <w:ilvl w:val="0"/>
          <w:numId w:val="16"/>
        </w:numPr>
        <w:rPr>
          <w:lang w:val="en-US"/>
        </w:rPr>
      </w:pPr>
      <w:r w:rsidRPr="00680B5C">
        <w:rPr>
          <w:lang w:val="en-US"/>
        </w:rPr>
        <w:t>provide an effective framework for securing the occupational health and safety of persons</w:t>
      </w:r>
      <w:r w:rsidR="00773110">
        <w:rPr>
          <w:lang w:val="en-US"/>
        </w:rPr>
        <w:t xml:space="preserve"> </w:t>
      </w:r>
      <w:r w:rsidRPr="00773110">
        <w:rPr>
          <w:lang w:val="en-US"/>
        </w:rPr>
        <w:t>engaged in offshore petroleum or greenhouse gas storage operations in Commonwealth waters of Australia, and</w:t>
      </w:r>
    </w:p>
    <w:p w:rsidR="00680B5C" w:rsidRPr="00773110" w:rsidRDefault="00680B5C" w:rsidP="00773110">
      <w:pPr>
        <w:numPr>
          <w:ilvl w:val="0"/>
          <w:numId w:val="16"/>
        </w:numPr>
        <w:rPr>
          <w:lang w:val="en-US"/>
        </w:rPr>
      </w:pPr>
      <w:r w:rsidRPr="00680B5C">
        <w:rPr>
          <w:lang w:val="en-US"/>
        </w:rPr>
        <w:t>represent leading practice that promotes and delivers safe offshore petroleum and</w:t>
      </w:r>
      <w:r w:rsidR="00773110">
        <w:rPr>
          <w:lang w:val="en-US"/>
        </w:rPr>
        <w:t xml:space="preserve"> </w:t>
      </w:r>
      <w:r w:rsidRPr="00773110">
        <w:rPr>
          <w:lang w:val="en-US"/>
        </w:rPr>
        <w:t>greenhouse gas storage activities.</w:t>
      </w:r>
    </w:p>
    <w:p w:rsidR="00680B5C" w:rsidRPr="00680B5C" w:rsidRDefault="00680B5C" w:rsidP="00680B5C">
      <w:pPr>
        <w:rPr>
          <w:lang w:val="en-US"/>
        </w:rPr>
      </w:pPr>
      <w:r w:rsidRPr="00680B5C">
        <w:rPr>
          <w:lang w:val="en-US"/>
        </w:rPr>
        <w:t>The review will be evidence-based and propose policy changes and legislative amendments, where necessary, to improve the offshore OHS regime. Some areas may be identified that require further analysis following the review.</w:t>
      </w:r>
    </w:p>
    <w:p w:rsidR="00680B5C" w:rsidRPr="00680B5C" w:rsidRDefault="00773110" w:rsidP="00773110">
      <w:pPr>
        <w:pStyle w:val="Heading2"/>
        <w:rPr>
          <w:lang w:val="en-US"/>
        </w:rPr>
      </w:pPr>
      <w:r>
        <w:rPr>
          <w:lang w:val="en-US"/>
        </w:rPr>
        <w:t>Background</w:t>
      </w:r>
    </w:p>
    <w:p w:rsidR="00680B5C" w:rsidRPr="00680B5C" w:rsidRDefault="00680B5C" w:rsidP="00680B5C">
      <w:pPr>
        <w:rPr>
          <w:lang w:val="en-US"/>
        </w:rPr>
      </w:pPr>
      <w:r w:rsidRPr="00680B5C">
        <w:rPr>
          <w:lang w:val="en-US"/>
        </w:rPr>
        <w:t xml:space="preserve">The </w:t>
      </w:r>
      <w:r w:rsidRPr="00680B5C">
        <w:rPr>
          <w:i/>
          <w:lang w:val="en-US"/>
        </w:rPr>
        <w:t>Offshore Petroleum and Greenhouse Gas Storage Act 2006</w:t>
      </w:r>
      <w:r w:rsidRPr="00680B5C">
        <w:rPr>
          <w:lang w:val="en-US"/>
        </w:rPr>
        <w:t xml:space="preserve"> (OPGGS Act) provides the legal framework for the exploration and recovery of petroleum and for the injection and storage of greenhouse gas substances in Commonwealth waters. This Act is administered by the Commonwealth Government, with some decisions made jointly with the state and Northern Territory governments. T</w:t>
      </w:r>
      <w:bookmarkStart w:id="0" w:name="_GoBack"/>
      <w:bookmarkEnd w:id="0"/>
      <w:r w:rsidRPr="00680B5C">
        <w:rPr>
          <w:lang w:val="en-US"/>
        </w:rPr>
        <w:t>he National Offshore Petroleum Safety and Environmental Management Authority (NOPSEMA) is responsible for the administration of occupational health and safety, environmental management and well integrity provisions.</w:t>
      </w:r>
    </w:p>
    <w:p w:rsidR="00680B5C" w:rsidRPr="00680B5C" w:rsidRDefault="00680B5C" w:rsidP="00680B5C">
      <w:pPr>
        <w:rPr>
          <w:lang w:val="en-US"/>
        </w:rPr>
      </w:pPr>
      <w:r w:rsidRPr="00680B5C">
        <w:rPr>
          <w:lang w:val="en-US"/>
        </w:rPr>
        <w:t>Section 781 of the OPGGS Act provides that the Governor-General may make regulations prescribing matters that are required or permitted by the OPGGS Act, or necessary or convenient to be prescribed for carrying out or giving effect to the OPGGS Act. Clause 17 of Schedule 3 to the OPGGS Act provides that regulations may make provision relating to any matter affecting, or likely to affect, the occupational health and safety of persons at a facility.</w:t>
      </w:r>
    </w:p>
    <w:p w:rsidR="00680B5C" w:rsidRPr="00680B5C" w:rsidRDefault="00680B5C" w:rsidP="00680B5C">
      <w:pPr>
        <w:rPr>
          <w:lang w:val="en-US"/>
        </w:rPr>
      </w:pPr>
      <w:r w:rsidRPr="00680B5C">
        <w:rPr>
          <w:lang w:val="en-US"/>
        </w:rPr>
        <w:lastRenderedPageBreak/>
        <w:t xml:space="preserve">Regulations have been in place for the safety of persons in connection with petroleum operations in Commonwealth waters since 1993, when they were created under the </w:t>
      </w:r>
      <w:r w:rsidRPr="00680B5C">
        <w:rPr>
          <w:i/>
          <w:lang w:val="en-US"/>
        </w:rPr>
        <w:t>Petroleum (Submerged Lands) Act 1967</w:t>
      </w:r>
      <w:r w:rsidRPr="00680B5C">
        <w:rPr>
          <w:lang w:val="en-US"/>
        </w:rPr>
        <w:t xml:space="preserve"> (PSLA). The regulations were administered by the Designated Authorities in each state and the Northern Territory until 2005, when regulatory responsibility was transferred to the National Offshore Petroleum Safety Authority (now NOPSEMA). Continuing changes to implement various reforms have resulted in the current </w:t>
      </w:r>
      <w:r w:rsidRPr="00680B5C">
        <w:rPr>
          <w:i/>
          <w:lang w:val="en-US"/>
        </w:rPr>
        <w:t>Offshore Petroleum and Greenhouse Gas Storage (Safety) Regulations 2009</w:t>
      </w:r>
      <w:r w:rsidRPr="00680B5C">
        <w:rPr>
          <w:lang w:val="en-US"/>
        </w:rPr>
        <w:t xml:space="preserve"> (the Safety Regulations).</w:t>
      </w:r>
    </w:p>
    <w:p w:rsidR="00680B5C" w:rsidRPr="00680B5C" w:rsidRDefault="00680B5C" w:rsidP="00680B5C">
      <w:pPr>
        <w:rPr>
          <w:lang w:val="en-US"/>
        </w:rPr>
      </w:pPr>
      <w:r w:rsidRPr="00680B5C">
        <w:rPr>
          <w:lang w:val="en-US"/>
        </w:rPr>
        <w:t>The current Safety Regulations have been in operation since 1 January 2010 and are due to sunset on 1 April 2020. Given they will need to be remade before this date, it is an opportune time to</w:t>
      </w:r>
      <w:r>
        <w:rPr>
          <w:lang w:val="en-US"/>
        </w:rPr>
        <w:t xml:space="preserve"> </w:t>
      </w:r>
      <w:r w:rsidRPr="00680B5C">
        <w:rPr>
          <w:lang w:val="en-US"/>
        </w:rPr>
        <w:t>undertake a holistic review of their efficiency and effectiveness, ensure consistency with leading practice, check the justifications for the current Safety Regulations, and, where necessary, propose changes to improve their operation. While some minor and technical amendments have been made to clarify and improve the Safety Regulations, a comprehensive review has not been undertaken since its commencement.</w:t>
      </w:r>
    </w:p>
    <w:p w:rsidR="00680B5C" w:rsidRPr="00680B5C" w:rsidRDefault="00680B5C" w:rsidP="00680B5C">
      <w:pPr>
        <w:rPr>
          <w:lang w:val="en-US"/>
        </w:rPr>
      </w:pPr>
      <w:r w:rsidRPr="00680B5C">
        <w:rPr>
          <w:b/>
          <w:lang w:val="en-US"/>
        </w:rPr>
        <w:t xml:space="preserve">Objectives: </w:t>
      </w:r>
      <w:r w:rsidRPr="00680B5C">
        <w:rPr>
          <w:lang w:val="en-US"/>
        </w:rPr>
        <w:t>The review will be conducted in line with requirements of Australian Government policy and guidance on regulation, including the Australian Government Guide to Regulation 2014 and other relevant references.</w:t>
      </w:r>
    </w:p>
    <w:p w:rsidR="00680B5C" w:rsidRPr="00680B5C" w:rsidRDefault="00680B5C" w:rsidP="00680B5C">
      <w:pPr>
        <w:rPr>
          <w:lang w:val="en-US"/>
        </w:rPr>
      </w:pPr>
      <w:r w:rsidRPr="00680B5C">
        <w:rPr>
          <w:lang w:val="en-US"/>
        </w:rPr>
        <w:t>The review of the operation of the Safety Regulations and Schedule 3 to the OPGGS Act will specifically consider:</w:t>
      </w:r>
    </w:p>
    <w:p w:rsidR="00680B5C" w:rsidRPr="00773110" w:rsidRDefault="00680B5C" w:rsidP="00773110">
      <w:pPr>
        <w:numPr>
          <w:ilvl w:val="0"/>
          <w:numId w:val="18"/>
        </w:numPr>
        <w:rPr>
          <w:lang w:val="en-US"/>
        </w:rPr>
      </w:pPr>
      <w:r w:rsidRPr="00680B5C">
        <w:rPr>
          <w:lang w:val="en-US"/>
        </w:rPr>
        <w:t xml:space="preserve">The extent to which the offshore OHS regime is securing the health and safety of persons engaged in offshore petroleum operations and driving </w:t>
      </w:r>
      <w:r w:rsidR="00773110">
        <w:rPr>
          <w:lang w:val="en-US"/>
        </w:rPr>
        <w:t xml:space="preserve">continuous improvement in safety </w:t>
      </w:r>
      <w:r w:rsidRPr="00773110">
        <w:rPr>
          <w:lang w:val="en-US"/>
        </w:rPr>
        <w:t>performance.</w:t>
      </w:r>
    </w:p>
    <w:p w:rsidR="00680B5C" w:rsidRPr="00773110" w:rsidRDefault="00680B5C" w:rsidP="00773110">
      <w:pPr>
        <w:numPr>
          <w:ilvl w:val="0"/>
          <w:numId w:val="18"/>
        </w:numPr>
        <w:rPr>
          <w:lang w:val="en-US"/>
        </w:rPr>
      </w:pPr>
      <w:r w:rsidRPr="00680B5C">
        <w:rPr>
          <w:lang w:val="en-US"/>
        </w:rPr>
        <w:t>The effectiveness of the Safety Case provisions as a mechanism for achieving health and</w:t>
      </w:r>
      <w:r w:rsidR="00773110">
        <w:rPr>
          <w:lang w:val="en-US"/>
        </w:rPr>
        <w:t xml:space="preserve"> </w:t>
      </w:r>
      <w:r w:rsidRPr="00773110">
        <w:rPr>
          <w:lang w:val="en-US"/>
        </w:rPr>
        <w:t>safety performance at offshore facilities.</w:t>
      </w:r>
    </w:p>
    <w:p w:rsidR="00680B5C" w:rsidRPr="00773110" w:rsidRDefault="00680B5C" w:rsidP="00773110">
      <w:pPr>
        <w:numPr>
          <w:ilvl w:val="0"/>
          <w:numId w:val="18"/>
        </w:numPr>
        <w:rPr>
          <w:lang w:val="en-US"/>
        </w:rPr>
      </w:pPr>
      <w:r w:rsidRPr="00680B5C">
        <w:rPr>
          <w:lang w:val="en-US"/>
        </w:rPr>
        <w:t>The effectiveness of the Diving Safety Management Syst</w:t>
      </w:r>
      <w:r w:rsidR="00773110">
        <w:rPr>
          <w:lang w:val="en-US"/>
        </w:rPr>
        <w:t xml:space="preserve">ems and Diving Project Plans for </w:t>
      </w:r>
      <w:r w:rsidRPr="00773110">
        <w:rPr>
          <w:lang w:val="en-US"/>
        </w:rPr>
        <w:t>achieving safety performance in diving operations.</w:t>
      </w:r>
    </w:p>
    <w:p w:rsidR="00680B5C" w:rsidRPr="00773110" w:rsidRDefault="00680B5C" w:rsidP="00773110">
      <w:pPr>
        <w:numPr>
          <w:ilvl w:val="0"/>
          <w:numId w:val="18"/>
        </w:numPr>
        <w:rPr>
          <w:lang w:val="en-US"/>
        </w:rPr>
      </w:pPr>
      <w:r w:rsidRPr="00680B5C">
        <w:rPr>
          <w:lang w:val="en-US"/>
        </w:rPr>
        <w:t>The appropriateness of definitions of facilities, vessels and structures, and associated</w:t>
      </w:r>
      <w:r w:rsidR="00773110">
        <w:rPr>
          <w:lang w:val="en-US"/>
        </w:rPr>
        <w:t xml:space="preserve"> </w:t>
      </w:r>
      <w:r w:rsidRPr="00773110">
        <w:rPr>
          <w:lang w:val="en-US"/>
        </w:rPr>
        <w:t>offshore places for the purpose of ensuring occupational health and safety for persons working in the offshore resources industry.</w:t>
      </w:r>
    </w:p>
    <w:p w:rsidR="00680B5C" w:rsidRPr="00773110" w:rsidRDefault="00680B5C" w:rsidP="00773110">
      <w:pPr>
        <w:numPr>
          <w:ilvl w:val="0"/>
          <w:numId w:val="18"/>
        </w:numPr>
        <w:rPr>
          <w:lang w:val="en-US"/>
        </w:rPr>
      </w:pPr>
      <w:r w:rsidRPr="00680B5C">
        <w:rPr>
          <w:lang w:val="en-US"/>
        </w:rPr>
        <w:t>The effectiveness of the framework of duties in protecting the health and safety of workers</w:t>
      </w:r>
      <w:r w:rsidR="00773110">
        <w:rPr>
          <w:lang w:val="en-US"/>
        </w:rPr>
        <w:t xml:space="preserve"> </w:t>
      </w:r>
      <w:r w:rsidRPr="00773110">
        <w:rPr>
          <w:lang w:val="en-US"/>
        </w:rPr>
        <w:t>in offshore resources operations.</w:t>
      </w:r>
    </w:p>
    <w:p w:rsidR="00680B5C" w:rsidRPr="00680B5C" w:rsidRDefault="00680B5C" w:rsidP="00773110">
      <w:pPr>
        <w:numPr>
          <w:ilvl w:val="0"/>
          <w:numId w:val="18"/>
        </w:numPr>
        <w:rPr>
          <w:lang w:val="en-US"/>
        </w:rPr>
      </w:pPr>
      <w:r w:rsidRPr="00680B5C">
        <w:rPr>
          <w:lang w:val="en-US"/>
        </w:rPr>
        <w:t>The appropriateness and effectiveness of provisions for workplace arrangements.</w:t>
      </w:r>
    </w:p>
    <w:p w:rsidR="00680B5C" w:rsidRPr="00773110" w:rsidRDefault="00680B5C" w:rsidP="00773110">
      <w:pPr>
        <w:numPr>
          <w:ilvl w:val="0"/>
          <w:numId w:val="18"/>
        </w:numPr>
        <w:rPr>
          <w:lang w:val="en-US"/>
        </w:rPr>
      </w:pPr>
      <w:r w:rsidRPr="00680B5C">
        <w:rPr>
          <w:lang w:val="en-US"/>
        </w:rPr>
        <w:t>The transparency of current arrangements, including provision of information to the</w:t>
      </w:r>
      <w:r w:rsidR="00773110">
        <w:rPr>
          <w:lang w:val="en-US"/>
        </w:rPr>
        <w:t xml:space="preserve"> </w:t>
      </w:r>
      <w:r w:rsidRPr="00773110">
        <w:rPr>
          <w:lang w:val="en-US"/>
        </w:rPr>
        <w:t>workforce.</w:t>
      </w:r>
    </w:p>
    <w:p w:rsidR="00773110" w:rsidRDefault="00680B5C" w:rsidP="00773110">
      <w:pPr>
        <w:numPr>
          <w:ilvl w:val="0"/>
          <w:numId w:val="18"/>
        </w:numPr>
        <w:rPr>
          <w:lang w:val="en-US"/>
        </w:rPr>
      </w:pPr>
      <w:r w:rsidRPr="00680B5C">
        <w:rPr>
          <w:lang w:val="en-US"/>
        </w:rPr>
        <w:lastRenderedPageBreak/>
        <w:t>The effectiveness of routine and non-routine notificatio</w:t>
      </w:r>
      <w:r w:rsidR="00773110">
        <w:rPr>
          <w:lang w:val="en-US"/>
        </w:rPr>
        <w:t>n and reporting arrangements.</w:t>
      </w:r>
    </w:p>
    <w:p w:rsidR="00680B5C" w:rsidRPr="00773110" w:rsidRDefault="00680B5C" w:rsidP="00773110">
      <w:pPr>
        <w:numPr>
          <w:ilvl w:val="0"/>
          <w:numId w:val="18"/>
        </w:numPr>
        <w:rPr>
          <w:lang w:val="en-US"/>
        </w:rPr>
      </w:pPr>
      <w:r w:rsidRPr="00680B5C">
        <w:rPr>
          <w:lang w:val="en-US"/>
        </w:rPr>
        <w:t>The effectiveness of compliance and enforcem</w:t>
      </w:r>
      <w:r w:rsidR="00773110">
        <w:rPr>
          <w:lang w:val="en-US"/>
        </w:rPr>
        <w:t xml:space="preserve">ent mechanisms for improving OHS </w:t>
      </w:r>
      <w:r w:rsidRPr="00773110">
        <w:rPr>
          <w:lang w:val="en-US"/>
        </w:rPr>
        <w:t>performance.</w:t>
      </w:r>
    </w:p>
    <w:p w:rsidR="00680B5C" w:rsidRPr="00680B5C" w:rsidRDefault="00680B5C" w:rsidP="00773110">
      <w:pPr>
        <w:numPr>
          <w:ilvl w:val="0"/>
          <w:numId w:val="18"/>
        </w:numPr>
        <w:rPr>
          <w:lang w:val="en-US"/>
        </w:rPr>
      </w:pPr>
      <w:r w:rsidRPr="00680B5C">
        <w:rPr>
          <w:lang w:val="en-US"/>
        </w:rPr>
        <w:t>Alignment of terminology throughout the OHS regime and related legislation.</w:t>
      </w:r>
    </w:p>
    <w:p w:rsidR="00773110" w:rsidRPr="00773110" w:rsidRDefault="00680B5C" w:rsidP="00773110">
      <w:pPr>
        <w:numPr>
          <w:ilvl w:val="0"/>
          <w:numId w:val="18"/>
        </w:numPr>
        <w:rPr>
          <w:lang w:val="en-US"/>
        </w:rPr>
      </w:pPr>
      <w:r w:rsidRPr="00680B5C">
        <w:rPr>
          <w:lang w:val="en-US"/>
        </w:rPr>
        <w:t>Any other changes that may be necessary to ensure the OHS regime reflects current</w:t>
      </w:r>
      <w:r w:rsidR="00773110">
        <w:rPr>
          <w:lang w:val="en-US"/>
        </w:rPr>
        <w:t xml:space="preserve"> </w:t>
      </w:r>
      <w:r w:rsidRPr="00773110">
        <w:rPr>
          <w:lang w:val="en-US"/>
        </w:rPr>
        <w:t>Australian Government policy and guida</w:t>
      </w:r>
      <w:r w:rsidR="00773110" w:rsidRPr="00773110">
        <w:rPr>
          <w:lang w:val="en-US"/>
        </w:rPr>
        <w:t>nce on best practice regulation.</w:t>
      </w:r>
    </w:p>
    <w:p w:rsidR="00680B5C" w:rsidRPr="00773110" w:rsidRDefault="00680B5C" w:rsidP="00773110">
      <w:pPr>
        <w:numPr>
          <w:ilvl w:val="0"/>
          <w:numId w:val="18"/>
        </w:numPr>
        <w:rPr>
          <w:lang w:val="en-US"/>
        </w:rPr>
      </w:pPr>
      <w:r w:rsidRPr="00773110">
        <w:rPr>
          <w:lang w:val="en-US"/>
        </w:rPr>
        <w:t>Any other matter raised during the process considered relevant.</w:t>
      </w:r>
    </w:p>
    <w:p w:rsidR="00680B5C" w:rsidRPr="00680B5C" w:rsidRDefault="00773110" w:rsidP="00773110">
      <w:pPr>
        <w:pStyle w:val="Heading2"/>
        <w:rPr>
          <w:lang w:val="en-US"/>
        </w:rPr>
      </w:pPr>
      <w:r>
        <w:rPr>
          <w:lang w:val="en-US"/>
        </w:rPr>
        <w:t>Scope</w:t>
      </w:r>
    </w:p>
    <w:p w:rsidR="00680B5C" w:rsidRPr="00680B5C" w:rsidRDefault="00680B5C" w:rsidP="00680B5C">
      <w:pPr>
        <w:rPr>
          <w:lang w:val="en-US"/>
        </w:rPr>
      </w:pPr>
      <w:r w:rsidRPr="00680B5C">
        <w:rPr>
          <w:lang w:val="en-US"/>
        </w:rPr>
        <w:t>The review will consider regulation of OHS within the scope of:</w:t>
      </w:r>
    </w:p>
    <w:p w:rsidR="00680B5C" w:rsidRPr="00680B5C" w:rsidRDefault="00680B5C" w:rsidP="00773110">
      <w:pPr>
        <w:numPr>
          <w:ilvl w:val="0"/>
          <w:numId w:val="22"/>
        </w:numPr>
        <w:rPr>
          <w:lang w:val="en-US"/>
        </w:rPr>
      </w:pPr>
      <w:r w:rsidRPr="00680B5C">
        <w:rPr>
          <w:lang w:val="en-US"/>
        </w:rPr>
        <w:t>The Safety Regulations</w:t>
      </w:r>
    </w:p>
    <w:p w:rsidR="00680B5C" w:rsidRPr="00680B5C" w:rsidRDefault="00680B5C" w:rsidP="00773110">
      <w:pPr>
        <w:numPr>
          <w:ilvl w:val="0"/>
          <w:numId w:val="22"/>
        </w:numPr>
        <w:rPr>
          <w:lang w:val="en-US"/>
        </w:rPr>
      </w:pPr>
      <w:r w:rsidRPr="00680B5C">
        <w:rPr>
          <w:lang w:val="en-US"/>
        </w:rPr>
        <w:t>Schedule 3 (Occupational Health and Safety) to the OPGGS Act.</w:t>
      </w:r>
    </w:p>
    <w:p w:rsidR="00680B5C" w:rsidRDefault="00680B5C" w:rsidP="00773110">
      <w:pPr>
        <w:numPr>
          <w:ilvl w:val="0"/>
          <w:numId w:val="22"/>
        </w:numPr>
        <w:rPr>
          <w:lang w:val="en-US"/>
        </w:rPr>
      </w:pPr>
      <w:r w:rsidRPr="00680B5C">
        <w:rPr>
          <w:lang w:val="en-US"/>
        </w:rPr>
        <w:t>Any other matters under the OPGGS Act which are incidental to the above items, but</w:t>
      </w:r>
      <w:r w:rsidR="00773110">
        <w:rPr>
          <w:lang w:val="en-US"/>
        </w:rPr>
        <w:t xml:space="preserve"> </w:t>
      </w:r>
      <w:r w:rsidRPr="00680B5C">
        <w:rPr>
          <w:lang w:val="en-US"/>
        </w:rPr>
        <w:t>necessary for a comprehensive review of the safety regime.</w:t>
      </w:r>
    </w:p>
    <w:p w:rsidR="00680B5C" w:rsidRPr="00680B5C" w:rsidRDefault="00680B5C" w:rsidP="00680B5C">
      <w:pPr>
        <w:rPr>
          <w:lang w:val="en-US"/>
        </w:rPr>
      </w:pPr>
      <w:r w:rsidRPr="00680B5C">
        <w:rPr>
          <w:lang w:val="en-US"/>
        </w:rPr>
        <w:t xml:space="preserve">Since 2013, a number of OHS-related amendments have been proposed and consulted on with stakeholders, which are yet to be presented as bills to Parliament or amended regulations to the Executive Council. While those items will be included within the review, it is anticipated that previous consultation on these matters should assist their timely </w:t>
      </w:r>
      <w:proofErr w:type="spellStart"/>
      <w:r w:rsidRPr="00680B5C">
        <w:rPr>
          <w:lang w:val="en-US"/>
        </w:rPr>
        <w:t>finalisation</w:t>
      </w:r>
      <w:proofErr w:type="spellEnd"/>
      <w:r w:rsidRPr="00680B5C">
        <w:rPr>
          <w:lang w:val="en-US"/>
        </w:rPr>
        <w:t xml:space="preserve"> as part of this review.</w:t>
      </w:r>
    </w:p>
    <w:p w:rsidR="00680B5C" w:rsidRPr="00680B5C" w:rsidRDefault="00680B5C" w:rsidP="00680B5C">
      <w:pPr>
        <w:rPr>
          <w:lang w:val="en-US"/>
        </w:rPr>
      </w:pPr>
      <w:r w:rsidRPr="00680B5C">
        <w:rPr>
          <w:lang w:val="en-US"/>
        </w:rPr>
        <w:t>The review will, in general, not address:</w:t>
      </w:r>
    </w:p>
    <w:p w:rsidR="00680B5C" w:rsidRPr="00680B5C" w:rsidRDefault="00680B5C" w:rsidP="00773110">
      <w:pPr>
        <w:numPr>
          <w:ilvl w:val="0"/>
          <w:numId w:val="22"/>
        </w:numPr>
        <w:rPr>
          <w:lang w:val="en-US"/>
        </w:rPr>
      </w:pPr>
      <w:r w:rsidRPr="00680B5C">
        <w:rPr>
          <w:lang w:val="en-US"/>
        </w:rPr>
        <w:t>other regulations under the OPGGS Act including environment, well integrity or resource</w:t>
      </w:r>
      <w:r w:rsidR="00773110">
        <w:rPr>
          <w:lang w:val="en-US"/>
        </w:rPr>
        <w:t xml:space="preserve"> </w:t>
      </w:r>
      <w:r w:rsidRPr="00680B5C">
        <w:rPr>
          <w:lang w:val="en-US"/>
        </w:rPr>
        <w:t>management and administration;</w:t>
      </w:r>
    </w:p>
    <w:p w:rsidR="00680B5C" w:rsidRPr="00680B5C" w:rsidRDefault="00680B5C" w:rsidP="00773110">
      <w:pPr>
        <w:numPr>
          <w:ilvl w:val="0"/>
          <w:numId w:val="22"/>
        </w:numPr>
        <w:rPr>
          <w:lang w:val="en-US"/>
        </w:rPr>
      </w:pPr>
      <w:r w:rsidRPr="00680B5C">
        <w:rPr>
          <w:lang w:val="en-US"/>
        </w:rPr>
        <w:t>policy regarding cost recovery through levies;</w:t>
      </w:r>
    </w:p>
    <w:p w:rsidR="00680B5C" w:rsidRPr="00680B5C" w:rsidRDefault="00680B5C" w:rsidP="00773110">
      <w:pPr>
        <w:numPr>
          <w:ilvl w:val="0"/>
          <w:numId w:val="22"/>
        </w:numPr>
        <w:rPr>
          <w:lang w:val="en-US"/>
        </w:rPr>
      </w:pPr>
      <w:r w:rsidRPr="00680B5C">
        <w:rPr>
          <w:lang w:val="en-US"/>
        </w:rPr>
        <w:t>changes to other legislation or regulations beyond the scope of the OPGGS Act</w:t>
      </w:r>
    </w:p>
    <w:p w:rsidR="00680B5C" w:rsidRPr="00680B5C" w:rsidRDefault="00680B5C" w:rsidP="00773110">
      <w:pPr>
        <w:numPr>
          <w:ilvl w:val="0"/>
          <w:numId w:val="22"/>
        </w:numPr>
        <w:rPr>
          <w:lang w:val="en-US"/>
        </w:rPr>
      </w:pPr>
      <w:r w:rsidRPr="00680B5C">
        <w:rPr>
          <w:lang w:val="en-US"/>
        </w:rPr>
        <w:t>decisions by states or the Northern Territory on the conferral of functions to NOPSEMA.</w:t>
      </w:r>
    </w:p>
    <w:p w:rsidR="00680B5C" w:rsidRPr="00680B5C" w:rsidRDefault="00680B5C" w:rsidP="00680B5C">
      <w:pPr>
        <w:rPr>
          <w:lang w:val="en-US"/>
        </w:rPr>
      </w:pPr>
      <w:r w:rsidRPr="00680B5C">
        <w:rPr>
          <w:lang w:val="en-US"/>
        </w:rPr>
        <w:t>The review will be undertaken concurrently with the Senate Inquiry on the work health and safety of workers in the offshore petroleum industry and the independent review of the model work health and safety laws. While the review is a separate process to these, relevant matters arising from other inquiries and reviews will be considered as appropriate.</w:t>
      </w:r>
    </w:p>
    <w:p w:rsidR="00680B5C" w:rsidRPr="00680B5C" w:rsidRDefault="00773110" w:rsidP="00773110">
      <w:pPr>
        <w:pStyle w:val="Heading2"/>
        <w:rPr>
          <w:lang w:val="en-US"/>
        </w:rPr>
      </w:pPr>
      <w:r>
        <w:rPr>
          <w:lang w:val="en-US"/>
        </w:rPr>
        <w:lastRenderedPageBreak/>
        <w:t>Timing and Process</w:t>
      </w:r>
    </w:p>
    <w:p w:rsidR="00680B5C" w:rsidRPr="00680B5C" w:rsidRDefault="00680B5C" w:rsidP="00680B5C">
      <w:pPr>
        <w:rPr>
          <w:lang w:val="en-US"/>
        </w:rPr>
      </w:pPr>
      <w:r w:rsidRPr="00680B5C">
        <w:rPr>
          <w:lang w:val="en-US"/>
        </w:rPr>
        <w:t>The policy review is expected to be completed by mid-2019. Any proposed amendments will be subject to parliamentary and Executive Council processes applying to legislative and regulatory change, which will need to be completed during 2019 to ensure the Safety Regulations can be remade prior to them sun-setting on 1 April 2020. This timeframe necessarily allows for the unpredictable length of time required for the passage of legislation.</w:t>
      </w:r>
    </w:p>
    <w:p w:rsidR="00680B5C" w:rsidRPr="00680B5C" w:rsidRDefault="00680B5C" w:rsidP="00680B5C">
      <w:pPr>
        <w:rPr>
          <w:lang w:val="en-US"/>
        </w:rPr>
      </w:pPr>
      <w:r w:rsidRPr="00680B5C">
        <w:rPr>
          <w:lang w:val="en-US"/>
        </w:rPr>
        <w:t>The following arrangements will be adopted to progress the formulation of proposed amendments:</w:t>
      </w:r>
    </w:p>
    <w:p w:rsidR="00773110" w:rsidRDefault="00773110" w:rsidP="00773110">
      <w:pPr>
        <w:pStyle w:val="Heading3"/>
        <w:rPr>
          <w:lang w:val="en-US"/>
        </w:rPr>
      </w:pPr>
      <w:proofErr w:type="spellStart"/>
      <w:r>
        <w:rPr>
          <w:lang w:val="en-US"/>
        </w:rPr>
        <w:t>Organisation</w:t>
      </w:r>
      <w:proofErr w:type="spellEnd"/>
    </w:p>
    <w:p w:rsidR="00680B5C" w:rsidRPr="00680B5C" w:rsidRDefault="00680B5C" w:rsidP="00680B5C">
      <w:pPr>
        <w:rPr>
          <w:lang w:val="en-US"/>
        </w:rPr>
      </w:pPr>
      <w:r w:rsidRPr="00680B5C">
        <w:rPr>
          <w:lang w:val="en-US"/>
        </w:rPr>
        <w:t>The review will be managed by the Commonwealth Department of Industry,</w:t>
      </w:r>
      <w:r w:rsidR="00773110">
        <w:rPr>
          <w:lang w:val="en-US"/>
        </w:rPr>
        <w:t xml:space="preserve"> </w:t>
      </w:r>
      <w:r w:rsidRPr="00680B5C">
        <w:rPr>
          <w:lang w:val="en-US"/>
        </w:rPr>
        <w:t>Innovation and Science (DIIS), with technical input from NOPSEMA. Inputs from other relevant government departments will be sought where appropriate.</w:t>
      </w:r>
    </w:p>
    <w:p w:rsidR="00773110" w:rsidRDefault="00773110" w:rsidP="00773110">
      <w:pPr>
        <w:pStyle w:val="Heading3"/>
        <w:rPr>
          <w:lang w:val="en-US"/>
        </w:rPr>
      </w:pPr>
      <w:r>
        <w:rPr>
          <w:lang w:val="en-US"/>
        </w:rPr>
        <w:t>Consultation</w:t>
      </w:r>
    </w:p>
    <w:p w:rsidR="00680B5C" w:rsidRPr="00680B5C" w:rsidRDefault="00680B5C" w:rsidP="00680B5C">
      <w:pPr>
        <w:rPr>
          <w:lang w:val="en-US"/>
        </w:rPr>
      </w:pPr>
      <w:r w:rsidRPr="00680B5C">
        <w:rPr>
          <w:lang w:val="en-US"/>
        </w:rPr>
        <w:t>A Safety Stakeholder Group (SSG) will be established to ensure a broad range of</w:t>
      </w:r>
      <w:r w:rsidR="00773110">
        <w:rPr>
          <w:lang w:val="en-US"/>
        </w:rPr>
        <w:t xml:space="preserve"> </w:t>
      </w:r>
      <w:r w:rsidRPr="00680B5C">
        <w:rPr>
          <w:lang w:val="en-US"/>
        </w:rPr>
        <w:t>perspectives and views are considered and taken into account when considering issues and policy options. This will allow a robust examination to take place with consideration for all parties affected by any changes. The SSG will serve as a consultation group, not a decision-making body, to allow ideas and issues to be tested and discussed prior to a final policy position being reached.</w:t>
      </w:r>
    </w:p>
    <w:p w:rsidR="00680B5C" w:rsidRPr="00680B5C" w:rsidRDefault="00680B5C" w:rsidP="00680B5C">
      <w:pPr>
        <w:rPr>
          <w:lang w:val="en-US"/>
        </w:rPr>
      </w:pPr>
      <w:r w:rsidRPr="00680B5C">
        <w:rPr>
          <w:lang w:val="en-US"/>
        </w:rPr>
        <w:t>The SSG will meet at key points during the review project, and the group’s input will inform the development of consultation papers. Targeted meetings with specific stakeholder groups will also be held to complement the SSG. People from the same stakeholder representative type will be able to meet with the project team to discuss issues directly relevant to their group and the project, and in greater detail.</w:t>
      </w:r>
    </w:p>
    <w:p w:rsidR="00DC37DB" w:rsidRDefault="00DC37DB" w:rsidP="00DC37DB">
      <w:pPr>
        <w:pStyle w:val="Heading3"/>
        <w:rPr>
          <w:lang w:val="en-US"/>
        </w:rPr>
      </w:pPr>
      <w:r>
        <w:rPr>
          <w:lang w:val="en-US"/>
        </w:rPr>
        <w:t>Publication</w:t>
      </w:r>
    </w:p>
    <w:p w:rsidR="00680B5C" w:rsidRPr="00DC37DB" w:rsidRDefault="00680B5C" w:rsidP="00680B5C">
      <w:pPr>
        <w:rPr>
          <w:lang w:val="en-US"/>
        </w:rPr>
      </w:pPr>
      <w:r w:rsidRPr="00680B5C">
        <w:rPr>
          <w:lang w:val="en-US"/>
        </w:rPr>
        <w:t>Information relating to the review will be published on the DIIS website. Any</w:t>
      </w:r>
      <w:r w:rsidR="00DC37DB">
        <w:rPr>
          <w:lang w:val="en-US"/>
        </w:rPr>
        <w:t xml:space="preserve"> </w:t>
      </w:r>
      <w:r w:rsidRPr="00680B5C">
        <w:rPr>
          <w:lang w:val="en-US"/>
        </w:rPr>
        <w:t xml:space="preserve">amendments to the OPGGS Act and Safety Regulations will be approved and published in accordance with the Australian Government parliamentary process on the Federal Register of Legislation at </w:t>
      </w:r>
      <w:hyperlink r:id="rId7" w:history="1">
        <w:r w:rsidR="00DC37DB" w:rsidRPr="0056071A">
          <w:rPr>
            <w:rStyle w:val="Hyperlink"/>
            <w:lang w:val="en-US"/>
          </w:rPr>
          <w:t>www.legislation.gov.au</w:t>
        </w:r>
      </w:hyperlink>
      <w:r w:rsidRPr="00680B5C">
        <w:rPr>
          <w:lang w:val="en-US"/>
        </w:rPr>
        <w:t>.</w:t>
      </w:r>
    </w:p>
    <w:sectPr w:rsidR="00680B5C" w:rsidRPr="00DC37DB" w:rsidSect="007240FE">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488" w:rsidRDefault="00606488" w:rsidP="007240FE">
      <w:pPr>
        <w:spacing w:before="0" w:after="0" w:line="240" w:lineRule="auto"/>
      </w:pPr>
      <w:r>
        <w:separator/>
      </w:r>
    </w:p>
  </w:endnote>
  <w:endnote w:type="continuationSeparator" w:id="0">
    <w:p w:rsidR="00606488" w:rsidRDefault="00606488" w:rsidP="007240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0" w:rsidRDefault="00DE3D00">
    <w:pPr>
      <w:pStyle w:val="Footer"/>
      <w:jc w:val="right"/>
    </w:pPr>
    <w:r>
      <w:t>Document title goes here</w:t>
    </w:r>
    <w:r>
      <w:tab/>
      <w:t>industry.gov.au</w:t>
    </w:r>
    <w:r>
      <w:tab/>
    </w:r>
    <w:sdt>
      <w:sdtPr>
        <w:id w:val="9029605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19E7">
          <w:rPr>
            <w:noProof/>
          </w:rPr>
          <w:t>2</w:t>
        </w:r>
        <w:r>
          <w:rPr>
            <w:noProof/>
          </w:rPr>
          <w:fldChar w:fldCharType="end"/>
        </w:r>
      </w:sdtContent>
    </w:sdt>
  </w:p>
  <w:p w:rsidR="005C2356" w:rsidRDefault="005C2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0" w:rsidRDefault="00DC37DB">
    <w:pPr>
      <w:pStyle w:val="Footer"/>
      <w:jc w:val="right"/>
    </w:pPr>
    <w:r w:rsidRPr="00DC37DB">
      <w:t>Offshore Safety Review Terms of Reference</w:t>
    </w:r>
    <w:r w:rsidR="00DE3D00">
      <w:tab/>
      <w:t>industry.gov.au</w:t>
    </w:r>
    <w:r w:rsidR="00DE3D00">
      <w:tab/>
    </w:r>
    <w:sdt>
      <w:sdtPr>
        <w:id w:val="95139350"/>
        <w:docPartObj>
          <w:docPartGallery w:val="Page Numbers (Bottom of Page)"/>
          <w:docPartUnique/>
        </w:docPartObj>
      </w:sdtPr>
      <w:sdtEndPr>
        <w:rPr>
          <w:noProof/>
        </w:rPr>
      </w:sdtEndPr>
      <w:sdtContent>
        <w:r w:rsidR="00DE3D00">
          <w:fldChar w:fldCharType="begin"/>
        </w:r>
        <w:r w:rsidR="00DE3D00">
          <w:instrText xml:space="preserve"> PAGE   \* MERGEFORMAT </w:instrText>
        </w:r>
        <w:r w:rsidR="00DE3D00">
          <w:fldChar w:fldCharType="separate"/>
        </w:r>
        <w:r w:rsidR="006A19E7">
          <w:rPr>
            <w:noProof/>
          </w:rPr>
          <w:t>1</w:t>
        </w:r>
        <w:r w:rsidR="00DE3D00">
          <w:rPr>
            <w:noProof/>
          </w:rPr>
          <w:fldChar w:fldCharType="end"/>
        </w:r>
      </w:sdtContent>
    </w:sdt>
  </w:p>
  <w:p w:rsidR="005C2356" w:rsidRDefault="005C2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488" w:rsidRDefault="00606488" w:rsidP="007240FE">
      <w:pPr>
        <w:spacing w:before="0" w:after="0" w:line="240" w:lineRule="auto"/>
      </w:pPr>
      <w:r>
        <w:separator/>
      </w:r>
    </w:p>
  </w:footnote>
  <w:footnote w:type="continuationSeparator" w:id="0">
    <w:p w:rsidR="00606488" w:rsidRDefault="00606488" w:rsidP="007240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0FE" w:rsidRDefault="007240FE">
    <w:pPr>
      <w:pStyle w:val="Header"/>
    </w:pPr>
  </w:p>
  <w:p w:rsidR="007240FE" w:rsidRDefault="00724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0FE" w:rsidRDefault="007240FE" w:rsidP="007240FE">
    <w:pPr>
      <w:pStyle w:val="Header"/>
      <w:spacing w:after="240"/>
    </w:pPr>
    <w:r w:rsidRPr="00180BF8">
      <w:rPr>
        <w:noProof/>
        <w:lang w:eastAsia="en-AU"/>
      </w:rPr>
      <w:drawing>
        <wp:inline distT="0" distB="0" distL="0" distR="0">
          <wp:extent cx="2448560" cy="727710"/>
          <wp:effectExtent l="0" t="0" r="8890" b="0"/>
          <wp:docPr id="2" name="Picture 2"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F8E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A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BA9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05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5C5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F2D2F078"/>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116030B1"/>
    <w:multiLevelType w:val="hybridMultilevel"/>
    <w:tmpl w:val="58ECB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E4606"/>
    <w:multiLevelType w:val="hybridMultilevel"/>
    <w:tmpl w:val="2F621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F85FFD"/>
    <w:multiLevelType w:val="hybridMultilevel"/>
    <w:tmpl w:val="69D81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E30AC5"/>
    <w:multiLevelType w:val="hybridMultilevel"/>
    <w:tmpl w:val="34D63EF2"/>
    <w:lvl w:ilvl="0" w:tplc="BC12890C">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61269A"/>
    <w:multiLevelType w:val="hybridMultilevel"/>
    <w:tmpl w:val="19927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6E5DFF"/>
    <w:multiLevelType w:val="hybridMultilevel"/>
    <w:tmpl w:val="24948EF2"/>
    <w:lvl w:ilvl="0" w:tplc="4F781E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455608"/>
    <w:multiLevelType w:val="hybridMultilevel"/>
    <w:tmpl w:val="401491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8C5E42"/>
    <w:multiLevelType w:val="hybridMultilevel"/>
    <w:tmpl w:val="A27AC9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 w:numId="16">
    <w:abstractNumId w:val="22"/>
  </w:num>
  <w:num w:numId="17">
    <w:abstractNumId w:val="19"/>
  </w:num>
  <w:num w:numId="18">
    <w:abstractNumId w:val="17"/>
  </w:num>
  <w:num w:numId="19">
    <w:abstractNumId w:val="21"/>
  </w:num>
  <w:num w:numId="20">
    <w:abstractNumId w:val="15"/>
  </w:num>
  <w:num w:numId="21">
    <w:abstractNumId w:val="16"/>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5goD+znTStOYb8zqix6VW9qOUUEtkH8VjWcRQVv43MEZBG2CVx2fwqTmec958f4tJmn6TJCuTTpQ/HBNFV3WXA==" w:salt="I/5dTDSKwQPebectBM0o2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88"/>
    <w:rsid w:val="00040232"/>
    <w:rsid w:val="00157609"/>
    <w:rsid w:val="001768A9"/>
    <w:rsid w:val="001A09CA"/>
    <w:rsid w:val="00214F5E"/>
    <w:rsid w:val="00331B2C"/>
    <w:rsid w:val="003F6AD9"/>
    <w:rsid w:val="004C3712"/>
    <w:rsid w:val="004C6042"/>
    <w:rsid w:val="004E13B2"/>
    <w:rsid w:val="00527E00"/>
    <w:rsid w:val="005C2356"/>
    <w:rsid w:val="00606488"/>
    <w:rsid w:val="006302E4"/>
    <w:rsid w:val="00654790"/>
    <w:rsid w:val="00680B5C"/>
    <w:rsid w:val="006A19E7"/>
    <w:rsid w:val="007240FE"/>
    <w:rsid w:val="007610DD"/>
    <w:rsid w:val="00773110"/>
    <w:rsid w:val="00AA6A43"/>
    <w:rsid w:val="00AE4CAE"/>
    <w:rsid w:val="00B07610"/>
    <w:rsid w:val="00B32E71"/>
    <w:rsid w:val="00B46DBD"/>
    <w:rsid w:val="00BF2B33"/>
    <w:rsid w:val="00DC37DB"/>
    <w:rsid w:val="00DE3D00"/>
    <w:rsid w:val="00EA4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4F080D-7C7B-45B9-8C7A-7779685F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00"/>
    <w:pPr>
      <w:spacing w:before="240" w:after="240" w:line="300" w:lineRule="auto"/>
    </w:pPr>
    <w:rPr>
      <w:rFonts w:ascii="Arial" w:hAnsi="Arial"/>
    </w:rPr>
  </w:style>
  <w:style w:type="paragraph" w:styleId="Heading1">
    <w:name w:val="heading 1"/>
    <w:basedOn w:val="Normal"/>
    <w:next w:val="Normal"/>
    <w:link w:val="Heading1Char"/>
    <w:uiPriority w:val="9"/>
    <w:qFormat/>
    <w:rsid w:val="00680B5C"/>
    <w:pPr>
      <w:keepNext/>
      <w:keepLines/>
      <w:spacing w:after="0"/>
      <w:outlineLvl w:val="0"/>
    </w:pPr>
    <w:rPr>
      <w:rFonts w:eastAsiaTheme="majorEastAsia" w:cstheme="majorBidi"/>
      <w:color w:val="00283E"/>
      <w:sz w:val="36"/>
      <w:szCs w:val="32"/>
    </w:rPr>
  </w:style>
  <w:style w:type="paragraph" w:styleId="Heading2">
    <w:name w:val="heading 2"/>
    <w:basedOn w:val="Normal"/>
    <w:next w:val="Normal"/>
    <w:link w:val="Heading2Char"/>
    <w:uiPriority w:val="9"/>
    <w:unhideWhenUsed/>
    <w:qFormat/>
    <w:rsid w:val="00680B5C"/>
    <w:pPr>
      <w:keepNext/>
      <w:keepLines/>
      <w:spacing w:before="40" w:after="0"/>
      <w:outlineLvl w:val="1"/>
    </w:pPr>
    <w:rPr>
      <w:rFonts w:eastAsiaTheme="majorEastAsia" w:cstheme="majorBidi"/>
      <w:color w:val="00283E"/>
      <w:sz w:val="28"/>
      <w:szCs w:val="26"/>
    </w:rPr>
  </w:style>
  <w:style w:type="paragraph" w:styleId="Heading3">
    <w:name w:val="heading 3"/>
    <w:basedOn w:val="Normal"/>
    <w:next w:val="Normal"/>
    <w:link w:val="Heading3Char"/>
    <w:uiPriority w:val="9"/>
    <w:unhideWhenUsed/>
    <w:qFormat/>
    <w:rsid w:val="00773110"/>
    <w:pPr>
      <w:keepNext/>
      <w:keepLines/>
      <w:spacing w:before="40" w:after="0"/>
      <w:outlineLvl w:val="2"/>
    </w:pPr>
    <w:rPr>
      <w:rFonts w:eastAsiaTheme="majorEastAsia" w:cstheme="majorBidi"/>
      <w:i/>
      <w:color w:val="00283E"/>
      <w:sz w:val="24"/>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1768A9"/>
    <w:pPr>
      <w:spacing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1768A9"/>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680B5C"/>
    <w:rPr>
      <w:rFonts w:ascii="Arial" w:eastAsiaTheme="majorEastAsia" w:hAnsi="Arial" w:cstheme="majorBidi"/>
      <w:color w:val="00283E"/>
      <w:sz w:val="36"/>
      <w:szCs w:val="32"/>
    </w:rPr>
  </w:style>
  <w:style w:type="character" w:customStyle="1" w:styleId="Heading2Char">
    <w:name w:val="Heading 2 Char"/>
    <w:basedOn w:val="DefaultParagraphFont"/>
    <w:link w:val="Heading2"/>
    <w:uiPriority w:val="9"/>
    <w:rsid w:val="00680B5C"/>
    <w:rPr>
      <w:rFonts w:ascii="Arial" w:eastAsiaTheme="majorEastAsia" w:hAnsi="Arial" w:cstheme="majorBidi"/>
      <w:color w:val="00283E"/>
      <w:sz w:val="28"/>
      <w:szCs w:val="26"/>
    </w:rPr>
  </w:style>
  <w:style w:type="character" w:customStyle="1" w:styleId="Heading3Char">
    <w:name w:val="Heading 3 Char"/>
    <w:basedOn w:val="DefaultParagraphFont"/>
    <w:link w:val="Heading3"/>
    <w:uiPriority w:val="9"/>
    <w:rsid w:val="00773110"/>
    <w:rPr>
      <w:rFonts w:ascii="Arial" w:eastAsiaTheme="majorEastAsia" w:hAnsi="Arial" w:cstheme="majorBidi"/>
      <w:i/>
      <w:color w:val="00283E"/>
      <w:sz w:val="24"/>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basedOn w:val="Normal"/>
    <w:uiPriority w:val="34"/>
    <w:qFormat/>
    <w:rsid w:val="00527E00"/>
    <w:pPr>
      <w:numPr>
        <w:numId w:val="1"/>
      </w:numPr>
      <w:ind w:left="284" w:hanging="284"/>
      <w:contextualSpacing/>
    </w:pPr>
  </w:style>
  <w:style w:type="paragraph" w:styleId="ListBullet">
    <w:name w:val="List Bullet"/>
    <w:basedOn w:val="ListParagraph"/>
    <w:uiPriority w:val="99"/>
    <w:unhideWhenUsed/>
    <w:rsid w:val="00DE3D00"/>
    <w:pPr>
      <w:numPr>
        <w:numId w:val="14"/>
      </w:numPr>
    </w:pPr>
  </w:style>
  <w:style w:type="paragraph" w:styleId="ListBullet2">
    <w:name w:val="List Bullet 2"/>
    <w:basedOn w:val="Normal"/>
    <w:uiPriority w:val="99"/>
    <w:unhideWhenUsed/>
    <w:rsid w:val="00040232"/>
    <w:pPr>
      <w:numPr>
        <w:numId w:val="4"/>
      </w:numPr>
      <w:spacing w:before="120"/>
      <w:ind w:left="641" w:hanging="357"/>
      <w:contextualSpacing/>
    </w:pPr>
  </w:style>
  <w:style w:type="paragraph" w:styleId="ListNumber">
    <w:name w:val="List Number"/>
    <w:basedOn w:val="ListParagraph"/>
    <w:uiPriority w:val="99"/>
    <w:unhideWhenUsed/>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ocumen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1</TotalTime>
  <Pages>4</Pages>
  <Words>1251</Words>
  <Characters>7134</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Industry, Innovation and Science</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Safety Review Terms of Reference</dc:title>
  <dc:subject/>
  <dc:creator>Francis, Sophie</dc:creator>
  <cp:keywords/>
  <dc:description/>
  <cp:lastModifiedBy>Francis, Sophie</cp:lastModifiedBy>
  <cp:revision>3</cp:revision>
  <dcterms:created xsi:type="dcterms:W3CDTF">2019-01-18T00:39:00Z</dcterms:created>
  <dcterms:modified xsi:type="dcterms:W3CDTF">2019-01-18T00:40:00Z</dcterms:modified>
</cp:coreProperties>
</file>