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87" w:rsidRDefault="00651087" w:rsidP="00651087">
      <w:pPr>
        <w:pStyle w:val="Heading1"/>
        <w:spacing w:before="800"/>
      </w:pPr>
      <w:r w:rsidRPr="00651087">
        <w:rPr>
          <w:rStyle w:val="Bold"/>
          <w:b/>
        </w:rPr>
        <w:t>OFFSHORE GREENHOUSE GAS STORAGE</w:t>
      </w:r>
      <w:r w:rsidRPr="00651087">
        <w:rPr>
          <w:rStyle w:val="Bold"/>
          <w:b/>
        </w:rPr>
        <w:br/>
        <w:t xml:space="preserve">ACREAGE RELEASE | </w:t>
      </w:r>
      <w:r w:rsidRPr="0099794E">
        <w:rPr>
          <w:b w:val="0"/>
        </w:rPr>
        <w:t>AUSTRALIA 2014</w:t>
      </w:r>
    </w:p>
    <w:p w:rsidR="00651087" w:rsidRPr="0099794E" w:rsidRDefault="00651087" w:rsidP="0099794E">
      <w:pPr>
        <w:pStyle w:val="Heading1"/>
        <w:spacing w:after="320"/>
      </w:pPr>
      <w:r w:rsidRPr="0099794E">
        <w:t>GENERAL AND SPECIAL NOTICES</w:t>
      </w:r>
    </w:p>
    <w:p w:rsidR="00651087" w:rsidRDefault="00651087" w:rsidP="00651087">
      <w:pPr>
        <w:pStyle w:val="Heading1"/>
        <w:sectPr w:rsidR="00651087" w:rsidSect="00651087">
          <w:footerReference w:type="default" r:id="rId11"/>
          <w:headerReference w:type="first" r:id="rId12"/>
          <w:footerReference w:type="first" r:id="rId13"/>
          <w:type w:val="continuous"/>
          <w:pgSz w:w="11906" w:h="16838" w:code="142"/>
          <w:pgMar w:top="1134" w:right="1134" w:bottom="1701" w:left="1134" w:header="1814" w:footer="709" w:gutter="0"/>
          <w:cols w:space="284"/>
          <w:titlePg/>
          <w:docGrid w:linePitch="360"/>
        </w:sectPr>
      </w:pPr>
    </w:p>
    <w:p w:rsidR="00245AE9" w:rsidRPr="00B41FA8" w:rsidRDefault="00245AE9" w:rsidP="00245AE9">
      <w:pPr>
        <w:rPr>
          <w:sz w:val="17"/>
          <w:szCs w:val="17"/>
        </w:rPr>
      </w:pPr>
      <w:r>
        <w:t xml:space="preserve">The </w:t>
      </w:r>
      <w:r w:rsidRPr="00B41FA8">
        <w:rPr>
          <w:sz w:val="17"/>
          <w:szCs w:val="17"/>
        </w:rPr>
        <w:t xml:space="preserve">Australian Government does not guarantee that the information contained in this document is accurate or complete. </w:t>
      </w:r>
      <w:r w:rsidR="00ED0ABB">
        <w:rPr>
          <w:sz w:val="17"/>
          <w:szCs w:val="17"/>
        </w:rPr>
        <w:t>Potential bidders</w:t>
      </w:r>
      <w:r w:rsidRPr="00B41FA8">
        <w:rPr>
          <w:sz w:val="17"/>
          <w:szCs w:val="17"/>
        </w:rPr>
        <w:t xml:space="preserve"> should not rely solely on information contained in this document when making a commercial decision</w:t>
      </w:r>
      <w:r w:rsidR="0046035B" w:rsidRPr="00B41FA8">
        <w:rPr>
          <w:sz w:val="17"/>
          <w:szCs w:val="17"/>
        </w:rPr>
        <w:t xml:space="preserve"> and </w:t>
      </w:r>
      <w:r w:rsidRPr="00B41FA8">
        <w:rPr>
          <w:sz w:val="17"/>
          <w:szCs w:val="17"/>
        </w:rPr>
        <w:t xml:space="preserve">are responsible for checking the accuracy of information prior to commencing any </w:t>
      </w:r>
      <w:r w:rsidR="00AF7396">
        <w:rPr>
          <w:sz w:val="17"/>
          <w:szCs w:val="17"/>
        </w:rPr>
        <w:t xml:space="preserve">greenhouse gas storage </w:t>
      </w:r>
      <w:r w:rsidRPr="00B41FA8">
        <w:rPr>
          <w:sz w:val="17"/>
          <w:szCs w:val="17"/>
        </w:rPr>
        <w:t>operat</w:t>
      </w:r>
      <w:r w:rsidR="00ED0ABB">
        <w:rPr>
          <w:sz w:val="17"/>
          <w:szCs w:val="17"/>
        </w:rPr>
        <w:t>ion.</w:t>
      </w:r>
    </w:p>
    <w:p w:rsidR="00444FA8" w:rsidRPr="00624851" w:rsidRDefault="00F94DCD" w:rsidP="00624851">
      <w:pPr>
        <w:pStyle w:val="Heading2"/>
        <w:rPr>
          <w:b w:val="0"/>
        </w:rPr>
      </w:pPr>
      <w:r w:rsidRPr="00624851">
        <w:t>O</w:t>
      </w:r>
      <w:r w:rsidR="00074CB2" w:rsidRPr="00624851">
        <w:t>VERVIEW</w:t>
      </w:r>
      <w:bookmarkStart w:id="0" w:name="_GoBack"/>
      <w:bookmarkEnd w:id="0"/>
    </w:p>
    <w:p w:rsidR="00ED0ABB" w:rsidRDefault="00ED0ABB" w:rsidP="00D43ACB">
      <w:pPr>
        <w:rPr>
          <w:sz w:val="17"/>
          <w:szCs w:val="17"/>
        </w:rPr>
      </w:pPr>
      <w:r w:rsidRPr="00ED0ABB">
        <w:rPr>
          <w:sz w:val="17"/>
          <w:szCs w:val="17"/>
        </w:rPr>
        <w:t xml:space="preserve">The </w:t>
      </w:r>
      <w:r w:rsidR="00BF5D73" w:rsidRPr="00D43ACB">
        <w:rPr>
          <w:sz w:val="17"/>
          <w:szCs w:val="17"/>
        </w:rPr>
        <w:t xml:space="preserve">Offshore Petroleum and Greenhouse Gas Storage Act 2006 </w:t>
      </w:r>
      <w:r w:rsidR="00BF5D73">
        <w:rPr>
          <w:sz w:val="17"/>
          <w:szCs w:val="17"/>
        </w:rPr>
        <w:t>(O</w:t>
      </w:r>
      <w:r w:rsidRPr="00ED0ABB">
        <w:rPr>
          <w:sz w:val="17"/>
          <w:szCs w:val="17"/>
        </w:rPr>
        <w:t>PGGSA</w:t>
      </w:r>
      <w:r w:rsidR="00BF5D73">
        <w:rPr>
          <w:sz w:val="17"/>
          <w:szCs w:val="17"/>
        </w:rPr>
        <w:t>)</w:t>
      </w:r>
      <w:r w:rsidRPr="00ED0ABB">
        <w:rPr>
          <w:sz w:val="17"/>
          <w:szCs w:val="17"/>
        </w:rPr>
        <w:t xml:space="preserve"> requires that offshore </w:t>
      </w:r>
      <w:r w:rsidR="001C7896">
        <w:rPr>
          <w:sz w:val="17"/>
          <w:szCs w:val="17"/>
        </w:rPr>
        <w:t>greenhouse gas (</w:t>
      </w:r>
      <w:r w:rsidRPr="00ED0ABB">
        <w:rPr>
          <w:sz w:val="17"/>
          <w:szCs w:val="17"/>
        </w:rPr>
        <w:t>GHG</w:t>
      </w:r>
      <w:r w:rsidR="001C7896">
        <w:rPr>
          <w:sz w:val="17"/>
          <w:szCs w:val="17"/>
        </w:rPr>
        <w:t>)</w:t>
      </w:r>
      <w:r w:rsidRPr="00ED0ABB">
        <w:rPr>
          <w:sz w:val="17"/>
          <w:szCs w:val="17"/>
        </w:rPr>
        <w:t xml:space="preserve"> storage operations be carried out in a manner that does not unduly interfere with the rights and interests of others. There is also a need to comply with other requirements and standards set by Australian law. All titleholders need to have </w:t>
      </w:r>
      <w:r>
        <w:rPr>
          <w:sz w:val="17"/>
          <w:szCs w:val="17"/>
        </w:rPr>
        <w:t>due regard for matters such as:</w:t>
      </w:r>
    </w:p>
    <w:p w:rsidR="00542D5D" w:rsidRPr="00B41FA8" w:rsidRDefault="00C359BE" w:rsidP="00D43ACB">
      <w:pPr>
        <w:pStyle w:val="ListParagraph"/>
        <w:widowControl w:val="0"/>
        <w:numPr>
          <w:ilvl w:val="0"/>
          <w:numId w:val="22"/>
        </w:numPr>
        <w:spacing w:line="276" w:lineRule="auto"/>
        <w:contextualSpacing w:val="0"/>
        <w:rPr>
          <w:sz w:val="17"/>
          <w:szCs w:val="17"/>
        </w:rPr>
      </w:pPr>
      <w:r w:rsidRPr="00B41FA8">
        <w:rPr>
          <w:sz w:val="17"/>
          <w:szCs w:val="17"/>
        </w:rPr>
        <w:t>E</w:t>
      </w:r>
      <w:r w:rsidR="00542D5D" w:rsidRPr="00B41FA8">
        <w:rPr>
          <w:sz w:val="17"/>
          <w:szCs w:val="17"/>
        </w:rPr>
        <w:t>nvi</w:t>
      </w:r>
      <w:r w:rsidR="00ED0ABB">
        <w:rPr>
          <w:sz w:val="17"/>
          <w:szCs w:val="17"/>
        </w:rPr>
        <w:t>ronment and heritage protection</w:t>
      </w:r>
    </w:p>
    <w:p w:rsidR="00542D5D" w:rsidRPr="00B41FA8" w:rsidRDefault="00542D5D" w:rsidP="00D43ACB">
      <w:pPr>
        <w:pStyle w:val="ListParagraph"/>
        <w:widowControl w:val="0"/>
        <w:numPr>
          <w:ilvl w:val="0"/>
          <w:numId w:val="22"/>
        </w:numPr>
        <w:spacing w:line="276" w:lineRule="auto"/>
        <w:contextualSpacing w:val="0"/>
        <w:rPr>
          <w:sz w:val="17"/>
          <w:szCs w:val="17"/>
        </w:rPr>
      </w:pPr>
      <w:r w:rsidRPr="00B41FA8">
        <w:rPr>
          <w:sz w:val="17"/>
          <w:szCs w:val="17"/>
        </w:rPr>
        <w:t>Na</w:t>
      </w:r>
      <w:r w:rsidR="00ED0ABB">
        <w:rPr>
          <w:sz w:val="17"/>
          <w:szCs w:val="17"/>
        </w:rPr>
        <w:t>tive Title rights and interests</w:t>
      </w:r>
    </w:p>
    <w:p w:rsidR="00542D5D" w:rsidRPr="00B41FA8" w:rsidRDefault="00C359BE" w:rsidP="00D43ACB">
      <w:pPr>
        <w:pStyle w:val="ListParagraph"/>
        <w:widowControl w:val="0"/>
        <w:numPr>
          <w:ilvl w:val="0"/>
          <w:numId w:val="22"/>
        </w:numPr>
        <w:spacing w:line="276" w:lineRule="auto"/>
        <w:contextualSpacing w:val="0"/>
        <w:rPr>
          <w:sz w:val="17"/>
          <w:szCs w:val="17"/>
        </w:rPr>
      </w:pPr>
      <w:r w:rsidRPr="00B41FA8">
        <w:rPr>
          <w:sz w:val="17"/>
          <w:szCs w:val="17"/>
        </w:rPr>
        <w:t>N</w:t>
      </w:r>
      <w:r w:rsidR="00ED0ABB">
        <w:rPr>
          <w:sz w:val="17"/>
          <w:szCs w:val="17"/>
        </w:rPr>
        <w:t>avigation and maritime safety</w:t>
      </w:r>
    </w:p>
    <w:p w:rsidR="00542D5D" w:rsidRPr="00B41FA8" w:rsidRDefault="00C359BE" w:rsidP="00D43ACB">
      <w:pPr>
        <w:pStyle w:val="ListParagraph"/>
        <w:widowControl w:val="0"/>
        <w:numPr>
          <w:ilvl w:val="0"/>
          <w:numId w:val="22"/>
        </w:numPr>
        <w:spacing w:line="276" w:lineRule="auto"/>
        <w:contextualSpacing w:val="0"/>
        <w:rPr>
          <w:sz w:val="17"/>
          <w:szCs w:val="17"/>
        </w:rPr>
      </w:pPr>
      <w:r w:rsidRPr="00B41FA8">
        <w:rPr>
          <w:sz w:val="17"/>
          <w:szCs w:val="17"/>
        </w:rPr>
        <w:t>F</w:t>
      </w:r>
      <w:r w:rsidR="00ED0ABB">
        <w:rPr>
          <w:sz w:val="17"/>
          <w:szCs w:val="17"/>
        </w:rPr>
        <w:t>ishing activities</w:t>
      </w:r>
    </w:p>
    <w:p w:rsidR="00542D5D" w:rsidRPr="00B41FA8" w:rsidRDefault="00C359BE" w:rsidP="00D43ACB">
      <w:pPr>
        <w:pStyle w:val="ListParagraph"/>
        <w:widowControl w:val="0"/>
        <w:numPr>
          <w:ilvl w:val="0"/>
          <w:numId w:val="22"/>
        </w:numPr>
        <w:spacing w:line="276" w:lineRule="auto"/>
        <w:contextualSpacing w:val="0"/>
        <w:rPr>
          <w:sz w:val="17"/>
          <w:szCs w:val="17"/>
        </w:rPr>
      </w:pPr>
      <w:r w:rsidRPr="00B41FA8">
        <w:rPr>
          <w:sz w:val="17"/>
          <w:szCs w:val="17"/>
        </w:rPr>
        <w:t>S</w:t>
      </w:r>
      <w:r w:rsidR="00542D5D" w:rsidRPr="00B41FA8">
        <w:rPr>
          <w:sz w:val="17"/>
          <w:szCs w:val="17"/>
        </w:rPr>
        <w:t>ubm</w:t>
      </w:r>
      <w:r w:rsidR="00ED0ABB">
        <w:rPr>
          <w:sz w:val="17"/>
          <w:szCs w:val="17"/>
        </w:rPr>
        <w:t>arine telecommunication cables</w:t>
      </w:r>
    </w:p>
    <w:p w:rsidR="00542D5D" w:rsidRPr="00B41FA8" w:rsidRDefault="00C359BE" w:rsidP="00D43ACB">
      <w:pPr>
        <w:pStyle w:val="ListParagraph"/>
        <w:widowControl w:val="0"/>
        <w:numPr>
          <w:ilvl w:val="0"/>
          <w:numId w:val="22"/>
        </w:numPr>
        <w:spacing w:line="276" w:lineRule="auto"/>
        <w:contextualSpacing w:val="0"/>
        <w:rPr>
          <w:sz w:val="17"/>
          <w:szCs w:val="17"/>
        </w:rPr>
      </w:pPr>
      <w:r w:rsidRPr="00B41FA8">
        <w:rPr>
          <w:sz w:val="17"/>
          <w:szCs w:val="17"/>
        </w:rPr>
        <w:t>I</w:t>
      </w:r>
      <w:r w:rsidR="00542D5D" w:rsidRPr="00B41FA8">
        <w:rPr>
          <w:sz w:val="17"/>
          <w:szCs w:val="17"/>
        </w:rPr>
        <w:t>nsurance.</w:t>
      </w:r>
    </w:p>
    <w:p w:rsidR="00ED0ABB" w:rsidRDefault="00ED0ABB" w:rsidP="00542D5D">
      <w:pPr>
        <w:rPr>
          <w:sz w:val="17"/>
          <w:szCs w:val="17"/>
        </w:rPr>
      </w:pPr>
      <w:r w:rsidRPr="00ED0ABB">
        <w:rPr>
          <w:sz w:val="17"/>
          <w:szCs w:val="17"/>
        </w:rPr>
        <w:t xml:space="preserve">The OPGGSA also includes a system to protect the rights of existing petroleum title holders and to manage interactions with the petroleum industry into the future. Prospective bidders for GHG </w:t>
      </w:r>
      <w:r w:rsidR="00BF5D73">
        <w:rPr>
          <w:sz w:val="17"/>
          <w:szCs w:val="17"/>
        </w:rPr>
        <w:t xml:space="preserve">storage </w:t>
      </w:r>
      <w:r w:rsidRPr="00ED0ABB">
        <w:rPr>
          <w:sz w:val="17"/>
          <w:szCs w:val="17"/>
        </w:rPr>
        <w:t>acreage areas should familiarise themselves with relevant part</w:t>
      </w:r>
      <w:r>
        <w:rPr>
          <w:sz w:val="17"/>
          <w:szCs w:val="17"/>
        </w:rPr>
        <w:t>s of the Act.</w:t>
      </w:r>
    </w:p>
    <w:p w:rsidR="00542D5D" w:rsidRPr="00B41FA8" w:rsidRDefault="00624851" w:rsidP="00542D5D">
      <w:pPr>
        <w:rPr>
          <w:sz w:val="17"/>
          <w:szCs w:val="17"/>
        </w:rPr>
      </w:pPr>
      <w:r w:rsidRPr="00B41FA8">
        <w:rPr>
          <w:sz w:val="17"/>
          <w:szCs w:val="17"/>
        </w:rPr>
        <w:t xml:space="preserve">This document sets out the general and special notifications regarding </w:t>
      </w:r>
      <w:r w:rsidR="00D55922" w:rsidRPr="00B41FA8">
        <w:rPr>
          <w:sz w:val="17"/>
          <w:szCs w:val="17"/>
        </w:rPr>
        <w:t>the acreage</w:t>
      </w:r>
      <w:r w:rsidR="00542D5D" w:rsidRPr="00B41FA8">
        <w:rPr>
          <w:sz w:val="17"/>
          <w:szCs w:val="17"/>
        </w:rPr>
        <w:t xml:space="preserve"> areas </w:t>
      </w:r>
      <w:r w:rsidR="002A3840" w:rsidRPr="00B41FA8">
        <w:rPr>
          <w:sz w:val="17"/>
          <w:szCs w:val="17"/>
        </w:rPr>
        <w:t xml:space="preserve">offered for </w:t>
      </w:r>
      <w:r w:rsidR="00ED0ABB">
        <w:rPr>
          <w:sz w:val="17"/>
          <w:szCs w:val="17"/>
        </w:rPr>
        <w:t>GHG assessment and storage</w:t>
      </w:r>
      <w:r w:rsidR="002A3840" w:rsidRPr="00B41FA8">
        <w:rPr>
          <w:sz w:val="17"/>
          <w:szCs w:val="17"/>
        </w:rPr>
        <w:t xml:space="preserve"> </w:t>
      </w:r>
      <w:r w:rsidR="00542D5D" w:rsidRPr="00B41FA8">
        <w:rPr>
          <w:sz w:val="17"/>
          <w:szCs w:val="17"/>
        </w:rPr>
        <w:t>in the 201</w:t>
      </w:r>
      <w:r w:rsidR="00F93624" w:rsidRPr="00B41FA8">
        <w:rPr>
          <w:sz w:val="17"/>
          <w:szCs w:val="17"/>
        </w:rPr>
        <w:t>4</w:t>
      </w:r>
      <w:r w:rsidR="00542D5D" w:rsidRPr="00B41FA8">
        <w:rPr>
          <w:sz w:val="17"/>
          <w:szCs w:val="17"/>
        </w:rPr>
        <w:t xml:space="preserve"> Offshore </w:t>
      </w:r>
      <w:r w:rsidR="00ED0ABB">
        <w:rPr>
          <w:sz w:val="17"/>
          <w:szCs w:val="17"/>
        </w:rPr>
        <w:t>GHG Storage</w:t>
      </w:r>
      <w:r w:rsidR="00542D5D" w:rsidRPr="00B41FA8">
        <w:rPr>
          <w:sz w:val="17"/>
          <w:szCs w:val="17"/>
        </w:rPr>
        <w:t xml:space="preserve"> A</w:t>
      </w:r>
      <w:r w:rsidRPr="00B41FA8">
        <w:rPr>
          <w:sz w:val="17"/>
          <w:szCs w:val="17"/>
        </w:rPr>
        <w:t>creage Release (Release Areas)</w:t>
      </w:r>
      <w:r w:rsidR="00ED0ABB">
        <w:rPr>
          <w:sz w:val="17"/>
          <w:szCs w:val="17"/>
        </w:rPr>
        <w:t>.</w:t>
      </w:r>
    </w:p>
    <w:p w:rsidR="003B43C1" w:rsidRPr="00B41FA8" w:rsidRDefault="003B43C1" w:rsidP="003B43C1">
      <w:pPr>
        <w:rPr>
          <w:sz w:val="17"/>
          <w:szCs w:val="17"/>
        </w:rPr>
      </w:pPr>
      <w:r w:rsidRPr="00B41FA8">
        <w:rPr>
          <w:sz w:val="17"/>
          <w:szCs w:val="17"/>
        </w:rPr>
        <w:t xml:space="preserve">These notices are designed to serve as </w:t>
      </w:r>
      <w:r w:rsidR="00AF7396">
        <w:rPr>
          <w:sz w:val="17"/>
          <w:szCs w:val="17"/>
        </w:rPr>
        <w:t>a</w:t>
      </w:r>
      <w:r w:rsidRPr="00B41FA8">
        <w:rPr>
          <w:sz w:val="17"/>
          <w:szCs w:val="17"/>
        </w:rPr>
        <w:t xml:space="preserve"> reference for successful applicants, as they progress towards meeting their </w:t>
      </w:r>
      <w:r w:rsidR="00ED0ABB">
        <w:rPr>
          <w:sz w:val="17"/>
          <w:szCs w:val="17"/>
        </w:rPr>
        <w:t>assessment</w:t>
      </w:r>
      <w:r w:rsidRPr="00B41FA8">
        <w:rPr>
          <w:sz w:val="17"/>
          <w:szCs w:val="17"/>
        </w:rPr>
        <w:t xml:space="preserve"> p</w:t>
      </w:r>
      <w:r w:rsidR="00ED0ABB">
        <w:rPr>
          <w:sz w:val="17"/>
          <w:szCs w:val="17"/>
        </w:rPr>
        <w:t>ermit work program obligations.</w:t>
      </w:r>
    </w:p>
    <w:p w:rsidR="001C7896" w:rsidRPr="001C7896" w:rsidRDefault="001C7896" w:rsidP="001C7896">
      <w:pPr>
        <w:rPr>
          <w:sz w:val="17"/>
          <w:szCs w:val="17"/>
        </w:rPr>
      </w:pPr>
      <w:r w:rsidRPr="001C7896">
        <w:rPr>
          <w:sz w:val="17"/>
          <w:szCs w:val="17"/>
        </w:rPr>
        <w:t xml:space="preserve">In addition to the general advice and requirements that apply to all release areas, there are also notices giving recommendations and requirements for specific areas. The attention of potential </w:t>
      </w:r>
      <w:r w:rsidR="00BF5D73">
        <w:rPr>
          <w:sz w:val="17"/>
          <w:szCs w:val="17"/>
        </w:rPr>
        <w:t>bidders</w:t>
      </w:r>
      <w:r w:rsidRPr="001C7896">
        <w:rPr>
          <w:sz w:val="17"/>
          <w:szCs w:val="17"/>
        </w:rPr>
        <w:t xml:space="preserve"> is drawn to both the Notices For All Areas and the Notices For Specific Areas set out below, which have been identified through consultation with parties that have rights and interests in </w:t>
      </w:r>
      <w:r w:rsidR="008418AB">
        <w:rPr>
          <w:sz w:val="17"/>
          <w:szCs w:val="17"/>
        </w:rPr>
        <w:t xml:space="preserve">the </w:t>
      </w:r>
      <w:r w:rsidRPr="001C7896">
        <w:rPr>
          <w:sz w:val="17"/>
          <w:szCs w:val="17"/>
        </w:rPr>
        <w:t>2014 Release Areas. The requirements for specific areas may result in conditions being included in an assessment title document.</w:t>
      </w:r>
    </w:p>
    <w:p w:rsidR="009F604A" w:rsidRPr="009E00AF" w:rsidRDefault="009F604A" w:rsidP="00E2397F">
      <w:pPr>
        <w:pStyle w:val="Heading2"/>
      </w:pPr>
      <w:r w:rsidRPr="009E00AF">
        <w:t xml:space="preserve">key </w:t>
      </w:r>
      <w:r w:rsidRPr="00E2397F">
        <w:t>contacts</w:t>
      </w:r>
    </w:p>
    <w:p w:rsidR="009F604A" w:rsidRPr="007564DD" w:rsidRDefault="009F604A" w:rsidP="00E2397F">
      <w:pPr>
        <w:spacing w:after="120"/>
        <w:rPr>
          <w:sz w:val="17"/>
          <w:szCs w:val="17"/>
        </w:rPr>
      </w:pPr>
      <w:r w:rsidRPr="007564DD">
        <w:rPr>
          <w:sz w:val="17"/>
          <w:szCs w:val="17"/>
        </w:rPr>
        <w:t>A</w:t>
      </w:r>
      <w:r w:rsidR="000F48E9" w:rsidRPr="007564DD">
        <w:rPr>
          <w:sz w:val="17"/>
          <w:szCs w:val="17"/>
        </w:rPr>
        <w:t xml:space="preserve">ustralian </w:t>
      </w:r>
      <w:r w:rsidRPr="007564DD">
        <w:rPr>
          <w:sz w:val="17"/>
          <w:szCs w:val="17"/>
        </w:rPr>
        <w:t>F</w:t>
      </w:r>
      <w:r w:rsidR="000F48E9" w:rsidRPr="007564DD">
        <w:rPr>
          <w:sz w:val="17"/>
          <w:szCs w:val="17"/>
        </w:rPr>
        <w:t xml:space="preserve">isheries </w:t>
      </w:r>
      <w:r w:rsidRPr="007564DD">
        <w:rPr>
          <w:sz w:val="17"/>
          <w:szCs w:val="17"/>
        </w:rPr>
        <w:t>M</w:t>
      </w:r>
      <w:r w:rsidR="000F48E9" w:rsidRPr="007564DD">
        <w:rPr>
          <w:sz w:val="17"/>
          <w:szCs w:val="17"/>
        </w:rPr>
        <w:t xml:space="preserve">anagement </w:t>
      </w:r>
      <w:r w:rsidRPr="007564DD">
        <w:rPr>
          <w:sz w:val="17"/>
          <w:szCs w:val="17"/>
        </w:rPr>
        <w:t>A</w:t>
      </w:r>
      <w:r w:rsidR="000F48E9" w:rsidRPr="007564DD">
        <w:rPr>
          <w:sz w:val="17"/>
          <w:szCs w:val="17"/>
        </w:rPr>
        <w:t>uthority (AFMA)</w:t>
      </w:r>
      <w:r w:rsidRPr="007564DD">
        <w:rPr>
          <w:sz w:val="17"/>
          <w:szCs w:val="17"/>
        </w:rPr>
        <w:t xml:space="preserve">: </w:t>
      </w:r>
      <w:hyperlink r:id="rId14" w:tooltip="Email address to contact AFMA." w:history="1">
        <w:r w:rsidRPr="007564DD">
          <w:rPr>
            <w:rStyle w:val="Hyperlink"/>
            <w:sz w:val="17"/>
            <w:szCs w:val="17"/>
          </w:rPr>
          <w:t>petroleum@afma.gov.au.</w:t>
        </w:r>
      </w:hyperlink>
    </w:p>
    <w:p w:rsidR="009F604A" w:rsidRPr="007564DD" w:rsidRDefault="009F604A" w:rsidP="00E2397F">
      <w:pPr>
        <w:spacing w:after="120"/>
        <w:rPr>
          <w:sz w:val="17"/>
          <w:szCs w:val="17"/>
        </w:rPr>
      </w:pPr>
      <w:r w:rsidRPr="007564DD">
        <w:rPr>
          <w:sz w:val="17"/>
          <w:szCs w:val="17"/>
        </w:rPr>
        <w:t>A</w:t>
      </w:r>
      <w:r w:rsidR="000F48E9" w:rsidRPr="007564DD">
        <w:rPr>
          <w:sz w:val="17"/>
          <w:szCs w:val="17"/>
        </w:rPr>
        <w:t xml:space="preserve">ustralian </w:t>
      </w:r>
      <w:r w:rsidRPr="007564DD">
        <w:rPr>
          <w:sz w:val="17"/>
          <w:szCs w:val="17"/>
        </w:rPr>
        <w:t>M</w:t>
      </w:r>
      <w:r w:rsidR="000F48E9" w:rsidRPr="007564DD">
        <w:rPr>
          <w:sz w:val="17"/>
          <w:szCs w:val="17"/>
        </w:rPr>
        <w:t xml:space="preserve">aritime </w:t>
      </w:r>
      <w:r w:rsidRPr="007564DD">
        <w:rPr>
          <w:sz w:val="17"/>
          <w:szCs w:val="17"/>
        </w:rPr>
        <w:t>S</w:t>
      </w:r>
      <w:r w:rsidR="000F48E9" w:rsidRPr="007564DD">
        <w:rPr>
          <w:sz w:val="17"/>
          <w:szCs w:val="17"/>
        </w:rPr>
        <w:t xml:space="preserve">afety </w:t>
      </w:r>
      <w:r w:rsidRPr="007564DD">
        <w:rPr>
          <w:sz w:val="17"/>
          <w:szCs w:val="17"/>
        </w:rPr>
        <w:t>A</w:t>
      </w:r>
      <w:r w:rsidR="000F48E9" w:rsidRPr="007564DD">
        <w:rPr>
          <w:sz w:val="17"/>
          <w:szCs w:val="17"/>
        </w:rPr>
        <w:t>uthority (AMSA)</w:t>
      </w:r>
      <w:r w:rsidRPr="007564DD">
        <w:rPr>
          <w:sz w:val="17"/>
          <w:szCs w:val="17"/>
        </w:rPr>
        <w:t xml:space="preserve">: </w:t>
      </w:r>
      <w:hyperlink r:id="rId15" w:tooltip="Email adddress to contact AMSA's Nautical Advice Section." w:history="1">
        <w:r w:rsidRPr="007564DD">
          <w:rPr>
            <w:rStyle w:val="Hyperlink"/>
            <w:sz w:val="17"/>
            <w:szCs w:val="17"/>
          </w:rPr>
          <w:t>NauticalAdvice@amsa.gov.au.</w:t>
        </w:r>
      </w:hyperlink>
    </w:p>
    <w:p w:rsidR="009F604A" w:rsidRPr="007564DD" w:rsidRDefault="00035167" w:rsidP="00BD78AC">
      <w:pPr>
        <w:spacing w:after="0"/>
        <w:rPr>
          <w:sz w:val="17"/>
          <w:szCs w:val="17"/>
        </w:rPr>
      </w:pPr>
      <w:r w:rsidRPr="007564DD">
        <w:rPr>
          <w:sz w:val="17"/>
          <w:szCs w:val="17"/>
        </w:rPr>
        <w:t xml:space="preserve">Commonwealth </w:t>
      </w:r>
      <w:r w:rsidR="00AD06E0" w:rsidRPr="007564DD">
        <w:rPr>
          <w:sz w:val="17"/>
          <w:szCs w:val="17"/>
        </w:rPr>
        <w:t xml:space="preserve">Department of </w:t>
      </w:r>
      <w:r w:rsidR="00074D8E" w:rsidRPr="007564DD">
        <w:rPr>
          <w:sz w:val="17"/>
          <w:szCs w:val="17"/>
        </w:rPr>
        <w:t xml:space="preserve">the </w:t>
      </w:r>
      <w:r w:rsidR="00BD78AC" w:rsidRPr="007564DD">
        <w:rPr>
          <w:sz w:val="17"/>
          <w:szCs w:val="17"/>
        </w:rPr>
        <w:t>Environment (Marine </w:t>
      </w:r>
      <w:r w:rsidR="00AD06E0" w:rsidRPr="007564DD">
        <w:rPr>
          <w:sz w:val="17"/>
          <w:szCs w:val="17"/>
        </w:rPr>
        <w:t>Reserves</w:t>
      </w:r>
      <w:r w:rsidR="009F604A" w:rsidRPr="007564DD">
        <w:rPr>
          <w:sz w:val="17"/>
          <w:szCs w:val="17"/>
        </w:rPr>
        <w:t>)</w:t>
      </w:r>
      <w:r w:rsidR="00AD06E0" w:rsidRPr="007564DD">
        <w:rPr>
          <w:sz w:val="17"/>
          <w:szCs w:val="17"/>
        </w:rPr>
        <w:t xml:space="preserve">: </w:t>
      </w:r>
      <w:hyperlink r:id="rId16" w:history="1">
        <w:r w:rsidR="00AD06E0" w:rsidRPr="007564DD">
          <w:rPr>
            <w:rStyle w:val="Hyperlink"/>
            <w:sz w:val="17"/>
            <w:szCs w:val="17"/>
          </w:rPr>
          <w:t>marinereserves@environment.gov.au</w:t>
        </w:r>
      </w:hyperlink>
    </w:p>
    <w:p w:rsidR="00BD78AC" w:rsidRPr="007564DD" w:rsidRDefault="00BD78AC" w:rsidP="00E2397F">
      <w:pPr>
        <w:spacing w:after="120"/>
        <w:rPr>
          <w:sz w:val="17"/>
          <w:szCs w:val="17"/>
        </w:rPr>
      </w:pPr>
      <w:r w:rsidRPr="007564DD">
        <w:rPr>
          <w:sz w:val="17"/>
          <w:szCs w:val="17"/>
        </w:rPr>
        <w:t>(EPBC</w:t>
      </w:r>
      <w:r w:rsidR="00291CFE">
        <w:rPr>
          <w:sz w:val="17"/>
          <w:szCs w:val="17"/>
        </w:rPr>
        <w:t>A</w:t>
      </w:r>
      <w:r w:rsidRPr="007564DD">
        <w:rPr>
          <w:sz w:val="17"/>
          <w:szCs w:val="17"/>
        </w:rPr>
        <w:t xml:space="preserve">) </w:t>
      </w:r>
      <w:hyperlink r:id="rId17" w:history="1">
        <w:r w:rsidRPr="007564DD">
          <w:rPr>
            <w:rStyle w:val="Hyperlink"/>
            <w:sz w:val="17"/>
            <w:szCs w:val="17"/>
          </w:rPr>
          <w:t>ciu@environment.gov.au</w:t>
        </w:r>
      </w:hyperlink>
    </w:p>
    <w:p w:rsidR="009F604A" w:rsidRPr="007564DD" w:rsidRDefault="00132DFF" w:rsidP="00E2397F">
      <w:pPr>
        <w:spacing w:after="120"/>
        <w:rPr>
          <w:sz w:val="17"/>
          <w:szCs w:val="17"/>
        </w:rPr>
      </w:pPr>
      <w:r w:rsidRPr="007564DD">
        <w:rPr>
          <w:sz w:val="17"/>
          <w:szCs w:val="17"/>
        </w:rPr>
        <w:t>C</w:t>
      </w:r>
      <w:r w:rsidR="00035167" w:rsidRPr="007564DD">
        <w:rPr>
          <w:sz w:val="17"/>
          <w:szCs w:val="17"/>
        </w:rPr>
        <w:t xml:space="preserve">ommonwealth </w:t>
      </w:r>
      <w:r w:rsidR="009F604A" w:rsidRPr="007564DD">
        <w:rPr>
          <w:sz w:val="17"/>
          <w:szCs w:val="17"/>
        </w:rPr>
        <w:t>Department of Industry</w:t>
      </w:r>
      <w:r w:rsidR="00AD06E0" w:rsidRPr="007564DD">
        <w:rPr>
          <w:sz w:val="17"/>
          <w:szCs w:val="17"/>
        </w:rPr>
        <w:t xml:space="preserve">: </w:t>
      </w:r>
      <w:hyperlink r:id="rId18" w:history="1">
        <w:r w:rsidR="0099794E" w:rsidRPr="00557B36">
          <w:rPr>
            <w:rStyle w:val="Hyperlink"/>
            <w:sz w:val="17"/>
            <w:szCs w:val="17"/>
          </w:rPr>
          <w:t>ghgacr</w:t>
        </w:r>
        <w:r w:rsidR="00494ECB">
          <w:rPr>
            <w:rStyle w:val="Hyperlink"/>
            <w:sz w:val="17"/>
            <w:szCs w:val="17"/>
          </w:rPr>
          <w:t>e</w:t>
        </w:r>
        <w:r w:rsidR="0099794E" w:rsidRPr="00557B36">
          <w:rPr>
            <w:rStyle w:val="Hyperlink"/>
            <w:sz w:val="17"/>
            <w:szCs w:val="17"/>
          </w:rPr>
          <w:t>age@industry.gov.au</w:t>
        </w:r>
      </w:hyperlink>
    </w:p>
    <w:p w:rsidR="009F604A" w:rsidRPr="007564DD" w:rsidRDefault="00132DFF" w:rsidP="00E2397F">
      <w:pPr>
        <w:spacing w:after="120"/>
        <w:rPr>
          <w:sz w:val="17"/>
          <w:szCs w:val="17"/>
        </w:rPr>
      </w:pPr>
      <w:r w:rsidRPr="007564DD">
        <w:rPr>
          <w:sz w:val="17"/>
          <w:szCs w:val="17"/>
        </w:rPr>
        <w:t xml:space="preserve">National </w:t>
      </w:r>
      <w:r w:rsidR="009F604A" w:rsidRPr="007564DD">
        <w:rPr>
          <w:sz w:val="17"/>
          <w:szCs w:val="17"/>
        </w:rPr>
        <w:t>Native Title</w:t>
      </w:r>
      <w:r w:rsidRPr="007564DD">
        <w:rPr>
          <w:sz w:val="17"/>
          <w:szCs w:val="17"/>
        </w:rPr>
        <w:t xml:space="preserve"> Tribunal</w:t>
      </w:r>
      <w:r w:rsidR="00EC0E23" w:rsidRPr="007564DD">
        <w:rPr>
          <w:sz w:val="17"/>
          <w:szCs w:val="17"/>
        </w:rPr>
        <w:t xml:space="preserve">: </w:t>
      </w:r>
      <w:hyperlink r:id="rId19" w:history="1">
        <w:r w:rsidR="00EC0E23" w:rsidRPr="007564DD">
          <w:rPr>
            <w:rStyle w:val="Hyperlink"/>
            <w:sz w:val="17"/>
            <w:szCs w:val="17"/>
          </w:rPr>
          <w:t>enquiries@nntt.gov.au</w:t>
        </w:r>
      </w:hyperlink>
    </w:p>
    <w:p w:rsidR="005456D3" w:rsidRPr="007564DD" w:rsidRDefault="00624851" w:rsidP="00E2397F">
      <w:pPr>
        <w:spacing w:after="120"/>
        <w:rPr>
          <w:sz w:val="17"/>
          <w:szCs w:val="17"/>
        </w:rPr>
      </w:pPr>
      <w:r w:rsidRPr="007564DD">
        <w:rPr>
          <w:sz w:val="17"/>
          <w:szCs w:val="17"/>
        </w:rPr>
        <w:t>N</w:t>
      </w:r>
      <w:r w:rsidR="000A43F7" w:rsidRPr="007564DD">
        <w:rPr>
          <w:sz w:val="17"/>
          <w:szCs w:val="17"/>
        </w:rPr>
        <w:t xml:space="preserve">ational </w:t>
      </w:r>
      <w:r w:rsidRPr="007564DD">
        <w:rPr>
          <w:sz w:val="17"/>
          <w:szCs w:val="17"/>
        </w:rPr>
        <w:t>O</w:t>
      </w:r>
      <w:r w:rsidR="000A43F7" w:rsidRPr="007564DD">
        <w:rPr>
          <w:sz w:val="17"/>
          <w:szCs w:val="17"/>
        </w:rPr>
        <w:t xml:space="preserve">ffshore </w:t>
      </w:r>
      <w:r w:rsidRPr="007564DD">
        <w:rPr>
          <w:sz w:val="17"/>
          <w:szCs w:val="17"/>
        </w:rPr>
        <w:t>P</w:t>
      </w:r>
      <w:r w:rsidR="000A43F7" w:rsidRPr="007564DD">
        <w:rPr>
          <w:sz w:val="17"/>
          <w:szCs w:val="17"/>
        </w:rPr>
        <w:t xml:space="preserve">etroleum </w:t>
      </w:r>
      <w:r w:rsidRPr="007564DD">
        <w:rPr>
          <w:sz w:val="17"/>
          <w:szCs w:val="17"/>
        </w:rPr>
        <w:t>S</w:t>
      </w:r>
      <w:r w:rsidR="000A43F7" w:rsidRPr="007564DD">
        <w:rPr>
          <w:sz w:val="17"/>
          <w:szCs w:val="17"/>
        </w:rPr>
        <w:t xml:space="preserve">afety and </w:t>
      </w:r>
      <w:r w:rsidRPr="007564DD">
        <w:rPr>
          <w:sz w:val="17"/>
          <w:szCs w:val="17"/>
        </w:rPr>
        <w:t>E</w:t>
      </w:r>
      <w:r w:rsidR="000A43F7" w:rsidRPr="007564DD">
        <w:rPr>
          <w:sz w:val="17"/>
          <w:szCs w:val="17"/>
        </w:rPr>
        <w:t xml:space="preserve">nvironmental </w:t>
      </w:r>
      <w:r w:rsidRPr="007564DD">
        <w:rPr>
          <w:sz w:val="17"/>
          <w:szCs w:val="17"/>
        </w:rPr>
        <w:t>M</w:t>
      </w:r>
      <w:r w:rsidR="000A43F7" w:rsidRPr="007564DD">
        <w:rPr>
          <w:sz w:val="17"/>
          <w:szCs w:val="17"/>
        </w:rPr>
        <w:t xml:space="preserve">anagement </w:t>
      </w:r>
      <w:r w:rsidRPr="007564DD">
        <w:rPr>
          <w:sz w:val="17"/>
          <w:szCs w:val="17"/>
        </w:rPr>
        <w:t>A</w:t>
      </w:r>
      <w:r w:rsidR="00106227" w:rsidRPr="007564DD">
        <w:rPr>
          <w:sz w:val="17"/>
          <w:szCs w:val="17"/>
        </w:rPr>
        <w:t xml:space="preserve">uthority: </w:t>
      </w:r>
      <w:hyperlink r:id="rId20" w:history="1">
        <w:r w:rsidR="00FD60E9" w:rsidRPr="007564DD">
          <w:rPr>
            <w:rStyle w:val="Hyperlink"/>
            <w:sz w:val="17"/>
            <w:szCs w:val="17"/>
          </w:rPr>
          <w:t>information@nopsema.gov.au</w:t>
        </w:r>
      </w:hyperlink>
    </w:p>
    <w:p w:rsidR="00624851" w:rsidRPr="007564DD" w:rsidRDefault="00624851" w:rsidP="00E2397F">
      <w:pPr>
        <w:spacing w:after="120"/>
        <w:rPr>
          <w:sz w:val="17"/>
          <w:szCs w:val="17"/>
        </w:rPr>
      </w:pPr>
      <w:r w:rsidRPr="007564DD">
        <w:rPr>
          <w:sz w:val="17"/>
          <w:szCs w:val="17"/>
        </w:rPr>
        <w:t>N</w:t>
      </w:r>
      <w:r w:rsidR="000A43F7" w:rsidRPr="007564DD">
        <w:rPr>
          <w:sz w:val="17"/>
          <w:szCs w:val="17"/>
        </w:rPr>
        <w:t xml:space="preserve">ational </w:t>
      </w:r>
      <w:r w:rsidRPr="007564DD">
        <w:rPr>
          <w:sz w:val="17"/>
          <w:szCs w:val="17"/>
        </w:rPr>
        <w:t>O</w:t>
      </w:r>
      <w:r w:rsidR="000A43F7" w:rsidRPr="007564DD">
        <w:rPr>
          <w:sz w:val="17"/>
          <w:szCs w:val="17"/>
        </w:rPr>
        <w:t xml:space="preserve">ffshore </w:t>
      </w:r>
      <w:r w:rsidRPr="007564DD">
        <w:rPr>
          <w:sz w:val="17"/>
          <w:szCs w:val="17"/>
        </w:rPr>
        <w:t>P</w:t>
      </w:r>
      <w:r w:rsidR="000A43F7" w:rsidRPr="007564DD">
        <w:rPr>
          <w:sz w:val="17"/>
          <w:szCs w:val="17"/>
        </w:rPr>
        <w:t xml:space="preserve">etroleum </w:t>
      </w:r>
      <w:r w:rsidRPr="007564DD">
        <w:rPr>
          <w:sz w:val="17"/>
          <w:szCs w:val="17"/>
        </w:rPr>
        <w:t>T</w:t>
      </w:r>
      <w:r w:rsidR="000A43F7" w:rsidRPr="007564DD">
        <w:rPr>
          <w:sz w:val="17"/>
          <w:szCs w:val="17"/>
        </w:rPr>
        <w:t xml:space="preserve">itles </w:t>
      </w:r>
      <w:r w:rsidRPr="007564DD">
        <w:rPr>
          <w:sz w:val="17"/>
          <w:szCs w:val="17"/>
        </w:rPr>
        <w:t>A</w:t>
      </w:r>
      <w:r w:rsidR="00106227" w:rsidRPr="007564DD">
        <w:rPr>
          <w:sz w:val="17"/>
          <w:szCs w:val="17"/>
        </w:rPr>
        <w:t>dministrator</w:t>
      </w:r>
      <w:r w:rsidRPr="007564DD">
        <w:rPr>
          <w:sz w:val="17"/>
          <w:szCs w:val="17"/>
        </w:rPr>
        <w:t>:</w:t>
      </w:r>
      <w:r w:rsidR="005456D3" w:rsidRPr="007564DD">
        <w:rPr>
          <w:sz w:val="17"/>
          <w:szCs w:val="17"/>
        </w:rPr>
        <w:t xml:space="preserve"> </w:t>
      </w:r>
      <w:hyperlink r:id="rId21" w:history="1">
        <w:r w:rsidR="005456D3" w:rsidRPr="007564DD">
          <w:rPr>
            <w:rStyle w:val="Hyperlink"/>
            <w:sz w:val="17"/>
            <w:szCs w:val="17"/>
          </w:rPr>
          <w:t>info@nopta.gov.au</w:t>
        </w:r>
      </w:hyperlink>
    </w:p>
    <w:p w:rsidR="008804FD" w:rsidRDefault="009F604A" w:rsidP="008418AB">
      <w:pPr>
        <w:spacing w:after="120"/>
        <w:rPr>
          <w:rStyle w:val="Hyperlink"/>
          <w:sz w:val="17"/>
          <w:szCs w:val="17"/>
        </w:rPr>
      </w:pPr>
      <w:r w:rsidRPr="007564DD">
        <w:rPr>
          <w:sz w:val="17"/>
          <w:szCs w:val="17"/>
        </w:rPr>
        <w:t xml:space="preserve">Telstra: </w:t>
      </w:r>
      <w:hyperlink r:id="rId22" w:history="1">
        <w:r w:rsidRPr="007564DD">
          <w:rPr>
            <w:rStyle w:val="Hyperlink"/>
            <w:sz w:val="17"/>
            <w:szCs w:val="17"/>
          </w:rPr>
          <w:t>zack.gurdon@team.telstra.com</w:t>
        </w:r>
      </w:hyperlink>
      <w:r w:rsidR="001C322F">
        <w:rPr>
          <w:rStyle w:val="Hyperlink"/>
          <w:sz w:val="17"/>
          <w:szCs w:val="17"/>
        </w:rPr>
        <w:t>.au</w:t>
      </w:r>
    </w:p>
    <w:p w:rsidR="008418AB" w:rsidRPr="00BD44AC" w:rsidRDefault="008418AB" w:rsidP="008418AB">
      <w:pPr>
        <w:widowControl w:val="0"/>
        <w:rPr>
          <w:sz w:val="17"/>
          <w:szCs w:val="17"/>
        </w:rPr>
      </w:pPr>
      <w:proofErr w:type="spellStart"/>
      <w:r>
        <w:rPr>
          <w:sz w:val="17"/>
          <w:szCs w:val="17"/>
        </w:rPr>
        <w:t>Basslink</w:t>
      </w:r>
      <w:proofErr w:type="spellEnd"/>
      <w:r>
        <w:rPr>
          <w:sz w:val="17"/>
          <w:szCs w:val="17"/>
        </w:rPr>
        <w:t xml:space="preserve">: </w:t>
      </w:r>
      <w:hyperlink r:id="rId23" w:history="1">
        <w:r>
          <w:rPr>
            <w:rStyle w:val="Hyperlink"/>
          </w:rPr>
          <w:t>malcolm.eccles@basslink.com.au</w:t>
        </w:r>
      </w:hyperlink>
    </w:p>
    <w:p w:rsidR="00542D5D" w:rsidRPr="00085DBD" w:rsidRDefault="00542D5D" w:rsidP="00A92BD7">
      <w:pPr>
        <w:pStyle w:val="Heading2"/>
        <w:rPr>
          <w:szCs w:val="28"/>
        </w:rPr>
      </w:pPr>
      <w:r w:rsidRPr="00085DBD">
        <w:rPr>
          <w:szCs w:val="28"/>
        </w:rPr>
        <w:t>Notices for All Areas</w:t>
      </w:r>
    </w:p>
    <w:p w:rsidR="00382AB0" w:rsidRPr="001C7896" w:rsidRDefault="00D97A94" w:rsidP="001C7896">
      <w:pPr>
        <w:rPr>
          <w:sz w:val="17"/>
          <w:szCs w:val="17"/>
        </w:rPr>
      </w:pPr>
      <w:r w:rsidRPr="00FE7F4F">
        <w:rPr>
          <w:sz w:val="17"/>
          <w:szCs w:val="17"/>
        </w:rPr>
        <w:t xml:space="preserve">Field outlines are provided by </w:t>
      </w:r>
      <w:proofErr w:type="spellStart"/>
      <w:r w:rsidRPr="00FE7F4F">
        <w:rPr>
          <w:sz w:val="17"/>
          <w:szCs w:val="17"/>
        </w:rPr>
        <w:t>Encom</w:t>
      </w:r>
      <w:proofErr w:type="spellEnd"/>
      <w:r w:rsidRPr="00FE7F4F">
        <w:rPr>
          <w:sz w:val="17"/>
          <w:szCs w:val="17"/>
        </w:rPr>
        <w:t xml:space="preserve"> </w:t>
      </w:r>
      <w:proofErr w:type="spellStart"/>
      <w:r w:rsidRPr="00FE7F4F">
        <w:rPr>
          <w:sz w:val="17"/>
          <w:szCs w:val="17"/>
        </w:rPr>
        <w:t>GPInfo</w:t>
      </w:r>
      <w:proofErr w:type="spellEnd"/>
      <w:r w:rsidRPr="00FE7F4F">
        <w:rPr>
          <w:sz w:val="17"/>
          <w:szCs w:val="17"/>
        </w:rPr>
        <w:t xml:space="preserve">, a Pitney Bowes Software (PBS) Pty Ltd product. Whilst all care is taken in the compilation of the field outlines by PBS, no warranty is provided </w:t>
      </w:r>
      <w:r w:rsidR="001C7896">
        <w:rPr>
          <w:sz w:val="17"/>
          <w:szCs w:val="17"/>
        </w:rPr>
        <w:t>about</w:t>
      </w:r>
      <w:r w:rsidRPr="00FE7F4F">
        <w:rPr>
          <w:sz w:val="17"/>
          <w:szCs w:val="17"/>
        </w:rPr>
        <w:t xml:space="preserve"> the accuracy or completeness of the information, and it is the responsibility of the </w:t>
      </w:r>
      <w:r w:rsidR="00BF5D73">
        <w:rPr>
          <w:sz w:val="17"/>
          <w:szCs w:val="17"/>
        </w:rPr>
        <w:t>potential bidder</w:t>
      </w:r>
      <w:r w:rsidRPr="00FE7F4F">
        <w:rPr>
          <w:sz w:val="17"/>
          <w:szCs w:val="17"/>
        </w:rPr>
        <w:t xml:space="preserve"> to ensure, by independent means, that those parts of the information used by it are correct before any</w:t>
      </w:r>
      <w:r w:rsidR="009D2DF7">
        <w:rPr>
          <w:sz w:val="17"/>
          <w:szCs w:val="17"/>
        </w:rPr>
        <w:t xml:space="preserve"> reliance is </w:t>
      </w:r>
      <w:r w:rsidR="009D2DF7">
        <w:rPr>
          <w:sz w:val="17"/>
          <w:szCs w:val="17"/>
        </w:rPr>
        <w:lastRenderedPageBreak/>
        <w:t xml:space="preserve">placed upon them. </w:t>
      </w:r>
      <w:r w:rsidR="00A374C6" w:rsidRPr="00FE7F4F">
        <w:rPr>
          <w:sz w:val="17"/>
          <w:szCs w:val="17"/>
        </w:rPr>
        <w:t>In particular, o</w:t>
      </w:r>
      <w:r w:rsidRPr="00FE7F4F">
        <w:rPr>
          <w:sz w:val="17"/>
          <w:szCs w:val="17"/>
        </w:rPr>
        <w:t>verlaps between Release Areas and existing petroleum pools or fields should not be relied upon</w:t>
      </w:r>
      <w:r w:rsidR="003E1F70" w:rsidRPr="00FE7F4F">
        <w:rPr>
          <w:sz w:val="17"/>
          <w:szCs w:val="17"/>
        </w:rPr>
        <w:t xml:space="preserve"> without independent verification</w:t>
      </w:r>
      <w:r w:rsidRPr="00FE7F4F">
        <w:rPr>
          <w:sz w:val="17"/>
          <w:szCs w:val="17"/>
        </w:rPr>
        <w:t>.</w:t>
      </w:r>
    </w:p>
    <w:p w:rsidR="00382AB0" w:rsidRPr="002E52CA" w:rsidRDefault="001C7896" w:rsidP="0099794E">
      <w:pPr>
        <w:pStyle w:val="Heading3"/>
      </w:pPr>
      <w:r>
        <w:t>Environmental Protection</w:t>
      </w:r>
    </w:p>
    <w:p w:rsidR="002E52CA" w:rsidRPr="002E52CA" w:rsidRDefault="002E52CA" w:rsidP="00085DBD">
      <w:pPr>
        <w:pStyle w:val="ListBullet"/>
        <w:numPr>
          <w:ilvl w:val="0"/>
          <w:numId w:val="0"/>
        </w:numPr>
      </w:pPr>
      <w:r w:rsidRPr="002E52CA">
        <w:t xml:space="preserve">The Australian Government requires titleholders to conduct their activities in a manner that ensures a high standard of environmental protection. Of particular importance to </w:t>
      </w:r>
      <w:r w:rsidR="00BF5D73">
        <w:t xml:space="preserve">GHG storage activities </w:t>
      </w:r>
      <w:r w:rsidRPr="002E52CA">
        <w:t xml:space="preserve">are the requirements of the </w:t>
      </w:r>
      <w:r w:rsidR="001C7896">
        <w:t>OPGGSA</w:t>
      </w:r>
      <w:r w:rsidRPr="002E52CA">
        <w:t xml:space="preserve"> and </w:t>
      </w:r>
      <w:r w:rsidRPr="002E52CA">
        <w:rPr>
          <w:i/>
        </w:rPr>
        <w:t>Environment Protection and Biodiversity Conservation Act 1999</w:t>
      </w:r>
      <w:r w:rsidRPr="002E52CA">
        <w:t xml:space="preserve"> (EPBC</w:t>
      </w:r>
      <w:r w:rsidR="001C7896">
        <w:t>A</w:t>
      </w:r>
      <w:r w:rsidRPr="002E52CA">
        <w:t>). Penalties may apply to any activities in breach</w:t>
      </w:r>
      <w:r w:rsidR="001C7896">
        <w:t xml:space="preserve"> of the OPGGSA and EPBCA.</w:t>
      </w:r>
    </w:p>
    <w:p w:rsidR="002E52CA" w:rsidRPr="002E52CA" w:rsidRDefault="001C7896" w:rsidP="00615531">
      <w:pPr>
        <w:widowControl w:val="0"/>
        <w:rPr>
          <w:b/>
          <w:sz w:val="17"/>
          <w:szCs w:val="17"/>
        </w:rPr>
      </w:pPr>
      <w:r>
        <w:rPr>
          <w:b/>
          <w:sz w:val="17"/>
          <w:szCs w:val="17"/>
        </w:rPr>
        <w:t>Key approvals</w:t>
      </w:r>
    </w:p>
    <w:p w:rsidR="002E52CA" w:rsidRPr="002E52CA" w:rsidRDefault="002E52CA" w:rsidP="00615531">
      <w:pPr>
        <w:pStyle w:val="ListParagraph"/>
        <w:widowControl w:val="0"/>
        <w:numPr>
          <w:ilvl w:val="0"/>
          <w:numId w:val="22"/>
        </w:numPr>
        <w:spacing w:line="276" w:lineRule="auto"/>
        <w:contextualSpacing w:val="0"/>
        <w:rPr>
          <w:sz w:val="17"/>
          <w:szCs w:val="17"/>
        </w:rPr>
      </w:pPr>
      <w:r w:rsidRPr="00AF7396">
        <w:rPr>
          <w:sz w:val="17"/>
          <w:szCs w:val="17"/>
        </w:rPr>
        <w:t xml:space="preserve">All petroleum </w:t>
      </w:r>
      <w:r w:rsidR="0003707B" w:rsidRPr="00AF7396">
        <w:rPr>
          <w:sz w:val="17"/>
          <w:szCs w:val="17"/>
        </w:rPr>
        <w:t xml:space="preserve">and GHG storage </w:t>
      </w:r>
      <w:r w:rsidRPr="00AF7396">
        <w:rPr>
          <w:sz w:val="17"/>
          <w:szCs w:val="17"/>
        </w:rPr>
        <w:t xml:space="preserve">activities </w:t>
      </w:r>
      <w:r w:rsidRPr="002E52CA">
        <w:rPr>
          <w:sz w:val="17"/>
          <w:szCs w:val="17"/>
        </w:rPr>
        <w:t xml:space="preserve">in Commonwealth waters require an accepted Environment Plan under the </w:t>
      </w:r>
      <w:r w:rsidRPr="00B773BB">
        <w:rPr>
          <w:sz w:val="17"/>
          <w:szCs w:val="17"/>
        </w:rPr>
        <w:t>Environment Regulations</w:t>
      </w:r>
      <w:r w:rsidR="00B773BB">
        <w:rPr>
          <w:sz w:val="17"/>
          <w:szCs w:val="17"/>
        </w:rPr>
        <w:t xml:space="preserve"> </w:t>
      </w:r>
      <w:r w:rsidRPr="00B773BB">
        <w:rPr>
          <w:sz w:val="17"/>
          <w:szCs w:val="17"/>
        </w:rPr>
        <w:t>b</w:t>
      </w:r>
      <w:r w:rsidRPr="002E52CA">
        <w:rPr>
          <w:sz w:val="17"/>
          <w:szCs w:val="17"/>
        </w:rPr>
        <w:t>efore they can proceed</w:t>
      </w:r>
      <w:r w:rsidR="00816D6A">
        <w:rPr>
          <w:sz w:val="17"/>
          <w:szCs w:val="17"/>
        </w:rPr>
        <w:t>.</w:t>
      </w:r>
    </w:p>
    <w:p w:rsidR="002E52CA" w:rsidRPr="002E52CA" w:rsidRDefault="002E52CA" w:rsidP="00615531">
      <w:pPr>
        <w:pStyle w:val="ListParagraph"/>
        <w:widowControl w:val="0"/>
        <w:numPr>
          <w:ilvl w:val="0"/>
          <w:numId w:val="22"/>
        </w:numPr>
        <w:spacing w:line="276" w:lineRule="auto"/>
        <w:contextualSpacing w:val="0"/>
        <w:rPr>
          <w:sz w:val="17"/>
          <w:szCs w:val="17"/>
        </w:rPr>
      </w:pPr>
      <w:r w:rsidRPr="00AF7396">
        <w:rPr>
          <w:sz w:val="17"/>
          <w:szCs w:val="17"/>
        </w:rPr>
        <w:t>Activities that are to be carried out within a declared Commonwealth Marine Reserve</w:t>
      </w:r>
      <w:r w:rsidRPr="002E52CA">
        <w:rPr>
          <w:sz w:val="17"/>
          <w:szCs w:val="17"/>
        </w:rPr>
        <w:t xml:space="preserve"> may also require approval from the Director of National Parks</w:t>
      </w:r>
      <w:r w:rsidR="00816D6A">
        <w:rPr>
          <w:sz w:val="17"/>
          <w:szCs w:val="17"/>
        </w:rPr>
        <w:t>.</w:t>
      </w:r>
    </w:p>
    <w:p w:rsidR="002E52CA" w:rsidRPr="002E52CA" w:rsidRDefault="002E52CA" w:rsidP="00615531">
      <w:pPr>
        <w:pStyle w:val="ListParagraph"/>
        <w:widowControl w:val="0"/>
        <w:numPr>
          <w:ilvl w:val="0"/>
          <w:numId w:val="22"/>
        </w:numPr>
        <w:spacing w:line="276" w:lineRule="auto"/>
        <w:contextualSpacing w:val="0"/>
        <w:rPr>
          <w:sz w:val="17"/>
          <w:szCs w:val="17"/>
        </w:rPr>
      </w:pPr>
      <w:r w:rsidRPr="00AF7396">
        <w:rPr>
          <w:sz w:val="17"/>
          <w:szCs w:val="17"/>
        </w:rPr>
        <w:t>Activities</w:t>
      </w:r>
      <w:r w:rsidR="00962AB2" w:rsidRPr="00962AB2">
        <w:rPr>
          <w:sz w:val="17"/>
          <w:szCs w:val="17"/>
        </w:rPr>
        <w:t xml:space="preserve"> </w:t>
      </w:r>
      <w:r w:rsidRPr="002E52CA">
        <w:rPr>
          <w:sz w:val="17"/>
          <w:szCs w:val="17"/>
        </w:rPr>
        <w:t>that are likely to have an impact on a matter of Natio</w:t>
      </w:r>
      <w:r w:rsidR="000027A8">
        <w:rPr>
          <w:sz w:val="17"/>
          <w:szCs w:val="17"/>
        </w:rPr>
        <w:t xml:space="preserve">nal Environmental Significance </w:t>
      </w:r>
      <w:r w:rsidRPr="002E52CA">
        <w:rPr>
          <w:sz w:val="17"/>
          <w:szCs w:val="17"/>
        </w:rPr>
        <w:t>also require approva</w:t>
      </w:r>
      <w:r w:rsidR="001C7896">
        <w:rPr>
          <w:sz w:val="17"/>
          <w:szCs w:val="17"/>
        </w:rPr>
        <w:t>l under the EPBCA.</w:t>
      </w:r>
    </w:p>
    <w:p w:rsidR="002E52CA" w:rsidRPr="002E52CA" w:rsidRDefault="002E52CA" w:rsidP="00615531">
      <w:pPr>
        <w:pStyle w:val="NoSpacing"/>
        <w:spacing w:after="200" w:line="276" w:lineRule="auto"/>
        <w:rPr>
          <w:rFonts w:ascii="Arial" w:eastAsiaTheme="minorHAnsi" w:hAnsi="Arial" w:cstheme="minorBidi"/>
          <w:sz w:val="17"/>
          <w:szCs w:val="17"/>
          <w:lang w:eastAsia="en-US"/>
        </w:rPr>
      </w:pPr>
      <w:r w:rsidRPr="002E52CA">
        <w:rPr>
          <w:rFonts w:ascii="Arial" w:eastAsiaTheme="minorHAnsi" w:hAnsi="Arial" w:cstheme="minorBidi"/>
          <w:sz w:val="17"/>
          <w:szCs w:val="17"/>
          <w:lang w:eastAsia="en-US"/>
        </w:rPr>
        <w:t xml:space="preserve">Information on the OPGGS Environment Regulations is available at: </w:t>
      </w:r>
      <w:hyperlink r:id="rId24" w:history="1">
        <w:r w:rsidR="001C7896" w:rsidRPr="009A77B3">
          <w:rPr>
            <w:rStyle w:val="Hyperlink"/>
            <w:rFonts w:ascii="Arial" w:eastAsiaTheme="minorHAnsi" w:hAnsi="Arial" w:cstheme="minorBidi"/>
            <w:sz w:val="17"/>
            <w:szCs w:val="17"/>
            <w:lang w:eastAsia="en-US"/>
          </w:rPr>
          <w:t>www.industry.gov.au/resource/UpstreamPetroleum/OffshorePetroleumEnvironment/Pages/OffshorePetroleumandGreenhouseGasStorageRegulations2009.aspx</w:t>
        </w:r>
      </w:hyperlink>
    </w:p>
    <w:p w:rsidR="002E52CA" w:rsidRPr="002E52CA" w:rsidRDefault="001C7896" w:rsidP="00615531">
      <w:pPr>
        <w:pStyle w:val="NoSpacing"/>
        <w:spacing w:after="200" w:line="276" w:lineRule="auto"/>
        <w:rPr>
          <w:rFonts w:ascii="Arial" w:eastAsiaTheme="minorHAnsi" w:hAnsi="Arial" w:cstheme="minorBidi"/>
          <w:sz w:val="17"/>
          <w:szCs w:val="17"/>
          <w:lang w:eastAsia="en-US"/>
        </w:rPr>
      </w:pPr>
      <w:r>
        <w:rPr>
          <w:rFonts w:ascii="Arial" w:eastAsiaTheme="minorHAnsi" w:hAnsi="Arial" w:cstheme="minorBidi"/>
          <w:sz w:val="17"/>
          <w:szCs w:val="17"/>
          <w:lang w:eastAsia="en-US"/>
        </w:rPr>
        <w:t xml:space="preserve">Information on the EPBCA </w:t>
      </w:r>
      <w:r w:rsidR="002E52CA" w:rsidRPr="002E52CA">
        <w:rPr>
          <w:rFonts w:ascii="Arial" w:eastAsiaTheme="minorHAnsi" w:hAnsi="Arial" w:cstheme="minorBidi"/>
          <w:sz w:val="17"/>
          <w:szCs w:val="17"/>
          <w:lang w:eastAsia="en-US"/>
        </w:rPr>
        <w:t xml:space="preserve">is available at: </w:t>
      </w:r>
      <w:hyperlink r:id="rId25" w:history="1">
        <w:r w:rsidRPr="009A77B3">
          <w:rPr>
            <w:rStyle w:val="Hyperlink"/>
            <w:rFonts w:ascii="Arial" w:eastAsiaTheme="minorHAnsi" w:hAnsi="Arial" w:cstheme="minorBidi"/>
            <w:sz w:val="17"/>
            <w:szCs w:val="17"/>
            <w:lang w:eastAsia="en-US"/>
          </w:rPr>
          <w:t>www.environment.gov.au/topics/about-us/legislation/environment-protection-and-biodiversity-conservation-act-1999</w:t>
        </w:r>
      </w:hyperlink>
    </w:p>
    <w:p w:rsidR="002E52CA" w:rsidRPr="00615531" w:rsidRDefault="001C7896" w:rsidP="00615531">
      <w:pPr>
        <w:rPr>
          <w:b/>
          <w:sz w:val="17"/>
          <w:szCs w:val="17"/>
        </w:rPr>
      </w:pPr>
      <w:r>
        <w:rPr>
          <w:b/>
          <w:sz w:val="17"/>
          <w:szCs w:val="17"/>
        </w:rPr>
        <w:t>OPGGS</w:t>
      </w:r>
      <w:r w:rsidR="00AF7396">
        <w:rPr>
          <w:b/>
          <w:sz w:val="17"/>
          <w:szCs w:val="17"/>
        </w:rPr>
        <w:t xml:space="preserve"> </w:t>
      </w:r>
      <w:r>
        <w:rPr>
          <w:b/>
          <w:sz w:val="17"/>
          <w:szCs w:val="17"/>
        </w:rPr>
        <w:t>A</w:t>
      </w:r>
      <w:r w:rsidR="00AF7396">
        <w:rPr>
          <w:b/>
          <w:sz w:val="17"/>
          <w:szCs w:val="17"/>
        </w:rPr>
        <w:t>ct</w:t>
      </w:r>
      <w:r>
        <w:rPr>
          <w:b/>
          <w:sz w:val="17"/>
          <w:szCs w:val="17"/>
        </w:rPr>
        <w:t xml:space="preserve"> </w:t>
      </w:r>
      <w:r w:rsidR="002E52CA" w:rsidRPr="00615531">
        <w:rPr>
          <w:b/>
          <w:sz w:val="17"/>
          <w:szCs w:val="17"/>
        </w:rPr>
        <w:t>and associated regulations</w:t>
      </w:r>
    </w:p>
    <w:p w:rsidR="002E52CA" w:rsidRPr="002E52CA" w:rsidRDefault="002E52CA" w:rsidP="00615531">
      <w:pPr>
        <w:rPr>
          <w:sz w:val="17"/>
          <w:szCs w:val="17"/>
        </w:rPr>
      </w:pPr>
      <w:r w:rsidRPr="002E52CA">
        <w:rPr>
          <w:sz w:val="17"/>
          <w:szCs w:val="17"/>
        </w:rPr>
        <w:t xml:space="preserve">The object of the Environment Regulations is to ensure that any petroleum or </w:t>
      </w:r>
      <w:r w:rsidR="0003707B">
        <w:rPr>
          <w:sz w:val="17"/>
          <w:szCs w:val="17"/>
        </w:rPr>
        <w:t>GHG</w:t>
      </w:r>
      <w:r w:rsidRPr="002E52CA">
        <w:rPr>
          <w:sz w:val="17"/>
          <w:szCs w:val="17"/>
        </w:rPr>
        <w:t xml:space="preserve"> activity carried out in an offshore area is carried out in a manner:</w:t>
      </w:r>
    </w:p>
    <w:p w:rsidR="002E52CA" w:rsidRPr="00D43ACB" w:rsidRDefault="0089243F" w:rsidP="00D43ACB">
      <w:pPr>
        <w:pStyle w:val="ListParagraph"/>
        <w:widowControl w:val="0"/>
        <w:numPr>
          <w:ilvl w:val="0"/>
          <w:numId w:val="22"/>
        </w:numPr>
        <w:spacing w:line="276" w:lineRule="auto"/>
        <w:contextualSpacing w:val="0"/>
        <w:rPr>
          <w:sz w:val="17"/>
          <w:szCs w:val="17"/>
        </w:rPr>
      </w:pPr>
      <w:r w:rsidRPr="00D43ACB">
        <w:rPr>
          <w:sz w:val="17"/>
          <w:szCs w:val="17"/>
        </w:rPr>
        <w:t>C</w:t>
      </w:r>
      <w:r w:rsidR="002E52CA" w:rsidRPr="00D43ACB">
        <w:rPr>
          <w:sz w:val="17"/>
          <w:szCs w:val="17"/>
        </w:rPr>
        <w:t>onsistent with the principles of ecologically sustainable development</w:t>
      </w:r>
    </w:p>
    <w:p w:rsidR="002E52CA" w:rsidRPr="00D43ACB" w:rsidRDefault="0089243F" w:rsidP="00D43ACB">
      <w:pPr>
        <w:pStyle w:val="ListParagraph"/>
        <w:widowControl w:val="0"/>
        <w:numPr>
          <w:ilvl w:val="0"/>
          <w:numId w:val="22"/>
        </w:numPr>
        <w:spacing w:line="276" w:lineRule="auto"/>
        <w:contextualSpacing w:val="0"/>
        <w:rPr>
          <w:sz w:val="17"/>
          <w:szCs w:val="17"/>
        </w:rPr>
      </w:pPr>
      <w:r w:rsidRPr="00D43ACB">
        <w:rPr>
          <w:sz w:val="17"/>
          <w:szCs w:val="17"/>
        </w:rPr>
        <w:t>B</w:t>
      </w:r>
      <w:r w:rsidR="002E52CA" w:rsidRPr="00D43ACB">
        <w:rPr>
          <w:sz w:val="17"/>
          <w:szCs w:val="17"/>
        </w:rPr>
        <w:t>y which the environmental impacts and risks of the activity will be reduced to as low</w:t>
      </w:r>
      <w:r w:rsidR="001C7896" w:rsidRPr="00D43ACB">
        <w:rPr>
          <w:sz w:val="17"/>
          <w:szCs w:val="17"/>
        </w:rPr>
        <w:t xml:space="preserve"> as reasonably practicable</w:t>
      </w:r>
    </w:p>
    <w:p w:rsidR="001C7896" w:rsidRPr="00D43ACB" w:rsidRDefault="0089243F" w:rsidP="00D43ACB">
      <w:pPr>
        <w:pStyle w:val="ListParagraph"/>
        <w:widowControl w:val="0"/>
        <w:numPr>
          <w:ilvl w:val="0"/>
          <w:numId w:val="22"/>
        </w:numPr>
        <w:spacing w:line="276" w:lineRule="auto"/>
        <w:contextualSpacing w:val="0"/>
        <w:rPr>
          <w:sz w:val="17"/>
          <w:szCs w:val="17"/>
        </w:rPr>
      </w:pPr>
      <w:r w:rsidRPr="00D43ACB">
        <w:rPr>
          <w:sz w:val="17"/>
          <w:szCs w:val="17"/>
        </w:rPr>
        <w:t>B</w:t>
      </w:r>
      <w:r w:rsidR="002E52CA" w:rsidRPr="00D43ACB">
        <w:rPr>
          <w:sz w:val="17"/>
          <w:szCs w:val="17"/>
        </w:rPr>
        <w:t xml:space="preserve">y which the environmental impacts and risks of the activity </w:t>
      </w:r>
      <w:r w:rsidR="001C7896" w:rsidRPr="00D43ACB">
        <w:rPr>
          <w:sz w:val="17"/>
          <w:szCs w:val="17"/>
        </w:rPr>
        <w:t>will be of an acceptable level.</w:t>
      </w:r>
    </w:p>
    <w:p w:rsidR="002E52CA" w:rsidRPr="00615531" w:rsidRDefault="001C7896" w:rsidP="00615531">
      <w:pPr>
        <w:rPr>
          <w:sz w:val="17"/>
          <w:szCs w:val="17"/>
          <w:u w:val="single"/>
        </w:rPr>
      </w:pPr>
      <w:r>
        <w:rPr>
          <w:sz w:val="17"/>
          <w:szCs w:val="17"/>
          <w:u w:val="single"/>
        </w:rPr>
        <w:t>Environment Plans</w:t>
      </w:r>
    </w:p>
    <w:p w:rsidR="002E52CA" w:rsidRPr="002E52CA" w:rsidRDefault="002E52CA" w:rsidP="00615531">
      <w:pPr>
        <w:rPr>
          <w:sz w:val="17"/>
          <w:szCs w:val="17"/>
        </w:rPr>
      </w:pPr>
      <w:r w:rsidRPr="002E52CA">
        <w:rPr>
          <w:sz w:val="17"/>
          <w:szCs w:val="17"/>
        </w:rPr>
        <w:t>Under the Environment Regulations, a titleholder must have an accepted Environment Plan in place for a ‘</w:t>
      </w:r>
      <w:r w:rsidR="0003707B">
        <w:rPr>
          <w:sz w:val="17"/>
          <w:szCs w:val="17"/>
        </w:rPr>
        <w:t>GHG storage</w:t>
      </w:r>
      <w:r w:rsidRPr="002E52CA">
        <w:rPr>
          <w:sz w:val="17"/>
          <w:szCs w:val="17"/>
        </w:rPr>
        <w:t xml:space="preserve"> activity’ prio</w:t>
      </w:r>
      <w:r w:rsidR="001C7896">
        <w:rPr>
          <w:sz w:val="17"/>
          <w:szCs w:val="17"/>
        </w:rPr>
        <w:t>r to undertaking that activity.</w:t>
      </w:r>
    </w:p>
    <w:p w:rsidR="002E52CA" w:rsidRPr="002E52CA" w:rsidRDefault="002E52CA" w:rsidP="00615531">
      <w:pPr>
        <w:rPr>
          <w:sz w:val="17"/>
          <w:szCs w:val="17"/>
        </w:rPr>
      </w:pPr>
      <w:r w:rsidRPr="002E52CA">
        <w:rPr>
          <w:sz w:val="17"/>
          <w:szCs w:val="17"/>
        </w:rPr>
        <w:t>A ‘</w:t>
      </w:r>
      <w:r w:rsidR="00727B50">
        <w:rPr>
          <w:sz w:val="17"/>
          <w:szCs w:val="17"/>
        </w:rPr>
        <w:t>GHG storage</w:t>
      </w:r>
      <w:r w:rsidRPr="002E52CA">
        <w:rPr>
          <w:sz w:val="17"/>
          <w:szCs w:val="17"/>
        </w:rPr>
        <w:t xml:space="preserve"> activity’ is defined in the Environment Regulations as operations or works carried out in an offshore area for the purpose of exercising a right conferred under a </w:t>
      </w:r>
      <w:r w:rsidR="00727B50">
        <w:rPr>
          <w:sz w:val="17"/>
          <w:szCs w:val="17"/>
        </w:rPr>
        <w:t xml:space="preserve">GHG title under the OPGGSA </w:t>
      </w:r>
      <w:r w:rsidRPr="002E52CA">
        <w:rPr>
          <w:sz w:val="17"/>
          <w:szCs w:val="17"/>
        </w:rPr>
        <w:t>or discharging an obligation impose</w:t>
      </w:r>
      <w:r w:rsidR="00727B50">
        <w:rPr>
          <w:sz w:val="17"/>
          <w:szCs w:val="17"/>
        </w:rPr>
        <w:t xml:space="preserve">d on a titleholder by the OPGGSA </w:t>
      </w:r>
      <w:r w:rsidRPr="002E52CA">
        <w:rPr>
          <w:sz w:val="17"/>
          <w:szCs w:val="17"/>
        </w:rPr>
        <w:t>or subordinate regulation. The titleholder is responsible for determining if an activity meets the definition of ‘</w:t>
      </w:r>
      <w:r w:rsidR="00727B50">
        <w:rPr>
          <w:sz w:val="17"/>
          <w:szCs w:val="17"/>
        </w:rPr>
        <w:t>GHG storage</w:t>
      </w:r>
      <w:r w:rsidRPr="002E52CA">
        <w:rPr>
          <w:sz w:val="17"/>
          <w:szCs w:val="17"/>
        </w:rPr>
        <w:t xml:space="preserve"> activity’ under the Environment Regulations, and for preparation of the Environme</w:t>
      </w:r>
      <w:r w:rsidR="001C7896">
        <w:rPr>
          <w:sz w:val="17"/>
          <w:szCs w:val="17"/>
        </w:rPr>
        <w:t>nt Plan for NOPSEMA assessment.</w:t>
      </w:r>
    </w:p>
    <w:p w:rsidR="002E52CA" w:rsidRPr="002E52CA" w:rsidRDefault="002E52CA" w:rsidP="00615531">
      <w:pPr>
        <w:rPr>
          <w:sz w:val="17"/>
          <w:szCs w:val="17"/>
        </w:rPr>
      </w:pPr>
      <w:r w:rsidRPr="002E52CA">
        <w:rPr>
          <w:sz w:val="17"/>
          <w:szCs w:val="17"/>
        </w:rPr>
        <w:t>An Environment Plan must demonstrate that impacts and risks to the environment are reduced to as low as reasonably practicable and managed to an acceptable level. The required content of an Environment Plan is detailed within the Environment Regulations (refer Division 2.3). These content requirements include that titleholders consider impacts and risks on matters of National Environmental Significance where relevant. Matters of National Environmental Signi</w:t>
      </w:r>
      <w:r w:rsidR="0003707B">
        <w:rPr>
          <w:sz w:val="17"/>
          <w:szCs w:val="17"/>
        </w:rPr>
        <w:t xml:space="preserve">ficance are defined in the EPBCA </w:t>
      </w:r>
      <w:r w:rsidR="001C7896">
        <w:rPr>
          <w:sz w:val="17"/>
          <w:szCs w:val="17"/>
        </w:rPr>
        <w:t>and further described below.</w:t>
      </w:r>
    </w:p>
    <w:p w:rsidR="002E52CA" w:rsidRPr="002E52CA" w:rsidRDefault="00727B50" w:rsidP="00615531">
      <w:pPr>
        <w:rPr>
          <w:sz w:val="17"/>
          <w:szCs w:val="17"/>
        </w:rPr>
      </w:pPr>
      <w:r>
        <w:rPr>
          <w:sz w:val="17"/>
          <w:szCs w:val="17"/>
        </w:rPr>
        <w:t xml:space="preserve">The OPGGSA </w:t>
      </w:r>
      <w:r w:rsidR="002E52CA" w:rsidRPr="002E52CA">
        <w:rPr>
          <w:sz w:val="17"/>
          <w:szCs w:val="17"/>
        </w:rPr>
        <w:t>also requires that titleholders have sufficient financial assurance to meet costs, expenses and liabilities</w:t>
      </w:r>
      <w:r w:rsidR="006F247C" w:rsidRPr="006F247C">
        <w:t xml:space="preserve"> </w:t>
      </w:r>
      <w:r w:rsidR="006F247C" w:rsidRPr="006F247C">
        <w:rPr>
          <w:sz w:val="17"/>
          <w:szCs w:val="17"/>
        </w:rPr>
        <w:t xml:space="preserve">associated with undertaking a </w:t>
      </w:r>
      <w:r w:rsidR="0003707B">
        <w:rPr>
          <w:sz w:val="17"/>
          <w:szCs w:val="17"/>
        </w:rPr>
        <w:t>GHG storage</w:t>
      </w:r>
      <w:r w:rsidR="006F247C" w:rsidRPr="006F247C">
        <w:rPr>
          <w:sz w:val="17"/>
          <w:szCs w:val="17"/>
        </w:rPr>
        <w:t xml:space="preserve"> activity</w:t>
      </w:r>
      <w:r w:rsidR="001C7896">
        <w:rPr>
          <w:sz w:val="17"/>
          <w:szCs w:val="17"/>
        </w:rPr>
        <w:t>.</w:t>
      </w:r>
    </w:p>
    <w:p w:rsidR="00615531" w:rsidRDefault="002E52CA" w:rsidP="00615531">
      <w:pPr>
        <w:rPr>
          <w:sz w:val="17"/>
          <w:szCs w:val="17"/>
        </w:rPr>
      </w:pPr>
      <w:r w:rsidRPr="002E52CA">
        <w:rPr>
          <w:sz w:val="17"/>
          <w:szCs w:val="17"/>
        </w:rPr>
        <w:t>The Environment Regulations also require titleholders to undertake consultation with ‘relevant persons’, defined (refer to Regulation 11A) as persons whose functions, interests or activities may be affected by th</w:t>
      </w:r>
      <w:r w:rsidR="001C7896">
        <w:rPr>
          <w:sz w:val="17"/>
          <w:szCs w:val="17"/>
        </w:rPr>
        <w:t>e activities to be carried out.</w:t>
      </w:r>
    </w:p>
    <w:p w:rsidR="002E52CA" w:rsidRPr="002E52CA" w:rsidRDefault="00727B50" w:rsidP="00615531">
      <w:pPr>
        <w:rPr>
          <w:sz w:val="17"/>
          <w:szCs w:val="17"/>
        </w:rPr>
      </w:pPr>
      <w:r>
        <w:rPr>
          <w:sz w:val="17"/>
          <w:szCs w:val="17"/>
        </w:rPr>
        <w:t>Titleholders must</w:t>
      </w:r>
      <w:r w:rsidR="002E52CA" w:rsidRPr="002E52CA">
        <w:rPr>
          <w:sz w:val="17"/>
          <w:szCs w:val="17"/>
        </w:rPr>
        <w:t xml:space="preserve"> include a report </w:t>
      </w:r>
      <w:r w:rsidRPr="002E52CA">
        <w:rPr>
          <w:sz w:val="17"/>
          <w:szCs w:val="17"/>
        </w:rPr>
        <w:t xml:space="preserve">in the Environment Plan </w:t>
      </w:r>
      <w:r w:rsidR="002E52CA" w:rsidRPr="002E52CA">
        <w:rPr>
          <w:sz w:val="17"/>
          <w:szCs w:val="17"/>
        </w:rPr>
        <w:t>on all consultations comprising a summary of consultation, an assessment of the merits of any objection or claim, a statement of the titleholder’s response to each, and the full text of all correspondence and an assessment. The implementation strategy for an Environment Plan must also demonstrate adequate arrangements for on</w:t>
      </w:r>
      <w:r w:rsidR="001C7896">
        <w:rPr>
          <w:sz w:val="17"/>
          <w:szCs w:val="17"/>
        </w:rPr>
        <w:t>going stakeholder consultation.</w:t>
      </w:r>
    </w:p>
    <w:p w:rsidR="00615531" w:rsidRPr="00615531" w:rsidRDefault="00727B50" w:rsidP="00615531">
      <w:pPr>
        <w:widowControl w:val="0"/>
        <w:rPr>
          <w:b/>
          <w:sz w:val="17"/>
          <w:szCs w:val="17"/>
        </w:rPr>
      </w:pPr>
      <w:r>
        <w:rPr>
          <w:b/>
          <w:sz w:val="17"/>
          <w:szCs w:val="17"/>
        </w:rPr>
        <w:t>EPBC</w:t>
      </w:r>
      <w:r w:rsidR="00AF7396">
        <w:rPr>
          <w:b/>
          <w:sz w:val="17"/>
          <w:szCs w:val="17"/>
        </w:rPr>
        <w:t xml:space="preserve"> </w:t>
      </w:r>
      <w:r>
        <w:rPr>
          <w:b/>
          <w:sz w:val="17"/>
          <w:szCs w:val="17"/>
        </w:rPr>
        <w:t>A</w:t>
      </w:r>
      <w:r w:rsidR="00AF7396">
        <w:rPr>
          <w:b/>
          <w:sz w:val="17"/>
          <w:szCs w:val="17"/>
        </w:rPr>
        <w:t>ct</w:t>
      </w:r>
      <w:r>
        <w:rPr>
          <w:b/>
          <w:sz w:val="17"/>
          <w:szCs w:val="17"/>
        </w:rPr>
        <w:t xml:space="preserve"> </w:t>
      </w:r>
      <w:r w:rsidR="00615531" w:rsidRPr="00615531">
        <w:rPr>
          <w:b/>
          <w:sz w:val="17"/>
          <w:szCs w:val="17"/>
        </w:rPr>
        <w:t>Environmental Assessment Process f</w:t>
      </w:r>
      <w:r>
        <w:rPr>
          <w:b/>
          <w:sz w:val="17"/>
          <w:szCs w:val="17"/>
        </w:rPr>
        <w:t>or Commonwealth Marine Reserves</w:t>
      </w:r>
    </w:p>
    <w:p w:rsidR="00615531" w:rsidRPr="00615531" w:rsidRDefault="00615531" w:rsidP="00615531">
      <w:pPr>
        <w:widowControl w:val="0"/>
        <w:rPr>
          <w:sz w:val="17"/>
          <w:szCs w:val="17"/>
        </w:rPr>
      </w:pPr>
      <w:r w:rsidRPr="00615531">
        <w:rPr>
          <w:sz w:val="17"/>
          <w:szCs w:val="17"/>
        </w:rPr>
        <w:t>The Australian Government Director of National Parks is responsible for the management of Commonwealth Marine Reserves. Where the Director has not issued a class approval in relation to activities within a Marine Park, that activity may require se</w:t>
      </w:r>
      <w:r w:rsidR="00727B50">
        <w:rPr>
          <w:sz w:val="17"/>
          <w:szCs w:val="17"/>
        </w:rPr>
        <w:t>parate assessment and approval.</w:t>
      </w:r>
    </w:p>
    <w:p w:rsidR="00615531" w:rsidRPr="00615531" w:rsidRDefault="00615531" w:rsidP="00615531">
      <w:pPr>
        <w:widowControl w:val="0"/>
        <w:rPr>
          <w:sz w:val="17"/>
          <w:szCs w:val="17"/>
        </w:rPr>
      </w:pPr>
      <w:r w:rsidRPr="00615531">
        <w:rPr>
          <w:sz w:val="17"/>
          <w:szCs w:val="17"/>
        </w:rPr>
        <w:t xml:space="preserve">Forty new Commonwealth Marine reserves were established around Australia in November 2012. The management plans that were scheduled to come into effect in July 2014 have been set aside as part of the Australian Government’s commitment to review the Commonwealth Marine reserves program. Management plans will be developed for the South-west, North-west, North and Temperate East reserve networks and the Coral Sea Commonwealth Marine Reserve. A management plan for the fourteen reserves in the South-east Commonwealth Marine Reserves Network </w:t>
      </w:r>
      <w:r w:rsidR="00BE2D6B">
        <w:rPr>
          <w:sz w:val="17"/>
          <w:szCs w:val="17"/>
        </w:rPr>
        <w:t>came into effect on 1 July 2013</w:t>
      </w:r>
      <w:r w:rsidR="0025253C">
        <w:rPr>
          <w:sz w:val="17"/>
          <w:szCs w:val="17"/>
        </w:rPr>
        <w:t>.</w:t>
      </w:r>
    </w:p>
    <w:p w:rsidR="00615531" w:rsidRPr="00615531" w:rsidRDefault="00615531" w:rsidP="00615531">
      <w:pPr>
        <w:widowControl w:val="0"/>
        <w:rPr>
          <w:sz w:val="17"/>
          <w:szCs w:val="17"/>
        </w:rPr>
      </w:pPr>
      <w:r w:rsidRPr="00615531">
        <w:rPr>
          <w:sz w:val="17"/>
          <w:szCs w:val="17"/>
        </w:rPr>
        <w:t xml:space="preserve">For the 25 reserves which predated last year’s extension of the Commonwealth Marine reserve network, </w:t>
      </w:r>
      <w:r w:rsidR="0025253C">
        <w:rPr>
          <w:sz w:val="17"/>
          <w:szCs w:val="17"/>
        </w:rPr>
        <w:t xml:space="preserve">GHG storage </w:t>
      </w:r>
      <w:r w:rsidRPr="00615531">
        <w:rPr>
          <w:sz w:val="17"/>
          <w:szCs w:val="17"/>
        </w:rPr>
        <w:t xml:space="preserve">activities may or may not be permitted within specific zones of the Commonwealth Marine reserves under </w:t>
      </w:r>
      <w:r w:rsidR="0025253C">
        <w:rPr>
          <w:sz w:val="17"/>
          <w:szCs w:val="17"/>
        </w:rPr>
        <w:t xml:space="preserve">current </w:t>
      </w:r>
      <w:r w:rsidR="0025253C">
        <w:rPr>
          <w:sz w:val="17"/>
          <w:szCs w:val="17"/>
        </w:rPr>
        <w:lastRenderedPageBreak/>
        <w:t>management arrangements.</w:t>
      </w:r>
    </w:p>
    <w:p w:rsidR="00615531" w:rsidRPr="00615531" w:rsidRDefault="0025253C" w:rsidP="00615531">
      <w:pPr>
        <w:widowControl w:val="0"/>
        <w:rPr>
          <w:sz w:val="17"/>
          <w:szCs w:val="17"/>
        </w:rPr>
      </w:pPr>
      <w:r>
        <w:rPr>
          <w:sz w:val="17"/>
          <w:szCs w:val="17"/>
        </w:rPr>
        <w:t>Potential b</w:t>
      </w:r>
      <w:r w:rsidR="00615531" w:rsidRPr="00615531">
        <w:rPr>
          <w:sz w:val="17"/>
          <w:szCs w:val="17"/>
        </w:rPr>
        <w:t>idders should consider the management arrangements for each individual Commonwealth Marine reserve</w:t>
      </w:r>
      <w:r w:rsidR="00600C3B" w:rsidRPr="00600C3B">
        <w:rPr>
          <w:sz w:val="17"/>
          <w:szCs w:val="17"/>
        </w:rPr>
        <w:t xml:space="preserve"> </w:t>
      </w:r>
      <w:r w:rsidR="00600C3B" w:rsidRPr="00615531">
        <w:rPr>
          <w:sz w:val="17"/>
          <w:szCs w:val="17"/>
        </w:rPr>
        <w:t>carefully</w:t>
      </w:r>
      <w:r w:rsidR="00615531" w:rsidRPr="00615531">
        <w:rPr>
          <w:sz w:val="17"/>
          <w:szCs w:val="17"/>
        </w:rPr>
        <w:t xml:space="preserve">. Management zones are different between regional networks of Commonwealth Marine reserves and individual zoning schemes which detail the allowed </w:t>
      </w:r>
      <w:r>
        <w:rPr>
          <w:sz w:val="17"/>
          <w:szCs w:val="17"/>
        </w:rPr>
        <w:t>activities should be consulted.</w:t>
      </w:r>
    </w:p>
    <w:p w:rsidR="00615531" w:rsidRPr="00615531" w:rsidRDefault="00615531" w:rsidP="00615531">
      <w:pPr>
        <w:widowControl w:val="0"/>
        <w:rPr>
          <w:sz w:val="17"/>
          <w:szCs w:val="17"/>
        </w:rPr>
      </w:pPr>
      <w:r w:rsidRPr="00615531">
        <w:rPr>
          <w:sz w:val="17"/>
          <w:szCs w:val="17"/>
        </w:rPr>
        <w:t xml:space="preserve">More information on the location of the marine reserves, their zoning and management planning processes can be found at: </w:t>
      </w:r>
      <w:hyperlink r:id="rId26" w:history="1">
        <w:r w:rsidR="0025253C" w:rsidRPr="009A77B3">
          <w:rPr>
            <w:rStyle w:val="Hyperlink"/>
            <w:sz w:val="17"/>
            <w:szCs w:val="17"/>
          </w:rPr>
          <w:t>www.environment.gov.au/topics/marine/marine-reserves</w:t>
        </w:r>
      </w:hyperlink>
    </w:p>
    <w:p w:rsidR="00615531" w:rsidRPr="00615531" w:rsidRDefault="0025253C" w:rsidP="00615531">
      <w:pPr>
        <w:widowControl w:val="0"/>
        <w:rPr>
          <w:b/>
          <w:sz w:val="17"/>
          <w:szCs w:val="17"/>
        </w:rPr>
      </w:pPr>
      <w:r>
        <w:rPr>
          <w:b/>
          <w:sz w:val="17"/>
          <w:szCs w:val="17"/>
        </w:rPr>
        <w:t>EPBC</w:t>
      </w:r>
      <w:r w:rsidR="00AF7396">
        <w:rPr>
          <w:b/>
          <w:sz w:val="17"/>
          <w:szCs w:val="17"/>
        </w:rPr>
        <w:t xml:space="preserve"> </w:t>
      </w:r>
      <w:r>
        <w:rPr>
          <w:b/>
          <w:sz w:val="17"/>
          <w:szCs w:val="17"/>
        </w:rPr>
        <w:t>A</w:t>
      </w:r>
      <w:r w:rsidR="00AF7396">
        <w:rPr>
          <w:b/>
          <w:sz w:val="17"/>
          <w:szCs w:val="17"/>
        </w:rPr>
        <w:t>ct</w:t>
      </w:r>
      <w:r>
        <w:rPr>
          <w:b/>
          <w:sz w:val="17"/>
          <w:szCs w:val="17"/>
        </w:rPr>
        <w:t xml:space="preserve"> </w:t>
      </w:r>
      <w:r w:rsidR="00615531" w:rsidRPr="00615531">
        <w:rPr>
          <w:b/>
          <w:sz w:val="17"/>
          <w:szCs w:val="17"/>
        </w:rPr>
        <w:t>Environmental Assessment Process for matters of National Environmental Significance</w:t>
      </w:r>
    </w:p>
    <w:p w:rsidR="00615531" w:rsidRPr="00615531" w:rsidRDefault="00615531" w:rsidP="00615531">
      <w:pPr>
        <w:widowControl w:val="0"/>
        <w:rPr>
          <w:sz w:val="17"/>
          <w:szCs w:val="17"/>
        </w:rPr>
      </w:pPr>
      <w:r w:rsidRPr="00615531">
        <w:rPr>
          <w:sz w:val="17"/>
          <w:szCs w:val="17"/>
        </w:rPr>
        <w:t>All activities must consider the impacts on the environment, including matters of National Environme</w:t>
      </w:r>
      <w:r w:rsidR="0025253C">
        <w:rPr>
          <w:sz w:val="17"/>
          <w:szCs w:val="17"/>
        </w:rPr>
        <w:t xml:space="preserve">ntal Significance, and the EPBCA </w:t>
      </w:r>
      <w:r w:rsidRPr="00615531">
        <w:rPr>
          <w:sz w:val="17"/>
          <w:szCs w:val="17"/>
        </w:rPr>
        <w:t>Environmental Assessment Process may apply to activities exclude</w:t>
      </w:r>
      <w:r w:rsidR="00600C3B">
        <w:rPr>
          <w:sz w:val="17"/>
          <w:szCs w:val="17"/>
        </w:rPr>
        <w:t>d from streamlined arrangements, activities that:</w:t>
      </w:r>
    </w:p>
    <w:p w:rsidR="00615531" w:rsidRPr="00D43ACB" w:rsidRDefault="00746162" w:rsidP="00D43ACB">
      <w:pPr>
        <w:pStyle w:val="ListParagraph"/>
        <w:widowControl w:val="0"/>
        <w:numPr>
          <w:ilvl w:val="0"/>
          <w:numId w:val="22"/>
        </w:numPr>
        <w:spacing w:line="276" w:lineRule="auto"/>
        <w:contextualSpacing w:val="0"/>
        <w:rPr>
          <w:sz w:val="17"/>
          <w:szCs w:val="17"/>
        </w:rPr>
      </w:pPr>
      <w:r w:rsidRPr="00D43ACB">
        <w:rPr>
          <w:sz w:val="17"/>
          <w:szCs w:val="17"/>
        </w:rPr>
        <w:t>H</w:t>
      </w:r>
      <w:r w:rsidR="00615531" w:rsidRPr="00D43ACB">
        <w:rPr>
          <w:sz w:val="17"/>
          <w:szCs w:val="17"/>
        </w:rPr>
        <w:t>ave, will have or are likely to have a significant impact on the environment on Commonwealth land</w:t>
      </w:r>
    </w:p>
    <w:p w:rsidR="00615531" w:rsidRPr="00D43ACB" w:rsidRDefault="00746162" w:rsidP="00D43ACB">
      <w:pPr>
        <w:pStyle w:val="ListParagraph"/>
        <w:widowControl w:val="0"/>
        <w:numPr>
          <w:ilvl w:val="0"/>
          <w:numId w:val="22"/>
        </w:numPr>
        <w:spacing w:line="276" w:lineRule="auto"/>
        <w:contextualSpacing w:val="0"/>
        <w:rPr>
          <w:sz w:val="17"/>
          <w:szCs w:val="17"/>
        </w:rPr>
      </w:pPr>
      <w:r w:rsidRPr="00D43ACB">
        <w:rPr>
          <w:sz w:val="17"/>
          <w:szCs w:val="17"/>
        </w:rPr>
        <w:t>A</w:t>
      </w:r>
      <w:r w:rsidR="00615531" w:rsidRPr="00D43ACB">
        <w:rPr>
          <w:sz w:val="17"/>
          <w:szCs w:val="17"/>
        </w:rPr>
        <w:t xml:space="preserve">re taken in any area of sea or seabed that is declared to be a part of the Great Barrier Reef Marine Park under the </w:t>
      </w:r>
      <w:r w:rsidR="00615531" w:rsidRPr="00D43ACB">
        <w:rPr>
          <w:i/>
          <w:sz w:val="17"/>
          <w:szCs w:val="17"/>
        </w:rPr>
        <w:t>Great Barrier Reef Marine Park Act 1975</w:t>
      </w:r>
    </w:p>
    <w:p w:rsidR="00615531" w:rsidRPr="00D43ACB" w:rsidRDefault="00746162" w:rsidP="00D43ACB">
      <w:pPr>
        <w:pStyle w:val="ListParagraph"/>
        <w:widowControl w:val="0"/>
        <w:numPr>
          <w:ilvl w:val="0"/>
          <w:numId w:val="22"/>
        </w:numPr>
        <w:spacing w:line="276" w:lineRule="auto"/>
        <w:contextualSpacing w:val="0"/>
        <w:rPr>
          <w:sz w:val="17"/>
          <w:szCs w:val="17"/>
        </w:rPr>
      </w:pPr>
      <w:r w:rsidRPr="00D43ACB">
        <w:rPr>
          <w:sz w:val="17"/>
          <w:szCs w:val="17"/>
        </w:rPr>
        <w:t>H</w:t>
      </w:r>
      <w:r w:rsidR="00615531" w:rsidRPr="00D43ACB">
        <w:rPr>
          <w:sz w:val="17"/>
          <w:szCs w:val="17"/>
        </w:rPr>
        <w:t>ave, will have or are likely to have a significant impact on the world heritage values of the Great Barrier Reef World Heritage property or on the national heritage values of the Great Barrier Reef National Heritage place</w:t>
      </w:r>
    </w:p>
    <w:p w:rsidR="00615531" w:rsidRPr="00D43ACB" w:rsidRDefault="0025253C" w:rsidP="00D43ACB">
      <w:pPr>
        <w:pStyle w:val="ListParagraph"/>
        <w:widowControl w:val="0"/>
        <w:numPr>
          <w:ilvl w:val="0"/>
          <w:numId w:val="22"/>
        </w:numPr>
        <w:spacing w:line="276" w:lineRule="auto"/>
        <w:contextualSpacing w:val="0"/>
        <w:rPr>
          <w:sz w:val="17"/>
          <w:szCs w:val="17"/>
        </w:rPr>
      </w:pPr>
      <w:r w:rsidRPr="00D43ACB">
        <w:rPr>
          <w:sz w:val="17"/>
          <w:szCs w:val="17"/>
        </w:rPr>
        <w:t>Are taken in the Antarctic</w:t>
      </w:r>
    </w:p>
    <w:p w:rsidR="00615531" w:rsidRPr="00D43ACB" w:rsidRDefault="00746162" w:rsidP="00D43ACB">
      <w:pPr>
        <w:pStyle w:val="ListParagraph"/>
        <w:widowControl w:val="0"/>
        <w:numPr>
          <w:ilvl w:val="0"/>
          <w:numId w:val="22"/>
        </w:numPr>
        <w:spacing w:line="276" w:lineRule="auto"/>
        <w:contextualSpacing w:val="0"/>
        <w:rPr>
          <w:sz w:val="17"/>
          <w:szCs w:val="17"/>
        </w:rPr>
      </w:pPr>
      <w:r w:rsidRPr="00D43ACB">
        <w:rPr>
          <w:sz w:val="17"/>
          <w:szCs w:val="17"/>
        </w:rPr>
        <w:t>A</w:t>
      </w:r>
      <w:r w:rsidR="00615531" w:rsidRPr="00D43ACB">
        <w:rPr>
          <w:sz w:val="17"/>
          <w:szCs w:val="17"/>
        </w:rPr>
        <w:t xml:space="preserve">re injection and/or storage of </w:t>
      </w:r>
      <w:r w:rsidR="00600C3B" w:rsidRPr="00D43ACB">
        <w:rPr>
          <w:sz w:val="17"/>
          <w:szCs w:val="17"/>
        </w:rPr>
        <w:t>GHG</w:t>
      </w:r>
      <w:r w:rsidR="00816D6A" w:rsidRPr="00D43ACB">
        <w:rPr>
          <w:sz w:val="17"/>
          <w:szCs w:val="17"/>
        </w:rPr>
        <w:t>.</w:t>
      </w:r>
    </w:p>
    <w:p w:rsidR="00615531" w:rsidRPr="00615531" w:rsidRDefault="00615531" w:rsidP="00615531">
      <w:pPr>
        <w:widowControl w:val="0"/>
        <w:rPr>
          <w:sz w:val="17"/>
          <w:szCs w:val="17"/>
        </w:rPr>
      </w:pPr>
      <w:r w:rsidRPr="00615531">
        <w:rPr>
          <w:sz w:val="17"/>
          <w:szCs w:val="17"/>
        </w:rPr>
        <w:t xml:space="preserve">Potential bidders are reminded that the awarding of </w:t>
      </w:r>
      <w:r w:rsidR="0025253C">
        <w:rPr>
          <w:sz w:val="17"/>
          <w:szCs w:val="17"/>
        </w:rPr>
        <w:t>GHG</w:t>
      </w:r>
      <w:r w:rsidRPr="00615531">
        <w:rPr>
          <w:sz w:val="17"/>
          <w:szCs w:val="17"/>
        </w:rPr>
        <w:t xml:space="preserve"> </w:t>
      </w:r>
      <w:r w:rsidR="00600C3B">
        <w:rPr>
          <w:sz w:val="17"/>
          <w:szCs w:val="17"/>
        </w:rPr>
        <w:t>assessment permit</w:t>
      </w:r>
      <w:r w:rsidR="0025253C">
        <w:rPr>
          <w:sz w:val="17"/>
          <w:szCs w:val="17"/>
        </w:rPr>
        <w:t xml:space="preserve"> under the OPGGSA </w:t>
      </w:r>
      <w:r w:rsidRPr="00615531">
        <w:rPr>
          <w:sz w:val="17"/>
          <w:szCs w:val="17"/>
        </w:rPr>
        <w:t>is not a guarantee of approval under the EPBC</w:t>
      </w:r>
      <w:r w:rsidR="0025253C">
        <w:rPr>
          <w:sz w:val="17"/>
          <w:szCs w:val="17"/>
        </w:rPr>
        <w:t>A</w:t>
      </w:r>
      <w:r w:rsidRPr="00615531">
        <w:rPr>
          <w:sz w:val="17"/>
          <w:szCs w:val="17"/>
        </w:rPr>
        <w:t>. A referral may result in a decision by the Minister that the action is clearly unacceptable, or an assessment and approval process may result in a decision to not approve the taking of the action.</w:t>
      </w:r>
    </w:p>
    <w:p w:rsidR="00615531" w:rsidRPr="00615531" w:rsidRDefault="00615531" w:rsidP="00615531">
      <w:pPr>
        <w:widowControl w:val="0"/>
        <w:rPr>
          <w:sz w:val="17"/>
          <w:szCs w:val="17"/>
        </w:rPr>
      </w:pPr>
      <w:r w:rsidRPr="00615531">
        <w:rPr>
          <w:sz w:val="17"/>
          <w:szCs w:val="17"/>
        </w:rPr>
        <w:t xml:space="preserve">Information on the assessment process and statutory timeframes can be viewed at: </w:t>
      </w:r>
      <w:hyperlink r:id="rId27" w:history="1">
        <w:r w:rsidR="0025253C" w:rsidRPr="009A77B3">
          <w:rPr>
            <w:rStyle w:val="Hyperlink"/>
            <w:sz w:val="17"/>
            <w:szCs w:val="17"/>
          </w:rPr>
          <w:t>www.environment.gov.au/topics/environment-protection/environment-assessments/assessment-and-approval-process</w:t>
        </w:r>
      </w:hyperlink>
    </w:p>
    <w:p w:rsidR="00615531" w:rsidRPr="00615531" w:rsidRDefault="00615531" w:rsidP="00615531">
      <w:pPr>
        <w:widowControl w:val="0"/>
        <w:rPr>
          <w:sz w:val="17"/>
          <w:szCs w:val="17"/>
        </w:rPr>
      </w:pPr>
      <w:r w:rsidRPr="00615531">
        <w:rPr>
          <w:sz w:val="17"/>
          <w:szCs w:val="17"/>
        </w:rPr>
        <w:t>Further information on consideration of specific matters of National Environmen</w:t>
      </w:r>
      <w:r w:rsidR="00600C3B">
        <w:rPr>
          <w:sz w:val="17"/>
          <w:szCs w:val="17"/>
        </w:rPr>
        <w:t xml:space="preserve">tal Significance under the EPBCA </w:t>
      </w:r>
      <w:r w:rsidRPr="00615531">
        <w:rPr>
          <w:sz w:val="17"/>
          <w:szCs w:val="17"/>
        </w:rPr>
        <w:t>Assessment Process follows, specifically in relation to:</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Heritage Values</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Commonwealth Marine Areas and Commonwealth Land</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Indigenous Heritage Values</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Other protected matters</w:t>
      </w:r>
    </w:p>
    <w:p w:rsidR="00615531" w:rsidRPr="00D43ACB" w:rsidRDefault="0025253C" w:rsidP="00D43ACB">
      <w:pPr>
        <w:pStyle w:val="ListParagraph"/>
        <w:widowControl w:val="0"/>
        <w:numPr>
          <w:ilvl w:val="0"/>
          <w:numId w:val="22"/>
        </w:numPr>
        <w:spacing w:line="276" w:lineRule="auto"/>
        <w:contextualSpacing w:val="0"/>
        <w:rPr>
          <w:sz w:val="17"/>
          <w:szCs w:val="17"/>
        </w:rPr>
      </w:pPr>
      <w:r w:rsidRPr="00D43ACB">
        <w:rPr>
          <w:sz w:val="17"/>
          <w:szCs w:val="17"/>
        </w:rPr>
        <w:t>The Historic Shipwrecks Act</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Cetaceans</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Marine Bioregional Planning</w:t>
      </w:r>
      <w:r w:rsidR="00816D6A" w:rsidRPr="00D43ACB">
        <w:rPr>
          <w:sz w:val="17"/>
          <w:szCs w:val="17"/>
        </w:rPr>
        <w:t>.</w:t>
      </w:r>
    </w:p>
    <w:p w:rsidR="00615531" w:rsidRPr="00615531" w:rsidRDefault="00615531" w:rsidP="00615531">
      <w:pPr>
        <w:pStyle w:val="NoSpacing"/>
        <w:spacing w:after="200" w:line="276" w:lineRule="auto"/>
        <w:rPr>
          <w:rFonts w:ascii="Arial" w:hAnsi="Arial" w:cs="Arial"/>
          <w:i/>
          <w:sz w:val="17"/>
          <w:szCs w:val="17"/>
        </w:rPr>
      </w:pPr>
      <w:r w:rsidRPr="00615531">
        <w:rPr>
          <w:rFonts w:ascii="Arial" w:hAnsi="Arial" w:cs="Arial"/>
          <w:i/>
          <w:sz w:val="17"/>
          <w:szCs w:val="17"/>
        </w:rPr>
        <w:t>Heritage Values</w:t>
      </w:r>
    </w:p>
    <w:p w:rsidR="00615531" w:rsidRPr="00615531" w:rsidRDefault="00615531" w:rsidP="00615531">
      <w:pPr>
        <w:widowControl w:val="0"/>
        <w:rPr>
          <w:sz w:val="17"/>
          <w:szCs w:val="17"/>
        </w:rPr>
      </w:pPr>
      <w:r w:rsidRPr="00615531">
        <w:rPr>
          <w:sz w:val="17"/>
          <w:szCs w:val="17"/>
        </w:rPr>
        <w:t>Listed heritage values are protected and managed under a range of Comm</w:t>
      </w:r>
      <w:r w:rsidR="0025253C">
        <w:rPr>
          <w:sz w:val="17"/>
          <w:szCs w:val="17"/>
        </w:rPr>
        <w:t xml:space="preserve">onwealth powers. </w:t>
      </w:r>
      <w:r w:rsidRPr="00615531">
        <w:rPr>
          <w:sz w:val="17"/>
          <w:szCs w:val="17"/>
        </w:rPr>
        <w:t>World Heritage properties are sites that are recognised under the World Heritage Convention as being of international significance because of their outstanding universal natural and/or cultural values. The World Heritage Committee makes the final decision on whether a place is inscribed on</w:t>
      </w:r>
      <w:r w:rsidR="00291CFE">
        <w:rPr>
          <w:sz w:val="17"/>
          <w:szCs w:val="17"/>
        </w:rPr>
        <w:t xml:space="preserve"> the World Heritage List (WHL).</w:t>
      </w:r>
    </w:p>
    <w:p w:rsidR="00615531" w:rsidRPr="00615531" w:rsidRDefault="00615531" w:rsidP="00615531">
      <w:pPr>
        <w:widowControl w:val="0"/>
        <w:rPr>
          <w:sz w:val="17"/>
          <w:szCs w:val="17"/>
        </w:rPr>
      </w:pPr>
      <w:r w:rsidRPr="00615531">
        <w:rPr>
          <w:sz w:val="17"/>
          <w:szCs w:val="17"/>
        </w:rPr>
        <w:t>Places on the W</w:t>
      </w:r>
      <w:r w:rsidR="00BA3B1D">
        <w:rPr>
          <w:sz w:val="17"/>
          <w:szCs w:val="17"/>
        </w:rPr>
        <w:t>HL</w:t>
      </w:r>
      <w:r w:rsidR="0025253C">
        <w:rPr>
          <w:sz w:val="17"/>
          <w:szCs w:val="17"/>
        </w:rPr>
        <w:t xml:space="preserve"> are protected under the EPBCA </w:t>
      </w:r>
      <w:r w:rsidRPr="00615531">
        <w:rPr>
          <w:sz w:val="17"/>
          <w:szCs w:val="17"/>
        </w:rPr>
        <w:t xml:space="preserve">as matters </w:t>
      </w:r>
      <w:r w:rsidR="00BA3B1D">
        <w:rPr>
          <w:sz w:val="17"/>
          <w:szCs w:val="17"/>
        </w:rPr>
        <w:t xml:space="preserve">of </w:t>
      </w:r>
      <w:r w:rsidRPr="00615531">
        <w:rPr>
          <w:sz w:val="17"/>
          <w:szCs w:val="17"/>
        </w:rPr>
        <w:t>N</w:t>
      </w:r>
      <w:r w:rsidR="00BA3B1D">
        <w:rPr>
          <w:sz w:val="17"/>
          <w:szCs w:val="17"/>
        </w:rPr>
        <w:t xml:space="preserve">ational </w:t>
      </w:r>
      <w:r w:rsidRPr="00615531">
        <w:rPr>
          <w:sz w:val="17"/>
          <w:szCs w:val="17"/>
        </w:rPr>
        <w:t>E</w:t>
      </w:r>
      <w:r w:rsidR="00BA3B1D">
        <w:rPr>
          <w:sz w:val="17"/>
          <w:szCs w:val="17"/>
        </w:rPr>
        <w:t xml:space="preserve">nvironmental </w:t>
      </w:r>
      <w:r w:rsidRPr="00615531">
        <w:rPr>
          <w:sz w:val="17"/>
          <w:szCs w:val="17"/>
        </w:rPr>
        <w:t>S</w:t>
      </w:r>
      <w:r w:rsidR="00BA3B1D">
        <w:rPr>
          <w:sz w:val="17"/>
          <w:szCs w:val="17"/>
        </w:rPr>
        <w:t>ignificance</w:t>
      </w:r>
      <w:r w:rsidRPr="00615531">
        <w:rPr>
          <w:sz w:val="17"/>
          <w:szCs w:val="17"/>
        </w:rPr>
        <w:t xml:space="preserve">. Australia’s WHL is maintained by the Department of the Environment, and is available at: </w:t>
      </w:r>
      <w:hyperlink r:id="rId28" w:history="1">
        <w:r w:rsidR="0025253C" w:rsidRPr="009A77B3">
          <w:rPr>
            <w:rStyle w:val="Hyperlink"/>
            <w:sz w:val="17"/>
            <w:szCs w:val="17"/>
          </w:rPr>
          <w:t>www.environment.gov.au/topics/heritage/heritage-places/world-heritage-list</w:t>
        </w:r>
      </w:hyperlink>
    </w:p>
    <w:p w:rsidR="00615531" w:rsidRPr="00615531" w:rsidRDefault="00615531" w:rsidP="00615531">
      <w:pPr>
        <w:widowControl w:val="0"/>
        <w:rPr>
          <w:sz w:val="17"/>
          <w:szCs w:val="17"/>
        </w:rPr>
      </w:pPr>
      <w:r w:rsidRPr="00615531">
        <w:rPr>
          <w:sz w:val="17"/>
          <w:szCs w:val="17"/>
        </w:rPr>
        <w:t>The National Heritage List (NHL) has been established to include places of outstanding heritage significance to Australia. The NHL comprises places with natural, historic and/or Indigenous values. A place entered in the NHL is known as a National Heritage place. Each place in the List has been assessed by an independent body, the Australian Heritage Council, to determine whether the place has national heritage values. The Australian Government Environment Minister makes the final decision on whether a place is listed.</w:t>
      </w:r>
    </w:p>
    <w:p w:rsidR="00615531" w:rsidRPr="00615531" w:rsidRDefault="00615531" w:rsidP="00615531">
      <w:pPr>
        <w:widowControl w:val="0"/>
        <w:rPr>
          <w:sz w:val="17"/>
          <w:szCs w:val="17"/>
        </w:rPr>
      </w:pPr>
      <w:r w:rsidRPr="00615531">
        <w:rPr>
          <w:sz w:val="17"/>
          <w:szCs w:val="17"/>
        </w:rPr>
        <w:t>Places in the N</w:t>
      </w:r>
      <w:r w:rsidR="00F706F6">
        <w:rPr>
          <w:sz w:val="17"/>
          <w:szCs w:val="17"/>
        </w:rPr>
        <w:t xml:space="preserve">HL are protected under the EPBCA </w:t>
      </w:r>
      <w:r w:rsidRPr="00615531">
        <w:rPr>
          <w:sz w:val="17"/>
          <w:szCs w:val="17"/>
        </w:rPr>
        <w:t xml:space="preserve">as matters of </w:t>
      </w:r>
      <w:r w:rsidR="00BA3B1D" w:rsidRPr="00615531">
        <w:rPr>
          <w:sz w:val="17"/>
          <w:szCs w:val="17"/>
        </w:rPr>
        <w:t>N</w:t>
      </w:r>
      <w:r w:rsidR="00BA3B1D">
        <w:rPr>
          <w:sz w:val="17"/>
          <w:szCs w:val="17"/>
        </w:rPr>
        <w:t xml:space="preserve">ational </w:t>
      </w:r>
      <w:r w:rsidR="00BA3B1D" w:rsidRPr="00615531">
        <w:rPr>
          <w:sz w:val="17"/>
          <w:szCs w:val="17"/>
        </w:rPr>
        <w:t>E</w:t>
      </w:r>
      <w:r w:rsidR="00BA3B1D">
        <w:rPr>
          <w:sz w:val="17"/>
          <w:szCs w:val="17"/>
        </w:rPr>
        <w:t xml:space="preserve">nvironmental </w:t>
      </w:r>
      <w:r w:rsidR="00BA3B1D" w:rsidRPr="00615531">
        <w:rPr>
          <w:sz w:val="17"/>
          <w:szCs w:val="17"/>
        </w:rPr>
        <w:t>S</w:t>
      </w:r>
      <w:r w:rsidR="00BA3B1D">
        <w:rPr>
          <w:sz w:val="17"/>
          <w:szCs w:val="17"/>
        </w:rPr>
        <w:t>ignificance</w:t>
      </w:r>
      <w:r w:rsidRPr="00615531">
        <w:rPr>
          <w:sz w:val="17"/>
          <w:szCs w:val="17"/>
        </w:rPr>
        <w:t xml:space="preserve">. The NHL is compiled and maintained by the Department of the Environment, and is available at: </w:t>
      </w:r>
      <w:hyperlink r:id="rId29" w:history="1">
        <w:r w:rsidR="0025253C" w:rsidRPr="009A77B3">
          <w:rPr>
            <w:rStyle w:val="Hyperlink"/>
            <w:sz w:val="17"/>
            <w:szCs w:val="17"/>
          </w:rPr>
          <w:t>www.environment.gov.au/topics/heritage/heritage-places/national-heritage-list</w:t>
        </w:r>
      </w:hyperlink>
    </w:p>
    <w:p w:rsidR="00615531" w:rsidRPr="00615531" w:rsidRDefault="00615531" w:rsidP="00615531">
      <w:pPr>
        <w:widowControl w:val="0"/>
        <w:rPr>
          <w:sz w:val="17"/>
          <w:szCs w:val="17"/>
        </w:rPr>
      </w:pPr>
      <w:r w:rsidRPr="00615531">
        <w:rPr>
          <w:sz w:val="17"/>
          <w:szCs w:val="17"/>
        </w:rPr>
        <w:t>The Commonwealth Heritage List (CHL), established under the EPBC</w:t>
      </w:r>
      <w:r w:rsidR="00F706F6">
        <w:rPr>
          <w:sz w:val="17"/>
          <w:szCs w:val="17"/>
        </w:rPr>
        <w:t>A</w:t>
      </w:r>
      <w:r w:rsidRPr="00615531">
        <w:rPr>
          <w:sz w:val="17"/>
          <w:szCs w:val="17"/>
        </w:rPr>
        <w:t>, comprises natural, Indigenous and historic heritage places entirely within a Commonwealth area or outside the Australian jurisdiction and owned or leased by the Commonwealth and which the Australian Government Environment Minister is satisfied have one or more Co</w:t>
      </w:r>
      <w:r w:rsidR="008F37D5">
        <w:rPr>
          <w:sz w:val="17"/>
          <w:szCs w:val="17"/>
        </w:rPr>
        <w:t>mmonwealth Heritage values. The</w:t>
      </w:r>
      <w:r w:rsidR="00816D6A">
        <w:rPr>
          <w:sz w:val="17"/>
          <w:szCs w:val="17"/>
        </w:rPr>
        <w:t xml:space="preserve"> </w:t>
      </w:r>
      <w:r w:rsidRPr="00615531">
        <w:rPr>
          <w:sz w:val="17"/>
          <w:szCs w:val="17"/>
        </w:rPr>
        <w:t>Minister makes the final decision on wh</w:t>
      </w:r>
      <w:r w:rsidR="00816D6A">
        <w:rPr>
          <w:sz w:val="17"/>
          <w:szCs w:val="17"/>
        </w:rPr>
        <w:t>ether to include a place in the </w:t>
      </w:r>
      <w:r w:rsidR="0025253C">
        <w:rPr>
          <w:sz w:val="17"/>
          <w:szCs w:val="17"/>
        </w:rPr>
        <w:t>CHL.</w:t>
      </w:r>
    </w:p>
    <w:p w:rsidR="00615531" w:rsidRPr="00615531" w:rsidRDefault="00615531" w:rsidP="00615531">
      <w:pPr>
        <w:pStyle w:val="NoSpacing"/>
        <w:spacing w:after="200" w:line="276" w:lineRule="auto"/>
        <w:rPr>
          <w:rFonts w:ascii="Arial" w:hAnsi="Arial" w:cs="Arial"/>
          <w:sz w:val="17"/>
          <w:szCs w:val="17"/>
        </w:rPr>
      </w:pPr>
      <w:r w:rsidRPr="00615531">
        <w:rPr>
          <w:rFonts w:ascii="Arial" w:hAnsi="Arial" w:cs="Arial"/>
          <w:sz w:val="17"/>
          <w:szCs w:val="17"/>
        </w:rPr>
        <w:t xml:space="preserve">In addition, Australian Government agencies are required to develop: </w:t>
      </w:r>
    </w:p>
    <w:p w:rsidR="00615531" w:rsidRPr="00D43ACB" w:rsidRDefault="00BA3B1D" w:rsidP="00D43ACB">
      <w:pPr>
        <w:pStyle w:val="ListParagraph"/>
        <w:widowControl w:val="0"/>
        <w:numPr>
          <w:ilvl w:val="0"/>
          <w:numId w:val="22"/>
        </w:numPr>
        <w:spacing w:line="276" w:lineRule="auto"/>
        <w:contextualSpacing w:val="0"/>
        <w:rPr>
          <w:sz w:val="17"/>
          <w:szCs w:val="17"/>
        </w:rPr>
      </w:pPr>
      <w:r w:rsidRPr="00D43ACB">
        <w:rPr>
          <w:sz w:val="17"/>
          <w:szCs w:val="17"/>
        </w:rPr>
        <w:t>H</w:t>
      </w:r>
      <w:r w:rsidR="0025253C" w:rsidRPr="00D43ACB">
        <w:rPr>
          <w:sz w:val="17"/>
          <w:szCs w:val="17"/>
        </w:rPr>
        <w:t>eritage strategies</w:t>
      </w:r>
    </w:p>
    <w:p w:rsidR="00615531" w:rsidRPr="00D43ACB" w:rsidRDefault="00BA3B1D" w:rsidP="00D43ACB">
      <w:pPr>
        <w:pStyle w:val="ListParagraph"/>
        <w:widowControl w:val="0"/>
        <w:numPr>
          <w:ilvl w:val="0"/>
          <w:numId w:val="22"/>
        </w:numPr>
        <w:spacing w:line="276" w:lineRule="auto"/>
        <w:contextualSpacing w:val="0"/>
        <w:rPr>
          <w:sz w:val="17"/>
          <w:szCs w:val="17"/>
        </w:rPr>
      </w:pPr>
      <w:r w:rsidRPr="00D43ACB">
        <w:rPr>
          <w:sz w:val="17"/>
          <w:szCs w:val="17"/>
        </w:rPr>
        <w:t>A</w:t>
      </w:r>
      <w:r w:rsidR="0025253C" w:rsidRPr="00D43ACB">
        <w:rPr>
          <w:sz w:val="17"/>
          <w:szCs w:val="17"/>
        </w:rPr>
        <w:t xml:space="preserve"> heritage register</w:t>
      </w:r>
    </w:p>
    <w:p w:rsidR="00615531" w:rsidRPr="00D43ACB" w:rsidRDefault="00BA3B1D" w:rsidP="00D43ACB">
      <w:pPr>
        <w:pStyle w:val="ListParagraph"/>
        <w:widowControl w:val="0"/>
        <w:numPr>
          <w:ilvl w:val="0"/>
          <w:numId w:val="22"/>
        </w:numPr>
        <w:spacing w:line="276" w:lineRule="auto"/>
        <w:contextualSpacing w:val="0"/>
        <w:rPr>
          <w:sz w:val="17"/>
          <w:szCs w:val="17"/>
        </w:rPr>
      </w:pPr>
      <w:r w:rsidRPr="00D43ACB">
        <w:rPr>
          <w:sz w:val="17"/>
          <w:szCs w:val="17"/>
        </w:rPr>
        <w:t>M</w:t>
      </w:r>
      <w:r w:rsidR="00615531" w:rsidRPr="00D43ACB">
        <w:rPr>
          <w:sz w:val="17"/>
          <w:szCs w:val="17"/>
        </w:rPr>
        <w:t>anagement plans for places on the CHL to protect the heritage values of the Commonwealth Heritage Places they own or lease.</w:t>
      </w:r>
    </w:p>
    <w:p w:rsidR="0025253C" w:rsidRDefault="00615531" w:rsidP="00615531">
      <w:pPr>
        <w:widowControl w:val="0"/>
        <w:rPr>
          <w:sz w:val="17"/>
          <w:szCs w:val="17"/>
        </w:rPr>
      </w:pPr>
      <w:r w:rsidRPr="00615531">
        <w:rPr>
          <w:sz w:val="17"/>
          <w:szCs w:val="17"/>
        </w:rPr>
        <w:t>The CHL is compiled and maintained by the Department of the, Environment, and is available at</w:t>
      </w:r>
      <w:r w:rsidR="0025253C">
        <w:rPr>
          <w:sz w:val="17"/>
          <w:szCs w:val="17"/>
        </w:rPr>
        <w:t>:</w:t>
      </w:r>
      <w:r w:rsidRPr="00615531">
        <w:rPr>
          <w:sz w:val="17"/>
          <w:szCs w:val="17"/>
        </w:rPr>
        <w:t xml:space="preserve"> </w:t>
      </w:r>
      <w:hyperlink r:id="rId30" w:history="1">
        <w:r w:rsidR="0025253C" w:rsidRPr="009A77B3">
          <w:rPr>
            <w:rStyle w:val="Hyperlink"/>
            <w:sz w:val="17"/>
            <w:szCs w:val="17"/>
          </w:rPr>
          <w:t>www.environment.gov.au/topics/heritage/heritage-places/commonwealth-heritage-list</w:t>
        </w:r>
      </w:hyperlink>
    </w:p>
    <w:p w:rsidR="00F706F6" w:rsidRDefault="00615531" w:rsidP="00615531">
      <w:pPr>
        <w:widowControl w:val="0"/>
        <w:rPr>
          <w:sz w:val="17"/>
          <w:szCs w:val="17"/>
        </w:rPr>
      </w:pPr>
      <w:r w:rsidRPr="00615531">
        <w:rPr>
          <w:sz w:val="17"/>
          <w:szCs w:val="17"/>
        </w:rPr>
        <w:t xml:space="preserve">As of </w:t>
      </w:r>
      <w:r w:rsidR="00AF7396">
        <w:rPr>
          <w:sz w:val="17"/>
          <w:szCs w:val="17"/>
        </w:rPr>
        <w:t>August 2014</w:t>
      </w:r>
      <w:r w:rsidRPr="00615531">
        <w:rPr>
          <w:sz w:val="17"/>
          <w:szCs w:val="17"/>
        </w:rPr>
        <w:t>, there are</w:t>
      </w:r>
      <w:r w:rsidR="0025253C" w:rsidRPr="00615531">
        <w:rPr>
          <w:sz w:val="17"/>
          <w:szCs w:val="17"/>
        </w:rPr>
        <w:t>19 places on the WHL</w:t>
      </w:r>
      <w:r w:rsidRPr="00615531">
        <w:rPr>
          <w:sz w:val="17"/>
          <w:szCs w:val="17"/>
        </w:rPr>
        <w:t xml:space="preserve">, </w:t>
      </w:r>
      <w:r w:rsidR="0025253C" w:rsidRPr="00615531">
        <w:rPr>
          <w:sz w:val="17"/>
          <w:szCs w:val="17"/>
        </w:rPr>
        <w:t xml:space="preserve">100 places </w:t>
      </w:r>
      <w:r w:rsidR="0025253C">
        <w:rPr>
          <w:sz w:val="17"/>
          <w:szCs w:val="17"/>
        </w:rPr>
        <w:t>on</w:t>
      </w:r>
      <w:r w:rsidR="0025253C" w:rsidRPr="00615531">
        <w:rPr>
          <w:sz w:val="17"/>
          <w:szCs w:val="17"/>
        </w:rPr>
        <w:t xml:space="preserve"> the NHL </w:t>
      </w:r>
      <w:r w:rsidRPr="00615531">
        <w:rPr>
          <w:sz w:val="17"/>
          <w:szCs w:val="17"/>
        </w:rPr>
        <w:t xml:space="preserve">and 397 places included </w:t>
      </w:r>
      <w:r w:rsidR="0025253C">
        <w:rPr>
          <w:sz w:val="17"/>
          <w:szCs w:val="17"/>
        </w:rPr>
        <w:t>on</w:t>
      </w:r>
      <w:r w:rsidRPr="00615531">
        <w:rPr>
          <w:sz w:val="17"/>
          <w:szCs w:val="17"/>
        </w:rPr>
        <w:t xml:space="preserve"> the CHL. These lists include some offshore areas.</w:t>
      </w:r>
    </w:p>
    <w:p w:rsidR="00600C3B" w:rsidRDefault="00615531" w:rsidP="00615531">
      <w:pPr>
        <w:widowControl w:val="0"/>
        <w:rPr>
          <w:sz w:val="17"/>
          <w:szCs w:val="17"/>
        </w:rPr>
      </w:pPr>
      <w:r w:rsidRPr="00615531">
        <w:rPr>
          <w:sz w:val="17"/>
          <w:szCs w:val="17"/>
        </w:rPr>
        <w:t xml:space="preserve">New places are added to the lists on an ongoing basis. The database should be investigated for relevant areas at: </w:t>
      </w:r>
      <w:hyperlink r:id="rId31" w:history="1">
        <w:r w:rsidR="0025253C" w:rsidRPr="009A77B3">
          <w:rPr>
            <w:rStyle w:val="Hyperlink"/>
            <w:sz w:val="17"/>
            <w:szCs w:val="17"/>
          </w:rPr>
          <w:t>www.environment.gov.au/cgi-bin/ahdb/search.pl</w:t>
        </w:r>
      </w:hyperlink>
    </w:p>
    <w:p w:rsidR="00615531" w:rsidRPr="00615531" w:rsidRDefault="00615531" w:rsidP="00615531">
      <w:pPr>
        <w:widowControl w:val="0"/>
        <w:rPr>
          <w:sz w:val="17"/>
          <w:szCs w:val="17"/>
        </w:rPr>
      </w:pPr>
      <w:r w:rsidRPr="00615531">
        <w:rPr>
          <w:sz w:val="17"/>
          <w:szCs w:val="17"/>
        </w:rPr>
        <w:t>The values of CHL p</w:t>
      </w:r>
      <w:r w:rsidR="0025253C">
        <w:rPr>
          <w:sz w:val="17"/>
          <w:szCs w:val="17"/>
        </w:rPr>
        <w:t xml:space="preserve">laces are protected by the EPBCA </w:t>
      </w:r>
      <w:r w:rsidRPr="00615531">
        <w:rPr>
          <w:sz w:val="17"/>
          <w:szCs w:val="17"/>
        </w:rPr>
        <w:t xml:space="preserve">as part of the environment of </w:t>
      </w:r>
      <w:r w:rsidR="0025253C">
        <w:rPr>
          <w:sz w:val="17"/>
          <w:szCs w:val="17"/>
        </w:rPr>
        <w:t>Commonwealth lands and waters.</w:t>
      </w:r>
    </w:p>
    <w:p w:rsidR="00615531" w:rsidRPr="00615531" w:rsidRDefault="00615531" w:rsidP="00615531">
      <w:pPr>
        <w:widowControl w:val="0"/>
        <w:rPr>
          <w:sz w:val="17"/>
          <w:szCs w:val="17"/>
        </w:rPr>
      </w:pPr>
      <w:r w:rsidRPr="00615531">
        <w:rPr>
          <w:sz w:val="17"/>
          <w:szCs w:val="17"/>
        </w:rPr>
        <w:t>From February 2012, all references to the Register of the National Estate (established in 1976 as a national inventory of places of significant natural and/or cultural herit</w:t>
      </w:r>
      <w:r w:rsidR="00F706F6">
        <w:rPr>
          <w:sz w:val="17"/>
          <w:szCs w:val="17"/>
        </w:rPr>
        <w:t xml:space="preserve">age) were removed from the EPBCA </w:t>
      </w:r>
      <w:r w:rsidRPr="00615531">
        <w:rPr>
          <w:sz w:val="17"/>
          <w:szCs w:val="17"/>
        </w:rPr>
        <w:t xml:space="preserve">and the </w:t>
      </w:r>
      <w:r w:rsidRPr="00BA3B1D">
        <w:rPr>
          <w:i/>
          <w:sz w:val="17"/>
          <w:szCs w:val="17"/>
        </w:rPr>
        <w:t>Australian Heritage Council Act 2003</w:t>
      </w:r>
      <w:r w:rsidRPr="00615531">
        <w:rPr>
          <w:sz w:val="17"/>
          <w:szCs w:val="17"/>
        </w:rPr>
        <w:t>. The Register now remains as an online archive of information about Austra</w:t>
      </w:r>
      <w:r w:rsidR="0025253C">
        <w:rPr>
          <w:sz w:val="17"/>
          <w:szCs w:val="17"/>
        </w:rPr>
        <w:t xml:space="preserve">lia’s heritage places. The EPBCA </w:t>
      </w:r>
      <w:r w:rsidRPr="00615531">
        <w:rPr>
          <w:sz w:val="17"/>
          <w:szCs w:val="17"/>
        </w:rPr>
        <w:t xml:space="preserve">continues to protect the heritage values of places in the Register that are in Commonwealth areas or are otherwise the responsibility of the Australian Government, such as the heritage values of places </w:t>
      </w:r>
      <w:r w:rsidR="0025253C">
        <w:rPr>
          <w:sz w:val="17"/>
          <w:szCs w:val="17"/>
        </w:rPr>
        <w:t>on</w:t>
      </w:r>
      <w:r w:rsidRPr="00615531">
        <w:rPr>
          <w:sz w:val="17"/>
          <w:szCs w:val="17"/>
        </w:rPr>
        <w:t xml:space="preserve"> the NHL.</w:t>
      </w:r>
    </w:p>
    <w:p w:rsidR="00615531" w:rsidRPr="00615531" w:rsidRDefault="00615531" w:rsidP="00615531">
      <w:pPr>
        <w:widowControl w:val="0"/>
        <w:rPr>
          <w:sz w:val="17"/>
          <w:szCs w:val="17"/>
        </w:rPr>
      </w:pPr>
      <w:r w:rsidRPr="00615531">
        <w:rPr>
          <w:sz w:val="17"/>
          <w:szCs w:val="17"/>
        </w:rPr>
        <w:t>Although advice is provided on specific sites, prospective bidders are encouraged to check each release area for any sites relating to Australian government heritage lists.</w:t>
      </w:r>
    </w:p>
    <w:p w:rsidR="00615531" w:rsidRPr="00615531" w:rsidRDefault="00615531" w:rsidP="00615531">
      <w:pPr>
        <w:pStyle w:val="NoSpacing"/>
        <w:spacing w:after="200" w:line="276" w:lineRule="auto"/>
        <w:rPr>
          <w:rFonts w:ascii="Arial" w:hAnsi="Arial" w:cs="Arial"/>
          <w:i/>
          <w:sz w:val="17"/>
          <w:szCs w:val="17"/>
        </w:rPr>
      </w:pPr>
      <w:r w:rsidRPr="00615531">
        <w:rPr>
          <w:rFonts w:ascii="Arial" w:hAnsi="Arial" w:cs="Arial"/>
          <w:i/>
          <w:sz w:val="17"/>
          <w:szCs w:val="17"/>
        </w:rPr>
        <w:t>Commonwealth Marine Areas and Commonwealth Land</w:t>
      </w:r>
    </w:p>
    <w:p w:rsidR="00615531" w:rsidRPr="00615531" w:rsidRDefault="00615531" w:rsidP="00615531">
      <w:pPr>
        <w:widowControl w:val="0"/>
        <w:rPr>
          <w:sz w:val="17"/>
          <w:szCs w:val="17"/>
        </w:rPr>
      </w:pPr>
      <w:r w:rsidRPr="00615531">
        <w:rPr>
          <w:sz w:val="17"/>
          <w:szCs w:val="17"/>
        </w:rPr>
        <w:t>In Commonwealth marine areas and on Commonwealth land, heritage values form part of the environment and are considered under the EPBC</w:t>
      </w:r>
      <w:r w:rsidR="0025253C">
        <w:rPr>
          <w:sz w:val="17"/>
          <w:szCs w:val="17"/>
        </w:rPr>
        <w:t>A</w:t>
      </w:r>
      <w:r w:rsidRPr="00615531">
        <w:rPr>
          <w:sz w:val="17"/>
          <w:szCs w:val="17"/>
        </w:rPr>
        <w:t>. An Indigenous heritage value does not need to be included on a list or register to be considered under the definition of th</w:t>
      </w:r>
      <w:r w:rsidR="0025253C">
        <w:rPr>
          <w:sz w:val="17"/>
          <w:szCs w:val="17"/>
        </w:rPr>
        <w:t>e environment in the EPBCA.</w:t>
      </w:r>
    </w:p>
    <w:p w:rsidR="00615531" w:rsidRPr="00615531" w:rsidRDefault="00615531" w:rsidP="00615531">
      <w:pPr>
        <w:rPr>
          <w:rFonts w:cs="Arial"/>
          <w:i/>
          <w:sz w:val="17"/>
          <w:szCs w:val="17"/>
        </w:rPr>
      </w:pPr>
      <w:r w:rsidRPr="00615531">
        <w:rPr>
          <w:rFonts w:cs="Arial"/>
          <w:i/>
          <w:sz w:val="17"/>
          <w:szCs w:val="17"/>
        </w:rPr>
        <w:t>Indigenous Heritage Values</w:t>
      </w:r>
    </w:p>
    <w:p w:rsidR="00615531" w:rsidRPr="00615531" w:rsidRDefault="00615531" w:rsidP="00615531">
      <w:pPr>
        <w:widowControl w:val="0"/>
        <w:rPr>
          <w:sz w:val="17"/>
          <w:szCs w:val="17"/>
        </w:rPr>
      </w:pPr>
      <w:r w:rsidRPr="00615531">
        <w:rPr>
          <w:sz w:val="17"/>
          <w:szCs w:val="17"/>
        </w:rPr>
        <w:t xml:space="preserve">The Commonwealth Heritage management principles include the principle that “Indigenous people are the primary source of information on the value of their heritage and the active participation of Indigenous people in identification, assessment and management is integral to the effective protection of Indigenous heritage values”. </w:t>
      </w:r>
      <w:r w:rsidR="00E46401">
        <w:rPr>
          <w:sz w:val="17"/>
          <w:szCs w:val="17"/>
        </w:rPr>
        <w:t>Potential bidders</w:t>
      </w:r>
      <w:r w:rsidRPr="00615531">
        <w:rPr>
          <w:sz w:val="17"/>
          <w:szCs w:val="17"/>
        </w:rPr>
        <w:t xml:space="preserve"> should refer to </w:t>
      </w:r>
      <w:r w:rsidRPr="00BA3B1D">
        <w:rPr>
          <w:i/>
          <w:sz w:val="17"/>
          <w:szCs w:val="17"/>
        </w:rPr>
        <w:t>Ask First: A guide to respecting Indigenous heritage places and values</w:t>
      </w:r>
      <w:r w:rsidRPr="00615531">
        <w:rPr>
          <w:sz w:val="17"/>
          <w:szCs w:val="17"/>
        </w:rPr>
        <w:t xml:space="preserve"> (Australian Heritage Commission 2002</w:t>
      </w:r>
      <w:r w:rsidR="00BA3B1D">
        <w:rPr>
          <w:sz w:val="17"/>
          <w:szCs w:val="17"/>
        </w:rPr>
        <w:t>)</w:t>
      </w:r>
      <w:r w:rsidRPr="00615531">
        <w:rPr>
          <w:sz w:val="17"/>
          <w:szCs w:val="17"/>
        </w:rPr>
        <w:t xml:space="preserve">, </w:t>
      </w:r>
      <w:r w:rsidR="0025253C" w:rsidRPr="00615531">
        <w:rPr>
          <w:sz w:val="17"/>
          <w:szCs w:val="17"/>
        </w:rPr>
        <w:t>and actively engage the relevant Indigenous people with rights or interests to ensure that Indigenous heritage values are given appropriate consideration.</w:t>
      </w:r>
      <w:r w:rsidR="00E46401">
        <w:rPr>
          <w:sz w:val="17"/>
          <w:szCs w:val="17"/>
        </w:rPr>
        <w:t xml:space="preserve"> </w:t>
      </w:r>
      <w:r w:rsidR="00E46401" w:rsidRPr="00BA3B1D">
        <w:rPr>
          <w:i/>
          <w:sz w:val="17"/>
          <w:szCs w:val="17"/>
        </w:rPr>
        <w:t>Ask First</w:t>
      </w:r>
      <w:r w:rsidR="00E46401" w:rsidRPr="00615531">
        <w:rPr>
          <w:sz w:val="17"/>
          <w:szCs w:val="17"/>
        </w:rPr>
        <w:t xml:space="preserve"> </w:t>
      </w:r>
      <w:r w:rsidRPr="00615531">
        <w:rPr>
          <w:sz w:val="17"/>
          <w:szCs w:val="17"/>
        </w:rPr>
        <w:t xml:space="preserve">can be </w:t>
      </w:r>
      <w:r w:rsidR="00E46401">
        <w:rPr>
          <w:sz w:val="17"/>
          <w:szCs w:val="17"/>
        </w:rPr>
        <w:t>found</w:t>
      </w:r>
      <w:r w:rsidRPr="00615531">
        <w:rPr>
          <w:sz w:val="17"/>
          <w:szCs w:val="17"/>
        </w:rPr>
        <w:t xml:space="preserve"> at: </w:t>
      </w:r>
      <w:hyperlink r:id="rId32" w:history="1">
        <w:r w:rsidR="00E46401" w:rsidRPr="009A77B3">
          <w:rPr>
            <w:rStyle w:val="Hyperlink"/>
            <w:sz w:val="17"/>
            <w:szCs w:val="17"/>
          </w:rPr>
          <w:t>www.environment.gov.au/heritage/ahc/publications/commission/books/ask-first.html</w:t>
        </w:r>
      </w:hyperlink>
    </w:p>
    <w:p w:rsidR="00615531" w:rsidRPr="00615531" w:rsidRDefault="00615531" w:rsidP="00615531">
      <w:pPr>
        <w:pStyle w:val="NoSpacing"/>
        <w:spacing w:after="200" w:line="276" w:lineRule="auto"/>
        <w:rPr>
          <w:rFonts w:ascii="Arial" w:hAnsi="Arial" w:cs="Arial"/>
          <w:i/>
          <w:sz w:val="17"/>
          <w:szCs w:val="17"/>
        </w:rPr>
      </w:pPr>
      <w:r w:rsidRPr="00615531">
        <w:rPr>
          <w:rFonts w:ascii="Arial" w:hAnsi="Arial" w:cs="Arial"/>
          <w:i/>
          <w:sz w:val="17"/>
          <w:szCs w:val="17"/>
        </w:rPr>
        <w:t>Other protected matters</w:t>
      </w:r>
    </w:p>
    <w:p w:rsidR="00615531" w:rsidRPr="00615531" w:rsidRDefault="00615531" w:rsidP="00615531">
      <w:pPr>
        <w:widowControl w:val="0"/>
        <w:rPr>
          <w:rFonts w:cs="Arial"/>
          <w:sz w:val="17"/>
          <w:szCs w:val="17"/>
        </w:rPr>
      </w:pPr>
      <w:r w:rsidRPr="00615531">
        <w:rPr>
          <w:rFonts w:cs="Arial"/>
          <w:sz w:val="17"/>
          <w:szCs w:val="17"/>
        </w:rPr>
        <w:t>Potential bidders should al</w:t>
      </w:r>
      <w:r w:rsidR="00BA3B1D">
        <w:rPr>
          <w:rFonts w:cs="Arial"/>
          <w:sz w:val="17"/>
          <w:szCs w:val="17"/>
        </w:rPr>
        <w:t xml:space="preserve">so be </w:t>
      </w:r>
      <w:r w:rsidR="00E46401">
        <w:rPr>
          <w:rFonts w:cs="Arial"/>
          <w:sz w:val="17"/>
          <w:szCs w:val="17"/>
        </w:rPr>
        <w:t>aware</w:t>
      </w:r>
      <w:r w:rsidR="00BA3B1D">
        <w:rPr>
          <w:rFonts w:cs="Arial"/>
          <w:sz w:val="17"/>
          <w:szCs w:val="17"/>
        </w:rPr>
        <w:t xml:space="preserve"> of matters of </w:t>
      </w:r>
      <w:r w:rsidR="00BA3B1D" w:rsidRPr="00615531">
        <w:rPr>
          <w:sz w:val="17"/>
          <w:szCs w:val="17"/>
        </w:rPr>
        <w:t>N</w:t>
      </w:r>
      <w:r w:rsidR="00BA3B1D">
        <w:rPr>
          <w:sz w:val="17"/>
          <w:szCs w:val="17"/>
        </w:rPr>
        <w:t xml:space="preserve">ational </w:t>
      </w:r>
      <w:r w:rsidR="00BA3B1D" w:rsidRPr="00615531">
        <w:rPr>
          <w:sz w:val="17"/>
          <w:szCs w:val="17"/>
        </w:rPr>
        <w:t>E</w:t>
      </w:r>
      <w:r w:rsidR="00BA3B1D">
        <w:rPr>
          <w:sz w:val="17"/>
          <w:szCs w:val="17"/>
        </w:rPr>
        <w:t xml:space="preserve">nvironmental </w:t>
      </w:r>
      <w:r w:rsidR="00BA3B1D" w:rsidRPr="00615531">
        <w:rPr>
          <w:sz w:val="17"/>
          <w:szCs w:val="17"/>
        </w:rPr>
        <w:t>S</w:t>
      </w:r>
      <w:r w:rsidR="00BA3B1D">
        <w:rPr>
          <w:sz w:val="17"/>
          <w:szCs w:val="17"/>
        </w:rPr>
        <w:t>ignificance</w:t>
      </w:r>
      <w:r w:rsidRPr="00615531">
        <w:rPr>
          <w:rFonts w:cs="Arial"/>
          <w:sz w:val="17"/>
          <w:szCs w:val="17"/>
        </w:rPr>
        <w:t>, such as, but not limited to, wetlands of international importance (</w:t>
      </w:r>
      <w:proofErr w:type="spellStart"/>
      <w:r w:rsidRPr="00615531">
        <w:rPr>
          <w:rFonts w:cs="Arial"/>
          <w:sz w:val="17"/>
          <w:szCs w:val="17"/>
        </w:rPr>
        <w:t>Ramsar</w:t>
      </w:r>
      <w:proofErr w:type="spellEnd"/>
      <w:r w:rsidRPr="00615531">
        <w:rPr>
          <w:rFonts w:cs="Arial"/>
          <w:sz w:val="17"/>
          <w:szCs w:val="17"/>
        </w:rPr>
        <w:t xml:space="preserve">), and heritage places (including indigenous heritage values), considerable distances from </w:t>
      </w:r>
      <w:r w:rsidRPr="00615531">
        <w:rPr>
          <w:sz w:val="17"/>
          <w:szCs w:val="17"/>
        </w:rPr>
        <w:t>the</w:t>
      </w:r>
      <w:r w:rsidRPr="00615531">
        <w:rPr>
          <w:rFonts w:cs="Arial"/>
          <w:sz w:val="17"/>
          <w:szCs w:val="17"/>
        </w:rPr>
        <w:t xml:space="preserve"> acreage, that could potentially be impacted in the event of a </w:t>
      </w:r>
      <w:r w:rsidR="00E46401">
        <w:rPr>
          <w:rFonts w:cs="Arial"/>
          <w:sz w:val="17"/>
          <w:szCs w:val="17"/>
        </w:rPr>
        <w:t>GHG leak</w:t>
      </w:r>
      <w:r w:rsidRPr="00615531">
        <w:rPr>
          <w:rFonts w:cs="Arial"/>
          <w:sz w:val="17"/>
          <w:szCs w:val="17"/>
        </w:rPr>
        <w:t>.</w:t>
      </w:r>
    </w:p>
    <w:p w:rsidR="00615531" w:rsidRPr="00615531" w:rsidRDefault="00615531" w:rsidP="00615531">
      <w:pPr>
        <w:pStyle w:val="NoSpacing"/>
        <w:spacing w:after="200" w:line="276" w:lineRule="auto"/>
        <w:rPr>
          <w:rFonts w:ascii="Arial" w:hAnsi="Arial" w:cs="Arial"/>
          <w:bCs/>
          <w:i/>
          <w:sz w:val="17"/>
          <w:szCs w:val="17"/>
        </w:rPr>
      </w:pPr>
      <w:r w:rsidRPr="00615531">
        <w:rPr>
          <w:rFonts w:ascii="Arial" w:hAnsi="Arial" w:cs="Arial"/>
          <w:bCs/>
          <w:i/>
          <w:sz w:val="17"/>
          <w:szCs w:val="17"/>
        </w:rPr>
        <w:t>Historic Shipwrecks Act 1976</w:t>
      </w:r>
    </w:p>
    <w:p w:rsidR="00615531" w:rsidRPr="00615531" w:rsidRDefault="00615531" w:rsidP="00615531">
      <w:pPr>
        <w:widowControl w:val="0"/>
        <w:rPr>
          <w:sz w:val="17"/>
          <w:szCs w:val="17"/>
        </w:rPr>
      </w:pPr>
      <w:r w:rsidRPr="00615531">
        <w:rPr>
          <w:sz w:val="17"/>
          <w:szCs w:val="17"/>
        </w:rPr>
        <w:t xml:space="preserve">The Commonwealth </w:t>
      </w:r>
      <w:r w:rsidRPr="00615531">
        <w:rPr>
          <w:i/>
          <w:sz w:val="17"/>
          <w:szCs w:val="17"/>
        </w:rPr>
        <w:t>Historic Shipwrecks Act 1976</w:t>
      </w:r>
      <w:r w:rsidRPr="00615531">
        <w:rPr>
          <w:sz w:val="17"/>
          <w:szCs w:val="17"/>
        </w:rPr>
        <w:t xml:space="preserve"> (Historic Shipwrecks Act) protects all shipwrecks and associated relics that are 75 or more years old, regardless of whether their physical location is known. More recent shipwrecks may be declared as historic under the Historic Shipwrecks Act by the Minister</w:t>
      </w:r>
      <w:r w:rsidR="00D6332F">
        <w:rPr>
          <w:sz w:val="17"/>
          <w:szCs w:val="17"/>
        </w:rPr>
        <w:t xml:space="preserve"> for the Environment</w:t>
      </w:r>
      <w:r w:rsidRPr="00615531">
        <w:rPr>
          <w:sz w:val="17"/>
          <w:szCs w:val="17"/>
        </w:rPr>
        <w:t xml:space="preserve">. The </w:t>
      </w:r>
      <w:r w:rsidRPr="00BA3B1D">
        <w:rPr>
          <w:iCs/>
          <w:sz w:val="17"/>
          <w:szCs w:val="17"/>
        </w:rPr>
        <w:t>Historic Shipwrecks Act</w:t>
      </w:r>
      <w:r w:rsidRPr="00615531">
        <w:rPr>
          <w:i/>
          <w:iCs/>
          <w:sz w:val="17"/>
          <w:szCs w:val="17"/>
        </w:rPr>
        <w:t xml:space="preserve"> </w:t>
      </w:r>
      <w:r w:rsidRPr="00615531">
        <w:rPr>
          <w:sz w:val="17"/>
          <w:szCs w:val="17"/>
        </w:rPr>
        <w:t>aims to ensure that historic shipwrecks are protected for their heritage values and maintained for recreational and educational purposes. It also regulates activities that may result in the damage, interference, removal or destruction of an historic shipwreck or associated relic.</w:t>
      </w:r>
    </w:p>
    <w:p w:rsidR="00615531" w:rsidRPr="00615531" w:rsidRDefault="00615531" w:rsidP="00615531">
      <w:pPr>
        <w:widowControl w:val="0"/>
        <w:rPr>
          <w:sz w:val="17"/>
          <w:szCs w:val="17"/>
        </w:rPr>
      </w:pPr>
      <w:r w:rsidRPr="00615531">
        <w:rPr>
          <w:sz w:val="17"/>
          <w:szCs w:val="17"/>
        </w:rPr>
        <w:t xml:space="preserve">The </w:t>
      </w:r>
      <w:r w:rsidRPr="00BA3B1D">
        <w:rPr>
          <w:iCs/>
          <w:sz w:val="17"/>
          <w:szCs w:val="17"/>
        </w:rPr>
        <w:t>Historic Shipwrecks Act</w:t>
      </w:r>
      <w:r w:rsidRPr="00615531">
        <w:rPr>
          <w:i/>
          <w:iCs/>
          <w:sz w:val="17"/>
          <w:szCs w:val="17"/>
        </w:rPr>
        <w:t xml:space="preserve"> </w:t>
      </w:r>
      <w:r w:rsidRPr="00615531">
        <w:rPr>
          <w:sz w:val="17"/>
          <w:szCs w:val="17"/>
        </w:rPr>
        <w:t>also provides for protected zones to be declared in order to enhance the protection of historic shipwrecks and relics which are of special significance or sensitivity or at particular risk of interference. Permits are required to enter protected zones, which can cover an area up to 200 hectares.</w:t>
      </w:r>
    </w:p>
    <w:p w:rsidR="00BA3B1D" w:rsidRDefault="00615531" w:rsidP="00615531">
      <w:pPr>
        <w:widowControl w:val="0"/>
        <w:rPr>
          <w:sz w:val="17"/>
          <w:szCs w:val="17"/>
        </w:rPr>
      </w:pPr>
      <w:r w:rsidRPr="00615531">
        <w:rPr>
          <w:sz w:val="17"/>
          <w:szCs w:val="17"/>
        </w:rPr>
        <w:t xml:space="preserve">The jurisdiction of the Historic Shipwrecks Act is not limited to Commonwealth marine areas as defined by the </w:t>
      </w:r>
      <w:r w:rsidRPr="00BA3B1D">
        <w:rPr>
          <w:iCs/>
          <w:sz w:val="17"/>
          <w:szCs w:val="17"/>
        </w:rPr>
        <w:t>EPBC</w:t>
      </w:r>
      <w:r w:rsidR="00E46401">
        <w:rPr>
          <w:iCs/>
          <w:sz w:val="17"/>
          <w:szCs w:val="17"/>
        </w:rPr>
        <w:t>A</w:t>
      </w:r>
      <w:r w:rsidRPr="00BA3B1D">
        <w:rPr>
          <w:sz w:val="17"/>
          <w:szCs w:val="17"/>
        </w:rPr>
        <w:t>,</w:t>
      </w:r>
      <w:r w:rsidRPr="00615531">
        <w:rPr>
          <w:sz w:val="17"/>
          <w:szCs w:val="17"/>
        </w:rPr>
        <w:t xml:space="preserve"> as it protects historic shipwrecks and associated relics found in Australian waters from the low water mark to the edge of the continental shelf, including the coastal waters of the Aus</w:t>
      </w:r>
      <w:r w:rsidR="0025253C">
        <w:rPr>
          <w:sz w:val="17"/>
          <w:szCs w:val="17"/>
        </w:rPr>
        <w:t>tralian States and Territories.</w:t>
      </w:r>
    </w:p>
    <w:p w:rsidR="00615531" w:rsidRPr="00615531" w:rsidRDefault="00615531" w:rsidP="00615531">
      <w:pPr>
        <w:widowControl w:val="0"/>
        <w:rPr>
          <w:sz w:val="17"/>
          <w:szCs w:val="17"/>
        </w:rPr>
      </w:pPr>
      <w:r w:rsidRPr="00615531">
        <w:rPr>
          <w:sz w:val="17"/>
          <w:szCs w:val="17"/>
        </w:rPr>
        <w:t>The requirements of the Historic Shipwrecks Act must be taken into consideration when applying for any State, Territory or Commonwealth planning approval for actions o</w:t>
      </w:r>
      <w:r w:rsidR="0025253C">
        <w:rPr>
          <w:sz w:val="17"/>
          <w:szCs w:val="17"/>
        </w:rPr>
        <w:t>r developments in these waters.</w:t>
      </w:r>
    </w:p>
    <w:p w:rsidR="00BA3B1D" w:rsidRDefault="00615531" w:rsidP="00615531">
      <w:pPr>
        <w:widowControl w:val="0"/>
        <w:rPr>
          <w:sz w:val="17"/>
          <w:szCs w:val="17"/>
        </w:rPr>
      </w:pPr>
      <w:r w:rsidRPr="00615531">
        <w:rPr>
          <w:sz w:val="17"/>
          <w:szCs w:val="17"/>
        </w:rPr>
        <w:t xml:space="preserve">Any actions involving contact with the seabed, or operations in close proximity to the seabed, have the potential to damage, destroy or interfere with historic shipwrecks and it is strongly recommended that </w:t>
      </w:r>
      <w:r w:rsidR="00E46401">
        <w:rPr>
          <w:sz w:val="17"/>
          <w:szCs w:val="17"/>
        </w:rPr>
        <w:t>potential bidders</w:t>
      </w:r>
      <w:r w:rsidRPr="00615531">
        <w:rPr>
          <w:sz w:val="17"/>
          <w:szCs w:val="17"/>
        </w:rPr>
        <w:t xml:space="preserve"> should seek professional advice and develop risk mitigation strategies to prevent committing an offenc</w:t>
      </w:r>
      <w:r w:rsidR="00816D6A">
        <w:rPr>
          <w:sz w:val="17"/>
          <w:szCs w:val="17"/>
        </w:rPr>
        <w:t>e under the Historic Shipwrecks</w:t>
      </w:r>
      <w:r w:rsidR="00E46401">
        <w:rPr>
          <w:sz w:val="17"/>
          <w:szCs w:val="17"/>
        </w:rPr>
        <w:t xml:space="preserve"> </w:t>
      </w:r>
      <w:r w:rsidR="0025253C">
        <w:rPr>
          <w:sz w:val="17"/>
          <w:szCs w:val="17"/>
        </w:rPr>
        <w:t>Act.</w:t>
      </w:r>
    </w:p>
    <w:p w:rsidR="00615531" w:rsidRPr="00615531" w:rsidRDefault="00615531" w:rsidP="00615531">
      <w:pPr>
        <w:widowControl w:val="0"/>
        <w:rPr>
          <w:sz w:val="17"/>
          <w:szCs w:val="17"/>
        </w:rPr>
      </w:pPr>
      <w:r w:rsidRPr="00615531">
        <w:rPr>
          <w:sz w:val="17"/>
          <w:szCs w:val="17"/>
        </w:rPr>
        <w:t>When undertaking actions in the marine environment, proponents and their contractors must conform to all requirements of the Historic Shipwrecks Act and must:</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not damage, destroy or interfere with any historic shipwrecks or relics that may be encountered during the course of a pr</w:t>
      </w:r>
      <w:r w:rsidR="00E46401" w:rsidRPr="00D43ACB">
        <w:rPr>
          <w:sz w:val="17"/>
          <w:szCs w:val="17"/>
        </w:rPr>
        <w:t>oposed action without a permit</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not enter or conduct activities within a shipwreck protected zone without first obtaining a permit und</w:t>
      </w:r>
      <w:r w:rsidR="00E46401" w:rsidRPr="00D43ACB">
        <w:rPr>
          <w:sz w:val="17"/>
          <w:szCs w:val="17"/>
        </w:rPr>
        <w:t>er the Historic Shipwrecks Act</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provide a written notification of the discovery of any suspected shipwreck or shipwreck relics identified during the course of the proposed action including:</w:t>
      </w:r>
    </w:p>
    <w:p w:rsidR="00615531" w:rsidRPr="00615531" w:rsidRDefault="00615531" w:rsidP="009D265B">
      <w:pPr>
        <w:numPr>
          <w:ilvl w:val="1"/>
          <w:numId w:val="25"/>
        </w:numPr>
        <w:tabs>
          <w:tab w:val="num" w:pos="851"/>
        </w:tabs>
        <w:ind w:left="851" w:hanging="142"/>
        <w:rPr>
          <w:rFonts w:cs="Arial"/>
          <w:sz w:val="17"/>
          <w:szCs w:val="17"/>
        </w:rPr>
      </w:pPr>
      <w:r w:rsidRPr="00615531">
        <w:rPr>
          <w:rFonts w:cs="Arial"/>
          <w:sz w:val="17"/>
          <w:szCs w:val="17"/>
        </w:rPr>
        <w:t>a detailed description of the remains of the shipwreck or of the relic. This could include sonar images, electroni</w:t>
      </w:r>
      <w:r w:rsidR="00E46401">
        <w:rPr>
          <w:rFonts w:cs="Arial"/>
          <w:sz w:val="17"/>
          <w:szCs w:val="17"/>
        </w:rPr>
        <w:t>c data and digital photographs</w:t>
      </w:r>
    </w:p>
    <w:p w:rsidR="00615531" w:rsidRPr="00615531" w:rsidRDefault="00615531" w:rsidP="009D265B">
      <w:pPr>
        <w:numPr>
          <w:ilvl w:val="1"/>
          <w:numId w:val="25"/>
        </w:numPr>
        <w:tabs>
          <w:tab w:val="num" w:pos="851"/>
        </w:tabs>
        <w:ind w:left="851" w:hanging="142"/>
        <w:rPr>
          <w:rFonts w:cs="Arial"/>
          <w:sz w:val="17"/>
          <w:szCs w:val="17"/>
        </w:rPr>
      </w:pPr>
      <w:r w:rsidRPr="00615531">
        <w:rPr>
          <w:rFonts w:cs="Arial"/>
          <w:sz w:val="17"/>
          <w:szCs w:val="17"/>
        </w:rPr>
        <w:t xml:space="preserve">a description of the place where the shipwreck remains or relic is located that is sufficiently </w:t>
      </w:r>
      <w:r w:rsidRPr="00615531">
        <w:rPr>
          <w:rFonts w:cs="Arial"/>
          <w:sz w:val="17"/>
          <w:szCs w:val="17"/>
        </w:rPr>
        <w:lastRenderedPageBreak/>
        <w:t>detailed to allow it to be identified and re-located including navigation data and datum information.</w:t>
      </w:r>
    </w:p>
    <w:p w:rsidR="00615531" w:rsidRPr="00615531" w:rsidRDefault="00615531" w:rsidP="00615531">
      <w:pPr>
        <w:pStyle w:val="NoSpacing"/>
        <w:spacing w:after="200" w:line="276" w:lineRule="auto"/>
        <w:rPr>
          <w:rFonts w:ascii="Arial" w:hAnsi="Arial" w:cs="Arial"/>
          <w:sz w:val="17"/>
          <w:szCs w:val="17"/>
        </w:rPr>
      </w:pPr>
      <w:r w:rsidRPr="00615531">
        <w:rPr>
          <w:rFonts w:ascii="Arial" w:hAnsi="Arial" w:cs="Arial"/>
          <w:sz w:val="17"/>
          <w:szCs w:val="17"/>
        </w:rPr>
        <w:t xml:space="preserve">It should be noted that, although the </w:t>
      </w:r>
      <w:r w:rsidRPr="00071F05">
        <w:rPr>
          <w:rStyle w:val="Emphasis"/>
          <w:rFonts w:ascii="Arial" w:eastAsiaTheme="majorEastAsia" w:hAnsi="Arial" w:cs="Arial"/>
          <w:i w:val="0"/>
          <w:sz w:val="17"/>
          <w:szCs w:val="17"/>
        </w:rPr>
        <w:t>Historic Shipwrecks Act</w:t>
      </w:r>
      <w:r w:rsidRPr="00615531">
        <w:rPr>
          <w:rStyle w:val="Emphasis"/>
          <w:rFonts w:ascii="Arial" w:eastAsiaTheme="majorEastAsia" w:hAnsi="Arial" w:cs="Arial"/>
          <w:sz w:val="17"/>
          <w:szCs w:val="17"/>
        </w:rPr>
        <w:t xml:space="preserve"> </w:t>
      </w:r>
      <w:r w:rsidRPr="00615531">
        <w:rPr>
          <w:rFonts w:ascii="Arial" w:hAnsi="Arial" w:cs="Arial"/>
          <w:sz w:val="17"/>
          <w:szCs w:val="17"/>
        </w:rPr>
        <w:t>does not currently provide for the protection of the natural environment associated with shipwrecks, these natural components form an integral part of historic shipwreck sites and are often critical to the long term preservation of shipwrecks and relics. Damage to these natural components can result in increased deterioration of shipwrecks and consequently affect the shipwrecks role as a marine habitat.</w:t>
      </w:r>
    </w:p>
    <w:p w:rsidR="00615531" w:rsidRPr="008F37D5" w:rsidRDefault="00615531" w:rsidP="008F37D5">
      <w:pPr>
        <w:pStyle w:val="NoSpacing"/>
        <w:spacing w:after="200" w:line="276" w:lineRule="auto"/>
        <w:rPr>
          <w:rFonts w:ascii="Arial" w:eastAsiaTheme="minorHAnsi" w:hAnsi="Arial" w:cs="Arial"/>
          <w:sz w:val="17"/>
          <w:szCs w:val="17"/>
          <w:lang w:eastAsia="en-US"/>
        </w:rPr>
      </w:pPr>
      <w:r w:rsidRPr="00071F05">
        <w:rPr>
          <w:rFonts w:ascii="Arial" w:eastAsiaTheme="minorHAnsi" w:hAnsi="Arial" w:cs="Arial"/>
          <w:sz w:val="17"/>
          <w:szCs w:val="17"/>
          <w:lang w:eastAsia="en-US"/>
        </w:rPr>
        <w:t xml:space="preserve">Further information about the </w:t>
      </w:r>
      <w:r w:rsidR="00071F05" w:rsidRPr="00071F05">
        <w:rPr>
          <w:rFonts w:ascii="Arial" w:eastAsiaTheme="minorHAnsi" w:hAnsi="Arial" w:cs="Arial"/>
          <w:sz w:val="17"/>
          <w:szCs w:val="17"/>
          <w:lang w:eastAsia="en-US"/>
        </w:rPr>
        <w:t xml:space="preserve">Historic Shipwrecks </w:t>
      </w:r>
      <w:r w:rsidRPr="00071F05">
        <w:rPr>
          <w:rFonts w:ascii="Arial" w:eastAsiaTheme="minorHAnsi" w:hAnsi="Arial" w:cs="Arial"/>
          <w:sz w:val="17"/>
          <w:szCs w:val="17"/>
          <w:lang w:eastAsia="en-US"/>
        </w:rPr>
        <w:t xml:space="preserve">Act can be found at: </w:t>
      </w:r>
      <w:hyperlink r:id="rId33" w:history="1">
        <w:r w:rsidR="00705EAC" w:rsidRPr="009A77B3">
          <w:rPr>
            <w:rStyle w:val="Hyperlink"/>
            <w:rFonts w:ascii="Arial" w:hAnsi="Arial" w:cs="Arial"/>
            <w:sz w:val="17"/>
            <w:szCs w:val="17"/>
          </w:rPr>
          <w:t>www.environment.gov.au/aggregation/historic-shipwrecks</w:t>
        </w:r>
      </w:hyperlink>
    </w:p>
    <w:p w:rsidR="00615531" w:rsidRPr="00615531" w:rsidRDefault="00705EAC" w:rsidP="00615531">
      <w:pPr>
        <w:pStyle w:val="NoSpacing"/>
        <w:spacing w:after="200" w:line="276" w:lineRule="auto"/>
        <w:rPr>
          <w:rFonts w:ascii="Arial" w:hAnsi="Arial" w:cs="Arial"/>
          <w:i/>
          <w:sz w:val="17"/>
          <w:szCs w:val="17"/>
        </w:rPr>
      </w:pPr>
      <w:r>
        <w:rPr>
          <w:rFonts w:ascii="Arial" w:hAnsi="Arial" w:cs="Arial"/>
          <w:bCs/>
          <w:i/>
          <w:sz w:val="17"/>
          <w:szCs w:val="17"/>
        </w:rPr>
        <w:t>Cetaceans and the EPBCA</w:t>
      </w:r>
    </w:p>
    <w:p w:rsidR="00615531" w:rsidRPr="00615531" w:rsidRDefault="00615531" w:rsidP="00615531">
      <w:pPr>
        <w:pStyle w:val="NoSpacing"/>
        <w:spacing w:after="200" w:line="276" w:lineRule="auto"/>
        <w:rPr>
          <w:rFonts w:ascii="Arial" w:hAnsi="Arial" w:cs="Arial"/>
          <w:sz w:val="17"/>
          <w:szCs w:val="17"/>
        </w:rPr>
      </w:pPr>
      <w:r w:rsidRPr="00615531">
        <w:rPr>
          <w:rFonts w:ascii="Arial" w:hAnsi="Arial" w:cs="Arial"/>
          <w:sz w:val="17"/>
          <w:szCs w:val="17"/>
        </w:rPr>
        <w:t xml:space="preserve">The 2014 Release Areas includes areas that are in, or in </w:t>
      </w:r>
      <w:r w:rsidRPr="00DA54B9">
        <w:rPr>
          <w:rFonts w:ascii="Arial" w:hAnsi="Arial" w:cs="Arial"/>
          <w:sz w:val="17"/>
          <w:szCs w:val="17"/>
        </w:rPr>
        <w:t>proximity, to recognised cetacean migration corridors and areas listed a</w:t>
      </w:r>
      <w:r w:rsidR="00705EAC" w:rsidRPr="00DA54B9">
        <w:rPr>
          <w:rFonts w:ascii="Arial" w:hAnsi="Arial" w:cs="Arial"/>
          <w:sz w:val="17"/>
          <w:szCs w:val="17"/>
        </w:rPr>
        <w:t>s biologically important areas</w:t>
      </w:r>
      <w:r w:rsidRPr="00DA54B9">
        <w:rPr>
          <w:rFonts w:ascii="Arial" w:hAnsi="Arial" w:cs="Arial"/>
          <w:sz w:val="17"/>
          <w:szCs w:val="17"/>
        </w:rPr>
        <w:t xml:space="preserve"> for, breeding, calving</w:t>
      </w:r>
      <w:r w:rsidR="00DA54B9" w:rsidRPr="00DA54B9">
        <w:rPr>
          <w:rFonts w:ascii="Arial" w:hAnsi="Arial" w:cs="Arial"/>
          <w:sz w:val="17"/>
          <w:szCs w:val="17"/>
        </w:rPr>
        <w:t>,</w:t>
      </w:r>
      <w:r w:rsidRPr="00DA54B9">
        <w:rPr>
          <w:rFonts w:ascii="Arial" w:hAnsi="Arial" w:cs="Arial"/>
          <w:sz w:val="17"/>
          <w:szCs w:val="17"/>
        </w:rPr>
        <w:t xml:space="preserve"> </w:t>
      </w:r>
      <w:r w:rsidR="00DA54B9" w:rsidRPr="00DA54B9">
        <w:rPr>
          <w:rFonts w:ascii="Arial" w:hAnsi="Arial" w:cs="Arial"/>
          <w:sz w:val="17"/>
          <w:szCs w:val="17"/>
        </w:rPr>
        <w:t xml:space="preserve">resting </w:t>
      </w:r>
      <w:r w:rsidRPr="00DA54B9">
        <w:rPr>
          <w:rFonts w:ascii="Arial" w:hAnsi="Arial" w:cs="Arial"/>
          <w:sz w:val="17"/>
          <w:szCs w:val="17"/>
        </w:rPr>
        <w:t xml:space="preserve">and </w:t>
      </w:r>
      <w:r w:rsidR="00DA54B9" w:rsidRPr="00DA54B9">
        <w:rPr>
          <w:rFonts w:ascii="Arial" w:hAnsi="Arial" w:cs="Arial"/>
          <w:sz w:val="17"/>
          <w:szCs w:val="17"/>
        </w:rPr>
        <w:t>feeding</w:t>
      </w:r>
      <w:r w:rsidRPr="00DA54B9">
        <w:rPr>
          <w:rFonts w:ascii="Arial" w:hAnsi="Arial" w:cs="Arial"/>
          <w:sz w:val="17"/>
          <w:szCs w:val="17"/>
        </w:rPr>
        <w:t>.</w:t>
      </w:r>
    </w:p>
    <w:p w:rsidR="00071F05" w:rsidRDefault="00615531" w:rsidP="00615531">
      <w:pPr>
        <w:autoSpaceDE w:val="0"/>
        <w:autoSpaceDN w:val="0"/>
        <w:rPr>
          <w:rFonts w:cs="Arial"/>
          <w:sz w:val="17"/>
          <w:szCs w:val="17"/>
        </w:rPr>
      </w:pPr>
      <w:r w:rsidRPr="00615531">
        <w:rPr>
          <w:rFonts w:cs="Arial"/>
          <w:sz w:val="17"/>
          <w:szCs w:val="17"/>
        </w:rPr>
        <w:t>Applicants should be aware that cetaceans are present in all Australian marine waters, and should particularly note that each year, endangered and migratory southern right whales (</w:t>
      </w:r>
      <w:proofErr w:type="spellStart"/>
      <w:r w:rsidRPr="00615531">
        <w:rPr>
          <w:rFonts w:cs="Arial"/>
          <w:i/>
          <w:iCs/>
          <w:sz w:val="17"/>
          <w:szCs w:val="17"/>
        </w:rPr>
        <w:t>Eubalaena</w:t>
      </w:r>
      <w:proofErr w:type="spellEnd"/>
      <w:r w:rsidRPr="00615531">
        <w:rPr>
          <w:rFonts w:cs="Arial"/>
          <w:i/>
          <w:iCs/>
          <w:sz w:val="17"/>
          <w:szCs w:val="17"/>
        </w:rPr>
        <w:t xml:space="preserve"> </w:t>
      </w:r>
      <w:proofErr w:type="spellStart"/>
      <w:r w:rsidRPr="00615531">
        <w:rPr>
          <w:rFonts w:cs="Arial"/>
          <w:i/>
          <w:iCs/>
          <w:sz w:val="17"/>
          <w:szCs w:val="17"/>
        </w:rPr>
        <w:t>australis</w:t>
      </w:r>
      <w:proofErr w:type="spellEnd"/>
      <w:r w:rsidRPr="00615531">
        <w:rPr>
          <w:rFonts w:cs="Arial"/>
          <w:sz w:val="17"/>
          <w:szCs w:val="17"/>
        </w:rPr>
        <w:t>) and vul</w:t>
      </w:r>
      <w:r w:rsidRPr="00615531">
        <w:rPr>
          <w:rFonts w:eastAsia="Times New Roman" w:cs="Arial"/>
          <w:sz w:val="17"/>
          <w:szCs w:val="17"/>
          <w:lang w:eastAsia="en-AU"/>
        </w:rPr>
        <w:t>n</w:t>
      </w:r>
      <w:r w:rsidRPr="00615531">
        <w:rPr>
          <w:rFonts w:cs="Arial"/>
          <w:sz w:val="17"/>
          <w:szCs w:val="17"/>
        </w:rPr>
        <w:t>erable and migratory humpback whales (</w:t>
      </w:r>
      <w:proofErr w:type="spellStart"/>
      <w:r w:rsidRPr="00615531">
        <w:rPr>
          <w:rFonts w:cs="Arial"/>
          <w:i/>
          <w:iCs/>
          <w:sz w:val="17"/>
          <w:szCs w:val="17"/>
        </w:rPr>
        <w:t>Megaptera</w:t>
      </w:r>
      <w:proofErr w:type="spellEnd"/>
      <w:r w:rsidRPr="00615531">
        <w:rPr>
          <w:rFonts w:cs="Arial"/>
          <w:i/>
          <w:iCs/>
          <w:sz w:val="17"/>
          <w:szCs w:val="17"/>
        </w:rPr>
        <w:t xml:space="preserve"> </w:t>
      </w:r>
      <w:proofErr w:type="spellStart"/>
      <w:r w:rsidRPr="00615531">
        <w:rPr>
          <w:rFonts w:cs="Arial"/>
          <w:i/>
          <w:iCs/>
          <w:sz w:val="17"/>
          <w:szCs w:val="17"/>
        </w:rPr>
        <w:t>novaeangliae</w:t>
      </w:r>
      <w:proofErr w:type="spellEnd"/>
      <w:r w:rsidRPr="00615531">
        <w:rPr>
          <w:rFonts w:cs="Arial"/>
          <w:sz w:val="17"/>
          <w:szCs w:val="17"/>
        </w:rPr>
        <w:t>) migrate to warm waters off Australia to breed and calve. These movements mostly occur between May and November</w:t>
      </w:r>
      <w:r w:rsidR="00705EAC">
        <w:rPr>
          <w:rFonts w:cs="Arial"/>
          <w:sz w:val="17"/>
          <w:szCs w:val="17"/>
        </w:rPr>
        <w:t>,</w:t>
      </w:r>
      <w:r w:rsidRPr="00615531">
        <w:rPr>
          <w:rFonts w:cs="Arial"/>
          <w:sz w:val="17"/>
          <w:szCs w:val="17"/>
        </w:rPr>
        <w:t xml:space="preserve"> however</w:t>
      </w:r>
      <w:r w:rsidR="00705EAC">
        <w:rPr>
          <w:rFonts w:cs="Arial"/>
          <w:sz w:val="17"/>
          <w:szCs w:val="17"/>
        </w:rPr>
        <w:t>,</w:t>
      </w:r>
      <w:r w:rsidRPr="00615531">
        <w:rPr>
          <w:rFonts w:cs="Arial"/>
          <w:sz w:val="17"/>
          <w:szCs w:val="17"/>
        </w:rPr>
        <w:t xml:space="preserve"> some whales </w:t>
      </w:r>
      <w:r w:rsidR="00705EAC">
        <w:rPr>
          <w:rFonts w:cs="Arial"/>
          <w:sz w:val="17"/>
          <w:szCs w:val="17"/>
        </w:rPr>
        <w:t>arrive earlier and leave later.</w:t>
      </w:r>
    </w:p>
    <w:p w:rsidR="00615531" w:rsidRPr="00615531" w:rsidRDefault="00615531" w:rsidP="00615531">
      <w:pPr>
        <w:autoSpaceDE w:val="0"/>
        <w:autoSpaceDN w:val="0"/>
        <w:rPr>
          <w:rFonts w:cs="Arial"/>
          <w:sz w:val="17"/>
          <w:szCs w:val="17"/>
        </w:rPr>
      </w:pPr>
      <w:r w:rsidRPr="00615531">
        <w:rPr>
          <w:rFonts w:cs="Arial"/>
          <w:sz w:val="17"/>
          <w:szCs w:val="17"/>
        </w:rPr>
        <w:t>In Australia, endangered and m</w:t>
      </w:r>
      <w:r w:rsidR="00705EAC">
        <w:rPr>
          <w:rFonts w:cs="Arial"/>
          <w:sz w:val="17"/>
          <w:szCs w:val="17"/>
        </w:rPr>
        <w:t xml:space="preserve">igratory southern right whales </w:t>
      </w:r>
      <w:r w:rsidRPr="00615531">
        <w:rPr>
          <w:rFonts w:cs="Arial"/>
          <w:sz w:val="17"/>
          <w:szCs w:val="17"/>
        </w:rPr>
        <w:t>occupy calving/nursery grounds from May to October (occasionally as early as April and as late as November). During the months of November to May, the endangered and migratory blue whale (</w:t>
      </w:r>
      <w:proofErr w:type="spellStart"/>
      <w:r w:rsidRPr="00615531">
        <w:rPr>
          <w:rFonts w:cs="Arial"/>
          <w:i/>
          <w:iCs/>
          <w:sz w:val="17"/>
          <w:szCs w:val="17"/>
        </w:rPr>
        <w:t>Balaenoptera</w:t>
      </w:r>
      <w:proofErr w:type="spellEnd"/>
      <w:r w:rsidRPr="00615531">
        <w:rPr>
          <w:rFonts w:cs="Arial"/>
          <w:i/>
          <w:iCs/>
          <w:sz w:val="17"/>
          <w:szCs w:val="17"/>
        </w:rPr>
        <w:t xml:space="preserve"> </w:t>
      </w:r>
      <w:proofErr w:type="spellStart"/>
      <w:r w:rsidRPr="00615531">
        <w:rPr>
          <w:rFonts w:cs="Arial"/>
          <w:i/>
          <w:iCs/>
          <w:sz w:val="17"/>
          <w:szCs w:val="17"/>
        </w:rPr>
        <w:t>musculus</w:t>
      </w:r>
      <w:proofErr w:type="spellEnd"/>
      <w:r w:rsidRPr="00615531">
        <w:rPr>
          <w:rFonts w:cs="Arial"/>
          <w:sz w:val="17"/>
          <w:szCs w:val="17"/>
        </w:rPr>
        <w:t>) is known to feed in certain locations in the southern waters of Australia. While the specific migration routes for the blue whale off Western Australia are uncertain, they are thought to begin to migrate northward to the Timor Sea from March/April to August, before returning south in Septem</w:t>
      </w:r>
      <w:r w:rsidR="00D6332F">
        <w:rPr>
          <w:rFonts w:cs="Arial"/>
          <w:sz w:val="17"/>
          <w:szCs w:val="17"/>
        </w:rPr>
        <w:t>ber/October to December to feed</w:t>
      </w:r>
      <w:r w:rsidRPr="00615531">
        <w:rPr>
          <w:rFonts w:cs="Arial"/>
          <w:sz w:val="17"/>
          <w:szCs w:val="17"/>
        </w:rPr>
        <w:t>. Migratory inshore dolphin species are found all year round in the tropica</w:t>
      </w:r>
      <w:r w:rsidR="00705EAC">
        <w:rPr>
          <w:rFonts w:cs="Arial"/>
          <w:sz w:val="17"/>
          <w:szCs w:val="17"/>
        </w:rPr>
        <w:t>l waters of northern Australia.</w:t>
      </w:r>
    </w:p>
    <w:p w:rsidR="00615531" w:rsidRPr="00615531" w:rsidRDefault="00615531" w:rsidP="00615531">
      <w:pPr>
        <w:autoSpaceDE w:val="0"/>
        <w:autoSpaceDN w:val="0"/>
        <w:rPr>
          <w:rFonts w:cs="Arial"/>
          <w:sz w:val="17"/>
          <w:szCs w:val="17"/>
        </w:rPr>
      </w:pPr>
      <w:r w:rsidRPr="00615531">
        <w:rPr>
          <w:rFonts w:cs="Arial"/>
          <w:sz w:val="17"/>
          <w:szCs w:val="17"/>
        </w:rPr>
        <w:t xml:space="preserve">A policy statement on the interaction between offshore seismic exploration and whales has been developed by the Department of the Environment in consultation with the petroleum industry, whale research scientists and conservation groups. The </w:t>
      </w:r>
      <w:hyperlink r:id="rId34" w:tgtFrame="_blank" w:history="1">
        <w:r w:rsidRPr="008F37D5">
          <w:rPr>
            <w:rStyle w:val="Hyperlink"/>
            <w:rFonts w:cs="Arial"/>
            <w:i/>
            <w:color w:val="auto"/>
            <w:sz w:val="17"/>
            <w:szCs w:val="17"/>
          </w:rPr>
          <w:t xml:space="preserve">EPBC Act </w:t>
        </w:r>
        <w:r w:rsidRPr="00615531">
          <w:rPr>
            <w:rStyle w:val="Emphasis"/>
            <w:rFonts w:cs="Arial"/>
            <w:sz w:val="17"/>
            <w:szCs w:val="17"/>
          </w:rPr>
          <w:t>Policy Statement 2.1 - Interaction between offshore seismic exploration and whales</w:t>
        </w:r>
      </w:hyperlink>
      <w:r w:rsidRPr="00615531">
        <w:rPr>
          <w:rFonts w:cs="Arial"/>
          <w:sz w:val="17"/>
          <w:szCs w:val="17"/>
        </w:rPr>
        <w:t xml:space="preserve"> (</w:t>
      </w:r>
      <w:r w:rsidRPr="00615531">
        <w:rPr>
          <w:rStyle w:val="Emphasis"/>
          <w:rFonts w:cs="Arial"/>
          <w:sz w:val="17"/>
          <w:szCs w:val="17"/>
        </w:rPr>
        <w:t>September 2008)</w:t>
      </w:r>
      <w:r w:rsidRPr="00615531">
        <w:rPr>
          <w:rFonts w:cs="Arial"/>
          <w:sz w:val="17"/>
          <w:szCs w:val="17"/>
        </w:rPr>
        <w:t xml:space="preserve"> can be obtained at: </w:t>
      </w:r>
      <w:hyperlink r:id="rId35" w:history="1">
        <w:r w:rsidR="00705EAC" w:rsidRPr="009A77B3">
          <w:rPr>
            <w:rStyle w:val="Hyperlink"/>
            <w:rFonts w:cs="Arial"/>
            <w:sz w:val="17"/>
            <w:szCs w:val="17"/>
          </w:rPr>
          <w:t>www.environment.gov.au/resource/epbc-act-policy-statement-21-interaction-between-offshore-seismic-exploration-and-whales</w:t>
        </w:r>
      </w:hyperlink>
    </w:p>
    <w:p w:rsidR="00615531" w:rsidRPr="00615531" w:rsidRDefault="00615531" w:rsidP="00615531">
      <w:pPr>
        <w:autoSpaceDE w:val="0"/>
        <w:autoSpaceDN w:val="0"/>
        <w:rPr>
          <w:rFonts w:cs="Arial"/>
          <w:sz w:val="17"/>
          <w:szCs w:val="17"/>
        </w:rPr>
      </w:pPr>
      <w:r w:rsidRPr="00615531">
        <w:rPr>
          <w:rFonts w:cs="Arial"/>
          <w:sz w:val="17"/>
          <w:szCs w:val="17"/>
        </w:rPr>
        <w:t xml:space="preserve">The document outlines standard management measures (Part A) that should be used at all times when operating in Australian waters, and outlines additional management measures (Part B), which should be used in areas where there is a moderate to high likelihood of encountering whales. It should be noted that the intention of Policy Statement 2.1 is </w:t>
      </w:r>
      <w:r w:rsidRPr="00615531">
        <w:rPr>
          <w:rFonts w:cs="Arial"/>
          <w:sz w:val="17"/>
          <w:szCs w:val="17"/>
        </w:rPr>
        <w:t>to reduce the likelihood that seismic surveys will result in acoustic injury to whales and does not cover potentially significant behavioural impacts to whales, which may occur when whales are</w:t>
      </w:r>
      <w:r w:rsidR="00705EAC" w:rsidRPr="00DA54B9">
        <w:rPr>
          <w:rFonts w:cs="Arial"/>
          <w:sz w:val="17"/>
          <w:szCs w:val="17"/>
        </w:rPr>
        <w:t xml:space="preserve"> breeding, calving</w:t>
      </w:r>
      <w:r w:rsidR="00DA54B9">
        <w:rPr>
          <w:rFonts w:cs="Arial"/>
          <w:sz w:val="17"/>
          <w:szCs w:val="17"/>
        </w:rPr>
        <w:t>,</w:t>
      </w:r>
      <w:r w:rsidR="00705EAC" w:rsidRPr="00DA54B9">
        <w:rPr>
          <w:rFonts w:cs="Arial"/>
          <w:sz w:val="17"/>
          <w:szCs w:val="17"/>
        </w:rPr>
        <w:t xml:space="preserve"> </w:t>
      </w:r>
      <w:r w:rsidR="00DA54B9" w:rsidRPr="00DA54B9">
        <w:rPr>
          <w:rFonts w:cs="Arial"/>
          <w:sz w:val="17"/>
          <w:szCs w:val="17"/>
        </w:rPr>
        <w:t xml:space="preserve">resting </w:t>
      </w:r>
      <w:r w:rsidR="00705EAC" w:rsidRPr="00DA54B9">
        <w:rPr>
          <w:rFonts w:cs="Arial"/>
          <w:sz w:val="17"/>
          <w:szCs w:val="17"/>
        </w:rPr>
        <w:t xml:space="preserve">or </w:t>
      </w:r>
      <w:r w:rsidR="00DA54B9" w:rsidRPr="00DA54B9">
        <w:rPr>
          <w:rFonts w:cs="Arial"/>
          <w:sz w:val="17"/>
          <w:szCs w:val="17"/>
        </w:rPr>
        <w:t>feeding</w:t>
      </w:r>
      <w:r w:rsidR="00705EAC">
        <w:rPr>
          <w:rFonts w:cs="Arial"/>
          <w:sz w:val="17"/>
          <w:szCs w:val="17"/>
        </w:rPr>
        <w:t>.</w:t>
      </w:r>
    </w:p>
    <w:p w:rsidR="00615531" w:rsidRPr="00615531" w:rsidRDefault="00615531" w:rsidP="00615531">
      <w:pPr>
        <w:autoSpaceDE w:val="0"/>
        <w:autoSpaceDN w:val="0"/>
        <w:rPr>
          <w:rFonts w:cs="Arial"/>
          <w:sz w:val="17"/>
          <w:szCs w:val="17"/>
        </w:rPr>
      </w:pPr>
      <w:r w:rsidRPr="00615531">
        <w:rPr>
          <w:rFonts w:cs="Arial"/>
          <w:sz w:val="17"/>
          <w:szCs w:val="17"/>
        </w:rPr>
        <w:t>The Policy Statement 2.1 states that seismic surveys should not be proposed in proximity to areas where and when cetaceans are likely to be breeding, calving, resting or feeding. Some proposed 2014 release areas in proximity to areas where whales are engaged in critical lifecycle activities. Activities and associated mitigation measures will need careful consideration and may require mitigation measures to be implemented which are beyond the</w:t>
      </w:r>
      <w:r w:rsidR="00705EAC">
        <w:rPr>
          <w:rFonts w:cs="Arial"/>
          <w:sz w:val="17"/>
          <w:szCs w:val="17"/>
        </w:rPr>
        <w:t xml:space="preserve"> scope of Policy Statement 2.1.</w:t>
      </w:r>
    </w:p>
    <w:p w:rsidR="00615531" w:rsidRPr="00615531" w:rsidRDefault="00615531" w:rsidP="00615531">
      <w:pPr>
        <w:autoSpaceDE w:val="0"/>
        <w:autoSpaceDN w:val="0"/>
        <w:rPr>
          <w:rFonts w:cs="Arial"/>
          <w:sz w:val="17"/>
          <w:szCs w:val="17"/>
        </w:rPr>
      </w:pPr>
      <w:r w:rsidRPr="00615531">
        <w:rPr>
          <w:rFonts w:cs="Arial"/>
          <w:sz w:val="17"/>
          <w:szCs w:val="17"/>
        </w:rPr>
        <w:t>Th</w:t>
      </w:r>
      <w:r w:rsidR="00071F05">
        <w:rPr>
          <w:rFonts w:cs="Arial"/>
          <w:sz w:val="17"/>
          <w:szCs w:val="17"/>
        </w:rPr>
        <w:t>e Biologically Important Areas</w:t>
      </w:r>
      <w:r w:rsidRPr="00615531">
        <w:rPr>
          <w:rFonts w:cs="Arial"/>
          <w:sz w:val="17"/>
          <w:szCs w:val="17"/>
        </w:rPr>
        <w:t xml:space="preserve"> for cetaceans in the five marine regions are detailed in a Conservation Values Atlas online at: </w:t>
      </w:r>
      <w:hyperlink r:id="rId36" w:history="1">
        <w:r w:rsidR="00705EAC" w:rsidRPr="009A77B3">
          <w:rPr>
            <w:rStyle w:val="Hyperlink"/>
            <w:rFonts w:cs="Arial"/>
            <w:sz w:val="17"/>
            <w:szCs w:val="17"/>
          </w:rPr>
          <w:t>www.environment.gov.au/topics/marine/marine-bioregional-plans/conservation-values-atlas</w:t>
        </w:r>
      </w:hyperlink>
    </w:p>
    <w:p w:rsidR="00071F05" w:rsidRDefault="00615531" w:rsidP="00615531">
      <w:pPr>
        <w:autoSpaceDE w:val="0"/>
        <w:autoSpaceDN w:val="0"/>
        <w:rPr>
          <w:rFonts w:cs="Arial"/>
          <w:sz w:val="17"/>
          <w:szCs w:val="17"/>
        </w:rPr>
      </w:pPr>
      <w:r w:rsidRPr="00615531">
        <w:rPr>
          <w:rFonts w:cs="Arial"/>
          <w:sz w:val="17"/>
          <w:szCs w:val="17"/>
        </w:rPr>
        <w:t xml:space="preserve">Part 8 of the </w:t>
      </w:r>
      <w:r w:rsidRPr="00071F05">
        <w:rPr>
          <w:rFonts w:cs="Arial"/>
          <w:i/>
          <w:sz w:val="17"/>
          <w:szCs w:val="17"/>
        </w:rPr>
        <w:t>Environment Protection and Biodiversity Conservation Regulations 2000</w:t>
      </w:r>
      <w:r w:rsidRPr="00615531">
        <w:rPr>
          <w:rFonts w:cs="Arial"/>
          <w:sz w:val="17"/>
          <w:szCs w:val="17"/>
        </w:rPr>
        <w:t xml:space="preserve"> outlines the requirements for all people interacting with cetaceans within Commonwealth waters. The regulations specify how vessels, aircraft and people must behave around these animals. For example, vessels must not deliberately approach whales closer than 100 m. Within 300 m vessels must use caution and travel at low speed. Touching or feeding wha</w:t>
      </w:r>
      <w:r w:rsidR="00705EAC">
        <w:rPr>
          <w:rFonts w:cs="Arial"/>
          <w:sz w:val="17"/>
          <w:szCs w:val="17"/>
        </w:rPr>
        <w:t>les and dolphins is prohibited.</w:t>
      </w:r>
    </w:p>
    <w:p w:rsidR="00615531" w:rsidRPr="00615531" w:rsidRDefault="00615531" w:rsidP="00615531">
      <w:pPr>
        <w:autoSpaceDE w:val="0"/>
        <w:autoSpaceDN w:val="0"/>
        <w:rPr>
          <w:rStyle w:val="Emphasis"/>
          <w:rFonts w:cs="Arial"/>
          <w:i w:val="0"/>
          <w:iCs w:val="0"/>
          <w:sz w:val="17"/>
          <w:szCs w:val="17"/>
        </w:rPr>
      </w:pPr>
      <w:r w:rsidRPr="00615531">
        <w:rPr>
          <w:rFonts w:cs="Arial"/>
          <w:sz w:val="17"/>
          <w:szCs w:val="17"/>
        </w:rPr>
        <w:t xml:space="preserve">Further information is contained within the </w:t>
      </w:r>
      <w:r w:rsidRPr="00615531">
        <w:rPr>
          <w:rStyle w:val="Emphasis"/>
          <w:rFonts w:cs="Arial"/>
          <w:sz w:val="17"/>
          <w:szCs w:val="17"/>
        </w:rPr>
        <w:t xml:space="preserve">Australian National Guidelines for Whale and Dolphin Watching 2005, </w:t>
      </w:r>
      <w:r w:rsidRPr="00071F05">
        <w:rPr>
          <w:rStyle w:val="Emphasis"/>
          <w:rFonts w:cs="Arial"/>
          <w:i w:val="0"/>
          <w:sz w:val="17"/>
          <w:szCs w:val="17"/>
        </w:rPr>
        <w:t xml:space="preserve">which has also been adopted by all States and Territories, and is available at: </w:t>
      </w:r>
      <w:hyperlink r:id="rId37" w:history="1">
        <w:r w:rsidR="00705EAC" w:rsidRPr="009A77B3">
          <w:rPr>
            <w:rStyle w:val="Hyperlink"/>
            <w:rFonts w:cs="Arial"/>
            <w:sz w:val="17"/>
            <w:szCs w:val="17"/>
          </w:rPr>
          <w:t>www.environment.gov.au/resource/australian-national-guidelines-whale-and-dolphin-watching-2005</w:t>
        </w:r>
      </w:hyperlink>
    </w:p>
    <w:p w:rsidR="00615531" w:rsidRPr="00615531" w:rsidRDefault="00615531" w:rsidP="00615531">
      <w:pPr>
        <w:pStyle w:val="NoSpacing"/>
        <w:spacing w:after="200" w:line="276" w:lineRule="auto"/>
        <w:rPr>
          <w:rFonts w:ascii="Arial" w:hAnsi="Arial" w:cs="Arial"/>
          <w:i/>
          <w:sz w:val="17"/>
          <w:szCs w:val="17"/>
        </w:rPr>
      </w:pPr>
      <w:r w:rsidRPr="00615531">
        <w:rPr>
          <w:rFonts w:ascii="Arial" w:hAnsi="Arial" w:cs="Arial"/>
          <w:i/>
          <w:sz w:val="17"/>
          <w:szCs w:val="17"/>
        </w:rPr>
        <w:t>Marine Bioregional Planning</w:t>
      </w:r>
    </w:p>
    <w:p w:rsidR="00615531" w:rsidRPr="00615531" w:rsidRDefault="00615531" w:rsidP="00615531">
      <w:pPr>
        <w:autoSpaceDE w:val="0"/>
        <w:autoSpaceDN w:val="0"/>
        <w:rPr>
          <w:rFonts w:cs="Arial"/>
          <w:sz w:val="17"/>
          <w:szCs w:val="17"/>
        </w:rPr>
      </w:pPr>
      <w:r w:rsidRPr="00615531">
        <w:rPr>
          <w:rFonts w:cs="Arial"/>
          <w:sz w:val="17"/>
          <w:szCs w:val="17"/>
        </w:rPr>
        <w:t>A Marine Bioregional Planning Program has been implemented under the EPBC</w:t>
      </w:r>
      <w:r w:rsidR="00705EAC">
        <w:rPr>
          <w:rFonts w:cs="Arial"/>
          <w:sz w:val="17"/>
          <w:szCs w:val="17"/>
        </w:rPr>
        <w:t>A</w:t>
      </w:r>
      <w:r w:rsidRPr="00615531">
        <w:rPr>
          <w:rFonts w:cs="Arial"/>
          <w:sz w:val="17"/>
          <w:szCs w:val="17"/>
        </w:rPr>
        <w:t>. The two key outputs of the Program are the development of four Marine Bioregional plans, to guide decisions under the EPBC</w:t>
      </w:r>
      <w:r w:rsidR="00705EAC">
        <w:rPr>
          <w:rFonts w:cs="Arial"/>
          <w:sz w:val="17"/>
          <w:szCs w:val="17"/>
        </w:rPr>
        <w:t>A</w:t>
      </w:r>
      <w:r w:rsidRPr="00615531">
        <w:rPr>
          <w:rFonts w:cs="Arial"/>
          <w:sz w:val="17"/>
          <w:szCs w:val="17"/>
        </w:rPr>
        <w:t>, and the identification and establishment of a network of marine reserves in Commonwealth waters, which has seen more than 2.3 million square kilometres added to Australia’s national network of marine protected areas.</w:t>
      </w:r>
    </w:p>
    <w:p w:rsidR="00615531" w:rsidRPr="00615531" w:rsidRDefault="00615531" w:rsidP="00615531">
      <w:pPr>
        <w:autoSpaceDE w:val="0"/>
        <w:autoSpaceDN w:val="0"/>
        <w:rPr>
          <w:rFonts w:cs="Arial"/>
          <w:sz w:val="17"/>
          <w:szCs w:val="17"/>
        </w:rPr>
      </w:pPr>
      <w:r w:rsidRPr="00615531">
        <w:rPr>
          <w:rFonts w:cs="Arial"/>
          <w:sz w:val="17"/>
          <w:szCs w:val="17"/>
        </w:rPr>
        <w:t xml:space="preserve">Marine Bioregional plans were released in August 2012 for the South-west, North-west, North and Temperate East Marine Regions. The Marine Bioregional plans contain detailed information in two schedules. These plans provide a comprehensive description of the conservation values, the pressures these values are under and priorities for </w:t>
      </w:r>
      <w:r w:rsidR="00705EAC">
        <w:rPr>
          <w:rFonts w:cs="Arial"/>
          <w:sz w:val="17"/>
          <w:szCs w:val="17"/>
        </w:rPr>
        <w:t xml:space="preserve">further effort and investment. </w:t>
      </w:r>
      <w:r w:rsidRPr="00615531">
        <w:rPr>
          <w:rFonts w:cs="Arial"/>
          <w:sz w:val="17"/>
          <w:szCs w:val="17"/>
        </w:rPr>
        <w:t xml:space="preserve">They include a description of key conservation and heritage priorities, as well as current and emerging pressures on the marine environment. The plans also provide advice to people wishing to undertake new activities within Commonwealth waters about the relative risk of significant impact that certain activities may represent for matters of </w:t>
      </w:r>
      <w:r w:rsidR="00D261B4" w:rsidRPr="00615531">
        <w:rPr>
          <w:sz w:val="17"/>
          <w:szCs w:val="17"/>
        </w:rPr>
        <w:t>N</w:t>
      </w:r>
      <w:r w:rsidR="00D261B4">
        <w:rPr>
          <w:sz w:val="17"/>
          <w:szCs w:val="17"/>
        </w:rPr>
        <w:t xml:space="preserve">ational </w:t>
      </w:r>
      <w:r w:rsidR="00D261B4" w:rsidRPr="00615531">
        <w:rPr>
          <w:sz w:val="17"/>
          <w:szCs w:val="17"/>
        </w:rPr>
        <w:t>E</w:t>
      </w:r>
      <w:r w:rsidR="00D261B4">
        <w:rPr>
          <w:sz w:val="17"/>
          <w:szCs w:val="17"/>
        </w:rPr>
        <w:t xml:space="preserve">nvironmental </w:t>
      </w:r>
      <w:r w:rsidR="00D261B4" w:rsidRPr="00615531">
        <w:rPr>
          <w:sz w:val="17"/>
          <w:szCs w:val="17"/>
        </w:rPr>
        <w:t>S</w:t>
      </w:r>
      <w:r w:rsidR="00D261B4">
        <w:rPr>
          <w:sz w:val="17"/>
          <w:szCs w:val="17"/>
        </w:rPr>
        <w:t>ignificance</w:t>
      </w:r>
      <w:r w:rsidRPr="00615531">
        <w:rPr>
          <w:rFonts w:cs="Arial"/>
          <w:sz w:val="17"/>
          <w:szCs w:val="17"/>
        </w:rPr>
        <w:t xml:space="preserve">. The Marine Bioregional Plan information is located at: </w:t>
      </w:r>
      <w:hyperlink r:id="rId38" w:history="1">
        <w:r w:rsidR="00705EAC" w:rsidRPr="009A77B3">
          <w:rPr>
            <w:rStyle w:val="Hyperlink"/>
            <w:rFonts w:cs="Arial"/>
            <w:sz w:val="17"/>
            <w:szCs w:val="17"/>
          </w:rPr>
          <w:t>www.environment.gov.au/topics/marine/marine-bioregional-plans</w:t>
        </w:r>
      </w:hyperlink>
    </w:p>
    <w:p w:rsidR="00615531" w:rsidRPr="00615531" w:rsidRDefault="00615531" w:rsidP="00615531">
      <w:pPr>
        <w:pStyle w:val="NoSpacing"/>
        <w:spacing w:after="200" w:line="276" w:lineRule="auto"/>
        <w:rPr>
          <w:rFonts w:ascii="Arial" w:hAnsi="Arial" w:cs="Arial"/>
          <w:sz w:val="17"/>
          <w:szCs w:val="17"/>
          <w:lang w:eastAsia="en-US"/>
        </w:rPr>
      </w:pPr>
      <w:r w:rsidRPr="00615531">
        <w:rPr>
          <w:rFonts w:ascii="Arial" w:hAnsi="Arial" w:cs="Arial"/>
          <w:sz w:val="17"/>
          <w:szCs w:val="17"/>
          <w:lang w:eastAsia="en-US"/>
        </w:rPr>
        <w:lastRenderedPageBreak/>
        <w:t xml:space="preserve">Pressures on some of the conservation values relevant to the </w:t>
      </w:r>
      <w:r w:rsidR="00B545C0">
        <w:rPr>
          <w:rFonts w:ascii="Arial" w:hAnsi="Arial" w:cs="Arial"/>
          <w:sz w:val="17"/>
          <w:szCs w:val="17"/>
          <w:lang w:eastAsia="en-US"/>
        </w:rPr>
        <w:t xml:space="preserve">petroleum exploration and </w:t>
      </w:r>
      <w:r w:rsidR="00705EAC">
        <w:rPr>
          <w:rFonts w:ascii="Arial" w:hAnsi="Arial" w:cs="Arial"/>
          <w:sz w:val="17"/>
          <w:szCs w:val="17"/>
          <w:lang w:eastAsia="en-US"/>
        </w:rPr>
        <w:t>GHG storage</w:t>
      </w:r>
      <w:r w:rsidR="00B545C0">
        <w:rPr>
          <w:rFonts w:ascii="Arial" w:hAnsi="Arial" w:cs="Arial"/>
          <w:sz w:val="17"/>
          <w:szCs w:val="17"/>
          <w:lang w:eastAsia="en-US"/>
        </w:rPr>
        <w:t xml:space="preserve"> industries</w:t>
      </w:r>
      <w:r w:rsidRPr="00615531">
        <w:rPr>
          <w:rFonts w:ascii="Arial" w:hAnsi="Arial" w:cs="Arial"/>
          <w:sz w:val="17"/>
          <w:szCs w:val="17"/>
          <w:lang w:eastAsia="en-US"/>
        </w:rPr>
        <w:t xml:space="preserve"> include:</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For various cetaceans - chemical pollution/contaminants, nutrient pollution, marine debris, noise pollution, physical habitat modification, human presence at sensitive sites, collision/entanglement with infrastructure, collision with vessels</w:t>
      </w:r>
      <w:r w:rsidR="00DA54B9" w:rsidRPr="00D43ACB">
        <w:rPr>
          <w:sz w:val="17"/>
          <w:szCs w:val="17"/>
        </w:rPr>
        <w:t xml:space="preserve"> and oil pollution</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For various marine turtles - marine debris, noise pollution, nutrient pollution, changes to turbidity, light pollution, invasive species, physical habitat modifica</w:t>
      </w:r>
      <w:r w:rsidR="00705EAC" w:rsidRPr="00D43ACB">
        <w:rPr>
          <w:sz w:val="17"/>
          <w:szCs w:val="17"/>
        </w:rPr>
        <w:t>tion and collision with vessels</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 xml:space="preserve">For </w:t>
      </w:r>
      <w:r w:rsidR="00705EAC" w:rsidRPr="00D43ACB">
        <w:rPr>
          <w:sz w:val="17"/>
          <w:szCs w:val="17"/>
        </w:rPr>
        <w:t>sea snakes</w:t>
      </w:r>
      <w:r w:rsidRPr="00D43ACB">
        <w:rPr>
          <w:sz w:val="17"/>
          <w:szCs w:val="17"/>
        </w:rPr>
        <w:t xml:space="preserve"> - physical habitat</w:t>
      </w:r>
      <w:r w:rsidR="00705EAC" w:rsidRPr="00D43ACB">
        <w:rPr>
          <w:sz w:val="17"/>
          <w:szCs w:val="17"/>
        </w:rPr>
        <w:t xml:space="preserve"> modification and oil pollution</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 xml:space="preserve">For various elasmobranches </w:t>
      </w:r>
      <w:r w:rsidR="005320A2" w:rsidRPr="00D43ACB">
        <w:rPr>
          <w:sz w:val="17"/>
          <w:szCs w:val="17"/>
        </w:rPr>
        <w:t xml:space="preserve">(sharks, rays and skates) </w:t>
      </w:r>
      <w:r w:rsidRPr="00D43ACB">
        <w:rPr>
          <w:sz w:val="17"/>
          <w:szCs w:val="17"/>
        </w:rPr>
        <w:t>- chemical pollution/</w:t>
      </w:r>
      <w:r w:rsidR="00705EAC" w:rsidRPr="00D43ACB">
        <w:rPr>
          <w:sz w:val="17"/>
          <w:szCs w:val="17"/>
        </w:rPr>
        <w:t>contaminants, and marine debris</w:t>
      </w:r>
    </w:p>
    <w:p w:rsidR="00615531" w:rsidRPr="00D43ACB" w:rsidRDefault="00615531" w:rsidP="00D43ACB">
      <w:pPr>
        <w:pStyle w:val="ListParagraph"/>
        <w:widowControl w:val="0"/>
        <w:numPr>
          <w:ilvl w:val="0"/>
          <w:numId w:val="22"/>
        </w:numPr>
        <w:spacing w:line="276" w:lineRule="auto"/>
        <w:contextualSpacing w:val="0"/>
        <w:rPr>
          <w:sz w:val="17"/>
          <w:szCs w:val="17"/>
        </w:rPr>
      </w:pPr>
      <w:r w:rsidRPr="00D43ACB">
        <w:rPr>
          <w:sz w:val="17"/>
          <w:szCs w:val="17"/>
        </w:rPr>
        <w:t>For various seabirds - chemical pollution/contaminants, changes to turbidity, marine debris, human presence at sensitive sites, human presence at sensitive sites, physical habitat modification, invasive species, light pollution.</w:t>
      </w:r>
    </w:p>
    <w:p w:rsidR="00615531" w:rsidRPr="00615531" w:rsidRDefault="00B545C0" w:rsidP="00615531">
      <w:pPr>
        <w:autoSpaceDE w:val="0"/>
        <w:autoSpaceDN w:val="0"/>
        <w:rPr>
          <w:rFonts w:cs="Arial"/>
          <w:sz w:val="17"/>
          <w:szCs w:val="17"/>
        </w:rPr>
      </w:pPr>
      <w:r>
        <w:rPr>
          <w:rFonts w:cs="Arial"/>
          <w:sz w:val="17"/>
          <w:szCs w:val="17"/>
        </w:rPr>
        <w:t>T</w:t>
      </w:r>
      <w:r w:rsidR="00615531" w:rsidRPr="00615531">
        <w:rPr>
          <w:rFonts w:cs="Arial"/>
          <w:sz w:val="17"/>
          <w:szCs w:val="17"/>
        </w:rPr>
        <w:t xml:space="preserve">he 2014 </w:t>
      </w:r>
      <w:r w:rsidR="00085DBD">
        <w:rPr>
          <w:rFonts w:cs="Arial"/>
          <w:sz w:val="17"/>
          <w:szCs w:val="17"/>
        </w:rPr>
        <w:t xml:space="preserve">GHG </w:t>
      </w:r>
      <w:r w:rsidR="00615531" w:rsidRPr="00615531">
        <w:rPr>
          <w:rFonts w:cs="Arial"/>
          <w:sz w:val="17"/>
          <w:szCs w:val="17"/>
        </w:rPr>
        <w:t xml:space="preserve">Release Areas </w:t>
      </w:r>
      <w:r w:rsidR="00FD5863">
        <w:rPr>
          <w:rFonts w:cs="Arial"/>
          <w:sz w:val="17"/>
          <w:szCs w:val="17"/>
        </w:rPr>
        <w:t xml:space="preserve">may </w:t>
      </w:r>
      <w:r w:rsidR="00615531" w:rsidRPr="00615531">
        <w:rPr>
          <w:rFonts w:cs="Arial"/>
          <w:sz w:val="17"/>
          <w:szCs w:val="17"/>
        </w:rPr>
        <w:t xml:space="preserve">overlap </w:t>
      </w:r>
      <w:r w:rsidR="00FD5863">
        <w:rPr>
          <w:rFonts w:cs="Arial"/>
          <w:sz w:val="17"/>
          <w:szCs w:val="17"/>
        </w:rPr>
        <w:t xml:space="preserve">with </w:t>
      </w:r>
      <w:r w:rsidR="00615531" w:rsidRPr="00615531">
        <w:rPr>
          <w:rFonts w:cs="Arial"/>
          <w:sz w:val="17"/>
          <w:szCs w:val="17"/>
        </w:rPr>
        <w:t>Key Ecological Features which have been identified as part of marine bioregional planning process. Key Ecological Features assist in defining the Commonwealth marine environment, a matt</w:t>
      </w:r>
      <w:r w:rsidR="007E5B19">
        <w:rPr>
          <w:rFonts w:cs="Arial"/>
          <w:sz w:val="17"/>
          <w:szCs w:val="17"/>
        </w:rPr>
        <w:t xml:space="preserve">er of </w:t>
      </w:r>
      <w:r w:rsidR="007E5B19" w:rsidRPr="00615531">
        <w:rPr>
          <w:sz w:val="17"/>
          <w:szCs w:val="17"/>
        </w:rPr>
        <w:t>N</w:t>
      </w:r>
      <w:r w:rsidR="007E5B19">
        <w:rPr>
          <w:sz w:val="17"/>
          <w:szCs w:val="17"/>
        </w:rPr>
        <w:t xml:space="preserve">ational </w:t>
      </w:r>
      <w:r w:rsidR="007E5B19" w:rsidRPr="00615531">
        <w:rPr>
          <w:sz w:val="17"/>
          <w:szCs w:val="17"/>
        </w:rPr>
        <w:t>E</w:t>
      </w:r>
      <w:r w:rsidR="007E5B19">
        <w:rPr>
          <w:sz w:val="17"/>
          <w:szCs w:val="17"/>
        </w:rPr>
        <w:t xml:space="preserve">nvironmental </w:t>
      </w:r>
      <w:r w:rsidR="007E5B19" w:rsidRPr="00615531">
        <w:rPr>
          <w:sz w:val="17"/>
          <w:szCs w:val="17"/>
        </w:rPr>
        <w:t>S</w:t>
      </w:r>
      <w:r w:rsidR="007E5B19">
        <w:rPr>
          <w:sz w:val="17"/>
          <w:szCs w:val="17"/>
        </w:rPr>
        <w:t>ignificance</w:t>
      </w:r>
      <w:r>
        <w:rPr>
          <w:rFonts w:cs="Arial"/>
          <w:sz w:val="17"/>
          <w:szCs w:val="17"/>
        </w:rPr>
        <w:t xml:space="preserve"> under the EPBCA</w:t>
      </w:r>
      <w:r w:rsidR="00615531" w:rsidRPr="00615531">
        <w:rPr>
          <w:rFonts w:cs="Arial"/>
          <w:sz w:val="17"/>
          <w:szCs w:val="17"/>
        </w:rPr>
        <w:t xml:space="preserve">, and are elements of the ecosystem that are considered to be of regional importance for biodiversity or ecosystem function and integrity. They include habitats, specific benthic or pelagic features, species groups or ecological communities. Further information about Key Ecological Features can be found at: </w:t>
      </w:r>
      <w:hyperlink r:id="rId39" w:history="1">
        <w:r w:rsidR="005320A2" w:rsidRPr="009A77B3">
          <w:rPr>
            <w:rStyle w:val="Hyperlink"/>
            <w:rFonts w:cs="Arial"/>
            <w:sz w:val="17"/>
            <w:szCs w:val="17"/>
          </w:rPr>
          <w:t>www.environment.gov.au/topics/marine/marine-bioregional-plans/conservation-values-atlas</w:t>
        </w:r>
      </w:hyperlink>
    </w:p>
    <w:p w:rsidR="00615531" w:rsidRPr="00615531" w:rsidRDefault="005320A2" w:rsidP="00615531">
      <w:pPr>
        <w:autoSpaceDE w:val="0"/>
        <w:autoSpaceDN w:val="0"/>
        <w:rPr>
          <w:rFonts w:cs="Arial"/>
          <w:sz w:val="17"/>
          <w:szCs w:val="17"/>
        </w:rPr>
      </w:pPr>
      <w:r>
        <w:rPr>
          <w:rFonts w:cs="Arial"/>
          <w:sz w:val="17"/>
          <w:szCs w:val="17"/>
        </w:rPr>
        <w:t>T</w:t>
      </w:r>
      <w:r w:rsidR="007E5B19">
        <w:rPr>
          <w:rFonts w:cs="Arial"/>
          <w:sz w:val="17"/>
          <w:szCs w:val="17"/>
        </w:rPr>
        <w:t xml:space="preserve">he </w:t>
      </w:r>
      <w:r w:rsidR="00615531" w:rsidRPr="00615531">
        <w:rPr>
          <w:rFonts w:cs="Arial"/>
          <w:sz w:val="17"/>
          <w:szCs w:val="17"/>
        </w:rPr>
        <w:t xml:space="preserve">2014 </w:t>
      </w:r>
      <w:r w:rsidR="00085DBD">
        <w:rPr>
          <w:rFonts w:cs="Arial"/>
          <w:sz w:val="17"/>
          <w:szCs w:val="17"/>
        </w:rPr>
        <w:t xml:space="preserve">GHG </w:t>
      </w:r>
      <w:r w:rsidR="00615531" w:rsidRPr="00615531">
        <w:rPr>
          <w:rFonts w:cs="Arial"/>
          <w:sz w:val="17"/>
          <w:szCs w:val="17"/>
        </w:rPr>
        <w:t xml:space="preserve">Release Areas </w:t>
      </w:r>
      <w:r>
        <w:rPr>
          <w:rFonts w:cs="Arial"/>
          <w:sz w:val="17"/>
          <w:szCs w:val="17"/>
        </w:rPr>
        <w:t xml:space="preserve">may </w:t>
      </w:r>
      <w:r w:rsidR="00615531" w:rsidRPr="00615531">
        <w:rPr>
          <w:rFonts w:cs="Arial"/>
          <w:sz w:val="17"/>
          <w:szCs w:val="17"/>
        </w:rPr>
        <w:t xml:space="preserve">also overlap with Biologically Important Areas. </w:t>
      </w:r>
      <w:r w:rsidR="00615531" w:rsidRPr="00615531">
        <w:rPr>
          <w:rFonts w:cs="Arial"/>
          <w:sz w:val="17"/>
          <w:szCs w:val="17"/>
          <w:lang w:val="en-US"/>
        </w:rPr>
        <w:t>B</w:t>
      </w:r>
      <w:proofErr w:type="spellStart"/>
      <w:r w:rsidR="00615531" w:rsidRPr="00615531">
        <w:rPr>
          <w:rFonts w:cs="Arial"/>
          <w:sz w:val="17"/>
          <w:szCs w:val="17"/>
        </w:rPr>
        <w:t>iologically</w:t>
      </w:r>
      <w:proofErr w:type="spellEnd"/>
      <w:r w:rsidR="00615531" w:rsidRPr="00615531">
        <w:rPr>
          <w:rFonts w:cs="Arial"/>
          <w:sz w:val="17"/>
          <w:szCs w:val="17"/>
        </w:rPr>
        <w:t xml:space="preserve"> Important Areas</w:t>
      </w:r>
      <w:r w:rsidR="00615531" w:rsidRPr="00615531">
        <w:rPr>
          <w:rFonts w:cs="Arial"/>
          <w:sz w:val="17"/>
          <w:szCs w:val="17"/>
          <w:lang w:val="en-US"/>
        </w:rPr>
        <w:t xml:space="preserve"> spatially define areas where aggregations of individuals of a species </w:t>
      </w:r>
      <w:r w:rsidR="00615531" w:rsidRPr="007E5B19">
        <w:rPr>
          <w:rFonts w:cs="Arial"/>
          <w:sz w:val="17"/>
          <w:szCs w:val="17"/>
          <w:lang w:val="en-US"/>
        </w:rPr>
        <w:t>are known</w:t>
      </w:r>
      <w:r w:rsidR="00615531" w:rsidRPr="00615531">
        <w:rPr>
          <w:rFonts w:cs="Arial"/>
          <w:sz w:val="17"/>
          <w:szCs w:val="17"/>
          <w:lang w:val="en-US"/>
        </w:rPr>
        <w:t xml:space="preserve"> to display bio</w:t>
      </w:r>
      <w:r>
        <w:rPr>
          <w:rFonts w:cs="Arial"/>
          <w:sz w:val="17"/>
          <w:szCs w:val="17"/>
          <w:lang w:val="en-US"/>
        </w:rPr>
        <w:t xml:space="preserve">logically important </w:t>
      </w:r>
      <w:proofErr w:type="spellStart"/>
      <w:r>
        <w:rPr>
          <w:rFonts w:cs="Arial"/>
          <w:sz w:val="17"/>
          <w:szCs w:val="17"/>
          <w:lang w:val="en-US"/>
        </w:rPr>
        <w:t>behaviour</w:t>
      </w:r>
      <w:proofErr w:type="spellEnd"/>
      <w:r>
        <w:rPr>
          <w:rFonts w:cs="Arial"/>
          <w:sz w:val="17"/>
          <w:szCs w:val="17"/>
          <w:lang w:val="en-US"/>
        </w:rPr>
        <w:t>.</w:t>
      </w:r>
    </w:p>
    <w:p w:rsidR="00615531" w:rsidRPr="00615531" w:rsidRDefault="00615531" w:rsidP="00615531">
      <w:pPr>
        <w:autoSpaceDE w:val="0"/>
        <w:autoSpaceDN w:val="0"/>
        <w:rPr>
          <w:sz w:val="17"/>
          <w:szCs w:val="17"/>
        </w:rPr>
      </w:pPr>
      <w:r w:rsidRPr="00615531">
        <w:rPr>
          <w:rFonts w:cs="Arial"/>
          <w:sz w:val="17"/>
          <w:szCs w:val="17"/>
        </w:rPr>
        <w:t xml:space="preserve">Maps of Biologically Important Areas (for species including cetaceans, marine turtles and migratory birds) are available in the Conservation Values Atlas online at: </w:t>
      </w:r>
      <w:hyperlink r:id="rId40" w:history="1">
        <w:r w:rsidR="005320A2" w:rsidRPr="009A77B3">
          <w:rPr>
            <w:rStyle w:val="Hyperlink"/>
            <w:rFonts w:cs="Arial"/>
            <w:sz w:val="17"/>
            <w:szCs w:val="17"/>
          </w:rPr>
          <w:t>www.environment.gov.au/topics/marine/marine-bioregional-plans/conservation-values-atlas</w:t>
        </w:r>
      </w:hyperlink>
    </w:p>
    <w:p w:rsidR="001559A5" w:rsidRPr="00A92BD7" w:rsidRDefault="001559A5" w:rsidP="0099794E">
      <w:pPr>
        <w:pStyle w:val="Heading3"/>
      </w:pPr>
      <w:r w:rsidRPr="00A92BD7">
        <w:t>Fishing Activities</w:t>
      </w:r>
    </w:p>
    <w:p w:rsidR="001559A5" w:rsidRPr="00C009B6" w:rsidRDefault="001559A5" w:rsidP="001559A5">
      <w:pPr>
        <w:widowControl w:val="0"/>
        <w:rPr>
          <w:sz w:val="17"/>
          <w:szCs w:val="17"/>
        </w:rPr>
      </w:pPr>
      <w:r w:rsidRPr="00C009B6">
        <w:rPr>
          <w:sz w:val="17"/>
          <w:szCs w:val="17"/>
        </w:rPr>
        <w:t xml:space="preserve">The Australian Fisheries Management Authority (AFMA) </w:t>
      </w:r>
      <w:r w:rsidR="00C009B6">
        <w:rPr>
          <w:sz w:val="17"/>
          <w:szCs w:val="17"/>
        </w:rPr>
        <w:t xml:space="preserve">represents the interests of the Australian community in the management of fisheries resources in Commonwealth waters. </w:t>
      </w:r>
      <w:r w:rsidRPr="00C009B6">
        <w:rPr>
          <w:sz w:val="17"/>
          <w:szCs w:val="17"/>
        </w:rPr>
        <w:t>AFMA is committed to the sustainable and economically efficient use of fisheries res</w:t>
      </w:r>
      <w:r w:rsidR="00C009B6">
        <w:rPr>
          <w:sz w:val="17"/>
          <w:szCs w:val="17"/>
        </w:rPr>
        <w:t>ources and would like to minimis</w:t>
      </w:r>
      <w:r w:rsidRPr="00C009B6">
        <w:rPr>
          <w:sz w:val="17"/>
          <w:szCs w:val="17"/>
        </w:rPr>
        <w:t xml:space="preserve">e the impact of offshore </w:t>
      </w:r>
      <w:r w:rsidR="005320A2">
        <w:rPr>
          <w:sz w:val="17"/>
          <w:szCs w:val="17"/>
        </w:rPr>
        <w:t>GHG storage activities</w:t>
      </w:r>
      <w:r w:rsidRPr="00C009B6">
        <w:rPr>
          <w:sz w:val="17"/>
          <w:szCs w:val="17"/>
        </w:rPr>
        <w:t xml:space="preserve"> on the sustainability and productivity of fish stocks</w:t>
      </w:r>
      <w:r w:rsidR="00C009B6">
        <w:rPr>
          <w:sz w:val="17"/>
          <w:szCs w:val="17"/>
        </w:rPr>
        <w:t xml:space="preserve"> and any operational conflicts between fishing and </w:t>
      </w:r>
      <w:r w:rsidR="005320A2">
        <w:rPr>
          <w:sz w:val="17"/>
          <w:szCs w:val="17"/>
        </w:rPr>
        <w:t>GHG storage activities.</w:t>
      </w:r>
    </w:p>
    <w:p w:rsidR="00FD5863" w:rsidRDefault="00C009B6" w:rsidP="001559A5">
      <w:pPr>
        <w:widowControl w:val="0"/>
        <w:rPr>
          <w:sz w:val="17"/>
          <w:szCs w:val="17"/>
        </w:rPr>
      </w:pPr>
      <w:r>
        <w:rPr>
          <w:sz w:val="17"/>
          <w:szCs w:val="17"/>
        </w:rPr>
        <w:t xml:space="preserve">AFMA has </w:t>
      </w:r>
      <w:r w:rsidR="00FD5863">
        <w:rPr>
          <w:sz w:val="17"/>
          <w:szCs w:val="17"/>
        </w:rPr>
        <w:t xml:space="preserve">developed Guidelines for the petroleum industry </w:t>
      </w:r>
      <w:r w:rsidR="00FD5863" w:rsidRPr="00C009B6">
        <w:rPr>
          <w:sz w:val="17"/>
          <w:szCs w:val="17"/>
        </w:rPr>
        <w:t>which provides</w:t>
      </w:r>
      <w:r w:rsidR="001559A5" w:rsidRPr="00C009B6">
        <w:rPr>
          <w:sz w:val="17"/>
          <w:szCs w:val="17"/>
        </w:rPr>
        <w:t xml:space="preserve"> clarity about </w:t>
      </w:r>
      <w:r w:rsidR="00AB21DD" w:rsidRPr="00C009B6">
        <w:rPr>
          <w:sz w:val="17"/>
          <w:szCs w:val="17"/>
        </w:rPr>
        <w:t>AFMA’s</w:t>
      </w:r>
      <w:r w:rsidR="001559A5" w:rsidRPr="00C009B6">
        <w:rPr>
          <w:sz w:val="17"/>
          <w:szCs w:val="17"/>
        </w:rPr>
        <w:t xml:space="preserve"> role and expectatio</w:t>
      </w:r>
      <w:r w:rsidR="00FD5863">
        <w:rPr>
          <w:sz w:val="17"/>
          <w:szCs w:val="17"/>
        </w:rPr>
        <w:t>ns in relation to consultation.</w:t>
      </w:r>
    </w:p>
    <w:p w:rsidR="00414628" w:rsidRPr="00E17C28" w:rsidRDefault="00414628" w:rsidP="00414628">
      <w:pPr>
        <w:widowControl w:val="0"/>
        <w:rPr>
          <w:sz w:val="17"/>
          <w:szCs w:val="17"/>
        </w:rPr>
      </w:pPr>
      <w:r>
        <w:rPr>
          <w:sz w:val="17"/>
          <w:szCs w:val="17"/>
        </w:rPr>
        <w:t>The Guidelines offer</w:t>
      </w:r>
      <w:r w:rsidRPr="00C009B6">
        <w:rPr>
          <w:sz w:val="17"/>
          <w:szCs w:val="17"/>
        </w:rPr>
        <w:t xml:space="preserve"> information about fisheries and how to consult </w:t>
      </w:r>
      <w:r>
        <w:rPr>
          <w:sz w:val="17"/>
          <w:szCs w:val="17"/>
        </w:rPr>
        <w:t xml:space="preserve">with </w:t>
      </w:r>
      <w:r w:rsidRPr="00C009B6">
        <w:rPr>
          <w:sz w:val="17"/>
          <w:szCs w:val="17"/>
        </w:rPr>
        <w:t xml:space="preserve">the fishing industry, which is required for the preparation of Environment Plans under the </w:t>
      </w:r>
      <w:r w:rsidRPr="00E17C28">
        <w:rPr>
          <w:sz w:val="17"/>
          <w:szCs w:val="17"/>
        </w:rPr>
        <w:t>Environment</w:t>
      </w:r>
      <w:r>
        <w:rPr>
          <w:sz w:val="17"/>
          <w:szCs w:val="17"/>
        </w:rPr>
        <w:t xml:space="preserve"> Regulations</w:t>
      </w:r>
      <w:r w:rsidRPr="00E17C28">
        <w:rPr>
          <w:sz w:val="17"/>
          <w:szCs w:val="17"/>
        </w:rPr>
        <w:t>.</w:t>
      </w:r>
    </w:p>
    <w:p w:rsidR="00414628" w:rsidRDefault="001559A5" w:rsidP="00414628">
      <w:pPr>
        <w:widowControl w:val="0"/>
        <w:rPr>
          <w:sz w:val="17"/>
          <w:szCs w:val="17"/>
        </w:rPr>
      </w:pPr>
      <w:r w:rsidRPr="00C009B6">
        <w:rPr>
          <w:sz w:val="17"/>
          <w:szCs w:val="17"/>
        </w:rPr>
        <w:t xml:space="preserve">The Guidelines </w:t>
      </w:r>
      <w:r w:rsidR="00C009B6">
        <w:rPr>
          <w:sz w:val="17"/>
          <w:szCs w:val="17"/>
        </w:rPr>
        <w:t xml:space="preserve">are </w:t>
      </w:r>
      <w:r w:rsidR="00841749" w:rsidRPr="00C009B6">
        <w:rPr>
          <w:sz w:val="17"/>
          <w:szCs w:val="17"/>
        </w:rPr>
        <w:t>provided as part of a ‘one </w:t>
      </w:r>
      <w:r w:rsidRPr="00C009B6">
        <w:rPr>
          <w:sz w:val="17"/>
          <w:szCs w:val="17"/>
        </w:rPr>
        <w:t xml:space="preserve">stop shop’ for the </w:t>
      </w:r>
      <w:r w:rsidR="00962AB2">
        <w:rPr>
          <w:sz w:val="17"/>
          <w:szCs w:val="17"/>
        </w:rPr>
        <w:t>exploration</w:t>
      </w:r>
      <w:r w:rsidR="00FD5863">
        <w:rPr>
          <w:sz w:val="17"/>
          <w:szCs w:val="17"/>
        </w:rPr>
        <w:t xml:space="preserve"> industry on AFMA’s website</w:t>
      </w:r>
      <w:r w:rsidR="003267B7">
        <w:rPr>
          <w:sz w:val="17"/>
          <w:szCs w:val="17"/>
        </w:rPr>
        <w:t xml:space="preserve"> at</w:t>
      </w:r>
      <w:r w:rsidR="00414628">
        <w:rPr>
          <w:sz w:val="17"/>
          <w:szCs w:val="17"/>
        </w:rPr>
        <w:t xml:space="preserve">: </w:t>
      </w:r>
      <w:hyperlink r:id="rId41" w:history="1">
        <w:r w:rsidR="00414628" w:rsidRPr="00FD1884">
          <w:rPr>
            <w:rStyle w:val="Hyperlink"/>
            <w:sz w:val="17"/>
            <w:szCs w:val="17"/>
          </w:rPr>
          <w:t>www.afma.gov.au/managing-our-fisheries/environment-and-sustainability/petroleum-industry-consultation/</w:t>
        </w:r>
      </w:hyperlink>
    </w:p>
    <w:p w:rsidR="00414628" w:rsidRDefault="00414628" w:rsidP="001559A5">
      <w:pPr>
        <w:widowControl w:val="0"/>
        <w:rPr>
          <w:sz w:val="17"/>
          <w:szCs w:val="17"/>
        </w:rPr>
      </w:pPr>
      <w:r>
        <w:rPr>
          <w:sz w:val="17"/>
          <w:szCs w:val="17"/>
        </w:rPr>
        <w:t>The intent of the Guidelines can equally apply to consultation on GHG storage activities as well as the petroleum industry.</w:t>
      </w:r>
    </w:p>
    <w:p w:rsidR="00C009B6" w:rsidRDefault="00C009B6" w:rsidP="001559A5">
      <w:pPr>
        <w:widowControl w:val="0"/>
        <w:rPr>
          <w:sz w:val="17"/>
          <w:szCs w:val="17"/>
        </w:rPr>
      </w:pPr>
      <w:r>
        <w:rPr>
          <w:sz w:val="17"/>
          <w:szCs w:val="17"/>
        </w:rPr>
        <w:t xml:space="preserve">The level of consultation will be dependent upon the type and scale of the activity and subsequent likelihood of impact on fishing. Any type of activity which could cause spatial or temporal disturbance to fishing or scientific management should </w:t>
      </w:r>
      <w:r w:rsidR="005320A2">
        <w:rPr>
          <w:sz w:val="17"/>
          <w:szCs w:val="17"/>
        </w:rPr>
        <w:t>be the subject of consultation.</w:t>
      </w:r>
    </w:p>
    <w:p w:rsidR="00C009B6" w:rsidRPr="00C009B6" w:rsidRDefault="00C009B6" w:rsidP="001559A5">
      <w:pPr>
        <w:widowControl w:val="0"/>
        <w:rPr>
          <w:sz w:val="17"/>
          <w:szCs w:val="17"/>
        </w:rPr>
      </w:pPr>
      <w:r>
        <w:rPr>
          <w:sz w:val="17"/>
          <w:szCs w:val="17"/>
        </w:rPr>
        <w:t xml:space="preserve">In order for AFMA to consider the impact of proposals, clear maps with locations of proposed developments (in latitude and longitude in datum WGS 1984) and associated title references should be sent to AFMA via email at: </w:t>
      </w:r>
      <w:hyperlink r:id="rId42" w:tooltip="Email address to contact AFMA." w:history="1">
        <w:r w:rsidRPr="00530461">
          <w:rPr>
            <w:rStyle w:val="Hyperlink"/>
            <w:sz w:val="17"/>
            <w:szCs w:val="17"/>
          </w:rPr>
          <w:t>petroleum@afma.gov.au.</w:t>
        </w:r>
      </w:hyperlink>
    </w:p>
    <w:p w:rsidR="001559A5" w:rsidRPr="00530461" w:rsidRDefault="001559A5" w:rsidP="001559A5">
      <w:pPr>
        <w:widowControl w:val="0"/>
        <w:rPr>
          <w:sz w:val="17"/>
          <w:szCs w:val="17"/>
        </w:rPr>
      </w:pPr>
      <w:r w:rsidRPr="00530461">
        <w:rPr>
          <w:sz w:val="17"/>
          <w:szCs w:val="17"/>
        </w:rPr>
        <w:t>Consultation with the fishing industry should be undertaken</w:t>
      </w:r>
      <w:r w:rsidR="003267B7">
        <w:rPr>
          <w:sz w:val="17"/>
          <w:szCs w:val="17"/>
        </w:rPr>
        <w:t xml:space="preserve"> in respect of all activities</w:t>
      </w:r>
      <w:r w:rsidR="00530461" w:rsidRPr="00530461">
        <w:rPr>
          <w:sz w:val="17"/>
          <w:szCs w:val="17"/>
        </w:rPr>
        <w:t xml:space="preserve"> and</w:t>
      </w:r>
      <w:r w:rsidRPr="00530461">
        <w:rPr>
          <w:sz w:val="17"/>
          <w:szCs w:val="17"/>
        </w:rPr>
        <w:t xml:space="preserve"> early in the planning stages</w:t>
      </w:r>
      <w:r w:rsidR="00530461" w:rsidRPr="00530461">
        <w:rPr>
          <w:sz w:val="17"/>
          <w:szCs w:val="17"/>
        </w:rPr>
        <w:t xml:space="preserve"> of </w:t>
      </w:r>
      <w:r w:rsidR="005320A2">
        <w:rPr>
          <w:sz w:val="17"/>
          <w:szCs w:val="17"/>
        </w:rPr>
        <w:t>GHG assessment and injection activities</w:t>
      </w:r>
      <w:r w:rsidRPr="00530461">
        <w:rPr>
          <w:sz w:val="17"/>
          <w:szCs w:val="17"/>
        </w:rPr>
        <w:t xml:space="preserve"> prior to commencing operatio</w:t>
      </w:r>
      <w:r w:rsidR="00530461">
        <w:rPr>
          <w:sz w:val="17"/>
          <w:szCs w:val="17"/>
        </w:rPr>
        <w:t xml:space="preserve">ns. AFMA’s </w:t>
      </w:r>
      <w:hyperlink r:id="rId43" w:tooltip="Link to AFMA's one-stop-shop for petroleum activities and fisheries. " w:history="1">
        <w:r w:rsidR="00530461" w:rsidRPr="00530461">
          <w:rPr>
            <w:rStyle w:val="Hyperlink"/>
            <w:sz w:val="17"/>
            <w:szCs w:val="17"/>
          </w:rPr>
          <w:t>‘one-stop-shop’</w:t>
        </w:r>
      </w:hyperlink>
      <w:r w:rsidRPr="00530461">
        <w:rPr>
          <w:sz w:val="17"/>
          <w:szCs w:val="17"/>
        </w:rPr>
        <w:t xml:space="preserve"> contain</w:t>
      </w:r>
      <w:r w:rsidR="00530461">
        <w:rPr>
          <w:sz w:val="17"/>
          <w:szCs w:val="17"/>
        </w:rPr>
        <w:t>s</w:t>
      </w:r>
      <w:r w:rsidRPr="00530461">
        <w:rPr>
          <w:sz w:val="17"/>
          <w:szCs w:val="17"/>
        </w:rPr>
        <w:t xml:space="preserve"> a Fishing Consultation Directory of contacts for fishing industry associations in each fishery (where they exist). In some Commonwealth fisheries</w:t>
      </w:r>
      <w:r w:rsidR="00AB21DD" w:rsidRPr="00530461">
        <w:rPr>
          <w:sz w:val="17"/>
          <w:szCs w:val="17"/>
        </w:rPr>
        <w:t>,</w:t>
      </w:r>
      <w:r w:rsidRPr="00530461">
        <w:rPr>
          <w:sz w:val="17"/>
          <w:szCs w:val="17"/>
        </w:rPr>
        <w:t xml:space="preserve"> there are no associations other than the Commonwealth Fisheries Association. An</w:t>
      </w:r>
      <w:r w:rsidR="00530461">
        <w:rPr>
          <w:sz w:val="17"/>
          <w:szCs w:val="17"/>
        </w:rPr>
        <w:t>other option</w:t>
      </w:r>
      <w:r w:rsidRPr="00530461">
        <w:rPr>
          <w:sz w:val="17"/>
          <w:szCs w:val="17"/>
        </w:rPr>
        <w:t xml:space="preserve"> for </w:t>
      </w:r>
      <w:r w:rsidR="003267B7">
        <w:rPr>
          <w:sz w:val="17"/>
          <w:szCs w:val="17"/>
        </w:rPr>
        <w:t>potential bidders</w:t>
      </w:r>
      <w:r w:rsidRPr="00530461">
        <w:rPr>
          <w:sz w:val="17"/>
          <w:szCs w:val="17"/>
        </w:rPr>
        <w:t xml:space="preserve"> is to access the names and addresses of individual Commonwealth Statutory Fishing Rights, Fishing Permit and High Seas Permit holders from the Public Register, which can be obtained from AFMA Licensing for a prescribed fee of $50 (per </w:t>
      </w:r>
      <w:r w:rsidR="002667DF">
        <w:rPr>
          <w:sz w:val="17"/>
          <w:szCs w:val="17"/>
        </w:rPr>
        <w:t>entity</w:t>
      </w:r>
      <w:r w:rsidRPr="00530461">
        <w:rPr>
          <w:sz w:val="17"/>
          <w:szCs w:val="17"/>
        </w:rPr>
        <w:t>).</w:t>
      </w:r>
    </w:p>
    <w:p w:rsidR="001559A5" w:rsidRPr="00530461" w:rsidRDefault="001559A5" w:rsidP="001559A5">
      <w:pPr>
        <w:widowControl w:val="0"/>
        <w:rPr>
          <w:sz w:val="17"/>
          <w:szCs w:val="17"/>
        </w:rPr>
      </w:pPr>
      <w:r w:rsidRPr="00530461">
        <w:rPr>
          <w:sz w:val="17"/>
          <w:szCs w:val="17"/>
        </w:rPr>
        <w:t>Management Advisory Committees (MACs) provide AFMA with advice regarding the management of individual fisheries, including issues relating to other</w:t>
      </w:r>
      <w:r w:rsidR="005320A2">
        <w:rPr>
          <w:sz w:val="17"/>
          <w:szCs w:val="17"/>
        </w:rPr>
        <w:t xml:space="preserve"> uses of the marine environment</w:t>
      </w:r>
      <w:r w:rsidRPr="00530461">
        <w:rPr>
          <w:sz w:val="17"/>
          <w:szCs w:val="17"/>
        </w:rPr>
        <w:t xml:space="preserve">. AFMA, MACs and the broader fishing industry are concerned about some of the impacts of petroleum exploration </w:t>
      </w:r>
      <w:r w:rsidR="003267B7">
        <w:rPr>
          <w:sz w:val="17"/>
          <w:szCs w:val="17"/>
        </w:rPr>
        <w:t xml:space="preserve">and GHG storage assessment </w:t>
      </w:r>
      <w:r w:rsidRPr="00530461">
        <w:rPr>
          <w:sz w:val="17"/>
          <w:szCs w:val="17"/>
        </w:rPr>
        <w:t>on the marine environment.</w:t>
      </w:r>
    </w:p>
    <w:p w:rsidR="001559A5" w:rsidRPr="00530461" w:rsidRDefault="00620DBC" w:rsidP="001559A5">
      <w:pPr>
        <w:widowControl w:val="0"/>
        <w:rPr>
          <w:sz w:val="17"/>
          <w:szCs w:val="17"/>
          <w:u w:val="single"/>
        </w:rPr>
      </w:pPr>
      <w:r>
        <w:rPr>
          <w:sz w:val="17"/>
          <w:szCs w:val="17"/>
          <w:u w:val="single"/>
        </w:rPr>
        <w:t>Seismic surveys</w:t>
      </w:r>
    </w:p>
    <w:p w:rsidR="00530461" w:rsidRDefault="001559A5" w:rsidP="001559A5">
      <w:pPr>
        <w:widowControl w:val="0"/>
        <w:rPr>
          <w:sz w:val="17"/>
          <w:szCs w:val="17"/>
        </w:rPr>
      </w:pPr>
      <w:r w:rsidRPr="00530461">
        <w:rPr>
          <w:sz w:val="17"/>
          <w:szCs w:val="17"/>
        </w:rPr>
        <w:t xml:space="preserve">Concerns continue to be expressed about the impact of seismic surveys on the movements of migratory species, as well as on schools of fish which may disperse for prolonged periods following surveys. There are also specific anxieties relating to the potential impact of seismic surveys on fish populations, particularly when conducted over large areas or entire reefs. </w:t>
      </w:r>
      <w:r w:rsidR="005320A2">
        <w:rPr>
          <w:sz w:val="17"/>
          <w:szCs w:val="17"/>
        </w:rPr>
        <w:t xml:space="preserve">The </w:t>
      </w:r>
      <w:r w:rsidRPr="00530461">
        <w:rPr>
          <w:sz w:val="17"/>
          <w:szCs w:val="17"/>
        </w:rPr>
        <w:t>AFMA encourages thorough consultation with industry in relation t</w:t>
      </w:r>
      <w:r w:rsidR="00620DBC">
        <w:rPr>
          <w:sz w:val="17"/>
          <w:szCs w:val="17"/>
        </w:rPr>
        <w:t>o this issue</w:t>
      </w:r>
      <w:r w:rsidR="000E0493">
        <w:rPr>
          <w:sz w:val="17"/>
          <w:szCs w:val="17"/>
        </w:rPr>
        <w:t>.</w:t>
      </w:r>
    </w:p>
    <w:p w:rsidR="001559A5" w:rsidRPr="00530461" w:rsidRDefault="001559A5" w:rsidP="001559A5">
      <w:pPr>
        <w:widowControl w:val="0"/>
        <w:rPr>
          <w:sz w:val="17"/>
          <w:szCs w:val="17"/>
          <w:u w:val="single"/>
        </w:rPr>
      </w:pPr>
      <w:r w:rsidRPr="00530461">
        <w:rPr>
          <w:sz w:val="17"/>
          <w:szCs w:val="17"/>
          <w:u w:val="single"/>
        </w:rPr>
        <w:t>Debris</w:t>
      </w:r>
    </w:p>
    <w:p w:rsidR="001559A5" w:rsidRPr="00530461" w:rsidRDefault="001559A5" w:rsidP="001559A5">
      <w:pPr>
        <w:widowControl w:val="0"/>
        <w:rPr>
          <w:sz w:val="17"/>
          <w:szCs w:val="17"/>
        </w:rPr>
      </w:pPr>
      <w:r w:rsidRPr="00530461">
        <w:rPr>
          <w:sz w:val="17"/>
          <w:szCs w:val="17"/>
        </w:rPr>
        <w:lastRenderedPageBreak/>
        <w:t>AFMA wishes to stress the importance of remov</w:t>
      </w:r>
      <w:r w:rsidR="00530461">
        <w:rPr>
          <w:sz w:val="17"/>
          <w:szCs w:val="17"/>
        </w:rPr>
        <w:t xml:space="preserve">ing debris, and requests that </w:t>
      </w:r>
      <w:r w:rsidRPr="00530461">
        <w:rPr>
          <w:sz w:val="17"/>
          <w:szCs w:val="17"/>
        </w:rPr>
        <w:t>proponents make every attempt to leave exploration areas free of obstruction. In circumstances where this is not practicable, any remaining debris should be promptly reported to the relevan</w:t>
      </w:r>
      <w:r w:rsidR="00962AB2">
        <w:rPr>
          <w:sz w:val="17"/>
          <w:szCs w:val="17"/>
        </w:rPr>
        <w:t>t peak fishing industry bodies.</w:t>
      </w:r>
    </w:p>
    <w:p w:rsidR="00DD2E18" w:rsidRPr="00530461" w:rsidRDefault="00DD2E18" w:rsidP="00DD2E18">
      <w:pPr>
        <w:spacing w:after="0"/>
        <w:rPr>
          <w:b/>
          <w:sz w:val="17"/>
          <w:szCs w:val="17"/>
        </w:rPr>
      </w:pPr>
      <w:r w:rsidRPr="00530461">
        <w:rPr>
          <w:b/>
          <w:sz w:val="17"/>
          <w:szCs w:val="17"/>
        </w:rPr>
        <w:t>Australian Fisheries Management Authority</w:t>
      </w:r>
    </w:p>
    <w:p w:rsidR="00DD2E18" w:rsidRPr="00530461" w:rsidRDefault="00DD2E18" w:rsidP="00DD2E18">
      <w:pPr>
        <w:spacing w:after="0"/>
        <w:rPr>
          <w:sz w:val="17"/>
          <w:szCs w:val="17"/>
        </w:rPr>
      </w:pPr>
      <w:r w:rsidRPr="00530461">
        <w:rPr>
          <w:sz w:val="17"/>
          <w:szCs w:val="17"/>
        </w:rPr>
        <w:t>Policy, Environment, Economics and Research Section</w:t>
      </w:r>
    </w:p>
    <w:p w:rsidR="00DD2E18" w:rsidRPr="00530461" w:rsidRDefault="00DD2E18" w:rsidP="00DD2E18">
      <w:pPr>
        <w:spacing w:after="0"/>
        <w:rPr>
          <w:sz w:val="17"/>
          <w:szCs w:val="17"/>
        </w:rPr>
      </w:pPr>
      <w:r w:rsidRPr="00530461">
        <w:rPr>
          <w:sz w:val="17"/>
          <w:szCs w:val="17"/>
        </w:rPr>
        <w:t>Box 7051, Canberra BC</w:t>
      </w:r>
    </w:p>
    <w:p w:rsidR="00DD2E18" w:rsidRPr="00530461" w:rsidRDefault="00DD2E18" w:rsidP="00DD2E18">
      <w:pPr>
        <w:spacing w:after="0"/>
        <w:rPr>
          <w:sz w:val="17"/>
          <w:szCs w:val="17"/>
        </w:rPr>
      </w:pPr>
      <w:r w:rsidRPr="00530461">
        <w:rPr>
          <w:sz w:val="17"/>
          <w:szCs w:val="17"/>
        </w:rPr>
        <w:t>CANBERRA ACT 2610</w:t>
      </w:r>
    </w:p>
    <w:p w:rsidR="00DD2E18" w:rsidRPr="00530461" w:rsidRDefault="00DD2E18" w:rsidP="00DD2E18">
      <w:pPr>
        <w:spacing w:after="0"/>
        <w:rPr>
          <w:sz w:val="17"/>
          <w:szCs w:val="17"/>
        </w:rPr>
      </w:pPr>
      <w:r w:rsidRPr="00530461">
        <w:rPr>
          <w:sz w:val="17"/>
          <w:szCs w:val="17"/>
        </w:rPr>
        <w:t>Telephone: +61 2 6225 5555</w:t>
      </w:r>
    </w:p>
    <w:p w:rsidR="00DD2E18" w:rsidRPr="00530461" w:rsidRDefault="00DD2E18" w:rsidP="00DD2E18">
      <w:pPr>
        <w:spacing w:after="0"/>
        <w:rPr>
          <w:sz w:val="17"/>
          <w:szCs w:val="17"/>
        </w:rPr>
      </w:pPr>
      <w:r w:rsidRPr="00530461">
        <w:rPr>
          <w:sz w:val="17"/>
          <w:szCs w:val="17"/>
        </w:rPr>
        <w:t xml:space="preserve">Email: </w:t>
      </w:r>
      <w:hyperlink r:id="rId44" w:tooltip="Email to contact AFMA." w:history="1">
        <w:r w:rsidRPr="00F60155">
          <w:rPr>
            <w:rStyle w:val="Hyperlink"/>
            <w:sz w:val="17"/>
            <w:szCs w:val="17"/>
          </w:rPr>
          <w:t xml:space="preserve">petroleum@afma.gov.au  </w:t>
        </w:r>
      </w:hyperlink>
    </w:p>
    <w:p w:rsidR="00DD2E18" w:rsidRPr="00B54AC4" w:rsidRDefault="00DD2E18" w:rsidP="00DD2E18">
      <w:pPr>
        <w:spacing w:after="0"/>
        <w:rPr>
          <w:sz w:val="17"/>
          <w:szCs w:val="17"/>
          <w:highlight w:val="yellow"/>
        </w:rPr>
      </w:pPr>
    </w:p>
    <w:p w:rsidR="001559A5" w:rsidRPr="00F170A0" w:rsidRDefault="001559A5" w:rsidP="0099794E">
      <w:pPr>
        <w:pStyle w:val="Heading3"/>
      </w:pPr>
      <w:r w:rsidRPr="00F170A0">
        <w:t>N</w:t>
      </w:r>
      <w:r w:rsidR="00AB21DD" w:rsidRPr="00F170A0">
        <w:t>avigation</w:t>
      </w:r>
    </w:p>
    <w:p w:rsidR="001559A5" w:rsidRDefault="001559A5" w:rsidP="001559A5">
      <w:pPr>
        <w:widowControl w:val="0"/>
        <w:rPr>
          <w:sz w:val="17"/>
          <w:szCs w:val="17"/>
        </w:rPr>
      </w:pPr>
      <w:r w:rsidRPr="00F170A0">
        <w:rPr>
          <w:sz w:val="17"/>
          <w:szCs w:val="17"/>
        </w:rPr>
        <w:t xml:space="preserve">The Australian Maritime Safety Authority (AMSA) is a </w:t>
      </w:r>
      <w:r w:rsidR="00DE275B">
        <w:rPr>
          <w:sz w:val="17"/>
          <w:szCs w:val="17"/>
        </w:rPr>
        <w:t>Commonwealth</w:t>
      </w:r>
      <w:r w:rsidRPr="00F170A0">
        <w:rPr>
          <w:sz w:val="17"/>
          <w:szCs w:val="17"/>
        </w:rPr>
        <w:t xml:space="preserve"> agency</w:t>
      </w:r>
      <w:r w:rsidR="00DE275B">
        <w:rPr>
          <w:sz w:val="17"/>
          <w:szCs w:val="17"/>
        </w:rPr>
        <w:t xml:space="preserve"> responsible for maritime safety, protection of the marine environment and maritime and aviation search and rescue. </w:t>
      </w:r>
      <w:r w:rsidR="005320A2">
        <w:rPr>
          <w:sz w:val="17"/>
          <w:szCs w:val="17"/>
        </w:rPr>
        <w:t xml:space="preserve">Potential bidders </w:t>
      </w:r>
      <w:r w:rsidRPr="00F170A0">
        <w:rPr>
          <w:sz w:val="17"/>
          <w:szCs w:val="17"/>
        </w:rPr>
        <w:t xml:space="preserve">should note that </w:t>
      </w:r>
      <w:r w:rsidR="00DE275B">
        <w:rPr>
          <w:sz w:val="17"/>
          <w:szCs w:val="17"/>
        </w:rPr>
        <w:t xml:space="preserve">significant commercial </w:t>
      </w:r>
      <w:r w:rsidRPr="00F170A0">
        <w:rPr>
          <w:sz w:val="17"/>
          <w:szCs w:val="17"/>
        </w:rPr>
        <w:t xml:space="preserve">shipping will be encountered in some Release Areas and collision risks and </w:t>
      </w:r>
      <w:r w:rsidR="009D2DF7" w:rsidRPr="00F170A0">
        <w:rPr>
          <w:sz w:val="17"/>
          <w:szCs w:val="17"/>
        </w:rPr>
        <w:t>precautions must be addressed</w:t>
      </w:r>
      <w:r w:rsidR="00D10096">
        <w:rPr>
          <w:sz w:val="17"/>
          <w:szCs w:val="17"/>
        </w:rPr>
        <w:t xml:space="preserve"> in all cases</w:t>
      </w:r>
      <w:r w:rsidR="00D33C7A">
        <w:rPr>
          <w:sz w:val="17"/>
          <w:szCs w:val="17"/>
        </w:rPr>
        <w:t>.</w:t>
      </w:r>
    </w:p>
    <w:p w:rsidR="000C467B" w:rsidRDefault="00DE275B" w:rsidP="000C467B">
      <w:pPr>
        <w:widowControl w:val="0"/>
        <w:rPr>
          <w:sz w:val="17"/>
          <w:szCs w:val="17"/>
        </w:rPr>
      </w:pPr>
      <w:r>
        <w:rPr>
          <w:sz w:val="17"/>
          <w:szCs w:val="17"/>
        </w:rPr>
        <w:t>Before commencing any exploration, drilling or development operation, prop</w:t>
      </w:r>
      <w:r w:rsidR="00C22724">
        <w:rPr>
          <w:sz w:val="17"/>
          <w:szCs w:val="17"/>
        </w:rPr>
        <w:t xml:space="preserve">onents must contact AMSA’s </w:t>
      </w:r>
      <w:r>
        <w:rPr>
          <w:sz w:val="17"/>
          <w:szCs w:val="17"/>
        </w:rPr>
        <w:t xml:space="preserve">Nautical and Regulation Section </w:t>
      </w:r>
      <w:r w:rsidR="00C22724">
        <w:rPr>
          <w:sz w:val="17"/>
          <w:szCs w:val="17"/>
        </w:rPr>
        <w:t>(E</w:t>
      </w:r>
      <w:r w:rsidR="00E17C28">
        <w:rPr>
          <w:sz w:val="17"/>
          <w:szCs w:val="17"/>
        </w:rPr>
        <w:t>mail</w:t>
      </w:r>
      <w:r w:rsidR="00C22724">
        <w:rPr>
          <w:sz w:val="17"/>
          <w:szCs w:val="17"/>
        </w:rPr>
        <w:t xml:space="preserve">: </w:t>
      </w:r>
      <w:hyperlink r:id="rId45" w:tooltip="Email adddress to contact AMSA's Nautical Advice Section." w:history="1">
        <w:r w:rsidR="00C22724" w:rsidRPr="00F60155">
          <w:rPr>
            <w:rStyle w:val="Hyperlink"/>
            <w:sz w:val="17"/>
            <w:szCs w:val="17"/>
          </w:rPr>
          <w:t>NauticalAdvice@amsa.gov.au</w:t>
        </w:r>
      </w:hyperlink>
      <w:r w:rsidR="00C22724" w:rsidRPr="005320A2">
        <w:rPr>
          <w:rStyle w:val="Hyperlink"/>
          <w:color w:val="auto"/>
          <w:sz w:val="17"/>
          <w:szCs w:val="17"/>
        </w:rPr>
        <w:t xml:space="preserve">) </w:t>
      </w:r>
      <w:r>
        <w:rPr>
          <w:sz w:val="17"/>
          <w:szCs w:val="17"/>
        </w:rPr>
        <w:t>with a view to obtaining shipping traffic data and to discuss what anti-collision and/or preventative me</w:t>
      </w:r>
      <w:r w:rsidR="00520926">
        <w:rPr>
          <w:sz w:val="17"/>
          <w:szCs w:val="17"/>
        </w:rPr>
        <w:t xml:space="preserve">asures may be required by AMSA. </w:t>
      </w:r>
      <w:r>
        <w:rPr>
          <w:sz w:val="17"/>
          <w:szCs w:val="17"/>
        </w:rPr>
        <w:t>Such measures may include warning and navigational lights, Automatic Identification System (AIS) beacons and an offshore guard vessel that is able to monitor traffic and ensure anti-collision action is taken in the event of a vessel app</w:t>
      </w:r>
      <w:r w:rsidR="005320A2">
        <w:rPr>
          <w:sz w:val="17"/>
          <w:szCs w:val="17"/>
        </w:rPr>
        <w:t>roaching on a collision course.</w:t>
      </w:r>
    </w:p>
    <w:p w:rsidR="00DE275B" w:rsidRDefault="00DE275B" w:rsidP="00DE275B">
      <w:pPr>
        <w:widowControl w:val="0"/>
        <w:rPr>
          <w:sz w:val="17"/>
          <w:szCs w:val="17"/>
        </w:rPr>
      </w:pPr>
      <w:r>
        <w:rPr>
          <w:sz w:val="17"/>
          <w:szCs w:val="17"/>
        </w:rPr>
        <w:t xml:space="preserve">For </w:t>
      </w:r>
      <w:r w:rsidR="005320A2">
        <w:rPr>
          <w:sz w:val="17"/>
          <w:szCs w:val="17"/>
        </w:rPr>
        <w:t>assessment and injection</w:t>
      </w:r>
      <w:r>
        <w:rPr>
          <w:sz w:val="17"/>
          <w:szCs w:val="17"/>
        </w:rPr>
        <w:t xml:space="preserve"> drilling </w:t>
      </w:r>
      <w:r w:rsidR="005320A2">
        <w:rPr>
          <w:sz w:val="17"/>
          <w:szCs w:val="17"/>
        </w:rPr>
        <w:t xml:space="preserve">activities </w:t>
      </w:r>
      <w:r>
        <w:rPr>
          <w:sz w:val="17"/>
          <w:szCs w:val="17"/>
        </w:rPr>
        <w:t>including the use of Mobile Offshore Drilling Units (MODU), proponents should take all possible and practicable action to avoid any stationary/Dynamic Positioning drilling activities, including the related drilling exclusion zones, to be conducted withi</w:t>
      </w:r>
      <w:r w:rsidR="005320A2">
        <w:rPr>
          <w:sz w:val="17"/>
          <w:szCs w:val="17"/>
        </w:rPr>
        <w:t>n a chartered Shipping Fairway.</w:t>
      </w:r>
    </w:p>
    <w:p w:rsidR="00F170A0" w:rsidRDefault="002A288E" w:rsidP="001559A5">
      <w:pPr>
        <w:widowControl w:val="0"/>
        <w:rPr>
          <w:sz w:val="17"/>
          <w:szCs w:val="17"/>
        </w:rPr>
      </w:pPr>
      <w:r>
        <w:rPr>
          <w:sz w:val="17"/>
          <w:szCs w:val="17"/>
        </w:rPr>
        <w:t xml:space="preserve">For </w:t>
      </w:r>
      <w:r w:rsidR="00F170A0">
        <w:rPr>
          <w:sz w:val="17"/>
          <w:szCs w:val="17"/>
        </w:rPr>
        <w:t xml:space="preserve">non-drilling </w:t>
      </w:r>
      <w:r w:rsidR="005320A2">
        <w:rPr>
          <w:sz w:val="17"/>
          <w:szCs w:val="17"/>
        </w:rPr>
        <w:t>assessment</w:t>
      </w:r>
      <w:r w:rsidR="00F170A0">
        <w:rPr>
          <w:sz w:val="17"/>
          <w:szCs w:val="17"/>
        </w:rPr>
        <w:t xml:space="preserve"> activities including hydrographic surveys, 2D and 3D seismic surveys and bottom sampling, proponents are requested</w:t>
      </w:r>
      <w:r w:rsidR="00F40F7A">
        <w:rPr>
          <w:sz w:val="17"/>
          <w:szCs w:val="17"/>
        </w:rPr>
        <w:t xml:space="preserve"> to</w:t>
      </w:r>
      <w:r w:rsidR="00F170A0">
        <w:rPr>
          <w:sz w:val="17"/>
          <w:szCs w:val="17"/>
        </w:rPr>
        <w:t xml:space="preserve"> liaise closely with the Nautical and Regulation Manager of AMSA regarding navigational safety including identification of</w:t>
      </w:r>
      <w:r w:rsidR="00F170A0" w:rsidRPr="00F170A0">
        <w:rPr>
          <w:sz w:val="17"/>
          <w:szCs w:val="17"/>
        </w:rPr>
        <w:t xml:space="preserve"> </w:t>
      </w:r>
      <w:r w:rsidR="00F170A0">
        <w:rPr>
          <w:sz w:val="17"/>
          <w:szCs w:val="17"/>
        </w:rPr>
        <w:t>suggested preventative anti-</w:t>
      </w:r>
      <w:r w:rsidR="00F170A0" w:rsidRPr="00F170A0">
        <w:rPr>
          <w:sz w:val="17"/>
          <w:szCs w:val="17"/>
        </w:rPr>
        <w:t xml:space="preserve">collision </w:t>
      </w:r>
      <w:r w:rsidR="00F170A0">
        <w:rPr>
          <w:sz w:val="17"/>
          <w:szCs w:val="17"/>
        </w:rPr>
        <w:t xml:space="preserve">or avoidance </w:t>
      </w:r>
      <w:r w:rsidR="00F170A0" w:rsidRPr="00F170A0">
        <w:rPr>
          <w:sz w:val="17"/>
          <w:szCs w:val="17"/>
        </w:rPr>
        <w:t>measures</w:t>
      </w:r>
      <w:r w:rsidR="00F170A0">
        <w:rPr>
          <w:sz w:val="17"/>
          <w:szCs w:val="17"/>
        </w:rPr>
        <w:t>. In addition to safety measures, AMSA may recommend proposed changes to survey run lines and/or modifications to proposed op</w:t>
      </w:r>
      <w:r w:rsidR="005320A2">
        <w:rPr>
          <w:sz w:val="17"/>
          <w:szCs w:val="17"/>
        </w:rPr>
        <w:t>erational areas within a title.</w:t>
      </w:r>
    </w:p>
    <w:p w:rsidR="00DE275B" w:rsidRPr="00F170A0" w:rsidRDefault="005320A2" w:rsidP="001559A5">
      <w:pPr>
        <w:widowControl w:val="0"/>
        <w:rPr>
          <w:sz w:val="17"/>
          <w:szCs w:val="17"/>
        </w:rPr>
      </w:pPr>
      <w:r>
        <w:rPr>
          <w:sz w:val="17"/>
          <w:szCs w:val="17"/>
        </w:rPr>
        <w:t>Assessment</w:t>
      </w:r>
      <w:r w:rsidR="00DE275B">
        <w:rPr>
          <w:sz w:val="17"/>
          <w:szCs w:val="17"/>
        </w:rPr>
        <w:t xml:space="preserve"> drilling and development activities should be avoided within, and in the approaches to, chartered Shipping Fairways and are not permitted within International Maritime Organisation adop</w:t>
      </w:r>
      <w:r>
        <w:rPr>
          <w:sz w:val="17"/>
          <w:szCs w:val="17"/>
        </w:rPr>
        <w:t>ted Traffic Separation Schemes.</w:t>
      </w:r>
    </w:p>
    <w:p w:rsidR="00DE275B" w:rsidRDefault="00DE275B" w:rsidP="001559A5">
      <w:pPr>
        <w:widowControl w:val="0"/>
        <w:rPr>
          <w:sz w:val="17"/>
          <w:szCs w:val="17"/>
        </w:rPr>
      </w:pPr>
      <w:r>
        <w:rPr>
          <w:sz w:val="17"/>
          <w:szCs w:val="17"/>
        </w:rPr>
        <w:t xml:space="preserve">Further information regarding ship safety is available at: </w:t>
      </w:r>
      <w:hyperlink r:id="rId46" w:history="1">
        <w:r w:rsidR="005320A2" w:rsidRPr="009A77B3">
          <w:rPr>
            <w:rStyle w:val="Hyperlink"/>
            <w:sz w:val="17"/>
            <w:szCs w:val="17"/>
          </w:rPr>
          <w:t>www.amsa.gov.au/navigation/shipping-management/offshore-activities/</w:t>
        </w:r>
      </w:hyperlink>
    </w:p>
    <w:p w:rsidR="00D10096" w:rsidRPr="00F170A0" w:rsidRDefault="00D10096" w:rsidP="001559A5">
      <w:pPr>
        <w:widowControl w:val="0"/>
        <w:rPr>
          <w:sz w:val="17"/>
          <w:szCs w:val="17"/>
        </w:rPr>
      </w:pPr>
      <w:r>
        <w:rPr>
          <w:sz w:val="17"/>
          <w:szCs w:val="17"/>
        </w:rPr>
        <w:t xml:space="preserve">Information regarding related spatial data requests including digital data and map products can be found at: </w:t>
      </w:r>
      <w:hyperlink r:id="rId47" w:history="1">
        <w:r w:rsidR="005320A2" w:rsidRPr="009A77B3">
          <w:rPr>
            <w:rStyle w:val="Hyperlink"/>
            <w:sz w:val="17"/>
            <w:szCs w:val="17"/>
          </w:rPr>
          <w:t>www.amsa.gov.au/community/online-service</w:t>
        </w:r>
      </w:hyperlink>
    </w:p>
    <w:p w:rsidR="00711254" w:rsidRPr="00A92BD7" w:rsidRDefault="00711254" w:rsidP="0099794E">
      <w:pPr>
        <w:pStyle w:val="Heading3"/>
      </w:pPr>
      <w:r w:rsidRPr="00A92BD7">
        <w:t>Telecommunication (Submarine) Cables</w:t>
      </w:r>
    </w:p>
    <w:p w:rsidR="00F17F05" w:rsidRPr="00F17F05" w:rsidRDefault="00F17F05" w:rsidP="00F17F05">
      <w:pPr>
        <w:widowControl w:val="0"/>
        <w:rPr>
          <w:sz w:val="17"/>
          <w:szCs w:val="17"/>
        </w:rPr>
      </w:pPr>
      <w:r w:rsidRPr="00F17F05">
        <w:rPr>
          <w:sz w:val="17"/>
          <w:szCs w:val="17"/>
        </w:rPr>
        <w:t>Submarine telecommunication cables carry the bulk of Australia’s international voice and data traffic and are a vital component of our national infrastructure linking Australia with other countries. Submarine cables are vulnerable to damage and breakage, which can have serious consequences for the flow of inf</w:t>
      </w:r>
      <w:r w:rsidR="00D33C7A">
        <w:rPr>
          <w:sz w:val="17"/>
          <w:szCs w:val="17"/>
        </w:rPr>
        <w:t>ormation to and from Australia.</w:t>
      </w:r>
    </w:p>
    <w:p w:rsidR="00F17F05" w:rsidRPr="00F17F05" w:rsidRDefault="00F17F05" w:rsidP="00F17F05">
      <w:pPr>
        <w:widowControl w:val="0"/>
        <w:rPr>
          <w:sz w:val="17"/>
          <w:szCs w:val="17"/>
        </w:rPr>
      </w:pPr>
      <w:r w:rsidRPr="00F17F05">
        <w:rPr>
          <w:sz w:val="17"/>
          <w:szCs w:val="17"/>
        </w:rPr>
        <w:t xml:space="preserve">The Department of Communications has responsibility for Schedule 3A of the </w:t>
      </w:r>
      <w:r w:rsidRPr="00F17F05">
        <w:rPr>
          <w:i/>
          <w:sz w:val="17"/>
          <w:szCs w:val="17"/>
        </w:rPr>
        <w:t>Telecommunications Act 1997</w:t>
      </w:r>
      <w:r w:rsidRPr="00F17F05">
        <w:rPr>
          <w:sz w:val="17"/>
          <w:szCs w:val="17"/>
        </w:rPr>
        <w:t>, which is administered by the Australian Communications Media Authority.</w:t>
      </w:r>
    </w:p>
    <w:p w:rsidR="00C53CDA" w:rsidRPr="00C53CDA" w:rsidRDefault="00C53CDA" w:rsidP="00C53CDA">
      <w:pPr>
        <w:widowControl w:val="0"/>
        <w:rPr>
          <w:sz w:val="17"/>
          <w:szCs w:val="17"/>
        </w:rPr>
      </w:pPr>
      <w:r w:rsidRPr="00C53CDA">
        <w:rPr>
          <w:sz w:val="17"/>
          <w:szCs w:val="17"/>
        </w:rPr>
        <w:t xml:space="preserve">The </w:t>
      </w:r>
      <w:r w:rsidRPr="00F17F05">
        <w:rPr>
          <w:i/>
          <w:sz w:val="17"/>
          <w:szCs w:val="17"/>
        </w:rPr>
        <w:t>Telecommunications Act 1997</w:t>
      </w:r>
      <w:r w:rsidRPr="00C53CDA">
        <w:rPr>
          <w:sz w:val="17"/>
          <w:szCs w:val="17"/>
        </w:rPr>
        <w:t xml:space="preserve"> provides for submarine cable protection zones to be declared around international submarine cables that are considered to be of national significance. Certain activities, including exploring for resources and mining</w:t>
      </w:r>
      <w:r w:rsidR="00F17F05">
        <w:rPr>
          <w:sz w:val="17"/>
          <w:szCs w:val="17"/>
        </w:rPr>
        <w:t>,</w:t>
      </w:r>
      <w:r w:rsidRPr="00C53CDA">
        <w:rPr>
          <w:sz w:val="17"/>
          <w:szCs w:val="17"/>
        </w:rPr>
        <w:t xml:space="preserve"> are prohibited or restricted in protection zones. There are currently three protection zones: the North and South Sydney Protection Zones and the Perth Protection Zone.</w:t>
      </w:r>
    </w:p>
    <w:p w:rsidR="00C53CDA" w:rsidRPr="00C53CDA" w:rsidRDefault="00C53CDA" w:rsidP="00C53CDA">
      <w:pPr>
        <w:widowControl w:val="0"/>
        <w:rPr>
          <w:sz w:val="17"/>
          <w:szCs w:val="17"/>
        </w:rPr>
      </w:pPr>
      <w:r w:rsidRPr="00C53CDA">
        <w:rPr>
          <w:sz w:val="17"/>
          <w:szCs w:val="17"/>
        </w:rPr>
        <w:t xml:space="preserve">The </w:t>
      </w:r>
      <w:r w:rsidR="00F17F05">
        <w:rPr>
          <w:sz w:val="17"/>
          <w:szCs w:val="17"/>
        </w:rPr>
        <w:t xml:space="preserve">2014 </w:t>
      </w:r>
      <w:r w:rsidRPr="00C53CDA">
        <w:rPr>
          <w:sz w:val="17"/>
          <w:szCs w:val="17"/>
        </w:rPr>
        <w:t xml:space="preserve">Release </w:t>
      </w:r>
      <w:r w:rsidR="001660D4">
        <w:rPr>
          <w:sz w:val="17"/>
          <w:szCs w:val="17"/>
        </w:rPr>
        <w:t xml:space="preserve">Areas </w:t>
      </w:r>
      <w:r w:rsidRPr="00C53CDA">
        <w:rPr>
          <w:sz w:val="17"/>
          <w:szCs w:val="17"/>
        </w:rPr>
        <w:t xml:space="preserve">do not appear to be in the vicinity of existing protection zones. However, the protection zone regime does not cover domestic cables or all international cables. </w:t>
      </w:r>
      <w:r w:rsidR="00F17F05">
        <w:rPr>
          <w:sz w:val="17"/>
          <w:szCs w:val="17"/>
        </w:rPr>
        <w:t>P</w:t>
      </w:r>
      <w:r w:rsidRPr="00C53CDA">
        <w:rPr>
          <w:sz w:val="17"/>
          <w:szCs w:val="17"/>
        </w:rPr>
        <w:t xml:space="preserve">otential </w:t>
      </w:r>
      <w:r w:rsidR="00F17F05">
        <w:rPr>
          <w:sz w:val="17"/>
          <w:szCs w:val="17"/>
        </w:rPr>
        <w:t>bidders are</w:t>
      </w:r>
      <w:r w:rsidR="00D33C7A">
        <w:rPr>
          <w:sz w:val="17"/>
          <w:szCs w:val="17"/>
        </w:rPr>
        <w:t>,</w:t>
      </w:r>
      <w:r w:rsidR="00F17F05">
        <w:rPr>
          <w:sz w:val="17"/>
          <w:szCs w:val="17"/>
        </w:rPr>
        <w:t xml:space="preserve"> therefore</w:t>
      </w:r>
      <w:r w:rsidR="00D33C7A">
        <w:rPr>
          <w:sz w:val="17"/>
          <w:szCs w:val="17"/>
        </w:rPr>
        <w:t>,</w:t>
      </w:r>
      <w:r w:rsidR="00F17F05">
        <w:rPr>
          <w:sz w:val="17"/>
          <w:szCs w:val="17"/>
        </w:rPr>
        <w:t xml:space="preserve"> urged </w:t>
      </w:r>
      <w:r w:rsidRPr="00C53CDA">
        <w:rPr>
          <w:sz w:val="17"/>
          <w:szCs w:val="17"/>
        </w:rPr>
        <w:t>to contact submarine cable providers early in their planning processes to ensure they do not inadvertently damage telecommunications cables.</w:t>
      </w:r>
    </w:p>
    <w:p w:rsidR="00C53CDA" w:rsidRPr="00C53CDA" w:rsidRDefault="00BD44AC" w:rsidP="00C53CDA">
      <w:pPr>
        <w:widowControl w:val="0"/>
        <w:rPr>
          <w:sz w:val="17"/>
          <w:szCs w:val="17"/>
        </w:rPr>
      </w:pPr>
      <w:r w:rsidRPr="00BD44AC">
        <w:rPr>
          <w:sz w:val="17"/>
          <w:szCs w:val="17"/>
        </w:rPr>
        <w:t xml:space="preserve">Particular attention should be paid to the three telecommunications cables across Bass Strait, two of which are operated by Telstra. The third is operated by </w:t>
      </w:r>
      <w:proofErr w:type="spellStart"/>
      <w:r w:rsidRPr="00BD44AC">
        <w:rPr>
          <w:sz w:val="17"/>
          <w:szCs w:val="17"/>
        </w:rPr>
        <w:t>Basslink</w:t>
      </w:r>
      <w:proofErr w:type="spellEnd"/>
      <w:r w:rsidRPr="00BD44AC">
        <w:rPr>
          <w:sz w:val="17"/>
          <w:szCs w:val="17"/>
        </w:rPr>
        <w:t>, which is collocated with its electricity cable.</w:t>
      </w:r>
      <w:r w:rsidR="00F17F05">
        <w:rPr>
          <w:sz w:val="17"/>
          <w:szCs w:val="17"/>
        </w:rPr>
        <w:t xml:space="preserve"> </w:t>
      </w:r>
      <w:r w:rsidR="00C53CDA" w:rsidRPr="00C53CDA">
        <w:rPr>
          <w:sz w:val="17"/>
          <w:szCs w:val="17"/>
        </w:rPr>
        <w:t>The relevant contact</w:t>
      </w:r>
      <w:r>
        <w:rPr>
          <w:sz w:val="17"/>
          <w:szCs w:val="17"/>
        </w:rPr>
        <w:t>s</w:t>
      </w:r>
      <w:r w:rsidR="00C53CDA" w:rsidRPr="00C53CDA">
        <w:rPr>
          <w:sz w:val="17"/>
          <w:szCs w:val="17"/>
        </w:rPr>
        <w:t xml:space="preserve"> for </w:t>
      </w:r>
      <w:r>
        <w:rPr>
          <w:sz w:val="17"/>
          <w:szCs w:val="17"/>
        </w:rPr>
        <w:t>the cables across Bass Strait are</w:t>
      </w:r>
      <w:r w:rsidR="00C53CDA" w:rsidRPr="00C53CDA">
        <w:rPr>
          <w:sz w:val="17"/>
          <w:szCs w:val="17"/>
        </w:rPr>
        <w:t>:</w:t>
      </w:r>
    </w:p>
    <w:p w:rsidR="00BD44AC" w:rsidRPr="005A0767" w:rsidRDefault="00BD44AC" w:rsidP="00BD44AC">
      <w:pPr>
        <w:widowControl w:val="0"/>
        <w:spacing w:after="0"/>
        <w:rPr>
          <w:b/>
          <w:sz w:val="17"/>
          <w:szCs w:val="17"/>
        </w:rPr>
      </w:pPr>
      <w:r w:rsidRPr="005A0767">
        <w:rPr>
          <w:b/>
          <w:sz w:val="17"/>
          <w:szCs w:val="17"/>
        </w:rPr>
        <w:t>Telstra</w:t>
      </w:r>
    </w:p>
    <w:p w:rsidR="00BD44AC" w:rsidRPr="005A0767" w:rsidRDefault="00BD44AC" w:rsidP="00BD44AC">
      <w:pPr>
        <w:widowControl w:val="0"/>
        <w:spacing w:after="0"/>
        <w:rPr>
          <w:sz w:val="17"/>
          <w:szCs w:val="17"/>
        </w:rPr>
      </w:pPr>
      <w:r w:rsidRPr="005A0767">
        <w:rPr>
          <w:sz w:val="17"/>
          <w:szCs w:val="17"/>
        </w:rPr>
        <w:t>Zack Gurdon</w:t>
      </w:r>
    </w:p>
    <w:p w:rsidR="00BD44AC" w:rsidRPr="005A0767" w:rsidRDefault="00BD44AC" w:rsidP="00BD44AC">
      <w:pPr>
        <w:widowControl w:val="0"/>
        <w:spacing w:after="0"/>
        <w:rPr>
          <w:sz w:val="17"/>
          <w:szCs w:val="17"/>
        </w:rPr>
      </w:pPr>
      <w:r w:rsidRPr="005A0767">
        <w:rPr>
          <w:sz w:val="17"/>
          <w:szCs w:val="17"/>
        </w:rPr>
        <w:t>General Manager Enterprise Security and Resilience</w:t>
      </w:r>
    </w:p>
    <w:p w:rsidR="00BD44AC" w:rsidRPr="005A0767" w:rsidRDefault="00BD44AC" w:rsidP="00BD44AC">
      <w:pPr>
        <w:widowControl w:val="0"/>
        <w:spacing w:after="0"/>
        <w:rPr>
          <w:sz w:val="17"/>
          <w:szCs w:val="17"/>
        </w:rPr>
      </w:pPr>
      <w:proofErr w:type="spellStart"/>
      <w:r w:rsidRPr="005A0767">
        <w:rPr>
          <w:sz w:val="17"/>
          <w:szCs w:val="17"/>
        </w:rPr>
        <w:t>Ph</w:t>
      </w:r>
      <w:proofErr w:type="spellEnd"/>
      <w:r w:rsidRPr="005A0767">
        <w:rPr>
          <w:sz w:val="17"/>
          <w:szCs w:val="17"/>
        </w:rPr>
        <w:t xml:space="preserve">: 03 </w:t>
      </w:r>
      <w:r w:rsidR="004A6748" w:rsidRPr="005A0767">
        <w:rPr>
          <w:sz w:val="17"/>
          <w:szCs w:val="17"/>
        </w:rPr>
        <w:t>8</w:t>
      </w:r>
      <w:r w:rsidRPr="005A0767">
        <w:rPr>
          <w:sz w:val="17"/>
          <w:szCs w:val="17"/>
        </w:rPr>
        <w:t>649 5454</w:t>
      </w:r>
    </w:p>
    <w:p w:rsidR="00BD44AC" w:rsidRPr="005A0767" w:rsidRDefault="00BD44AC" w:rsidP="00BD44AC">
      <w:pPr>
        <w:widowControl w:val="0"/>
        <w:spacing w:after="0"/>
        <w:rPr>
          <w:sz w:val="17"/>
          <w:szCs w:val="17"/>
        </w:rPr>
      </w:pPr>
      <w:r w:rsidRPr="005A0767">
        <w:rPr>
          <w:sz w:val="17"/>
          <w:szCs w:val="17"/>
        </w:rPr>
        <w:t xml:space="preserve">Email: </w:t>
      </w:r>
      <w:hyperlink r:id="rId48" w:history="1">
        <w:r w:rsidRPr="005A0767">
          <w:rPr>
            <w:rStyle w:val="Hyperlink"/>
          </w:rPr>
          <w:t>zack.gurdon@team.telstra.com.au</w:t>
        </w:r>
      </w:hyperlink>
    </w:p>
    <w:p w:rsidR="00BD44AC" w:rsidRPr="005A0767" w:rsidRDefault="00BD44AC" w:rsidP="00BD44AC">
      <w:pPr>
        <w:widowControl w:val="0"/>
        <w:spacing w:after="0"/>
        <w:rPr>
          <w:sz w:val="17"/>
          <w:szCs w:val="17"/>
        </w:rPr>
      </w:pPr>
    </w:p>
    <w:p w:rsidR="00BD44AC" w:rsidRPr="005A0767" w:rsidRDefault="00BD44AC" w:rsidP="00BD44AC">
      <w:pPr>
        <w:widowControl w:val="0"/>
        <w:spacing w:after="0"/>
        <w:rPr>
          <w:b/>
          <w:sz w:val="17"/>
          <w:szCs w:val="17"/>
        </w:rPr>
      </w:pPr>
      <w:proofErr w:type="spellStart"/>
      <w:r w:rsidRPr="005A0767">
        <w:rPr>
          <w:b/>
          <w:sz w:val="17"/>
          <w:szCs w:val="17"/>
        </w:rPr>
        <w:t>Basslink</w:t>
      </w:r>
      <w:proofErr w:type="spellEnd"/>
    </w:p>
    <w:p w:rsidR="00BD44AC" w:rsidRPr="005A0767" w:rsidRDefault="00BD44AC" w:rsidP="00BD44AC">
      <w:pPr>
        <w:widowControl w:val="0"/>
        <w:spacing w:after="0"/>
        <w:rPr>
          <w:sz w:val="17"/>
          <w:szCs w:val="17"/>
        </w:rPr>
      </w:pPr>
      <w:r w:rsidRPr="005A0767">
        <w:rPr>
          <w:sz w:val="17"/>
          <w:szCs w:val="17"/>
        </w:rPr>
        <w:t>Malcolm Eccles</w:t>
      </w:r>
    </w:p>
    <w:p w:rsidR="00BD44AC" w:rsidRPr="005A0767" w:rsidRDefault="00BD44AC" w:rsidP="00BD44AC">
      <w:pPr>
        <w:widowControl w:val="0"/>
        <w:spacing w:after="0"/>
        <w:rPr>
          <w:sz w:val="17"/>
          <w:szCs w:val="17"/>
        </w:rPr>
      </w:pPr>
      <w:r w:rsidRPr="005A0767">
        <w:rPr>
          <w:sz w:val="17"/>
          <w:szCs w:val="17"/>
        </w:rPr>
        <w:t>Chief Executive Officer</w:t>
      </w:r>
    </w:p>
    <w:p w:rsidR="00BD44AC" w:rsidRPr="005A0767" w:rsidRDefault="00BD44AC" w:rsidP="00BD44AC">
      <w:pPr>
        <w:widowControl w:val="0"/>
        <w:spacing w:after="0"/>
        <w:rPr>
          <w:sz w:val="17"/>
          <w:szCs w:val="17"/>
        </w:rPr>
      </w:pPr>
      <w:proofErr w:type="spellStart"/>
      <w:r w:rsidRPr="005A0767">
        <w:rPr>
          <w:sz w:val="17"/>
          <w:szCs w:val="17"/>
        </w:rPr>
        <w:t>Ph</w:t>
      </w:r>
      <w:proofErr w:type="spellEnd"/>
      <w:r w:rsidRPr="005A0767">
        <w:rPr>
          <w:sz w:val="17"/>
          <w:szCs w:val="17"/>
        </w:rPr>
        <w:t>: 03 9607 4712</w:t>
      </w:r>
    </w:p>
    <w:p w:rsidR="00BD44AC" w:rsidRPr="00BD44AC" w:rsidRDefault="00BD44AC" w:rsidP="00BD44AC">
      <w:pPr>
        <w:widowControl w:val="0"/>
        <w:spacing w:after="0"/>
        <w:rPr>
          <w:sz w:val="17"/>
          <w:szCs w:val="17"/>
        </w:rPr>
      </w:pPr>
      <w:r w:rsidRPr="005A0767">
        <w:rPr>
          <w:sz w:val="17"/>
          <w:szCs w:val="17"/>
        </w:rPr>
        <w:t xml:space="preserve">Email: </w:t>
      </w:r>
      <w:hyperlink r:id="rId49" w:history="1">
        <w:r w:rsidRPr="005A0767">
          <w:rPr>
            <w:rStyle w:val="Hyperlink"/>
          </w:rPr>
          <w:t>malcolm.eccles@basslink.com.au</w:t>
        </w:r>
      </w:hyperlink>
    </w:p>
    <w:p w:rsidR="00BD44AC" w:rsidRPr="00C53CDA" w:rsidRDefault="00BD44AC" w:rsidP="000F35CE">
      <w:pPr>
        <w:widowControl w:val="0"/>
        <w:spacing w:after="0"/>
        <w:rPr>
          <w:sz w:val="17"/>
          <w:szCs w:val="17"/>
        </w:rPr>
      </w:pPr>
    </w:p>
    <w:p w:rsidR="00711254" w:rsidRPr="00085DBD" w:rsidRDefault="00711254" w:rsidP="0099794E">
      <w:pPr>
        <w:pStyle w:val="Heading3"/>
      </w:pPr>
      <w:r w:rsidRPr="00D44914">
        <w:t>Insurance</w:t>
      </w:r>
    </w:p>
    <w:p w:rsidR="00711254" w:rsidRPr="00711254" w:rsidRDefault="00711254" w:rsidP="00711254">
      <w:pPr>
        <w:widowControl w:val="0"/>
        <w:rPr>
          <w:sz w:val="17"/>
          <w:szCs w:val="17"/>
        </w:rPr>
      </w:pPr>
      <w:r w:rsidRPr="00D44914">
        <w:rPr>
          <w:sz w:val="17"/>
          <w:szCs w:val="17"/>
        </w:rPr>
        <w:t xml:space="preserve">Under the </w:t>
      </w:r>
      <w:r w:rsidR="00BD44AC" w:rsidRPr="00BD44AC">
        <w:rPr>
          <w:sz w:val="17"/>
          <w:szCs w:val="17"/>
        </w:rPr>
        <w:t>OPGGSA</w:t>
      </w:r>
      <w:r w:rsidRPr="00D44914">
        <w:rPr>
          <w:sz w:val="17"/>
          <w:szCs w:val="17"/>
        </w:rPr>
        <w:t xml:space="preserve">, successful </w:t>
      </w:r>
      <w:r w:rsidR="00BD44AC">
        <w:rPr>
          <w:sz w:val="17"/>
          <w:szCs w:val="17"/>
        </w:rPr>
        <w:t>bidders</w:t>
      </w:r>
      <w:r w:rsidRPr="00D44914">
        <w:rPr>
          <w:sz w:val="17"/>
          <w:szCs w:val="17"/>
        </w:rPr>
        <w:t xml:space="preserve"> are required to maintain adequate insurance against expenses or liabilities in relation to activities pursuant to the </w:t>
      </w:r>
      <w:r w:rsidR="00D33C7A">
        <w:rPr>
          <w:sz w:val="17"/>
          <w:szCs w:val="17"/>
        </w:rPr>
        <w:t>assessment</w:t>
      </w:r>
      <w:r w:rsidRPr="00D44914">
        <w:rPr>
          <w:sz w:val="17"/>
          <w:szCs w:val="17"/>
        </w:rPr>
        <w:t xml:space="preserve"> permit, including the expenses of complying with directions with respect to remedying the effects of the escape of </w:t>
      </w:r>
      <w:r w:rsidR="00BD44AC">
        <w:rPr>
          <w:sz w:val="17"/>
          <w:szCs w:val="17"/>
        </w:rPr>
        <w:t>GHG</w:t>
      </w:r>
      <w:r w:rsidRPr="00D44914">
        <w:rPr>
          <w:sz w:val="17"/>
          <w:szCs w:val="17"/>
        </w:rPr>
        <w:t>.</w:t>
      </w:r>
    </w:p>
    <w:p w:rsidR="00C009B6" w:rsidRDefault="00C009B6" w:rsidP="0099794E">
      <w:pPr>
        <w:pStyle w:val="Heading3"/>
        <w:rPr>
          <w:rFonts w:eastAsia="Times New Roman"/>
          <w:lang w:eastAsia="en-AU"/>
        </w:rPr>
      </w:pPr>
      <w:r w:rsidRPr="00226545">
        <w:rPr>
          <w:rFonts w:eastAsia="Times New Roman"/>
          <w:lang w:eastAsia="en-AU"/>
        </w:rPr>
        <w:t>N</w:t>
      </w:r>
      <w:r>
        <w:rPr>
          <w:rFonts w:eastAsia="Times New Roman"/>
          <w:lang w:eastAsia="en-AU"/>
        </w:rPr>
        <w:t>ative Title</w:t>
      </w:r>
    </w:p>
    <w:p w:rsidR="00C009B6" w:rsidRPr="00226545" w:rsidRDefault="00C009B6" w:rsidP="00C009B6">
      <w:pPr>
        <w:shd w:val="clear" w:color="auto" w:fill="FFFFFF"/>
        <w:rPr>
          <w:rFonts w:ascii="Arial Bold" w:eastAsia="Times New Roman" w:hAnsi="Arial Bold" w:cs="Arial"/>
          <w:b/>
          <w:iCs/>
          <w:sz w:val="17"/>
          <w:szCs w:val="17"/>
          <w:lang w:eastAsia="en-AU"/>
        </w:rPr>
      </w:pPr>
      <w:r w:rsidRPr="00226545">
        <w:rPr>
          <w:rFonts w:eastAsia="Times New Roman" w:cs="Arial"/>
          <w:sz w:val="17"/>
          <w:szCs w:val="17"/>
        </w:rPr>
        <w:t>Native title is the recognition by Australian law that some Indigenous people have rights and interests to their land that come from their traditional laws and customs.</w:t>
      </w:r>
    </w:p>
    <w:p w:rsidR="00C009B6" w:rsidRPr="00226545" w:rsidRDefault="00C009B6" w:rsidP="00C009B6">
      <w:pPr>
        <w:shd w:val="clear" w:color="auto" w:fill="FFFFFF"/>
        <w:rPr>
          <w:rFonts w:eastAsia="Times New Roman" w:cs="Arial"/>
          <w:sz w:val="17"/>
          <w:szCs w:val="17"/>
        </w:rPr>
      </w:pPr>
      <w:r w:rsidRPr="00226545">
        <w:rPr>
          <w:rFonts w:eastAsia="Times New Roman" w:cs="Arial"/>
          <w:sz w:val="17"/>
          <w:szCs w:val="17"/>
        </w:rPr>
        <w:lastRenderedPageBreak/>
        <w:t>The native title rights and interests held by particular Indigenous people will depend on both their traditional laws and customs and what interests are held by others in the area concerned. Generally speaking, native title must give way to the rights held by others. The capacity of Australian law to recognise the rights and interests held under traditional law an</w:t>
      </w:r>
      <w:r w:rsidR="00BD44AC">
        <w:rPr>
          <w:rFonts w:eastAsia="Times New Roman" w:cs="Arial"/>
          <w:sz w:val="17"/>
          <w:szCs w:val="17"/>
        </w:rPr>
        <w:t>d custom will also be a factor.</w:t>
      </w:r>
    </w:p>
    <w:p w:rsidR="00C009B6" w:rsidRPr="00226545" w:rsidRDefault="00C009B6" w:rsidP="00C009B6">
      <w:pPr>
        <w:shd w:val="clear" w:color="auto" w:fill="FFFFFF"/>
        <w:rPr>
          <w:rFonts w:eastAsia="Times New Roman" w:cs="Arial"/>
          <w:sz w:val="17"/>
          <w:szCs w:val="17"/>
        </w:rPr>
      </w:pPr>
      <w:r w:rsidRPr="00226545">
        <w:rPr>
          <w:rFonts w:eastAsia="Times New Roman" w:cs="Arial"/>
          <w:sz w:val="17"/>
          <w:szCs w:val="17"/>
        </w:rPr>
        <w:t>Native title rights and interests may include rights to:</w:t>
      </w:r>
    </w:p>
    <w:p w:rsidR="00C009B6" w:rsidRPr="00D43ACB" w:rsidRDefault="00BD44AC" w:rsidP="00D43ACB">
      <w:pPr>
        <w:pStyle w:val="ListParagraph"/>
        <w:widowControl w:val="0"/>
        <w:numPr>
          <w:ilvl w:val="0"/>
          <w:numId w:val="22"/>
        </w:numPr>
        <w:spacing w:line="276" w:lineRule="auto"/>
        <w:contextualSpacing w:val="0"/>
        <w:rPr>
          <w:sz w:val="17"/>
          <w:szCs w:val="17"/>
        </w:rPr>
      </w:pPr>
      <w:r w:rsidRPr="00D43ACB">
        <w:rPr>
          <w:sz w:val="17"/>
          <w:szCs w:val="17"/>
        </w:rPr>
        <w:t>Live on the area</w:t>
      </w:r>
    </w:p>
    <w:p w:rsidR="00C009B6" w:rsidRPr="00D43ACB" w:rsidRDefault="00C009B6" w:rsidP="00D43ACB">
      <w:pPr>
        <w:pStyle w:val="ListParagraph"/>
        <w:widowControl w:val="0"/>
        <w:numPr>
          <w:ilvl w:val="0"/>
          <w:numId w:val="22"/>
        </w:numPr>
        <w:spacing w:line="276" w:lineRule="auto"/>
        <w:contextualSpacing w:val="0"/>
        <w:rPr>
          <w:sz w:val="17"/>
          <w:szCs w:val="17"/>
        </w:rPr>
      </w:pPr>
      <w:r w:rsidRPr="00D43ACB">
        <w:rPr>
          <w:sz w:val="17"/>
          <w:szCs w:val="17"/>
        </w:rPr>
        <w:t>Access the area for traditional purposes, like camping or</w:t>
      </w:r>
      <w:r w:rsidR="00BD44AC" w:rsidRPr="00D43ACB">
        <w:rPr>
          <w:sz w:val="17"/>
          <w:szCs w:val="17"/>
        </w:rPr>
        <w:t xml:space="preserve"> to do ceremonies</w:t>
      </w:r>
    </w:p>
    <w:p w:rsidR="00C009B6" w:rsidRPr="00D43ACB" w:rsidRDefault="00C009B6" w:rsidP="00D43ACB">
      <w:pPr>
        <w:pStyle w:val="ListParagraph"/>
        <w:widowControl w:val="0"/>
        <w:numPr>
          <w:ilvl w:val="0"/>
          <w:numId w:val="22"/>
        </w:numPr>
        <w:spacing w:line="276" w:lineRule="auto"/>
        <w:contextualSpacing w:val="0"/>
        <w:rPr>
          <w:sz w:val="17"/>
          <w:szCs w:val="17"/>
        </w:rPr>
      </w:pPr>
      <w:r w:rsidRPr="00D43ACB">
        <w:rPr>
          <w:sz w:val="17"/>
          <w:szCs w:val="17"/>
        </w:rPr>
        <w:t>Visit and prot</w:t>
      </w:r>
      <w:r w:rsidR="00BD44AC" w:rsidRPr="00D43ACB">
        <w:rPr>
          <w:sz w:val="17"/>
          <w:szCs w:val="17"/>
        </w:rPr>
        <w:t>ect important places and sites</w:t>
      </w:r>
    </w:p>
    <w:p w:rsidR="00C009B6" w:rsidRPr="00D43ACB" w:rsidRDefault="00C009B6" w:rsidP="00D43ACB">
      <w:pPr>
        <w:pStyle w:val="ListParagraph"/>
        <w:widowControl w:val="0"/>
        <w:numPr>
          <w:ilvl w:val="0"/>
          <w:numId w:val="22"/>
        </w:numPr>
        <w:spacing w:line="276" w:lineRule="auto"/>
        <w:contextualSpacing w:val="0"/>
        <w:rPr>
          <w:sz w:val="17"/>
          <w:szCs w:val="17"/>
        </w:rPr>
      </w:pPr>
      <w:r w:rsidRPr="00D43ACB">
        <w:rPr>
          <w:sz w:val="17"/>
          <w:szCs w:val="17"/>
        </w:rPr>
        <w:t xml:space="preserve">Hunt, fish and gather food or traditional resources </w:t>
      </w:r>
      <w:r w:rsidR="00BD44AC" w:rsidRPr="00D43ACB">
        <w:rPr>
          <w:sz w:val="17"/>
          <w:szCs w:val="17"/>
        </w:rPr>
        <w:t>like water, wood and ochre</w:t>
      </w:r>
    </w:p>
    <w:p w:rsidR="00C009B6" w:rsidRPr="00D43ACB" w:rsidRDefault="00C009B6" w:rsidP="00D43ACB">
      <w:pPr>
        <w:pStyle w:val="ListParagraph"/>
        <w:widowControl w:val="0"/>
        <w:numPr>
          <w:ilvl w:val="0"/>
          <w:numId w:val="22"/>
        </w:numPr>
        <w:spacing w:line="276" w:lineRule="auto"/>
        <w:contextualSpacing w:val="0"/>
        <w:rPr>
          <w:sz w:val="17"/>
          <w:szCs w:val="17"/>
        </w:rPr>
      </w:pPr>
      <w:r w:rsidRPr="00D43ACB">
        <w:rPr>
          <w:sz w:val="17"/>
          <w:szCs w:val="17"/>
        </w:rPr>
        <w:t>Teach law and custom on country.</w:t>
      </w:r>
    </w:p>
    <w:p w:rsidR="00C009B6" w:rsidRPr="00226545" w:rsidRDefault="00C009B6" w:rsidP="00C009B6">
      <w:pPr>
        <w:shd w:val="clear" w:color="auto" w:fill="FFFFFF"/>
        <w:rPr>
          <w:rFonts w:eastAsia="Times New Roman" w:cs="Arial"/>
          <w:sz w:val="17"/>
          <w:szCs w:val="17"/>
        </w:rPr>
      </w:pPr>
      <w:r w:rsidRPr="00226545">
        <w:rPr>
          <w:rFonts w:eastAsia="Times New Roman" w:cs="Arial"/>
          <w:sz w:val="17"/>
          <w:szCs w:val="17"/>
        </w:rPr>
        <w:t xml:space="preserve">In some cases, native title includes the right to possess and occupy an area </w:t>
      </w:r>
      <w:r w:rsidR="00BD44AC">
        <w:rPr>
          <w:rFonts w:eastAsia="Times New Roman" w:cs="Arial"/>
          <w:sz w:val="17"/>
          <w:szCs w:val="17"/>
        </w:rPr>
        <w:t xml:space="preserve">to the exclusion of all others </w:t>
      </w:r>
      <w:r w:rsidRPr="00226545">
        <w:rPr>
          <w:rFonts w:eastAsia="Times New Roman" w:cs="Arial"/>
          <w:sz w:val="17"/>
          <w:szCs w:val="17"/>
        </w:rPr>
        <w:t>ofte</w:t>
      </w:r>
      <w:r w:rsidR="00BD44AC">
        <w:rPr>
          <w:rFonts w:eastAsia="Times New Roman" w:cs="Arial"/>
          <w:sz w:val="17"/>
          <w:szCs w:val="17"/>
        </w:rPr>
        <w:t>n called ‘exclusive possession’</w:t>
      </w:r>
      <w:r w:rsidRPr="00226545">
        <w:rPr>
          <w:rFonts w:eastAsia="Times New Roman" w:cs="Arial"/>
          <w:sz w:val="17"/>
          <w:szCs w:val="17"/>
        </w:rPr>
        <w:t xml:space="preserve">. This includes the right to control access to, and use of, the area concerned. However, this right can only be recognised over certain parts of Australia, such as unallocated or vacant Crown land and some areas already held by, or for, Indigenous </w:t>
      </w:r>
      <w:r w:rsidR="001E0E5F">
        <w:rPr>
          <w:rFonts w:eastAsia="Times New Roman" w:cs="Arial"/>
          <w:sz w:val="17"/>
          <w:szCs w:val="17"/>
        </w:rPr>
        <w:t>people</w:t>
      </w:r>
      <w:r w:rsidRPr="00226545">
        <w:rPr>
          <w:rFonts w:eastAsia="Times New Roman" w:cs="Arial"/>
          <w:sz w:val="17"/>
          <w:szCs w:val="17"/>
        </w:rPr>
        <w:t>.</w:t>
      </w:r>
    </w:p>
    <w:p w:rsidR="00C009B6" w:rsidRDefault="00C009B6" w:rsidP="00C009B6">
      <w:pPr>
        <w:shd w:val="clear" w:color="auto" w:fill="FFFFFF"/>
        <w:rPr>
          <w:rFonts w:eastAsia="Times New Roman" w:cs="Arial"/>
          <w:sz w:val="17"/>
          <w:szCs w:val="17"/>
        </w:rPr>
      </w:pPr>
      <w:r w:rsidRPr="00226545">
        <w:rPr>
          <w:rFonts w:eastAsia="Times New Roman" w:cs="Arial"/>
          <w:sz w:val="17"/>
          <w:szCs w:val="17"/>
        </w:rPr>
        <w:t>Native title rights and interests differ from Indigenous land rights in that the source of land rights is a grant of title from government. The source of native title rights and interests is the system of traditional laws and customs of the native title holders themselves.</w:t>
      </w:r>
    </w:p>
    <w:p w:rsidR="00F40F7A" w:rsidRPr="00226545" w:rsidRDefault="00F40F7A" w:rsidP="00C009B6">
      <w:pPr>
        <w:shd w:val="clear" w:color="auto" w:fill="FFFFFF"/>
        <w:rPr>
          <w:rFonts w:eastAsia="Times New Roman" w:cs="Arial"/>
          <w:sz w:val="17"/>
          <w:szCs w:val="17"/>
        </w:rPr>
      </w:pPr>
      <w:r>
        <w:rPr>
          <w:rFonts w:eastAsia="Times New Roman" w:cs="Arial"/>
          <w:sz w:val="17"/>
          <w:szCs w:val="17"/>
        </w:rPr>
        <w:t xml:space="preserve">The National Native Title Tribunal can be contacted at: </w:t>
      </w:r>
      <w:hyperlink r:id="rId50" w:history="1">
        <w:r w:rsidRPr="00DE61A9">
          <w:rPr>
            <w:rStyle w:val="Hyperlink"/>
            <w:rFonts w:eastAsia="Times New Roman" w:cs="Arial"/>
            <w:sz w:val="17"/>
            <w:szCs w:val="17"/>
          </w:rPr>
          <w:t>enquiries@nntt.gov.au</w:t>
        </w:r>
      </w:hyperlink>
    </w:p>
    <w:p w:rsidR="00711254" w:rsidRPr="0072448D" w:rsidRDefault="00711254" w:rsidP="0099794E">
      <w:pPr>
        <w:pStyle w:val="Heading3"/>
      </w:pPr>
      <w:r w:rsidRPr="0072448D">
        <w:t>Further Notices</w:t>
      </w:r>
    </w:p>
    <w:p w:rsidR="00711254" w:rsidRPr="00711254" w:rsidRDefault="00711254" w:rsidP="00711254">
      <w:pPr>
        <w:widowControl w:val="0"/>
        <w:rPr>
          <w:sz w:val="17"/>
          <w:szCs w:val="17"/>
        </w:rPr>
      </w:pPr>
      <w:r w:rsidRPr="00711254">
        <w:rPr>
          <w:sz w:val="17"/>
          <w:szCs w:val="17"/>
        </w:rPr>
        <w:t xml:space="preserve">Any further </w:t>
      </w:r>
      <w:r w:rsidR="001E0E5F">
        <w:rPr>
          <w:sz w:val="17"/>
          <w:szCs w:val="17"/>
        </w:rPr>
        <w:t>n</w:t>
      </w:r>
      <w:r w:rsidRPr="00711254">
        <w:rPr>
          <w:sz w:val="17"/>
          <w:szCs w:val="17"/>
        </w:rPr>
        <w:t>otices and related issues identified by the Australian Government will be advised in</w:t>
      </w:r>
      <w:r w:rsidR="003B1ECB">
        <w:rPr>
          <w:sz w:val="17"/>
          <w:szCs w:val="17"/>
        </w:rPr>
        <w:t xml:space="preserve"> the</w:t>
      </w:r>
      <w:r w:rsidRPr="00711254">
        <w:rPr>
          <w:sz w:val="17"/>
          <w:szCs w:val="17"/>
        </w:rPr>
        <w:t xml:space="preserve"> </w:t>
      </w:r>
      <w:r w:rsidRPr="0072448D">
        <w:rPr>
          <w:i/>
          <w:sz w:val="17"/>
          <w:szCs w:val="17"/>
        </w:rPr>
        <w:t>Australian Petroleum News</w:t>
      </w:r>
      <w:r w:rsidRPr="00711254">
        <w:rPr>
          <w:sz w:val="17"/>
          <w:szCs w:val="17"/>
        </w:rPr>
        <w:t xml:space="preserve">, a free occasional newsletter produced by the Department of </w:t>
      </w:r>
      <w:r w:rsidR="002A4D69">
        <w:rPr>
          <w:sz w:val="17"/>
          <w:szCs w:val="17"/>
        </w:rPr>
        <w:t>Industry</w:t>
      </w:r>
      <w:r w:rsidR="009D2DF7">
        <w:rPr>
          <w:sz w:val="17"/>
          <w:szCs w:val="17"/>
        </w:rPr>
        <w:t xml:space="preserve">. </w:t>
      </w:r>
      <w:r w:rsidR="00C878F8">
        <w:rPr>
          <w:sz w:val="17"/>
          <w:szCs w:val="17"/>
        </w:rPr>
        <w:t xml:space="preserve">Stakeholders </w:t>
      </w:r>
      <w:r w:rsidRPr="00711254">
        <w:rPr>
          <w:sz w:val="17"/>
          <w:szCs w:val="17"/>
        </w:rPr>
        <w:t xml:space="preserve">are encouraged to register to receive this newsletter by emailing: </w:t>
      </w:r>
      <w:hyperlink r:id="rId51" w:tooltip="Email address to contact the Petroleum Exploration Section, Department of Industry." w:history="1">
        <w:r w:rsidR="002B0650" w:rsidRPr="0082568A">
          <w:rPr>
            <w:rStyle w:val="Hyperlink"/>
            <w:sz w:val="17"/>
            <w:szCs w:val="17"/>
          </w:rPr>
          <w:t>petroleum.exploration@industry.gov.au</w:t>
        </w:r>
      </w:hyperlink>
    </w:p>
    <w:p w:rsidR="00074CB2" w:rsidRDefault="00711254" w:rsidP="00711254">
      <w:pPr>
        <w:widowControl w:val="0"/>
        <w:rPr>
          <w:sz w:val="17"/>
          <w:szCs w:val="17"/>
        </w:rPr>
      </w:pPr>
      <w:r w:rsidRPr="00711254">
        <w:rPr>
          <w:sz w:val="17"/>
          <w:szCs w:val="17"/>
        </w:rPr>
        <w:t>The mailing list is not used for any purposes other than disseminating</w:t>
      </w:r>
      <w:r w:rsidR="002A4D69">
        <w:rPr>
          <w:sz w:val="17"/>
          <w:szCs w:val="17"/>
        </w:rPr>
        <w:t xml:space="preserve"> the</w:t>
      </w:r>
      <w:r w:rsidRPr="00711254">
        <w:rPr>
          <w:sz w:val="17"/>
          <w:szCs w:val="17"/>
        </w:rPr>
        <w:t xml:space="preserve"> </w:t>
      </w:r>
      <w:r w:rsidRPr="002A4D69">
        <w:rPr>
          <w:i/>
          <w:sz w:val="17"/>
          <w:szCs w:val="17"/>
        </w:rPr>
        <w:t>Australian Petroleum News</w:t>
      </w:r>
      <w:r w:rsidRPr="00711254">
        <w:rPr>
          <w:sz w:val="17"/>
          <w:szCs w:val="17"/>
        </w:rPr>
        <w:t xml:space="preserve"> and notifying registered parties of associated petroleum issues. There is no charge for this service.</w:t>
      </w:r>
    </w:p>
    <w:p w:rsidR="0025571D" w:rsidRDefault="0025571D">
      <w:pPr>
        <w:rPr>
          <w:rFonts w:eastAsia="Times New Roman" w:cs="Arial"/>
          <w:b/>
          <w:bCs/>
          <w:iCs/>
          <w:caps/>
          <w:sz w:val="24"/>
          <w:szCs w:val="24"/>
          <w:lang w:eastAsia="en-AU"/>
        </w:rPr>
      </w:pPr>
    </w:p>
    <w:p w:rsidR="00B602A4" w:rsidRPr="00085DBD" w:rsidRDefault="00B602A4" w:rsidP="00BF3C47">
      <w:pPr>
        <w:pStyle w:val="Heading2"/>
        <w:rPr>
          <w:rFonts w:eastAsia="Times New Roman"/>
          <w:szCs w:val="28"/>
          <w:lang w:eastAsia="en-AU"/>
        </w:rPr>
      </w:pPr>
      <w:r w:rsidRPr="00085DBD">
        <w:rPr>
          <w:rFonts w:eastAsia="Times New Roman"/>
          <w:szCs w:val="28"/>
          <w:lang w:eastAsia="en-AU"/>
        </w:rPr>
        <w:t>Notices for specific areas</w:t>
      </w:r>
    </w:p>
    <w:p w:rsidR="00BF3C47" w:rsidRPr="00BF3C47" w:rsidRDefault="00BF3C47" w:rsidP="00BF3C47">
      <w:pPr>
        <w:pStyle w:val="Heading3"/>
        <w:rPr>
          <w:rFonts w:ascii="Arial Bold" w:eastAsia="Times New Roman" w:hAnsi="Arial Bold"/>
          <w:caps/>
          <w:lang w:eastAsia="en-AU"/>
        </w:rPr>
      </w:pPr>
      <w:r w:rsidRPr="00BF3C47">
        <w:rPr>
          <w:rFonts w:ascii="Arial Bold" w:eastAsia="Times New Roman" w:hAnsi="Arial Bold"/>
          <w:caps/>
          <w:lang w:eastAsia="en-AU"/>
        </w:rPr>
        <w:t>RELEASE AREAS OFF VICTORIA</w:t>
      </w:r>
    </w:p>
    <w:p w:rsidR="00BF3C47" w:rsidRPr="00BF3C47" w:rsidRDefault="00BF3C47" w:rsidP="00BF3C47">
      <w:pPr>
        <w:pStyle w:val="Heading3"/>
        <w:rPr>
          <w:rFonts w:eastAsia="Times New Roman"/>
          <w:lang w:val="en-US"/>
        </w:rPr>
      </w:pPr>
      <w:proofErr w:type="spellStart"/>
      <w:r w:rsidRPr="00BF3C47">
        <w:rPr>
          <w:rFonts w:eastAsia="Times New Roman"/>
          <w:lang w:val="en-US"/>
        </w:rPr>
        <w:t>Gipsland</w:t>
      </w:r>
      <w:proofErr w:type="spellEnd"/>
      <w:r w:rsidRPr="00BF3C47">
        <w:rPr>
          <w:rFonts w:eastAsia="Times New Roman"/>
          <w:lang w:val="en-US"/>
        </w:rPr>
        <w:t xml:space="preserve"> Basin</w:t>
      </w:r>
    </w:p>
    <w:p w:rsidR="00BF3C47" w:rsidRPr="00BF3C47" w:rsidRDefault="00BF3C47" w:rsidP="00BF3C47">
      <w:pPr>
        <w:pStyle w:val="Heading3"/>
        <w:rPr>
          <w:rFonts w:eastAsia="Times New Roman"/>
          <w:lang w:val="en-US"/>
        </w:rPr>
      </w:pPr>
      <w:r w:rsidRPr="00BF3C47">
        <w:rPr>
          <w:rFonts w:eastAsia="Times New Roman"/>
          <w:lang w:val="en-US"/>
        </w:rPr>
        <w:t>VIC14-GHG-1, VIC14-GHG-2, and VIC14-GHG-3</w:t>
      </w:r>
    </w:p>
    <w:p w:rsidR="00B602A4" w:rsidRPr="00BF3C47" w:rsidRDefault="00B602A4" w:rsidP="00BF3C47">
      <w:pPr>
        <w:pStyle w:val="Heading4"/>
        <w:rPr>
          <w:rFonts w:eastAsia="Times New Roman"/>
          <w:lang w:eastAsia="en-AU"/>
        </w:rPr>
      </w:pPr>
      <w:r w:rsidRPr="00BF3C47">
        <w:rPr>
          <w:rFonts w:eastAsia="Times New Roman"/>
          <w:lang w:eastAsia="en-AU"/>
        </w:rPr>
        <w:t>Environment protection</w:t>
      </w:r>
    </w:p>
    <w:p w:rsidR="00B602A4" w:rsidRPr="00BF3C47" w:rsidRDefault="00B602A4" w:rsidP="00BF3C47">
      <w:pPr>
        <w:rPr>
          <w:rFonts w:cs="Arial"/>
          <w:sz w:val="17"/>
          <w:szCs w:val="17"/>
          <w:u w:val="single"/>
        </w:rPr>
      </w:pPr>
      <w:r w:rsidRPr="00BF3C47">
        <w:rPr>
          <w:rFonts w:cs="Arial"/>
          <w:sz w:val="17"/>
          <w:szCs w:val="17"/>
          <w:u w:val="single"/>
        </w:rPr>
        <w:t>Commonwealth Marine Environment</w:t>
      </w:r>
    </w:p>
    <w:p w:rsidR="00B602A4" w:rsidRPr="00BF3C47" w:rsidRDefault="00B602A4" w:rsidP="00BF3C47">
      <w:pPr>
        <w:widowControl w:val="0"/>
        <w:rPr>
          <w:sz w:val="17"/>
          <w:szCs w:val="17"/>
        </w:rPr>
      </w:pPr>
      <w:r w:rsidRPr="00BF3C47">
        <w:rPr>
          <w:sz w:val="17"/>
          <w:szCs w:val="17"/>
        </w:rPr>
        <w:t>The release areas, VIC14-GHG-1, VIC14-GHG-2 and VIC14-GHG-3, are approximately 55 km from the Beagle Commonwealth Marine Reserve. The reserve is a Multiple Use Zone (IUCN Category VI). The major conservation values of this Commonwealth Marine Reserve include:</w:t>
      </w:r>
    </w:p>
    <w:p w:rsidR="00B602A4" w:rsidRPr="00D43ACB" w:rsidRDefault="00B602A4" w:rsidP="00D43ACB">
      <w:pPr>
        <w:pStyle w:val="ListParagraph"/>
        <w:widowControl w:val="0"/>
        <w:numPr>
          <w:ilvl w:val="0"/>
          <w:numId w:val="22"/>
        </w:numPr>
        <w:spacing w:line="276" w:lineRule="auto"/>
        <w:contextualSpacing w:val="0"/>
        <w:rPr>
          <w:sz w:val="17"/>
          <w:szCs w:val="17"/>
        </w:rPr>
      </w:pPr>
      <w:r w:rsidRPr="00D43ACB">
        <w:rPr>
          <w:sz w:val="17"/>
          <w:szCs w:val="17"/>
        </w:rPr>
        <w:t>ecosystems, habitats and communities associated with the Southeast Shelf Transition and with sea-floor features such as the basin, plateau, shelf and sill</w:t>
      </w:r>
    </w:p>
    <w:p w:rsidR="00B602A4" w:rsidRPr="00D43ACB" w:rsidRDefault="00B602A4" w:rsidP="00D43ACB">
      <w:pPr>
        <w:pStyle w:val="ListParagraph"/>
        <w:widowControl w:val="0"/>
        <w:numPr>
          <w:ilvl w:val="0"/>
          <w:numId w:val="22"/>
        </w:numPr>
        <w:spacing w:line="276" w:lineRule="auto"/>
        <w:contextualSpacing w:val="0"/>
        <w:rPr>
          <w:sz w:val="17"/>
          <w:szCs w:val="17"/>
        </w:rPr>
      </w:pPr>
      <w:r w:rsidRPr="00D43ACB">
        <w:rPr>
          <w:sz w:val="17"/>
          <w:szCs w:val="17"/>
        </w:rPr>
        <w:t>important migration and resting on migration area for the endangered and migratory southern right whale (</w:t>
      </w:r>
      <w:proofErr w:type="spellStart"/>
      <w:r w:rsidRPr="00D43ACB">
        <w:rPr>
          <w:i/>
          <w:sz w:val="17"/>
          <w:szCs w:val="17"/>
        </w:rPr>
        <w:t>Eubalaena</w:t>
      </w:r>
      <w:proofErr w:type="spellEnd"/>
      <w:r w:rsidRPr="00D43ACB">
        <w:rPr>
          <w:i/>
          <w:sz w:val="17"/>
          <w:szCs w:val="17"/>
        </w:rPr>
        <w:t xml:space="preserve"> </w:t>
      </w:r>
      <w:proofErr w:type="spellStart"/>
      <w:r w:rsidRPr="00D43ACB">
        <w:rPr>
          <w:i/>
          <w:sz w:val="17"/>
          <w:szCs w:val="17"/>
        </w:rPr>
        <w:t>australis</w:t>
      </w:r>
      <w:proofErr w:type="spellEnd"/>
      <w:r w:rsidRPr="00D43ACB">
        <w:rPr>
          <w:sz w:val="17"/>
          <w:szCs w:val="17"/>
        </w:rPr>
        <w:t>)</w:t>
      </w:r>
    </w:p>
    <w:p w:rsidR="00B602A4" w:rsidRPr="00D43ACB" w:rsidRDefault="00B602A4" w:rsidP="00D43ACB">
      <w:pPr>
        <w:pStyle w:val="ListParagraph"/>
        <w:widowControl w:val="0"/>
        <w:numPr>
          <w:ilvl w:val="0"/>
          <w:numId w:val="22"/>
        </w:numPr>
        <w:spacing w:line="276" w:lineRule="auto"/>
        <w:contextualSpacing w:val="0"/>
        <w:rPr>
          <w:sz w:val="17"/>
          <w:szCs w:val="17"/>
        </w:rPr>
      </w:pPr>
      <w:r w:rsidRPr="00D43ACB">
        <w:rPr>
          <w:sz w:val="17"/>
          <w:szCs w:val="17"/>
        </w:rPr>
        <w:t>important foraging area for species including the great white shark (</w:t>
      </w:r>
      <w:proofErr w:type="spellStart"/>
      <w:r w:rsidRPr="00D43ACB">
        <w:rPr>
          <w:i/>
          <w:sz w:val="17"/>
          <w:szCs w:val="17"/>
        </w:rPr>
        <w:t>Carcharodon</w:t>
      </w:r>
      <w:proofErr w:type="spellEnd"/>
      <w:r w:rsidRPr="00D43ACB">
        <w:rPr>
          <w:i/>
          <w:sz w:val="17"/>
          <w:szCs w:val="17"/>
        </w:rPr>
        <w:t xml:space="preserve"> </w:t>
      </w:r>
      <w:proofErr w:type="spellStart"/>
      <w:r w:rsidRPr="00D43ACB">
        <w:rPr>
          <w:i/>
          <w:sz w:val="17"/>
          <w:szCs w:val="17"/>
        </w:rPr>
        <w:t>carcharias</w:t>
      </w:r>
      <w:proofErr w:type="spellEnd"/>
      <w:r w:rsidRPr="00D43ACB">
        <w:rPr>
          <w:sz w:val="17"/>
          <w:szCs w:val="17"/>
        </w:rPr>
        <w:t>); shy albatross (</w:t>
      </w:r>
      <w:proofErr w:type="spellStart"/>
      <w:r w:rsidRPr="00D43ACB">
        <w:rPr>
          <w:i/>
          <w:sz w:val="17"/>
          <w:szCs w:val="17"/>
        </w:rPr>
        <w:t>Thalassarche</w:t>
      </w:r>
      <w:proofErr w:type="spellEnd"/>
      <w:r w:rsidRPr="00D43ACB">
        <w:rPr>
          <w:i/>
          <w:sz w:val="17"/>
          <w:szCs w:val="17"/>
        </w:rPr>
        <w:t xml:space="preserve"> </w:t>
      </w:r>
      <w:proofErr w:type="spellStart"/>
      <w:r w:rsidRPr="00D43ACB">
        <w:rPr>
          <w:i/>
          <w:sz w:val="17"/>
          <w:szCs w:val="17"/>
        </w:rPr>
        <w:t>cauta</w:t>
      </w:r>
      <w:proofErr w:type="spellEnd"/>
      <w:r w:rsidRPr="00D43ACB">
        <w:rPr>
          <w:i/>
          <w:sz w:val="17"/>
          <w:szCs w:val="17"/>
        </w:rPr>
        <w:t xml:space="preserve"> </w:t>
      </w:r>
      <w:proofErr w:type="spellStart"/>
      <w:r w:rsidRPr="00D43ACB">
        <w:rPr>
          <w:i/>
          <w:sz w:val="17"/>
          <w:szCs w:val="17"/>
        </w:rPr>
        <w:t>cauta</w:t>
      </w:r>
      <w:proofErr w:type="spellEnd"/>
      <w:r w:rsidRPr="00D43ACB">
        <w:rPr>
          <w:sz w:val="17"/>
          <w:szCs w:val="17"/>
        </w:rPr>
        <w:t>); short-tailed shearwater (</w:t>
      </w:r>
      <w:proofErr w:type="spellStart"/>
      <w:r w:rsidRPr="00D43ACB">
        <w:rPr>
          <w:i/>
          <w:sz w:val="17"/>
          <w:szCs w:val="17"/>
        </w:rPr>
        <w:t>Ardenna</w:t>
      </w:r>
      <w:proofErr w:type="spellEnd"/>
      <w:r w:rsidRPr="00D43ACB">
        <w:rPr>
          <w:i/>
          <w:sz w:val="17"/>
          <w:szCs w:val="17"/>
        </w:rPr>
        <w:t xml:space="preserve"> </w:t>
      </w:r>
      <w:proofErr w:type="spellStart"/>
      <w:r w:rsidRPr="00D43ACB">
        <w:rPr>
          <w:i/>
          <w:sz w:val="17"/>
          <w:szCs w:val="17"/>
        </w:rPr>
        <w:t>tenuirostris</w:t>
      </w:r>
      <w:proofErr w:type="spellEnd"/>
      <w:r w:rsidRPr="00D43ACB">
        <w:rPr>
          <w:sz w:val="17"/>
          <w:szCs w:val="17"/>
        </w:rPr>
        <w:t>); killer whale (</w:t>
      </w:r>
      <w:proofErr w:type="spellStart"/>
      <w:r w:rsidR="00494ECB">
        <w:fldChar w:fldCharType="begin"/>
      </w:r>
      <w:r w:rsidR="00494ECB">
        <w:instrText xml:space="preserve"> HYPERLINK "http://www.environment.gov.au/cgi-bin/sprat/public/publicspecies.pl?taxon_id=46" </w:instrText>
      </w:r>
      <w:r w:rsidR="00494ECB">
        <w:fldChar w:fldCharType="separate"/>
      </w:r>
      <w:r w:rsidRPr="00D43ACB">
        <w:rPr>
          <w:i/>
          <w:sz w:val="17"/>
          <w:szCs w:val="17"/>
        </w:rPr>
        <w:t>Orcinus</w:t>
      </w:r>
      <w:proofErr w:type="spellEnd"/>
      <w:r w:rsidRPr="00D43ACB">
        <w:rPr>
          <w:i/>
          <w:sz w:val="17"/>
          <w:szCs w:val="17"/>
        </w:rPr>
        <w:t xml:space="preserve"> orca</w:t>
      </w:r>
      <w:r w:rsidR="00494ECB">
        <w:rPr>
          <w:i/>
          <w:sz w:val="17"/>
          <w:szCs w:val="17"/>
        </w:rPr>
        <w:fldChar w:fldCharType="end"/>
      </w:r>
      <w:r w:rsidRPr="00D43ACB">
        <w:rPr>
          <w:sz w:val="17"/>
          <w:szCs w:val="17"/>
        </w:rPr>
        <w:t>); crested tern (</w:t>
      </w:r>
      <w:proofErr w:type="spellStart"/>
      <w:r w:rsidRPr="00D43ACB">
        <w:rPr>
          <w:i/>
          <w:sz w:val="17"/>
          <w:szCs w:val="17"/>
        </w:rPr>
        <w:t>Thalasseus</w:t>
      </w:r>
      <w:proofErr w:type="spellEnd"/>
      <w:r w:rsidRPr="00D43ACB">
        <w:rPr>
          <w:i/>
          <w:sz w:val="17"/>
          <w:szCs w:val="17"/>
        </w:rPr>
        <w:t xml:space="preserve"> </w:t>
      </w:r>
      <w:proofErr w:type="spellStart"/>
      <w:r w:rsidRPr="00D43ACB">
        <w:rPr>
          <w:i/>
          <w:sz w:val="17"/>
          <w:szCs w:val="17"/>
        </w:rPr>
        <w:t>bergii</w:t>
      </w:r>
      <w:proofErr w:type="spellEnd"/>
      <w:r w:rsidRPr="00D43ACB">
        <w:rPr>
          <w:sz w:val="17"/>
          <w:szCs w:val="17"/>
        </w:rPr>
        <w:t>); Australian fur seal (</w:t>
      </w:r>
      <w:proofErr w:type="spellStart"/>
      <w:r w:rsidR="00494ECB">
        <w:fldChar w:fldCharType="begin"/>
      </w:r>
      <w:r w:rsidR="00494ECB">
        <w:instrText xml:space="preserve"> HYPERLINK "http://www.environment.gov.au/cgi-bin/sprat/public/publicspecies.pl?taxon_id=21" </w:instrText>
      </w:r>
      <w:r w:rsidR="00494ECB">
        <w:fldChar w:fldCharType="separate"/>
      </w:r>
      <w:r w:rsidRPr="00D43ACB">
        <w:rPr>
          <w:sz w:val="17"/>
          <w:szCs w:val="17"/>
        </w:rPr>
        <w:t>Arctocephalus</w:t>
      </w:r>
      <w:proofErr w:type="spellEnd"/>
      <w:r w:rsidRPr="00D43ACB">
        <w:rPr>
          <w:sz w:val="17"/>
          <w:szCs w:val="17"/>
        </w:rPr>
        <w:t xml:space="preserve"> </w:t>
      </w:r>
      <w:proofErr w:type="spellStart"/>
      <w:r w:rsidRPr="00D43ACB">
        <w:rPr>
          <w:sz w:val="17"/>
          <w:szCs w:val="17"/>
        </w:rPr>
        <w:t>pusillus</w:t>
      </w:r>
      <w:proofErr w:type="spellEnd"/>
      <w:r w:rsidR="00494ECB">
        <w:rPr>
          <w:sz w:val="17"/>
          <w:szCs w:val="17"/>
        </w:rPr>
        <w:fldChar w:fldCharType="end"/>
      </w:r>
      <w:r w:rsidRPr="00D43ACB">
        <w:rPr>
          <w:sz w:val="17"/>
          <w:szCs w:val="17"/>
        </w:rPr>
        <w:t>); and little penguin (</w:t>
      </w:r>
      <w:proofErr w:type="spellStart"/>
      <w:r w:rsidR="00494ECB">
        <w:fldChar w:fldCharType="begin"/>
      </w:r>
      <w:r w:rsidR="00494ECB">
        <w:instrText xml:space="preserve"> HYPERLINK "http://www.environment.gov.au/cgi-bin/sprat/public/publicspecies.pl?taxon_id=1085" </w:instrText>
      </w:r>
      <w:r w:rsidR="00494ECB">
        <w:fldChar w:fldCharType="separate"/>
      </w:r>
      <w:r w:rsidRPr="00D43ACB">
        <w:rPr>
          <w:i/>
          <w:sz w:val="17"/>
          <w:szCs w:val="17"/>
        </w:rPr>
        <w:t>Eudyptula</w:t>
      </w:r>
      <w:proofErr w:type="spellEnd"/>
      <w:r w:rsidRPr="00D43ACB">
        <w:rPr>
          <w:i/>
          <w:sz w:val="17"/>
          <w:szCs w:val="17"/>
        </w:rPr>
        <w:t xml:space="preserve"> minor</w:t>
      </w:r>
      <w:r w:rsidR="00494ECB">
        <w:rPr>
          <w:i/>
          <w:sz w:val="17"/>
          <w:szCs w:val="17"/>
        </w:rPr>
        <w:fldChar w:fldCharType="end"/>
      </w:r>
      <w:r w:rsidRPr="00D43ACB">
        <w:rPr>
          <w:sz w:val="17"/>
          <w:szCs w:val="17"/>
        </w:rPr>
        <w:t>)</w:t>
      </w:r>
    </w:p>
    <w:p w:rsidR="00B602A4" w:rsidRPr="00D43ACB" w:rsidRDefault="00B602A4" w:rsidP="00D43ACB">
      <w:pPr>
        <w:pStyle w:val="ListParagraph"/>
        <w:widowControl w:val="0"/>
        <w:numPr>
          <w:ilvl w:val="0"/>
          <w:numId w:val="22"/>
        </w:numPr>
        <w:spacing w:line="276" w:lineRule="auto"/>
        <w:contextualSpacing w:val="0"/>
        <w:rPr>
          <w:sz w:val="17"/>
          <w:szCs w:val="17"/>
        </w:rPr>
      </w:pPr>
      <w:r w:rsidRPr="00D43ACB">
        <w:rPr>
          <w:sz w:val="17"/>
          <w:szCs w:val="17"/>
        </w:rPr>
        <w:t>cultural and heritage sites, such as the wreck of the steamship SS Cambridge and the wreck of the ketch Eliza Davies.</w:t>
      </w:r>
    </w:p>
    <w:p w:rsidR="00B602A4" w:rsidRPr="00085DBD" w:rsidRDefault="00B602A4" w:rsidP="00B602A4">
      <w:pPr>
        <w:rPr>
          <w:sz w:val="17"/>
          <w:szCs w:val="17"/>
        </w:rPr>
      </w:pPr>
      <w:r w:rsidRPr="00085DBD">
        <w:rPr>
          <w:sz w:val="17"/>
          <w:szCs w:val="17"/>
        </w:rPr>
        <w:t xml:space="preserve">Further information about this and other Commonwealth Marine Reserves in the larger proximity is located at: </w:t>
      </w:r>
      <w:hyperlink r:id="rId52" w:history="1">
        <w:r w:rsidRPr="00085DBD">
          <w:rPr>
            <w:rStyle w:val="Hyperlink"/>
            <w:sz w:val="17"/>
            <w:szCs w:val="17"/>
          </w:rPr>
          <w:t>www.environment.gov.au/topics/marine/marine-reserves</w:t>
        </w:r>
      </w:hyperlink>
    </w:p>
    <w:p w:rsidR="00B602A4" w:rsidRPr="00BF3C47" w:rsidRDefault="00B602A4" w:rsidP="00BF3C47">
      <w:pPr>
        <w:widowControl w:val="0"/>
        <w:rPr>
          <w:sz w:val="17"/>
          <w:szCs w:val="17"/>
        </w:rPr>
      </w:pPr>
      <w:r w:rsidRPr="00BF3C47">
        <w:rPr>
          <w:sz w:val="17"/>
          <w:szCs w:val="17"/>
        </w:rPr>
        <w:t>These release areas are approximately 35 km away from the Upwelling East of Eden Key Ecological Feature. The values of this feature include oceanographic features, nutrients, plankton and predatory fishes.</w:t>
      </w:r>
    </w:p>
    <w:p w:rsidR="00B602A4" w:rsidRPr="00B82C25" w:rsidRDefault="00B602A4" w:rsidP="00B602A4">
      <w:pPr>
        <w:rPr>
          <w:rFonts w:cs="Arial"/>
          <w:sz w:val="17"/>
          <w:szCs w:val="17"/>
          <w:u w:val="single"/>
        </w:rPr>
      </w:pPr>
      <w:r w:rsidRPr="00BF3C47">
        <w:rPr>
          <w:rFonts w:cs="Arial"/>
          <w:sz w:val="17"/>
          <w:szCs w:val="17"/>
          <w:u w:val="single"/>
        </w:rPr>
        <w:t>T</w:t>
      </w:r>
      <w:r w:rsidR="00B82C25">
        <w:rPr>
          <w:rFonts w:cs="Arial"/>
          <w:sz w:val="17"/>
          <w:szCs w:val="17"/>
          <w:u w:val="single"/>
        </w:rPr>
        <w:t>hreatened and Migratory Species</w:t>
      </w:r>
    </w:p>
    <w:p w:rsidR="00B602A4" w:rsidRPr="00BF3C47" w:rsidRDefault="00B602A4" w:rsidP="00B602A4">
      <w:pPr>
        <w:rPr>
          <w:sz w:val="17"/>
          <w:szCs w:val="17"/>
        </w:rPr>
      </w:pPr>
      <w:r w:rsidRPr="00BF3C47">
        <w:rPr>
          <w:sz w:val="17"/>
          <w:szCs w:val="17"/>
        </w:rPr>
        <w:t>A number of EPBCA listed threatened and migratory species are found in or near the release areas. Activities planned for these release areas during biologically important times for listed threatened and migratory species are likely to be subject to close scrutiny under the EPBCA.</w:t>
      </w:r>
    </w:p>
    <w:p w:rsidR="00B602A4" w:rsidRDefault="00B602A4" w:rsidP="00B602A4">
      <w:pPr>
        <w:rPr>
          <w:i/>
        </w:rPr>
      </w:pPr>
      <w:r w:rsidRPr="00633A0E">
        <w:rPr>
          <w:i/>
        </w:rPr>
        <w:t>Cetaceans</w:t>
      </w:r>
    </w:p>
    <w:p w:rsidR="00B602A4" w:rsidRPr="00BF3C47" w:rsidRDefault="00B602A4" w:rsidP="00B602A4">
      <w:pPr>
        <w:rPr>
          <w:sz w:val="17"/>
          <w:szCs w:val="17"/>
        </w:rPr>
      </w:pPr>
      <w:r w:rsidRPr="00BF3C47">
        <w:rPr>
          <w:sz w:val="17"/>
          <w:szCs w:val="17"/>
        </w:rPr>
        <w:t>The endangered and migratory blue (</w:t>
      </w:r>
      <w:proofErr w:type="spellStart"/>
      <w:r w:rsidRPr="00BF3C47">
        <w:rPr>
          <w:i/>
          <w:sz w:val="17"/>
          <w:szCs w:val="17"/>
        </w:rPr>
        <w:t>Balaenoptera</w:t>
      </w:r>
      <w:proofErr w:type="spellEnd"/>
      <w:r w:rsidRPr="00BF3C47">
        <w:rPr>
          <w:i/>
          <w:sz w:val="17"/>
          <w:szCs w:val="17"/>
        </w:rPr>
        <w:t xml:space="preserve"> </w:t>
      </w:r>
      <w:proofErr w:type="spellStart"/>
      <w:r w:rsidRPr="00BF3C47">
        <w:rPr>
          <w:i/>
          <w:sz w:val="17"/>
          <w:szCs w:val="17"/>
        </w:rPr>
        <w:t>musculus</w:t>
      </w:r>
      <w:proofErr w:type="spellEnd"/>
      <w:r w:rsidRPr="00BF3C47">
        <w:rPr>
          <w:sz w:val="17"/>
          <w:szCs w:val="17"/>
        </w:rPr>
        <w:t>) and southern right (</w:t>
      </w:r>
      <w:proofErr w:type="spellStart"/>
      <w:r w:rsidRPr="00BF3C47">
        <w:rPr>
          <w:i/>
          <w:sz w:val="17"/>
          <w:szCs w:val="17"/>
        </w:rPr>
        <w:t>Eubalaena</w:t>
      </w:r>
      <w:proofErr w:type="spellEnd"/>
      <w:r w:rsidRPr="00BF3C47">
        <w:rPr>
          <w:i/>
          <w:sz w:val="17"/>
          <w:szCs w:val="17"/>
        </w:rPr>
        <w:t xml:space="preserve"> </w:t>
      </w:r>
      <w:proofErr w:type="spellStart"/>
      <w:r w:rsidRPr="00BF3C47">
        <w:rPr>
          <w:i/>
          <w:sz w:val="17"/>
          <w:szCs w:val="17"/>
        </w:rPr>
        <w:t>australis</w:t>
      </w:r>
      <w:proofErr w:type="spellEnd"/>
      <w:r w:rsidRPr="00BF3C47">
        <w:rPr>
          <w:sz w:val="17"/>
          <w:szCs w:val="17"/>
        </w:rPr>
        <w:t>) whales and vulnerable and migratory humpback (</w:t>
      </w:r>
      <w:proofErr w:type="spellStart"/>
      <w:r w:rsidRPr="00BF3C47">
        <w:rPr>
          <w:i/>
          <w:sz w:val="17"/>
          <w:szCs w:val="17"/>
        </w:rPr>
        <w:t>Megaptera</w:t>
      </w:r>
      <w:proofErr w:type="spellEnd"/>
      <w:r w:rsidRPr="00E80676">
        <w:rPr>
          <w:i/>
        </w:rPr>
        <w:t xml:space="preserve"> </w:t>
      </w:r>
      <w:proofErr w:type="spellStart"/>
      <w:r w:rsidRPr="00BF3C47">
        <w:rPr>
          <w:i/>
          <w:sz w:val="17"/>
          <w:szCs w:val="17"/>
        </w:rPr>
        <w:lastRenderedPageBreak/>
        <w:t>novaeangliae</w:t>
      </w:r>
      <w:proofErr w:type="spellEnd"/>
      <w:r w:rsidRPr="00BF3C47">
        <w:rPr>
          <w:sz w:val="17"/>
          <w:szCs w:val="17"/>
        </w:rPr>
        <w:t>) whale are known or likely to occur in these acreage areas.</w:t>
      </w:r>
    </w:p>
    <w:p w:rsidR="00B602A4" w:rsidRPr="00B70AAE" w:rsidRDefault="00B602A4" w:rsidP="00B602A4">
      <w:pPr>
        <w:rPr>
          <w:i/>
        </w:rPr>
      </w:pPr>
      <w:r w:rsidRPr="00B70AAE">
        <w:rPr>
          <w:i/>
        </w:rPr>
        <w:t>Reptiles</w:t>
      </w:r>
    </w:p>
    <w:p w:rsidR="00B602A4" w:rsidRPr="00BF3C47" w:rsidRDefault="00B602A4" w:rsidP="00B602A4">
      <w:pPr>
        <w:rPr>
          <w:sz w:val="17"/>
          <w:szCs w:val="17"/>
        </w:rPr>
      </w:pPr>
      <w:r w:rsidRPr="00BF3C47">
        <w:rPr>
          <w:sz w:val="17"/>
          <w:szCs w:val="17"/>
        </w:rPr>
        <w:t>The endangered and migratory loggerhead turtle (</w:t>
      </w:r>
      <w:proofErr w:type="spellStart"/>
      <w:r w:rsidRPr="00BF3C47">
        <w:rPr>
          <w:i/>
          <w:sz w:val="17"/>
          <w:szCs w:val="17"/>
        </w:rPr>
        <w:t>Caretta</w:t>
      </w:r>
      <w:proofErr w:type="spellEnd"/>
      <w:r w:rsidRPr="00BF3C47">
        <w:rPr>
          <w:sz w:val="17"/>
          <w:szCs w:val="17"/>
        </w:rPr>
        <w:t xml:space="preserve"> </w:t>
      </w:r>
      <w:proofErr w:type="spellStart"/>
      <w:r w:rsidRPr="00BF3C47">
        <w:rPr>
          <w:i/>
          <w:sz w:val="17"/>
          <w:szCs w:val="17"/>
        </w:rPr>
        <w:t>caretta</w:t>
      </w:r>
      <w:proofErr w:type="spellEnd"/>
      <w:r w:rsidRPr="00BF3C47">
        <w:rPr>
          <w:sz w:val="17"/>
          <w:szCs w:val="17"/>
        </w:rPr>
        <w:t>) and leatherback turtle (</w:t>
      </w:r>
      <w:proofErr w:type="spellStart"/>
      <w:r w:rsidRPr="00BF3C47">
        <w:rPr>
          <w:i/>
          <w:sz w:val="17"/>
          <w:szCs w:val="17"/>
        </w:rPr>
        <w:t>Dermochelys</w:t>
      </w:r>
      <w:proofErr w:type="spellEnd"/>
      <w:r w:rsidRPr="00BF3C47">
        <w:rPr>
          <w:i/>
          <w:sz w:val="17"/>
          <w:szCs w:val="17"/>
        </w:rPr>
        <w:t xml:space="preserve"> </w:t>
      </w:r>
      <w:proofErr w:type="spellStart"/>
      <w:r w:rsidRPr="00BF3C47">
        <w:rPr>
          <w:i/>
          <w:sz w:val="17"/>
          <w:szCs w:val="17"/>
        </w:rPr>
        <w:t>coriacea</w:t>
      </w:r>
      <w:proofErr w:type="spellEnd"/>
      <w:r w:rsidRPr="00BF3C47">
        <w:rPr>
          <w:sz w:val="17"/>
          <w:szCs w:val="17"/>
        </w:rPr>
        <w:t>) and vulnerable and migratory green turtle (</w:t>
      </w:r>
      <w:proofErr w:type="spellStart"/>
      <w:r w:rsidRPr="00BF3C47">
        <w:rPr>
          <w:i/>
          <w:sz w:val="17"/>
          <w:szCs w:val="17"/>
        </w:rPr>
        <w:t>Chelonia</w:t>
      </w:r>
      <w:proofErr w:type="spellEnd"/>
      <w:r w:rsidRPr="00BF3C47">
        <w:rPr>
          <w:i/>
          <w:sz w:val="17"/>
          <w:szCs w:val="17"/>
        </w:rPr>
        <w:t xml:space="preserve"> </w:t>
      </w:r>
      <w:proofErr w:type="spellStart"/>
      <w:r w:rsidRPr="00BF3C47">
        <w:rPr>
          <w:i/>
          <w:sz w:val="17"/>
          <w:szCs w:val="17"/>
        </w:rPr>
        <w:t>mydas</w:t>
      </w:r>
      <w:proofErr w:type="spellEnd"/>
      <w:r w:rsidRPr="00BF3C47">
        <w:rPr>
          <w:sz w:val="17"/>
          <w:szCs w:val="17"/>
        </w:rPr>
        <w:t>) are known or likely to occur in these acreage areas.</w:t>
      </w:r>
    </w:p>
    <w:p w:rsidR="00B602A4" w:rsidRPr="00D71C25" w:rsidRDefault="00B602A4" w:rsidP="00B602A4">
      <w:pPr>
        <w:rPr>
          <w:i/>
        </w:rPr>
      </w:pPr>
      <w:r w:rsidRPr="00D71C25">
        <w:rPr>
          <w:i/>
        </w:rPr>
        <w:t>Migratory Birds</w:t>
      </w:r>
    </w:p>
    <w:p w:rsidR="00B602A4" w:rsidRPr="00BF3C47" w:rsidRDefault="00B602A4" w:rsidP="00BF3C47">
      <w:pPr>
        <w:rPr>
          <w:sz w:val="17"/>
          <w:szCs w:val="17"/>
        </w:rPr>
      </w:pPr>
      <w:r w:rsidRPr="00BF3C47">
        <w:rPr>
          <w:sz w:val="17"/>
          <w:szCs w:val="17"/>
        </w:rPr>
        <w:t>The release areas lie within foraging areas for numerous threatened and migratory seabirds such as the flesh-footed shearwater (</w:t>
      </w:r>
      <w:proofErr w:type="spellStart"/>
      <w:r w:rsidRPr="00BF3C47">
        <w:rPr>
          <w:i/>
          <w:sz w:val="17"/>
          <w:szCs w:val="17"/>
        </w:rPr>
        <w:t>Puffinus</w:t>
      </w:r>
      <w:proofErr w:type="spellEnd"/>
      <w:r w:rsidRPr="00BF3C47">
        <w:rPr>
          <w:i/>
          <w:sz w:val="17"/>
          <w:szCs w:val="17"/>
        </w:rPr>
        <w:t xml:space="preserve"> </w:t>
      </w:r>
      <w:proofErr w:type="spellStart"/>
      <w:r w:rsidRPr="00BF3C47">
        <w:rPr>
          <w:i/>
          <w:sz w:val="17"/>
          <w:szCs w:val="17"/>
        </w:rPr>
        <w:t>carneipes</w:t>
      </w:r>
      <w:proofErr w:type="spellEnd"/>
      <w:r w:rsidRPr="00BF3C47">
        <w:rPr>
          <w:sz w:val="17"/>
          <w:szCs w:val="17"/>
        </w:rPr>
        <w:t>), albatross (</w:t>
      </w:r>
      <w:proofErr w:type="spellStart"/>
      <w:r w:rsidRPr="00BF3C47">
        <w:rPr>
          <w:i/>
          <w:sz w:val="17"/>
          <w:szCs w:val="17"/>
        </w:rPr>
        <w:t>Thalassarche</w:t>
      </w:r>
      <w:proofErr w:type="spellEnd"/>
      <w:r w:rsidRPr="00BF3C47">
        <w:rPr>
          <w:sz w:val="17"/>
          <w:szCs w:val="17"/>
        </w:rPr>
        <w:t xml:space="preserve"> </w:t>
      </w:r>
      <w:r w:rsidRPr="00BF3C47">
        <w:rPr>
          <w:i/>
          <w:sz w:val="17"/>
          <w:szCs w:val="17"/>
        </w:rPr>
        <w:t>spp</w:t>
      </w:r>
      <w:r w:rsidRPr="00BF3C47">
        <w:rPr>
          <w:sz w:val="17"/>
          <w:szCs w:val="17"/>
        </w:rPr>
        <w:t>.), and petrels (</w:t>
      </w:r>
      <w:proofErr w:type="spellStart"/>
      <w:r w:rsidRPr="00BF3C47">
        <w:rPr>
          <w:i/>
          <w:sz w:val="17"/>
          <w:szCs w:val="17"/>
        </w:rPr>
        <w:t>Pterodroma</w:t>
      </w:r>
      <w:proofErr w:type="spellEnd"/>
      <w:r w:rsidRPr="00BF3C47">
        <w:rPr>
          <w:i/>
          <w:sz w:val="17"/>
          <w:szCs w:val="17"/>
        </w:rPr>
        <w:t xml:space="preserve"> spp</w:t>
      </w:r>
      <w:r w:rsidRPr="00BF3C47">
        <w:rPr>
          <w:sz w:val="17"/>
          <w:szCs w:val="17"/>
        </w:rPr>
        <w:t>.).</w:t>
      </w:r>
    </w:p>
    <w:p w:rsidR="00B602A4" w:rsidRPr="00BF3C47" w:rsidRDefault="00B602A4" w:rsidP="00BF3C47">
      <w:pPr>
        <w:rPr>
          <w:rFonts w:cs="Arial"/>
          <w:sz w:val="17"/>
          <w:szCs w:val="17"/>
          <w:u w:val="single"/>
        </w:rPr>
      </w:pPr>
      <w:proofErr w:type="spellStart"/>
      <w:r w:rsidRPr="00BF3C47">
        <w:rPr>
          <w:rFonts w:cs="Arial"/>
          <w:sz w:val="17"/>
          <w:szCs w:val="17"/>
          <w:u w:val="single"/>
        </w:rPr>
        <w:t>Ramsar</w:t>
      </w:r>
      <w:proofErr w:type="spellEnd"/>
      <w:r w:rsidRPr="00BF3C47">
        <w:rPr>
          <w:rFonts w:cs="Arial"/>
          <w:sz w:val="17"/>
          <w:szCs w:val="17"/>
          <w:u w:val="single"/>
        </w:rPr>
        <w:t xml:space="preserve"> wetlands</w:t>
      </w:r>
    </w:p>
    <w:p w:rsidR="00B602A4" w:rsidRPr="00BF3C47" w:rsidRDefault="00B602A4" w:rsidP="00B602A4">
      <w:pPr>
        <w:rPr>
          <w:sz w:val="17"/>
          <w:szCs w:val="17"/>
        </w:rPr>
      </w:pPr>
      <w:r w:rsidRPr="00BF3C47">
        <w:rPr>
          <w:sz w:val="17"/>
          <w:szCs w:val="17"/>
        </w:rPr>
        <w:t xml:space="preserve">The three release areas, VIC14-GHG-1, VIC14-GHG-2 and VIC14-GHG-3 are located approximately 5.9 km, 16.5 km and 17.6 km, respectively, from Gippsland Lakes </w:t>
      </w:r>
      <w:proofErr w:type="spellStart"/>
      <w:r w:rsidRPr="00BF3C47">
        <w:rPr>
          <w:sz w:val="17"/>
          <w:szCs w:val="17"/>
        </w:rPr>
        <w:t>Ramsar</w:t>
      </w:r>
      <w:proofErr w:type="spellEnd"/>
      <w:r w:rsidRPr="00BF3C47">
        <w:rPr>
          <w:sz w:val="17"/>
          <w:szCs w:val="17"/>
        </w:rPr>
        <w:t xml:space="preserve"> Site and approximately 46.8 km, 25.2 km and 8.7 km, respectively, from Corner Inlet </w:t>
      </w:r>
      <w:proofErr w:type="spellStart"/>
      <w:r w:rsidRPr="00BF3C47">
        <w:rPr>
          <w:sz w:val="17"/>
          <w:szCs w:val="17"/>
        </w:rPr>
        <w:t>Ramsar</w:t>
      </w:r>
      <w:proofErr w:type="spellEnd"/>
      <w:r w:rsidRPr="00BF3C47">
        <w:rPr>
          <w:sz w:val="17"/>
          <w:szCs w:val="17"/>
        </w:rPr>
        <w:t xml:space="preserve"> site.</w:t>
      </w:r>
    </w:p>
    <w:p w:rsidR="00B602A4" w:rsidRPr="00324427" w:rsidRDefault="00B602A4" w:rsidP="00B602A4">
      <w:pPr>
        <w:rPr>
          <w:i/>
        </w:rPr>
      </w:pPr>
      <w:r w:rsidRPr="00324427">
        <w:rPr>
          <w:i/>
        </w:rPr>
        <w:t xml:space="preserve">Gippsland Lakes </w:t>
      </w:r>
      <w:proofErr w:type="spellStart"/>
      <w:r w:rsidRPr="00324427">
        <w:rPr>
          <w:i/>
        </w:rPr>
        <w:t>Ramsar</w:t>
      </w:r>
      <w:proofErr w:type="spellEnd"/>
      <w:r w:rsidRPr="00324427">
        <w:rPr>
          <w:i/>
        </w:rPr>
        <w:t xml:space="preserve"> Site</w:t>
      </w:r>
    </w:p>
    <w:p w:rsidR="00B602A4" w:rsidRPr="00BF3C47" w:rsidRDefault="00B602A4" w:rsidP="00B602A4">
      <w:pPr>
        <w:rPr>
          <w:sz w:val="17"/>
          <w:szCs w:val="17"/>
        </w:rPr>
      </w:pPr>
      <w:r w:rsidRPr="00BF3C47">
        <w:rPr>
          <w:sz w:val="17"/>
          <w:szCs w:val="17"/>
        </w:rPr>
        <w:t xml:space="preserve">The </w:t>
      </w:r>
      <w:proofErr w:type="spellStart"/>
      <w:r w:rsidRPr="00BF3C47">
        <w:rPr>
          <w:sz w:val="17"/>
          <w:szCs w:val="17"/>
        </w:rPr>
        <w:t>Ramsar</w:t>
      </w:r>
      <w:proofErr w:type="spellEnd"/>
      <w:r w:rsidRPr="00BF3C47">
        <w:rPr>
          <w:sz w:val="17"/>
          <w:szCs w:val="17"/>
        </w:rPr>
        <w:t xml:space="preserve"> site is an extensive system of estuarine, fresh and brackish coastal wetlands, with a diversity of wetland types present including lagoons, marshes and tree-swamps. Ground water is a critical component of the hydrological regime of the site. The site provides habitat for a significant amount of endangered and vulnerable mammals, fish species and plant species as well as critical habitat for migratory birds. This include the vulnerable green and golden bell frogs (</w:t>
      </w:r>
      <w:proofErr w:type="spellStart"/>
      <w:r w:rsidRPr="00BF3C47">
        <w:rPr>
          <w:i/>
          <w:sz w:val="17"/>
          <w:szCs w:val="17"/>
        </w:rPr>
        <w:t>Litoria</w:t>
      </w:r>
      <w:proofErr w:type="spellEnd"/>
      <w:r w:rsidRPr="00BF3C47">
        <w:rPr>
          <w:i/>
          <w:sz w:val="17"/>
          <w:szCs w:val="17"/>
        </w:rPr>
        <w:t xml:space="preserve"> </w:t>
      </w:r>
      <w:proofErr w:type="spellStart"/>
      <w:r w:rsidRPr="00BF3C47">
        <w:rPr>
          <w:i/>
          <w:sz w:val="17"/>
          <w:szCs w:val="17"/>
        </w:rPr>
        <w:t>aurea</w:t>
      </w:r>
      <w:proofErr w:type="spellEnd"/>
      <w:r w:rsidRPr="00BF3C47">
        <w:rPr>
          <w:sz w:val="17"/>
          <w:szCs w:val="17"/>
        </w:rPr>
        <w:t>) and growling grass frogs (</w:t>
      </w:r>
      <w:proofErr w:type="spellStart"/>
      <w:r w:rsidRPr="00BF3C47">
        <w:rPr>
          <w:i/>
          <w:sz w:val="17"/>
          <w:szCs w:val="17"/>
        </w:rPr>
        <w:t>Litoria</w:t>
      </w:r>
      <w:proofErr w:type="spellEnd"/>
      <w:r w:rsidRPr="00BF3C47">
        <w:rPr>
          <w:i/>
          <w:sz w:val="17"/>
          <w:szCs w:val="17"/>
        </w:rPr>
        <w:t xml:space="preserve"> </w:t>
      </w:r>
      <w:proofErr w:type="spellStart"/>
      <w:r w:rsidRPr="00BF3C47">
        <w:rPr>
          <w:i/>
          <w:sz w:val="17"/>
          <w:szCs w:val="17"/>
        </w:rPr>
        <w:t>raniformis</w:t>
      </w:r>
      <w:proofErr w:type="spellEnd"/>
      <w:r w:rsidRPr="00BF3C47">
        <w:rPr>
          <w:sz w:val="17"/>
          <w:szCs w:val="17"/>
        </w:rPr>
        <w:t>), and the vulnerable and endangered wetland-associated flora species dwarf kerrawang (</w:t>
      </w:r>
      <w:proofErr w:type="spellStart"/>
      <w:r w:rsidRPr="00BF3C47">
        <w:rPr>
          <w:i/>
          <w:sz w:val="17"/>
          <w:szCs w:val="17"/>
        </w:rPr>
        <w:t>Rulingia</w:t>
      </w:r>
      <w:proofErr w:type="spellEnd"/>
      <w:r w:rsidRPr="00BF3C47">
        <w:rPr>
          <w:i/>
          <w:sz w:val="17"/>
          <w:szCs w:val="17"/>
        </w:rPr>
        <w:t xml:space="preserve"> prostrate</w:t>
      </w:r>
      <w:r w:rsidRPr="00BF3C47">
        <w:rPr>
          <w:sz w:val="17"/>
          <w:szCs w:val="17"/>
        </w:rPr>
        <w:t>), swamp everlasting (</w:t>
      </w:r>
      <w:proofErr w:type="spellStart"/>
      <w:r w:rsidRPr="00BF3C47">
        <w:rPr>
          <w:i/>
          <w:sz w:val="17"/>
          <w:szCs w:val="17"/>
        </w:rPr>
        <w:t>Xerochrysum</w:t>
      </w:r>
      <w:proofErr w:type="spellEnd"/>
      <w:r w:rsidRPr="00BF3C47">
        <w:rPr>
          <w:i/>
          <w:sz w:val="17"/>
          <w:szCs w:val="17"/>
        </w:rPr>
        <w:t xml:space="preserve"> </w:t>
      </w:r>
      <w:proofErr w:type="spellStart"/>
      <w:r w:rsidRPr="00BF3C47">
        <w:rPr>
          <w:i/>
          <w:sz w:val="17"/>
          <w:szCs w:val="17"/>
        </w:rPr>
        <w:t>palustre</w:t>
      </w:r>
      <w:proofErr w:type="spellEnd"/>
      <w:r w:rsidRPr="00BF3C47">
        <w:rPr>
          <w:sz w:val="17"/>
          <w:szCs w:val="17"/>
        </w:rPr>
        <w:t>) and metallic sun-orchid (</w:t>
      </w:r>
      <w:proofErr w:type="spellStart"/>
      <w:r w:rsidRPr="00BF3C47">
        <w:rPr>
          <w:i/>
          <w:sz w:val="17"/>
          <w:szCs w:val="17"/>
        </w:rPr>
        <w:t>Thelymitra</w:t>
      </w:r>
      <w:proofErr w:type="spellEnd"/>
      <w:r w:rsidRPr="00BF3C47">
        <w:rPr>
          <w:i/>
          <w:sz w:val="17"/>
          <w:szCs w:val="17"/>
        </w:rPr>
        <w:t xml:space="preserve"> </w:t>
      </w:r>
      <w:proofErr w:type="spellStart"/>
      <w:r w:rsidRPr="00BF3C47">
        <w:rPr>
          <w:i/>
          <w:sz w:val="17"/>
          <w:szCs w:val="17"/>
        </w:rPr>
        <w:t>epipactoides</w:t>
      </w:r>
      <w:proofErr w:type="spellEnd"/>
      <w:r w:rsidRPr="00BF3C47">
        <w:rPr>
          <w:sz w:val="17"/>
          <w:szCs w:val="17"/>
        </w:rPr>
        <w:t>).</w:t>
      </w:r>
    </w:p>
    <w:p w:rsidR="00B602A4" w:rsidRPr="00BF3C47" w:rsidRDefault="00B602A4" w:rsidP="00B602A4">
      <w:pPr>
        <w:rPr>
          <w:sz w:val="17"/>
          <w:szCs w:val="17"/>
        </w:rPr>
      </w:pPr>
      <w:r w:rsidRPr="00BF3C47">
        <w:rPr>
          <w:sz w:val="17"/>
          <w:szCs w:val="17"/>
        </w:rPr>
        <w:t>This site also regularl</w:t>
      </w:r>
      <w:bookmarkStart w:id="1" w:name="CursorPositionBM"/>
      <w:bookmarkEnd w:id="1"/>
      <w:r w:rsidRPr="00BF3C47">
        <w:rPr>
          <w:sz w:val="17"/>
          <w:szCs w:val="17"/>
        </w:rPr>
        <w:t>y supports between 40,000 and 50,000 waterbirds and regularly supports more than one per cent of the population of several migratory species. The estuary also supports important breeding habitat for fish species including several of direct fisheries importance such as black bream.</w:t>
      </w:r>
    </w:p>
    <w:p w:rsidR="00B602A4" w:rsidRDefault="00B602A4" w:rsidP="00B602A4">
      <w:pPr>
        <w:rPr>
          <w:i/>
        </w:rPr>
      </w:pPr>
      <w:r>
        <w:rPr>
          <w:i/>
        </w:rPr>
        <w:t>Corner Inlet</w:t>
      </w:r>
      <w:r w:rsidRPr="00874343">
        <w:rPr>
          <w:i/>
        </w:rPr>
        <w:t xml:space="preserve"> </w:t>
      </w:r>
      <w:proofErr w:type="spellStart"/>
      <w:r w:rsidRPr="00874343">
        <w:rPr>
          <w:i/>
        </w:rPr>
        <w:t>Ramsar</w:t>
      </w:r>
      <w:proofErr w:type="spellEnd"/>
      <w:r w:rsidRPr="00874343">
        <w:rPr>
          <w:i/>
        </w:rPr>
        <w:t xml:space="preserve"> Site</w:t>
      </w:r>
    </w:p>
    <w:p w:rsidR="00B602A4" w:rsidRPr="00BF3C47" w:rsidRDefault="00B602A4" w:rsidP="00B602A4">
      <w:pPr>
        <w:rPr>
          <w:sz w:val="17"/>
          <w:szCs w:val="17"/>
        </w:rPr>
      </w:pPr>
      <w:r w:rsidRPr="00BF3C47">
        <w:rPr>
          <w:sz w:val="17"/>
          <w:szCs w:val="17"/>
        </w:rPr>
        <w:t xml:space="preserve">The </w:t>
      </w:r>
      <w:proofErr w:type="spellStart"/>
      <w:r w:rsidRPr="00BF3C47">
        <w:rPr>
          <w:sz w:val="17"/>
          <w:szCs w:val="17"/>
        </w:rPr>
        <w:t>Ramsar</w:t>
      </w:r>
      <w:proofErr w:type="spellEnd"/>
      <w:r w:rsidRPr="00BF3C47">
        <w:rPr>
          <w:sz w:val="17"/>
          <w:szCs w:val="17"/>
        </w:rPr>
        <w:t xml:space="preserve"> site supports a diversity of wetland types including sand or mud flats, deep subtidal channels, mangroves, saltmarsh, seagrass beds and terrestrial habitats on the sand islands. The site provides habitat for the critically endangered and migratory orange-bellied parrot (</w:t>
      </w:r>
      <w:proofErr w:type="spellStart"/>
      <w:r w:rsidRPr="00BF3C47">
        <w:rPr>
          <w:i/>
          <w:sz w:val="17"/>
          <w:szCs w:val="17"/>
        </w:rPr>
        <w:t>Neophema</w:t>
      </w:r>
      <w:proofErr w:type="spellEnd"/>
      <w:r w:rsidRPr="00BF3C47">
        <w:rPr>
          <w:sz w:val="17"/>
          <w:szCs w:val="17"/>
        </w:rPr>
        <w:t xml:space="preserve"> </w:t>
      </w:r>
      <w:proofErr w:type="spellStart"/>
      <w:r w:rsidRPr="00BF3C47">
        <w:rPr>
          <w:i/>
          <w:sz w:val="17"/>
          <w:szCs w:val="17"/>
        </w:rPr>
        <w:t>chrysogaster</w:t>
      </w:r>
      <w:proofErr w:type="spellEnd"/>
      <w:r w:rsidRPr="00BF3C47">
        <w:rPr>
          <w:sz w:val="17"/>
          <w:szCs w:val="17"/>
        </w:rPr>
        <w:t>), as well as several other vulnerable and endangered species, including the growling grass frog (</w:t>
      </w:r>
      <w:proofErr w:type="spellStart"/>
      <w:r w:rsidRPr="00BF3C47">
        <w:rPr>
          <w:i/>
          <w:sz w:val="17"/>
          <w:szCs w:val="17"/>
        </w:rPr>
        <w:t>Litoria</w:t>
      </w:r>
      <w:proofErr w:type="spellEnd"/>
      <w:r w:rsidRPr="00BF3C47">
        <w:rPr>
          <w:sz w:val="17"/>
          <w:szCs w:val="17"/>
        </w:rPr>
        <w:t xml:space="preserve"> </w:t>
      </w:r>
      <w:proofErr w:type="spellStart"/>
      <w:r w:rsidRPr="00BF3C47">
        <w:rPr>
          <w:i/>
          <w:sz w:val="17"/>
          <w:szCs w:val="17"/>
        </w:rPr>
        <w:t>raniformis</w:t>
      </w:r>
      <w:proofErr w:type="spellEnd"/>
      <w:r w:rsidRPr="00BF3C47">
        <w:rPr>
          <w:sz w:val="17"/>
          <w:szCs w:val="17"/>
        </w:rPr>
        <w:t>) and Australian grayling (</w:t>
      </w:r>
      <w:proofErr w:type="spellStart"/>
      <w:r w:rsidRPr="00BF3C47">
        <w:rPr>
          <w:i/>
          <w:sz w:val="17"/>
          <w:szCs w:val="17"/>
        </w:rPr>
        <w:t>Prototroctes</w:t>
      </w:r>
      <w:proofErr w:type="spellEnd"/>
      <w:r w:rsidRPr="00BF3C47">
        <w:rPr>
          <w:i/>
          <w:sz w:val="17"/>
          <w:szCs w:val="17"/>
        </w:rPr>
        <w:t xml:space="preserve"> </w:t>
      </w:r>
      <w:proofErr w:type="spellStart"/>
      <w:r w:rsidRPr="00BF3C47">
        <w:rPr>
          <w:i/>
          <w:sz w:val="17"/>
          <w:szCs w:val="17"/>
        </w:rPr>
        <w:t>maraena</w:t>
      </w:r>
      <w:proofErr w:type="spellEnd"/>
      <w:r w:rsidRPr="00BF3C47">
        <w:rPr>
          <w:sz w:val="17"/>
          <w:szCs w:val="17"/>
        </w:rPr>
        <w:t>).</w:t>
      </w:r>
    </w:p>
    <w:p w:rsidR="00B602A4" w:rsidRPr="00BF3C47" w:rsidRDefault="00B602A4" w:rsidP="00B602A4">
      <w:pPr>
        <w:rPr>
          <w:sz w:val="17"/>
          <w:szCs w:val="17"/>
        </w:rPr>
      </w:pPr>
      <w:r w:rsidRPr="00BF3C47">
        <w:rPr>
          <w:sz w:val="17"/>
          <w:szCs w:val="17"/>
        </w:rPr>
        <w:t>The site also regularly supports more than 40,000 waterbirds including a significant proportion of the total global population of a number of species and at least 24 migratory species. Corner Inlet also supports approximately 171 fish species and more than 390 native flora species.</w:t>
      </w:r>
    </w:p>
    <w:p w:rsidR="00B602A4" w:rsidRPr="00BF3C47" w:rsidRDefault="00B602A4" w:rsidP="00B602A4">
      <w:pPr>
        <w:rPr>
          <w:sz w:val="17"/>
          <w:szCs w:val="17"/>
        </w:rPr>
      </w:pPr>
      <w:r w:rsidRPr="00BF3C47">
        <w:rPr>
          <w:sz w:val="17"/>
          <w:szCs w:val="17"/>
        </w:rPr>
        <w:t xml:space="preserve">If a GHG storage activity is undertaken in the release area it is unclear at this stage as to the level of risk this action may pose on the </w:t>
      </w:r>
      <w:proofErr w:type="spellStart"/>
      <w:r w:rsidRPr="00BF3C47">
        <w:rPr>
          <w:sz w:val="17"/>
          <w:szCs w:val="17"/>
        </w:rPr>
        <w:t>Ramsar</w:t>
      </w:r>
      <w:proofErr w:type="spellEnd"/>
      <w:r w:rsidRPr="00BF3C47">
        <w:rPr>
          <w:sz w:val="17"/>
          <w:szCs w:val="17"/>
        </w:rPr>
        <w:t xml:space="preserve"> sites, given the limited understanding of the longevity of gas storage, the distance between the release area, any subsea-bed geological formations, and the</w:t>
      </w:r>
      <w:r w:rsidR="00BF3C47">
        <w:rPr>
          <w:sz w:val="17"/>
          <w:szCs w:val="17"/>
        </w:rPr>
        <w:t xml:space="preserve"> </w:t>
      </w:r>
      <w:proofErr w:type="spellStart"/>
      <w:r w:rsidR="00BF3C47">
        <w:rPr>
          <w:sz w:val="17"/>
          <w:szCs w:val="17"/>
        </w:rPr>
        <w:t>Ramsar</w:t>
      </w:r>
      <w:proofErr w:type="spellEnd"/>
      <w:r w:rsidR="00BF3C47">
        <w:rPr>
          <w:sz w:val="17"/>
          <w:szCs w:val="17"/>
        </w:rPr>
        <w:t xml:space="preserve"> site, as well as the tid</w:t>
      </w:r>
      <w:r w:rsidRPr="00BF3C47">
        <w:rPr>
          <w:sz w:val="17"/>
          <w:szCs w:val="17"/>
        </w:rPr>
        <w:t>al hydrology and the weather patterns in the area. Potential bidders should be aware that any proposed GHG activity in this region may require assessment and approval under the EPBCA.</w:t>
      </w:r>
    </w:p>
    <w:p w:rsidR="008418AB" w:rsidRPr="00CB10FE" w:rsidRDefault="00B602A4" w:rsidP="00B602A4">
      <w:r w:rsidRPr="00633A0E">
        <w:t xml:space="preserve">Further information about </w:t>
      </w:r>
      <w:proofErr w:type="spellStart"/>
      <w:r>
        <w:t>Ramsar</w:t>
      </w:r>
      <w:proofErr w:type="spellEnd"/>
      <w:r>
        <w:t xml:space="preserve"> wetlands</w:t>
      </w:r>
      <w:r w:rsidRPr="00633A0E">
        <w:t xml:space="preserve"> is located at: </w:t>
      </w:r>
      <w:hyperlink r:id="rId53" w:history="1">
        <w:r w:rsidR="008418AB" w:rsidRPr="00735B04">
          <w:rPr>
            <w:rStyle w:val="Hyperlink"/>
          </w:rPr>
          <w:t>www.environment.gov.au/wetlands</w:t>
        </w:r>
      </w:hyperlink>
    </w:p>
    <w:p w:rsidR="00B602A4" w:rsidRPr="00B82C25" w:rsidRDefault="00B82C25" w:rsidP="00B82C25">
      <w:pPr>
        <w:pStyle w:val="Heading4"/>
        <w:rPr>
          <w:rFonts w:eastAsia="Times New Roman"/>
          <w:lang w:eastAsia="en-AU"/>
        </w:rPr>
      </w:pPr>
      <w:r w:rsidRPr="00B82C25">
        <w:rPr>
          <w:rFonts w:eastAsia="Times New Roman"/>
          <w:lang w:eastAsia="en-AU"/>
        </w:rPr>
        <w:t>Navigation</w:t>
      </w:r>
    </w:p>
    <w:p w:rsidR="00B602A4" w:rsidRPr="00B82C25" w:rsidRDefault="00B602A4" w:rsidP="00B602A4">
      <w:pPr>
        <w:rPr>
          <w:sz w:val="17"/>
          <w:szCs w:val="17"/>
        </w:rPr>
      </w:pPr>
      <w:r w:rsidRPr="008D1973">
        <w:rPr>
          <w:sz w:val="17"/>
          <w:szCs w:val="17"/>
          <w:u w:val="single"/>
        </w:rPr>
        <w:t>Release Area VIC14-GHG-1</w:t>
      </w:r>
      <w:r w:rsidR="00B82C25" w:rsidRPr="00B82C25">
        <w:rPr>
          <w:sz w:val="17"/>
          <w:szCs w:val="17"/>
        </w:rPr>
        <w:t xml:space="preserve"> </w:t>
      </w:r>
      <w:r w:rsidRPr="00B82C25">
        <w:rPr>
          <w:sz w:val="17"/>
          <w:szCs w:val="17"/>
        </w:rPr>
        <w:t>is situated between the coastal waters (3 nautical mile) and Territorial Sea area (12 nautical mile) limits.</w:t>
      </w:r>
    </w:p>
    <w:p w:rsidR="00B602A4" w:rsidRPr="00B82C25" w:rsidRDefault="00B602A4" w:rsidP="00B602A4">
      <w:pPr>
        <w:rPr>
          <w:sz w:val="17"/>
          <w:szCs w:val="17"/>
        </w:rPr>
      </w:pPr>
      <w:r w:rsidRPr="00B82C25">
        <w:rPr>
          <w:sz w:val="17"/>
          <w:szCs w:val="17"/>
        </w:rPr>
        <w:t>Low volume coastal shipping traffic can be expected within this area.</w:t>
      </w:r>
    </w:p>
    <w:p w:rsidR="00B602A4" w:rsidRPr="00B82C25" w:rsidRDefault="00B602A4" w:rsidP="00B602A4">
      <w:pPr>
        <w:rPr>
          <w:sz w:val="17"/>
          <w:szCs w:val="17"/>
        </w:rPr>
      </w:pPr>
      <w:r w:rsidRPr="00B82C25">
        <w:rPr>
          <w:sz w:val="17"/>
          <w:szCs w:val="17"/>
        </w:rPr>
        <w:t>Three separate oil and gas pipelines run through this area from the coast out to various installations and any seafloor exploration activity would need to take account of these facilities.</w:t>
      </w:r>
    </w:p>
    <w:p w:rsidR="00D62142" w:rsidRPr="00B82C25" w:rsidRDefault="00D62142" w:rsidP="00D62142">
      <w:pPr>
        <w:rPr>
          <w:sz w:val="17"/>
          <w:szCs w:val="17"/>
        </w:rPr>
      </w:pPr>
      <w:r w:rsidRPr="00B82C25">
        <w:rPr>
          <w:sz w:val="17"/>
          <w:szCs w:val="17"/>
        </w:rPr>
        <w:t xml:space="preserve">The area also contains the Whiptail 1A oil platform and well, with a depth recorded as 38 m and is charted on </w:t>
      </w:r>
      <w:r w:rsidR="008D1973">
        <w:rPr>
          <w:sz w:val="17"/>
          <w:szCs w:val="17"/>
        </w:rPr>
        <w:t xml:space="preserve">map </w:t>
      </w:r>
      <w:r w:rsidRPr="00B82C25">
        <w:rPr>
          <w:sz w:val="17"/>
          <w:szCs w:val="17"/>
        </w:rPr>
        <w:t xml:space="preserve">AUS357 – South East Point to Point Hicks. To the west of this position is a disused well with a depth of 36 m, which is also charted on </w:t>
      </w:r>
      <w:r w:rsidR="008D1973">
        <w:rPr>
          <w:sz w:val="17"/>
          <w:szCs w:val="17"/>
        </w:rPr>
        <w:t xml:space="preserve">map </w:t>
      </w:r>
      <w:r w:rsidRPr="00B82C25">
        <w:rPr>
          <w:sz w:val="17"/>
          <w:szCs w:val="17"/>
        </w:rPr>
        <w:t>AUS357.</w:t>
      </w:r>
    </w:p>
    <w:p w:rsidR="00B602A4" w:rsidRPr="00B82C25" w:rsidRDefault="00B602A4" w:rsidP="00B602A4">
      <w:pPr>
        <w:rPr>
          <w:sz w:val="17"/>
          <w:szCs w:val="17"/>
        </w:rPr>
      </w:pPr>
      <w:r w:rsidRPr="00B82C25">
        <w:rPr>
          <w:sz w:val="17"/>
          <w:szCs w:val="17"/>
        </w:rPr>
        <w:t xml:space="preserve">The western most edge </w:t>
      </w:r>
      <w:r w:rsidR="008D1973" w:rsidRPr="00B82C25">
        <w:rPr>
          <w:sz w:val="17"/>
          <w:szCs w:val="17"/>
        </w:rPr>
        <w:t xml:space="preserve">of the release </w:t>
      </w:r>
      <w:r w:rsidR="008D1973">
        <w:rPr>
          <w:sz w:val="17"/>
          <w:szCs w:val="17"/>
        </w:rPr>
        <w:t xml:space="preserve">area </w:t>
      </w:r>
      <w:r w:rsidRPr="00B82C25">
        <w:rPr>
          <w:sz w:val="17"/>
          <w:szCs w:val="17"/>
        </w:rPr>
        <w:t xml:space="preserve">crosses over </w:t>
      </w:r>
      <w:r w:rsidR="00D62142">
        <w:rPr>
          <w:sz w:val="17"/>
          <w:szCs w:val="17"/>
        </w:rPr>
        <w:t>an</w:t>
      </w:r>
      <w:r w:rsidRPr="00B82C25">
        <w:rPr>
          <w:sz w:val="17"/>
          <w:szCs w:val="17"/>
        </w:rPr>
        <w:t xml:space="preserve"> Area to be Avoided (ATBA) with the main body of the release </w:t>
      </w:r>
      <w:r w:rsidR="00D62142">
        <w:rPr>
          <w:sz w:val="17"/>
          <w:szCs w:val="17"/>
        </w:rPr>
        <w:t xml:space="preserve">area </w:t>
      </w:r>
      <w:r w:rsidRPr="00B82C25">
        <w:rPr>
          <w:sz w:val="17"/>
          <w:szCs w:val="17"/>
        </w:rPr>
        <w:t>within the ATBA.</w:t>
      </w:r>
    </w:p>
    <w:p w:rsidR="008D1973" w:rsidRDefault="008D1973" w:rsidP="008D1973">
      <w:pPr>
        <w:rPr>
          <w:sz w:val="17"/>
          <w:szCs w:val="17"/>
        </w:rPr>
      </w:pPr>
      <w:r>
        <w:rPr>
          <w:sz w:val="17"/>
          <w:szCs w:val="17"/>
        </w:rPr>
        <w:t>The ATBA is</w:t>
      </w:r>
      <w:r w:rsidRPr="00D62142">
        <w:rPr>
          <w:sz w:val="17"/>
          <w:szCs w:val="17"/>
        </w:rPr>
        <w:t xml:space="preserve"> a large defined area in the Bass Straight </w:t>
      </w:r>
      <w:r>
        <w:rPr>
          <w:sz w:val="17"/>
          <w:szCs w:val="17"/>
        </w:rPr>
        <w:t xml:space="preserve">for the protection of oil and gas infrastructure and </w:t>
      </w:r>
      <w:r w:rsidRPr="00D62142">
        <w:rPr>
          <w:sz w:val="17"/>
          <w:szCs w:val="17"/>
        </w:rPr>
        <w:t>deta</w:t>
      </w:r>
      <w:r>
        <w:rPr>
          <w:sz w:val="17"/>
          <w:szCs w:val="17"/>
        </w:rPr>
        <w:t>iled in schedule 2 to the OPGGSA.</w:t>
      </w:r>
    </w:p>
    <w:p w:rsidR="00D62142" w:rsidRDefault="00B602A4" w:rsidP="00B602A4">
      <w:pPr>
        <w:rPr>
          <w:sz w:val="17"/>
          <w:szCs w:val="17"/>
        </w:rPr>
      </w:pPr>
      <w:r w:rsidRPr="00B82C25">
        <w:rPr>
          <w:sz w:val="17"/>
          <w:szCs w:val="17"/>
        </w:rPr>
        <w:t>The ATBA has been approved by I</w:t>
      </w:r>
      <w:r w:rsidR="0027124E">
        <w:rPr>
          <w:sz w:val="17"/>
          <w:szCs w:val="17"/>
        </w:rPr>
        <w:t xml:space="preserve">nternational </w:t>
      </w:r>
      <w:r w:rsidRPr="00B82C25">
        <w:rPr>
          <w:sz w:val="17"/>
          <w:szCs w:val="17"/>
        </w:rPr>
        <w:t>M</w:t>
      </w:r>
      <w:r w:rsidR="0027124E">
        <w:rPr>
          <w:sz w:val="17"/>
          <w:szCs w:val="17"/>
        </w:rPr>
        <w:t xml:space="preserve">aritime </w:t>
      </w:r>
      <w:r w:rsidRPr="00B82C25">
        <w:rPr>
          <w:sz w:val="17"/>
          <w:szCs w:val="17"/>
        </w:rPr>
        <w:t>O</w:t>
      </w:r>
      <w:r w:rsidR="0027124E">
        <w:rPr>
          <w:sz w:val="17"/>
          <w:szCs w:val="17"/>
        </w:rPr>
        <w:t>rganization</w:t>
      </w:r>
      <w:r w:rsidRPr="00B82C25">
        <w:rPr>
          <w:sz w:val="17"/>
          <w:szCs w:val="17"/>
        </w:rPr>
        <w:t xml:space="preserve"> and should not be entered by unauthorised ships over 200 ton</w:t>
      </w:r>
      <w:r w:rsidR="00BE2D6B">
        <w:rPr>
          <w:sz w:val="17"/>
          <w:szCs w:val="17"/>
        </w:rPr>
        <w:t>ne</w:t>
      </w:r>
      <w:r w:rsidRPr="00B82C25">
        <w:rPr>
          <w:sz w:val="17"/>
          <w:szCs w:val="17"/>
        </w:rPr>
        <w:t>s, gross tonnage.</w:t>
      </w:r>
    </w:p>
    <w:p w:rsidR="00D62142" w:rsidRDefault="00D62142" w:rsidP="00B602A4">
      <w:r>
        <w:rPr>
          <w:sz w:val="17"/>
          <w:szCs w:val="17"/>
        </w:rPr>
        <w:t xml:space="preserve">Information on the ATBA </w:t>
      </w:r>
      <w:r w:rsidR="008D1973">
        <w:rPr>
          <w:sz w:val="17"/>
          <w:szCs w:val="17"/>
        </w:rPr>
        <w:t xml:space="preserve">including its location </w:t>
      </w:r>
      <w:r>
        <w:rPr>
          <w:sz w:val="17"/>
          <w:szCs w:val="17"/>
        </w:rPr>
        <w:t xml:space="preserve">can be found in section 15 of the Annual Notices to Mariners located at: </w:t>
      </w:r>
      <w:hyperlink r:id="rId54" w:history="1">
        <w:r w:rsidRPr="00EE793A">
          <w:rPr>
            <w:rStyle w:val="Hyperlink"/>
          </w:rPr>
          <w:t>www.hydro.gov.au/n2m/2014/annual/annual_ntm_2014.pdf</w:t>
        </w:r>
      </w:hyperlink>
    </w:p>
    <w:p w:rsidR="00D62142" w:rsidRDefault="00041CFE" w:rsidP="00B602A4">
      <w:pPr>
        <w:rPr>
          <w:sz w:val="17"/>
          <w:szCs w:val="17"/>
        </w:rPr>
      </w:pPr>
      <w:r>
        <w:rPr>
          <w:sz w:val="17"/>
          <w:szCs w:val="17"/>
        </w:rPr>
        <w:t xml:space="preserve">Relevant information on Petroleum Safety Zones including </w:t>
      </w:r>
      <w:r w:rsidR="00D62142">
        <w:rPr>
          <w:sz w:val="17"/>
          <w:szCs w:val="17"/>
        </w:rPr>
        <w:t xml:space="preserve">information on the ATBA </w:t>
      </w:r>
      <w:r>
        <w:rPr>
          <w:sz w:val="17"/>
          <w:szCs w:val="17"/>
        </w:rPr>
        <w:t>and</w:t>
      </w:r>
      <w:r w:rsidR="00D62142">
        <w:rPr>
          <w:sz w:val="17"/>
          <w:szCs w:val="17"/>
        </w:rPr>
        <w:t xml:space="preserve"> application for authorisation to enter the </w:t>
      </w:r>
      <w:r w:rsidR="008D1973">
        <w:rPr>
          <w:sz w:val="17"/>
          <w:szCs w:val="17"/>
        </w:rPr>
        <w:t xml:space="preserve">ATBA </w:t>
      </w:r>
      <w:r w:rsidR="00D62142">
        <w:rPr>
          <w:sz w:val="17"/>
          <w:szCs w:val="17"/>
        </w:rPr>
        <w:t xml:space="preserve">is located at: </w:t>
      </w:r>
      <w:hyperlink r:id="rId55" w:history="1">
        <w:r w:rsidR="00D62142" w:rsidRPr="00EE793A">
          <w:rPr>
            <w:rStyle w:val="Hyperlink"/>
          </w:rPr>
          <w:t>www.nopsema.gov.au/safety/petroleum-safety-zones/</w:t>
        </w:r>
      </w:hyperlink>
    </w:p>
    <w:p w:rsidR="00B602A4" w:rsidRPr="00B82C25" w:rsidRDefault="00B602A4" w:rsidP="00B602A4">
      <w:pPr>
        <w:rPr>
          <w:sz w:val="17"/>
          <w:szCs w:val="17"/>
        </w:rPr>
      </w:pPr>
      <w:r w:rsidRPr="008D1973">
        <w:rPr>
          <w:sz w:val="17"/>
          <w:szCs w:val="17"/>
          <w:u w:val="single"/>
        </w:rPr>
        <w:t>Release Area VIC14-GHG-2</w:t>
      </w:r>
      <w:r w:rsidR="00B82C25" w:rsidRPr="00B82C25">
        <w:rPr>
          <w:sz w:val="17"/>
          <w:szCs w:val="17"/>
        </w:rPr>
        <w:t xml:space="preserve"> </w:t>
      </w:r>
      <w:r w:rsidRPr="00B82C25">
        <w:rPr>
          <w:sz w:val="17"/>
          <w:szCs w:val="17"/>
        </w:rPr>
        <w:t>is situated between the coastal waters (3 nautical mile) and Territorial Sea area (12 nautical mile) limits.</w:t>
      </w:r>
    </w:p>
    <w:p w:rsidR="00B602A4" w:rsidRPr="00B82C25" w:rsidRDefault="00B602A4" w:rsidP="00B602A4">
      <w:pPr>
        <w:rPr>
          <w:sz w:val="17"/>
          <w:szCs w:val="17"/>
        </w:rPr>
      </w:pPr>
      <w:r w:rsidRPr="00B82C25">
        <w:rPr>
          <w:sz w:val="17"/>
          <w:szCs w:val="17"/>
        </w:rPr>
        <w:t>Medium volume coastal and offshore support shipping traffic can be expected within this area.</w:t>
      </w:r>
    </w:p>
    <w:p w:rsidR="00B602A4" w:rsidRDefault="00B602A4" w:rsidP="00B602A4">
      <w:pPr>
        <w:rPr>
          <w:sz w:val="17"/>
          <w:szCs w:val="17"/>
        </w:rPr>
      </w:pPr>
      <w:r w:rsidRPr="00B82C25">
        <w:rPr>
          <w:sz w:val="17"/>
          <w:szCs w:val="17"/>
        </w:rPr>
        <w:lastRenderedPageBreak/>
        <w:t xml:space="preserve">One gas and one oil and gas pipeline run through the area which also contains the Perch oil platform and well that is charted on </w:t>
      </w:r>
      <w:r w:rsidR="00DD4684">
        <w:rPr>
          <w:sz w:val="17"/>
          <w:szCs w:val="17"/>
        </w:rPr>
        <w:t xml:space="preserve">map </w:t>
      </w:r>
      <w:r w:rsidRPr="00B82C25">
        <w:rPr>
          <w:sz w:val="17"/>
          <w:szCs w:val="17"/>
        </w:rPr>
        <w:t>AUS357 – South East Point to Point.</w:t>
      </w:r>
    </w:p>
    <w:p w:rsidR="00B602A4" w:rsidRPr="00DD4684" w:rsidRDefault="00DD4684" w:rsidP="00B602A4">
      <w:pPr>
        <w:rPr>
          <w:sz w:val="17"/>
          <w:szCs w:val="17"/>
        </w:rPr>
      </w:pPr>
      <w:r>
        <w:rPr>
          <w:sz w:val="17"/>
          <w:szCs w:val="17"/>
        </w:rPr>
        <w:t xml:space="preserve">Detailed </w:t>
      </w:r>
      <w:r w:rsidRPr="00DD4684">
        <w:rPr>
          <w:sz w:val="17"/>
          <w:szCs w:val="17"/>
        </w:rPr>
        <w:t>individual asset listings for production related infrastructure</w:t>
      </w:r>
      <w:r>
        <w:rPr>
          <w:sz w:val="17"/>
          <w:szCs w:val="17"/>
        </w:rPr>
        <w:t xml:space="preserve"> is located at: </w:t>
      </w:r>
      <w:hyperlink r:id="rId56" w:history="1">
        <w:r w:rsidR="00B602A4" w:rsidRPr="00451018">
          <w:rPr>
            <w:rStyle w:val="Hyperlink"/>
            <w:bCs/>
          </w:rPr>
          <w:t>nremap.nre.vic.gov.au/Website/hlinks/mpd/dbmap_html/well/perch4.htm</w:t>
        </w:r>
      </w:hyperlink>
    </w:p>
    <w:p w:rsidR="00B602A4" w:rsidRPr="00B82C25" w:rsidRDefault="00B602A4" w:rsidP="00B602A4">
      <w:pPr>
        <w:rPr>
          <w:sz w:val="17"/>
          <w:szCs w:val="17"/>
        </w:rPr>
      </w:pPr>
      <w:r w:rsidRPr="008D1973">
        <w:rPr>
          <w:sz w:val="17"/>
          <w:szCs w:val="17"/>
          <w:u w:val="single"/>
        </w:rPr>
        <w:t>Release Area VIC14-GHG-3</w:t>
      </w:r>
      <w:r w:rsidR="00B82C25" w:rsidRPr="00B82C25">
        <w:rPr>
          <w:sz w:val="17"/>
          <w:szCs w:val="17"/>
        </w:rPr>
        <w:t xml:space="preserve"> </w:t>
      </w:r>
      <w:r w:rsidRPr="00B82C25">
        <w:rPr>
          <w:sz w:val="17"/>
          <w:szCs w:val="17"/>
        </w:rPr>
        <w:t>is situated between the coastal waters (3 nautical mile) and Territorial Sea area (12 nautical mile) limits.</w:t>
      </w:r>
    </w:p>
    <w:p w:rsidR="00B602A4" w:rsidRPr="00B82C25" w:rsidRDefault="00B602A4" w:rsidP="00B602A4">
      <w:pPr>
        <w:rPr>
          <w:sz w:val="17"/>
          <w:szCs w:val="17"/>
        </w:rPr>
      </w:pPr>
      <w:r w:rsidRPr="00B82C25">
        <w:rPr>
          <w:sz w:val="17"/>
          <w:szCs w:val="17"/>
        </w:rPr>
        <w:t>Medium volume coastal and offshore support shipping traffic can be expected within this area.</w:t>
      </w:r>
    </w:p>
    <w:p w:rsidR="00041CFE" w:rsidRDefault="00B602A4" w:rsidP="00B602A4">
      <w:pPr>
        <w:rPr>
          <w:sz w:val="17"/>
          <w:szCs w:val="17"/>
        </w:rPr>
      </w:pPr>
      <w:r w:rsidRPr="00B82C25">
        <w:rPr>
          <w:sz w:val="17"/>
          <w:szCs w:val="17"/>
        </w:rPr>
        <w:t>The area contains a number of artefacts including an Historic Wreck with Protected Zone and a submarine power cable.</w:t>
      </w:r>
    </w:p>
    <w:p w:rsidR="00041CFE" w:rsidRPr="00B82C25" w:rsidRDefault="00041CFE" w:rsidP="00B602A4">
      <w:pPr>
        <w:rPr>
          <w:sz w:val="17"/>
          <w:szCs w:val="17"/>
        </w:rPr>
      </w:pPr>
      <w:r>
        <w:rPr>
          <w:sz w:val="17"/>
          <w:szCs w:val="17"/>
        </w:rPr>
        <w:t xml:space="preserve">Potential bidders should also note that </w:t>
      </w:r>
      <w:r w:rsidRPr="00041CFE">
        <w:rPr>
          <w:sz w:val="17"/>
          <w:szCs w:val="17"/>
        </w:rPr>
        <w:t>The Traffic Separation Scheme south of Wilsons Promontory and in Bass Strait has been adopted by the International Maritime Organisation. Ships operating in or near traffic separation schemes must comply with Rule 10 of the International Regulations for Preventing Collisions at Sea 1972. Specifically, AMSA’s Marine Order 30 (</w:t>
      </w:r>
      <w:proofErr w:type="spellStart"/>
      <w:r w:rsidRPr="00041CFE">
        <w:rPr>
          <w:sz w:val="17"/>
          <w:szCs w:val="17"/>
        </w:rPr>
        <w:t>inc</w:t>
      </w:r>
      <w:proofErr w:type="spellEnd"/>
      <w:r w:rsidRPr="00041CFE">
        <w:rPr>
          <w:sz w:val="17"/>
          <w:szCs w:val="17"/>
        </w:rPr>
        <w:t xml:space="preserve"> Rule 10) refers: </w:t>
      </w:r>
      <w:hyperlink r:id="rId57" w:history="1">
        <w:r w:rsidRPr="00EE793A">
          <w:rPr>
            <w:rStyle w:val="Hyperlink"/>
          </w:rPr>
          <w:t>www.amsa.gov.au/vessels/standards-regulations/marine-orders/documents/MO30-modcomp-130729Z.pdf</w:t>
        </w:r>
      </w:hyperlink>
    </w:p>
    <w:p w:rsidR="00B602A4" w:rsidRPr="00B82C25" w:rsidRDefault="00B602A4" w:rsidP="00B82C25">
      <w:pPr>
        <w:pStyle w:val="Heading4"/>
        <w:rPr>
          <w:rFonts w:eastAsia="Times New Roman"/>
          <w:lang w:eastAsia="en-AU"/>
        </w:rPr>
      </w:pPr>
      <w:r w:rsidRPr="00B82C25">
        <w:rPr>
          <w:rFonts w:eastAsia="Times New Roman"/>
          <w:lang w:eastAsia="en-AU"/>
        </w:rPr>
        <w:t>Fishing activities</w:t>
      </w:r>
    </w:p>
    <w:p w:rsidR="00B602A4" w:rsidRPr="00B82C25" w:rsidRDefault="00B602A4" w:rsidP="00B602A4">
      <w:pPr>
        <w:rPr>
          <w:sz w:val="17"/>
          <w:szCs w:val="17"/>
        </w:rPr>
      </w:pPr>
      <w:r w:rsidRPr="00B82C25">
        <w:rPr>
          <w:sz w:val="17"/>
          <w:szCs w:val="17"/>
        </w:rPr>
        <w:t xml:space="preserve">These areas are within the Bass Strait Central Zone Scallop Fishery, Eastern Skipjack Tuna Fishery, Eastern Tuna Billfish Fishery, South Eastern </w:t>
      </w:r>
      <w:proofErr w:type="spellStart"/>
      <w:r w:rsidRPr="00B82C25">
        <w:rPr>
          <w:sz w:val="17"/>
          <w:szCs w:val="17"/>
        </w:rPr>
        <w:t>Scalefish</w:t>
      </w:r>
      <w:proofErr w:type="spellEnd"/>
      <w:r w:rsidRPr="00B82C25">
        <w:rPr>
          <w:sz w:val="17"/>
          <w:szCs w:val="17"/>
        </w:rPr>
        <w:t xml:space="preserve"> and Shark Fishery, Southern Squid Jig Fishery, Small Pelagic Fishery and Southern Bluefin Tuna ranges. Historical AFMA logbook data for 2009 to 2013 indicates that vessels from the Gillnet Hook and Trap and Commonwealth Trawl sectors of the South Eastern </w:t>
      </w:r>
      <w:proofErr w:type="spellStart"/>
      <w:r w:rsidRPr="00B82C25">
        <w:rPr>
          <w:sz w:val="17"/>
          <w:szCs w:val="17"/>
        </w:rPr>
        <w:t>Scalefish</w:t>
      </w:r>
      <w:proofErr w:type="spellEnd"/>
      <w:r w:rsidRPr="00B82C25">
        <w:rPr>
          <w:sz w:val="17"/>
          <w:szCs w:val="17"/>
        </w:rPr>
        <w:t xml:space="preserve"> and Shark Fishery have been very active in these release areas. AFMA recommends successful bidders liaise with representatives of these fishing interests </w:t>
      </w:r>
      <w:r w:rsidR="00D87963">
        <w:rPr>
          <w:sz w:val="17"/>
          <w:szCs w:val="17"/>
        </w:rPr>
        <w:t xml:space="preserve">as well as peak industry bodies, the Commonwealth Fisheries Association and the Seafood Industry Victoria, </w:t>
      </w:r>
      <w:r w:rsidRPr="00B82C25">
        <w:rPr>
          <w:sz w:val="17"/>
          <w:szCs w:val="17"/>
        </w:rPr>
        <w:t>at an early stage in planning operational activities.</w:t>
      </w:r>
    </w:p>
    <w:p w:rsidR="00F05D49" w:rsidRDefault="00B602A4" w:rsidP="00B82C25">
      <w:pPr>
        <w:rPr>
          <w:sz w:val="17"/>
          <w:szCs w:val="17"/>
        </w:rPr>
      </w:pPr>
      <w:r w:rsidRPr="00B82C25">
        <w:rPr>
          <w:sz w:val="17"/>
          <w:szCs w:val="17"/>
        </w:rPr>
        <w:t xml:space="preserve">The South East Management Advisory Committee </w:t>
      </w:r>
      <w:r w:rsidR="0027124E">
        <w:rPr>
          <w:sz w:val="17"/>
          <w:szCs w:val="17"/>
        </w:rPr>
        <w:t xml:space="preserve">that provides AFMA with advice regarding the management of fisheries in the region </w:t>
      </w:r>
      <w:r w:rsidRPr="00B82C25">
        <w:rPr>
          <w:sz w:val="17"/>
          <w:szCs w:val="17"/>
        </w:rPr>
        <w:t xml:space="preserve">has previously expressed concerns regarding any offshore exploration within the waters of the South Eastern </w:t>
      </w:r>
      <w:proofErr w:type="spellStart"/>
      <w:r w:rsidRPr="00B82C25">
        <w:rPr>
          <w:sz w:val="17"/>
          <w:szCs w:val="17"/>
        </w:rPr>
        <w:t>Scalefish</w:t>
      </w:r>
      <w:proofErr w:type="spellEnd"/>
      <w:r w:rsidRPr="00B82C25">
        <w:rPr>
          <w:sz w:val="17"/>
          <w:szCs w:val="17"/>
        </w:rPr>
        <w:t xml:space="preserve"> and Shark Fishery. While there is general acceptance that there is little, if any, pathological impact on sharks, there is a concern related to behavioural changes occurring during seismic surveys - particularly with respect to the movement of shark from fishing grounds, and the disturbance of seasonal movements of breeding stock to pupping areas. It is recommended that any seismic survey or well drilling proposed under </w:t>
      </w:r>
      <w:r w:rsidR="006834F8">
        <w:rPr>
          <w:sz w:val="17"/>
          <w:szCs w:val="17"/>
        </w:rPr>
        <w:t>a GHG assessment permit</w:t>
      </w:r>
      <w:r w:rsidRPr="00B82C25">
        <w:rPr>
          <w:sz w:val="17"/>
          <w:szCs w:val="17"/>
        </w:rPr>
        <w:t xml:space="preserve"> for new offshore </w:t>
      </w:r>
      <w:r w:rsidR="006834F8">
        <w:rPr>
          <w:sz w:val="17"/>
          <w:szCs w:val="17"/>
        </w:rPr>
        <w:t xml:space="preserve">GHG assessment </w:t>
      </w:r>
      <w:r w:rsidRPr="00B82C25">
        <w:rPr>
          <w:sz w:val="17"/>
          <w:szCs w:val="17"/>
        </w:rPr>
        <w:t>areas be provided to interested marine user groups for comment at least one month prior to their approval by the relevant authorities.</w:t>
      </w:r>
    </w:p>
    <w:p w:rsidR="00F05D49" w:rsidRPr="00B82C25" w:rsidRDefault="00F05D49" w:rsidP="00B82C25">
      <w:pPr>
        <w:rPr>
          <w:sz w:val="17"/>
          <w:szCs w:val="17"/>
        </w:rPr>
      </w:pPr>
      <w:r w:rsidRPr="00F05D49">
        <w:rPr>
          <w:sz w:val="17"/>
          <w:szCs w:val="17"/>
        </w:rPr>
        <w:t xml:space="preserve">Geoscience Australia is currently working on a collaborative project with the CSIRO to investigate if there </w:t>
      </w:r>
      <w:r>
        <w:rPr>
          <w:sz w:val="17"/>
          <w:szCs w:val="17"/>
        </w:rPr>
        <w:t>is</w:t>
      </w:r>
      <w:r w:rsidRPr="00F05D49">
        <w:rPr>
          <w:sz w:val="17"/>
          <w:szCs w:val="17"/>
        </w:rPr>
        <w:t xml:space="preserve"> any </w:t>
      </w:r>
      <w:r w:rsidRPr="00F05D49">
        <w:rPr>
          <w:sz w:val="17"/>
          <w:szCs w:val="17"/>
        </w:rPr>
        <w:t>correlation between historic fish-catch and marine seismic surveys in the Gippsland Basin. Results from the study are due in October 2014.</w:t>
      </w:r>
    </w:p>
    <w:sectPr w:rsidR="00F05D49" w:rsidRPr="00B82C25" w:rsidSect="00BB14B7">
      <w:type w:val="continuous"/>
      <w:pgSz w:w="11906" w:h="16838" w:code="142"/>
      <w:pgMar w:top="1134" w:right="1134" w:bottom="1701" w:left="1134" w:header="2268" w:footer="709"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C47" w:rsidRDefault="00BF3C47" w:rsidP="00C5321A">
      <w:pPr>
        <w:spacing w:after="0" w:line="240" w:lineRule="auto"/>
      </w:pPr>
      <w:r>
        <w:separator/>
      </w:r>
    </w:p>
  </w:endnote>
  <w:endnote w:type="continuationSeparator" w:id="0">
    <w:p w:rsidR="00BF3C47" w:rsidRDefault="00BF3C47" w:rsidP="00C5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LTStd-Heavy">
    <w:panose1 w:val="00000000000000000000"/>
    <w:charset w:val="00"/>
    <w:family w:val="swiss"/>
    <w:notTrueType/>
    <w:pitch w:val="default"/>
    <w:sig w:usb0="00000003" w:usb1="00000000" w:usb2="00000000" w:usb3="00000000" w:csb0="00000001" w:csb1="00000000"/>
  </w:font>
  <w:font w:name="Avenir LT Std 65 Medium">
    <w:panose1 w:val="00000000000000000000"/>
    <w:charset w:val="00"/>
    <w:family w:val="swiss"/>
    <w:notTrueType/>
    <w:pitch w:val="variable"/>
    <w:sig w:usb0="800000AF" w:usb1="4000204A" w:usb2="00000000" w:usb3="00000000" w:csb0="00000001" w:csb1="00000000"/>
  </w:font>
  <w:font w:name="AvenirLTStd-Light">
    <w:altName w:val="Cambri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Footer"/>
      <w:tblDescription w:val="This is the generic footer text for the 2014 Offshore Petroleum Exploration Acreage Release. It lists the website for information regarding the 2014 Acreage Release. "/>
    </w:tblPr>
    <w:tblGrid>
      <w:gridCol w:w="4835"/>
      <w:gridCol w:w="4803"/>
    </w:tblGrid>
    <w:tr w:rsidR="00BF3C47" w:rsidTr="0063633F">
      <w:tc>
        <w:tcPr>
          <w:tcW w:w="4927" w:type="dxa"/>
          <w:tcBorders>
            <w:bottom w:val="single" w:sz="4" w:space="0" w:color="auto"/>
          </w:tcBorders>
        </w:tcPr>
        <w:p w:rsidR="00BF3C47" w:rsidRPr="00926B6D" w:rsidRDefault="0028435C" w:rsidP="0063633F">
          <w:pPr>
            <w:pStyle w:val="Footer"/>
            <w:rPr>
              <w:rStyle w:val="HyperlinkACREAGEURLcharacter"/>
            </w:rPr>
          </w:pPr>
          <w:hyperlink r:id="rId1" w:history="1">
            <w:r w:rsidR="00BB14B7" w:rsidRPr="0099794E">
              <w:rPr>
                <w:rStyle w:val="Hyperlink"/>
              </w:rPr>
              <w:t>www.industy.gov.au/ghg-acreage</w:t>
            </w:r>
          </w:hyperlink>
        </w:p>
      </w:tc>
      <w:tc>
        <w:tcPr>
          <w:tcW w:w="4927" w:type="dxa"/>
          <w:tcBorders>
            <w:bottom w:val="single" w:sz="4" w:space="0" w:color="auto"/>
          </w:tcBorders>
        </w:tcPr>
        <w:p w:rsidR="00BF3C47" w:rsidRPr="00B223B1" w:rsidRDefault="00BF3C47" w:rsidP="0063633F">
          <w:pPr>
            <w:pStyle w:val="Footer"/>
            <w:jc w:val="right"/>
            <w:rPr>
              <w:rFonts w:cs="Arial"/>
              <w:color w:val="404040" w:themeColor="text1" w:themeTint="BF"/>
              <w:sz w:val="20"/>
              <w:szCs w:val="20"/>
            </w:rPr>
          </w:pPr>
          <w:r w:rsidRPr="00B223B1">
            <w:rPr>
              <w:rFonts w:cs="Arial"/>
              <w:color w:val="404040" w:themeColor="text1" w:themeTint="BF"/>
              <w:sz w:val="20"/>
              <w:szCs w:val="20"/>
            </w:rPr>
            <w:fldChar w:fldCharType="begin"/>
          </w:r>
          <w:r w:rsidRPr="00B223B1">
            <w:rPr>
              <w:rFonts w:cs="Arial"/>
              <w:color w:val="404040" w:themeColor="text1" w:themeTint="BF"/>
              <w:sz w:val="20"/>
              <w:szCs w:val="20"/>
            </w:rPr>
            <w:instrText xml:space="preserve"> PAGE   \* MERGEFORMAT </w:instrText>
          </w:r>
          <w:r w:rsidRPr="00B223B1">
            <w:rPr>
              <w:rFonts w:cs="Arial"/>
              <w:color w:val="404040" w:themeColor="text1" w:themeTint="BF"/>
              <w:sz w:val="20"/>
              <w:szCs w:val="20"/>
            </w:rPr>
            <w:fldChar w:fldCharType="separate"/>
          </w:r>
          <w:r w:rsidR="0028435C" w:rsidRPr="0028435C">
            <w:rPr>
              <w:rFonts w:asciiTheme="minorHAnsi" w:hAnsiTheme="minorHAnsi" w:cs="Arial"/>
              <w:noProof/>
              <w:color w:val="404040" w:themeColor="text1" w:themeTint="BF"/>
              <w:sz w:val="20"/>
              <w:szCs w:val="20"/>
            </w:rPr>
            <w:t>10</w:t>
          </w:r>
          <w:r w:rsidRPr="00B223B1">
            <w:rPr>
              <w:rFonts w:cs="Arial"/>
              <w:noProof/>
              <w:color w:val="404040" w:themeColor="text1" w:themeTint="BF"/>
              <w:sz w:val="20"/>
              <w:szCs w:val="20"/>
            </w:rPr>
            <w:fldChar w:fldCharType="end"/>
          </w:r>
        </w:p>
      </w:tc>
    </w:tr>
    <w:tr w:rsidR="00BF3C47" w:rsidTr="0063633F">
      <w:tc>
        <w:tcPr>
          <w:tcW w:w="4927" w:type="dxa"/>
          <w:tcBorders>
            <w:top w:val="single" w:sz="4" w:space="0" w:color="auto"/>
          </w:tcBorders>
          <w:shd w:val="clear" w:color="auto" w:fill="auto"/>
          <w:tcMar>
            <w:top w:w="108" w:type="dxa"/>
            <w:bottom w:w="108" w:type="dxa"/>
          </w:tcMar>
          <w:vAlign w:val="center"/>
        </w:tcPr>
        <w:p w:rsidR="00BF3C47" w:rsidRPr="00B223B1" w:rsidRDefault="00BF3C47" w:rsidP="00F93624">
          <w:pPr>
            <w:pStyle w:val="Footer"/>
            <w:rPr>
              <w:rFonts w:cs="Arial"/>
              <w:b/>
              <w:color w:val="404040" w:themeColor="text1" w:themeTint="BF"/>
              <w:sz w:val="20"/>
              <w:szCs w:val="20"/>
            </w:rPr>
          </w:pPr>
          <w:r w:rsidRPr="00B223B1">
            <w:rPr>
              <w:rFonts w:cs="Arial"/>
              <w:b/>
              <w:color w:val="404040" w:themeColor="text1" w:themeTint="BF"/>
              <w:sz w:val="20"/>
              <w:szCs w:val="20"/>
            </w:rPr>
            <w:t>AUSTRALIA 201</w:t>
          </w:r>
          <w:r>
            <w:rPr>
              <w:rFonts w:cs="Arial"/>
              <w:b/>
              <w:color w:val="404040" w:themeColor="text1" w:themeTint="BF"/>
              <w:sz w:val="20"/>
              <w:szCs w:val="20"/>
            </w:rPr>
            <w:t>4</w:t>
          </w:r>
        </w:p>
      </w:tc>
      <w:tc>
        <w:tcPr>
          <w:tcW w:w="4927" w:type="dxa"/>
          <w:tcBorders>
            <w:top w:val="single" w:sz="4" w:space="0" w:color="auto"/>
          </w:tcBorders>
          <w:shd w:val="clear" w:color="auto" w:fill="auto"/>
          <w:vAlign w:val="center"/>
        </w:tcPr>
        <w:p w:rsidR="00BF3C47" w:rsidRPr="00B223B1" w:rsidRDefault="00BF3C47" w:rsidP="00705EAC">
          <w:pPr>
            <w:pStyle w:val="Footer"/>
            <w:jc w:val="right"/>
            <w:rPr>
              <w:rFonts w:cs="Arial"/>
              <w:color w:val="404040" w:themeColor="text1" w:themeTint="BF"/>
              <w:sz w:val="20"/>
              <w:szCs w:val="20"/>
            </w:rPr>
          </w:pPr>
          <w:r w:rsidRPr="00B223B1">
            <w:rPr>
              <w:rFonts w:cs="Arial"/>
              <w:color w:val="404040" w:themeColor="text1" w:themeTint="BF"/>
              <w:sz w:val="20"/>
              <w:szCs w:val="20"/>
            </w:rPr>
            <w:t xml:space="preserve">Offshore </w:t>
          </w:r>
          <w:r>
            <w:rPr>
              <w:rFonts w:cs="Arial"/>
              <w:color w:val="404040" w:themeColor="text1" w:themeTint="BF"/>
              <w:sz w:val="20"/>
              <w:szCs w:val="20"/>
            </w:rPr>
            <w:t>Greenhouse Gas Storage</w:t>
          </w:r>
          <w:r w:rsidRPr="00B223B1">
            <w:rPr>
              <w:rFonts w:cs="Arial"/>
              <w:color w:val="404040" w:themeColor="text1" w:themeTint="BF"/>
              <w:sz w:val="20"/>
              <w:szCs w:val="20"/>
            </w:rPr>
            <w:t xml:space="preserve"> Acreage Release</w:t>
          </w:r>
        </w:p>
      </w:tc>
    </w:tr>
  </w:tbl>
  <w:p w:rsidR="00BF3C47" w:rsidRPr="00651087" w:rsidRDefault="00BF3C47" w:rsidP="00651087">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ront Page Footer"/>
      <w:tblDescription w:val="This is the generic front page footer text for the 2014 Offshore Petroleum Exploration Acreage Release documents. It lists the website forinformation relating to the 2014 Acreage Release. It provides a legal disclaimer regarding the content of this document. It attributes the hero image of this document to BHP Billiton Petroleum Pty Ltd. "/>
    </w:tblPr>
    <w:tblGrid>
      <w:gridCol w:w="4852"/>
      <w:gridCol w:w="4786"/>
    </w:tblGrid>
    <w:tr w:rsidR="00BF3C47" w:rsidRPr="00ED0ABB" w:rsidTr="0063633F">
      <w:tc>
        <w:tcPr>
          <w:tcW w:w="4927" w:type="dxa"/>
          <w:tcBorders>
            <w:bottom w:val="single" w:sz="4" w:space="0" w:color="auto"/>
          </w:tcBorders>
        </w:tcPr>
        <w:p w:rsidR="00BF3C47" w:rsidRPr="0099794E" w:rsidRDefault="0028435C" w:rsidP="0099794E">
          <w:pPr>
            <w:pStyle w:val="HyperlinkACREAGEURL"/>
            <w:rPr>
              <w:rStyle w:val="HyperlinkACREAGEURLcharacter"/>
            </w:rPr>
          </w:pPr>
          <w:hyperlink r:id="rId1" w:history="1">
            <w:r w:rsidR="0099794E" w:rsidRPr="0099794E">
              <w:rPr>
                <w:rStyle w:val="Hyperlink"/>
              </w:rPr>
              <w:t>www.industy.gov.au/ghg-acreage</w:t>
            </w:r>
          </w:hyperlink>
        </w:p>
      </w:tc>
      <w:tc>
        <w:tcPr>
          <w:tcW w:w="4927" w:type="dxa"/>
          <w:tcBorders>
            <w:bottom w:val="single" w:sz="4" w:space="0" w:color="auto"/>
          </w:tcBorders>
        </w:tcPr>
        <w:p w:rsidR="00BF3C47" w:rsidRPr="00ED0ABB" w:rsidRDefault="00BF3C47" w:rsidP="0063633F">
          <w:pPr>
            <w:pStyle w:val="Footer"/>
            <w:jc w:val="right"/>
            <w:rPr>
              <w:rFonts w:cs="Arial"/>
              <w:sz w:val="20"/>
              <w:szCs w:val="20"/>
              <w:highlight w:val="yellow"/>
            </w:rPr>
          </w:pPr>
          <w:r w:rsidRPr="0099794E">
            <w:rPr>
              <w:rFonts w:cs="Arial"/>
              <w:color w:val="808080" w:themeColor="background1" w:themeShade="80"/>
              <w:sz w:val="20"/>
              <w:szCs w:val="20"/>
            </w:rPr>
            <w:fldChar w:fldCharType="begin"/>
          </w:r>
          <w:r w:rsidRPr="0099794E">
            <w:rPr>
              <w:rFonts w:cs="Arial"/>
              <w:color w:val="808080" w:themeColor="background1" w:themeShade="80"/>
              <w:sz w:val="20"/>
              <w:szCs w:val="20"/>
            </w:rPr>
            <w:instrText xml:space="preserve"> PAGE   \* MERGEFORMAT </w:instrText>
          </w:r>
          <w:r w:rsidRPr="0099794E">
            <w:rPr>
              <w:rFonts w:cs="Arial"/>
              <w:color w:val="808080" w:themeColor="background1" w:themeShade="80"/>
              <w:sz w:val="20"/>
              <w:szCs w:val="20"/>
            </w:rPr>
            <w:fldChar w:fldCharType="separate"/>
          </w:r>
          <w:r w:rsidR="0028435C" w:rsidRPr="0028435C">
            <w:rPr>
              <w:rFonts w:asciiTheme="minorHAnsi" w:hAnsiTheme="minorHAnsi" w:cs="Arial"/>
              <w:noProof/>
              <w:color w:val="808080" w:themeColor="background1" w:themeShade="80"/>
              <w:sz w:val="20"/>
              <w:szCs w:val="20"/>
            </w:rPr>
            <w:t>1</w:t>
          </w:r>
          <w:r w:rsidRPr="0099794E">
            <w:rPr>
              <w:rFonts w:cs="Arial"/>
              <w:noProof/>
              <w:color w:val="808080" w:themeColor="background1" w:themeShade="80"/>
              <w:sz w:val="20"/>
              <w:szCs w:val="20"/>
            </w:rPr>
            <w:fldChar w:fldCharType="end"/>
          </w:r>
        </w:p>
      </w:tc>
    </w:tr>
    <w:tr w:rsidR="00BF3C47" w:rsidTr="0063633F">
      <w:tc>
        <w:tcPr>
          <w:tcW w:w="9854" w:type="dxa"/>
          <w:gridSpan w:val="2"/>
          <w:tcBorders>
            <w:top w:val="single" w:sz="4" w:space="0" w:color="auto"/>
          </w:tcBorders>
          <w:shd w:val="clear" w:color="auto" w:fill="D9D9D9" w:themeFill="background1" w:themeFillShade="D9"/>
          <w:tcMar>
            <w:top w:w="108" w:type="dxa"/>
            <w:bottom w:w="108" w:type="dxa"/>
          </w:tcMar>
          <w:vAlign w:val="center"/>
        </w:tcPr>
        <w:p w:rsidR="00BF3C47" w:rsidRPr="0099794E" w:rsidRDefault="00BF3C47" w:rsidP="004A6748">
          <w:pPr>
            <w:pStyle w:val="Footer"/>
            <w:rPr>
              <w:rFonts w:cs="Arial"/>
              <w:sz w:val="12"/>
              <w:szCs w:val="12"/>
            </w:rPr>
          </w:pPr>
          <w:r w:rsidRPr="0099794E">
            <w:rPr>
              <w:rFonts w:cs="Arial"/>
              <w:sz w:val="12"/>
              <w:szCs w:val="12"/>
            </w:rPr>
            <w:t xml:space="preserve">DISCLAIMER: This fact sheet has been developed as a guide only. It does not replace or amend information provided in the Offshore Petroleum </w:t>
          </w:r>
          <w:r w:rsidR="00C6690B" w:rsidRPr="0099794E">
            <w:rPr>
              <w:rFonts w:cs="Arial"/>
              <w:sz w:val="12"/>
              <w:szCs w:val="12"/>
            </w:rPr>
            <w:t xml:space="preserve">and Greenhouse gas Storage </w:t>
          </w:r>
          <w:r w:rsidRPr="0099794E">
            <w:rPr>
              <w:rFonts w:cs="Arial"/>
              <w:sz w:val="12"/>
              <w:szCs w:val="12"/>
            </w:rPr>
            <w:t xml:space="preserve">Legislation, Regulations and Guidelines available at: </w:t>
          </w:r>
          <w:hyperlink r:id="rId2" w:tooltip="Legislation, Regulations and Guidelines for offshore petroleum activities from the NOPTA website" w:history="1">
            <w:r w:rsidRPr="0099794E">
              <w:rPr>
                <w:rStyle w:val="Hyperlink"/>
                <w:rFonts w:cs="Arial"/>
                <w:sz w:val="12"/>
                <w:szCs w:val="12"/>
              </w:rPr>
              <w:t>www.nopta.gov.au/legislation</w:t>
            </w:r>
          </w:hyperlink>
          <w:r w:rsidRPr="0099794E">
            <w:rPr>
              <w:rFonts w:cs="Arial"/>
              <w:sz w:val="12"/>
              <w:szCs w:val="12"/>
            </w:rPr>
            <w:t>. In the event that there is a discrepancy between this fact sheet and the legislation or regulations, the legislation or regulations has precedence. Explorers should not rely solely on this information wh</w:t>
          </w:r>
          <w:r w:rsidR="004A6748" w:rsidRPr="0099794E">
            <w:rPr>
              <w:rFonts w:cs="Arial"/>
              <w:sz w:val="12"/>
              <w:szCs w:val="12"/>
            </w:rPr>
            <w:t>en making commercial decisions.</w:t>
          </w:r>
        </w:p>
      </w:tc>
    </w:tr>
  </w:tbl>
  <w:p w:rsidR="00BF3C47" w:rsidRPr="0041034A" w:rsidRDefault="00BF3C4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C47" w:rsidRDefault="00BF3C47" w:rsidP="00C5321A">
      <w:pPr>
        <w:spacing w:after="0" w:line="240" w:lineRule="auto"/>
      </w:pPr>
      <w:r>
        <w:separator/>
      </w:r>
    </w:p>
  </w:footnote>
  <w:footnote w:type="continuationSeparator" w:id="0">
    <w:p w:rsidR="00BF3C47" w:rsidRDefault="00BF3C47" w:rsidP="00C53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94E" w:rsidRDefault="0099794E">
    <w:pPr>
      <w:pStyle w:val="Header"/>
      <w:rPr>
        <w:b/>
        <w:noProof/>
        <w:lang w:eastAsia="en-AU"/>
      </w:rPr>
    </w:pPr>
  </w:p>
  <w:p w:rsidR="00651087" w:rsidRDefault="00651087">
    <w:pPr>
      <w:pStyle w:val="Header"/>
    </w:pPr>
    <w:r>
      <w:rPr>
        <w:b/>
        <w:noProof/>
        <w:lang w:eastAsia="en-AU"/>
      </w:rPr>
      <w:drawing>
        <wp:anchor distT="0" distB="0" distL="114300" distR="114300" simplePos="0" relativeHeight="251659264" behindDoc="1" locked="1" layoutInCell="1" allowOverlap="1" wp14:anchorId="43FFC15B" wp14:editId="45A995B4">
          <wp:simplePos x="0" y="0"/>
          <wp:positionH relativeFrom="page">
            <wp:posOffset>-19050</wp:posOffset>
          </wp:positionH>
          <wp:positionV relativeFrom="page">
            <wp:posOffset>-409575</wp:posOffset>
          </wp:positionV>
          <wp:extent cx="7572375" cy="3714750"/>
          <wp:effectExtent l="0" t="0" r="9525" b="0"/>
          <wp:wrapNone/>
          <wp:docPr id="1" name="Picture 1" descr="Australian Government: Department of Industry, Geoscien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GHG-AR_final.jpg"/>
                  <pic:cNvPicPr/>
                </pic:nvPicPr>
                <pic:blipFill rotWithShape="1">
                  <a:blip r:embed="rId1">
                    <a:extLst>
                      <a:ext uri="{28A0092B-C50C-407E-A947-70E740481C1C}">
                        <a14:useLocalDpi xmlns:a14="http://schemas.microsoft.com/office/drawing/2010/main" val="0"/>
                      </a:ext>
                    </a:extLst>
                  </a:blip>
                  <a:srcRect t="-9840" b="18462"/>
                  <a:stretch/>
                </pic:blipFill>
                <pic:spPr bwMode="auto">
                  <a:xfrm>
                    <a:off x="0" y="0"/>
                    <a:ext cx="7572375" cy="3714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6C34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CC29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4271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321C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DCAA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2C09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BA1A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4AD9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6D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34E1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20DF4"/>
    <w:multiLevelType w:val="multilevel"/>
    <w:tmpl w:val="0C09001D"/>
    <w:styleLink w:val="BulletTEXT"/>
    <w:lvl w:ilvl="0">
      <w:start w:val="1"/>
      <w:numFmt w:val="bullet"/>
      <w:lvlText w:val=""/>
      <w:lvlJc w:val="left"/>
      <w:pPr>
        <w:tabs>
          <w:tab w:val="num" w:pos="360"/>
        </w:tabs>
        <w:ind w:left="360" w:hanging="360"/>
      </w:pPr>
      <w:rPr>
        <w:rFonts w:ascii="Symbol" w:hAnsi="Symbol"/>
        <w:color w:val="333333"/>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C816EF"/>
    <w:multiLevelType w:val="hybridMultilevel"/>
    <w:tmpl w:val="1202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452B90"/>
    <w:multiLevelType w:val="multilevel"/>
    <w:tmpl w:val="500C6E58"/>
    <w:styleLink w:val="ReserveTableBulletsList"/>
    <w:lvl w:ilvl="0">
      <w:start w:val="1"/>
      <w:numFmt w:val="bullet"/>
      <w:pStyle w:val="ReserveTableBullets"/>
      <w:lvlText w:val=""/>
      <w:lvlJc w:val="left"/>
      <w:pPr>
        <w:ind w:left="357" w:hanging="357"/>
      </w:pPr>
      <w:rPr>
        <w:rFonts w:ascii="Symbol" w:hAnsi="Symbol" w:hint="default"/>
      </w:rPr>
    </w:lvl>
    <w:lvl w:ilvl="1">
      <w:start w:val="1"/>
      <w:numFmt w:val="bullet"/>
      <w:lvlText w:val="-"/>
      <w:lvlJc w:val="left"/>
      <w:pPr>
        <w:ind w:left="720" w:hanging="363"/>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28D6B62"/>
    <w:multiLevelType w:val="hybridMultilevel"/>
    <w:tmpl w:val="DC56616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0B1CCF"/>
    <w:multiLevelType w:val="hybridMultilevel"/>
    <w:tmpl w:val="BDCE3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00097"/>
    <w:multiLevelType w:val="multilevel"/>
    <w:tmpl w:val="0C09001D"/>
    <w:styleLink w:val="numberedLIST"/>
    <w:lvl w:ilvl="0">
      <w:start w:val="1"/>
      <w:numFmt w:val="decimal"/>
      <w:lvlText w:val="%1)"/>
      <w:lvlJc w:val="left"/>
      <w:pPr>
        <w:tabs>
          <w:tab w:val="num" w:pos="360"/>
        </w:tabs>
        <w:ind w:left="360" w:hanging="360"/>
      </w:pPr>
      <w:rPr>
        <w:rFonts w:ascii="Myriad Pro" w:hAnsi="Myriad Pro"/>
        <w:color w:val="333333"/>
        <w:sz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4F26EA"/>
    <w:multiLevelType w:val="hybridMultilevel"/>
    <w:tmpl w:val="C0481676"/>
    <w:lvl w:ilvl="0" w:tplc="0C090019">
      <w:start w:val="1"/>
      <w:numFmt w:val="lowerLetter"/>
      <w:lvlText w:val="%1."/>
      <w:lvlJc w:val="left"/>
      <w:pPr>
        <w:ind w:left="720" w:hanging="360"/>
      </w:pPr>
      <w:rPr>
        <w:rFonts w:hint="default"/>
      </w:rPr>
    </w:lvl>
    <w:lvl w:ilvl="1" w:tplc="4E5A5658">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400974"/>
    <w:multiLevelType w:val="hybridMultilevel"/>
    <w:tmpl w:val="B260A632"/>
    <w:lvl w:ilvl="0" w:tplc="D79887A4">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992EA9"/>
    <w:multiLevelType w:val="hybridMultilevel"/>
    <w:tmpl w:val="21901690"/>
    <w:lvl w:ilvl="0" w:tplc="F7761C52">
      <w:start w:val="1"/>
      <w:numFmt w:val="bullet"/>
      <w:lvlText w:val=""/>
      <w:lvlJc w:val="left"/>
      <w:pPr>
        <w:ind w:left="1080" w:hanging="360"/>
      </w:pPr>
      <w:rPr>
        <w:rFonts w:ascii="Symbol" w:hAnsi="Symbol" w:hint="default"/>
        <w:b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319275B"/>
    <w:multiLevelType w:val="hybridMultilevel"/>
    <w:tmpl w:val="1A9AD2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3186ABB"/>
    <w:multiLevelType w:val="hybridMultilevel"/>
    <w:tmpl w:val="CA1C29C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47535C"/>
    <w:multiLevelType w:val="hybridMultilevel"/>
    <w:tmpl w:val="79CAD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DB41BA"/>
    <w:multiLevelType w:val="multilevel"/>
    <w:tmpl w:val="500C6E58"/>
    <w:numStyleLink w:val="ReserveTableBulletsList"/>
  </w:abstractNum>
  <w:abstractNum w:abstractNumId="23" w15:restartNumberingAfterBreak="0">
    <w:nsid w:val="5B895093"/>
    <w:multiLevelType w:val="hybridMultilevel"/>
    <w:tmpl w:val="66AA1066"/>
    <w:lvl w:ilvl="0" w:tplc="69D0DB20">
      <w:start w:val="1"/>
      <w:numFmt w:val="lowerLetter"/>
      <w:lvlText w:val="%1."/>
      <w:lvlJc w:val="left"/>
      <w:pPr>
        <w:tabs>
          <w:tab w:val="num" w:pos="1788"/>
        </w:tabs>
        <w:ind w:left="1788" w:hanging="360"/>
      </w:pPr>
      <w:rPr>
        <w:rFonts w:hint="default"/>
      </w:rPr>
    </w:lvl>
    <w:lvl w:ilvl="1" w:tplc="0C09001B">
      <w:start w:val="1"/>
      <w:numFmt w:val="lowerRoman"/>
      <w:lvlText w:val="%2."/>
      <w:lvlJc w:val="right"/>
      <w:pPr>
        <w:tabs>
          <w:tab w:val="num" w:pos="2508"/>
        </w:tabs>
        <w:ind w:left="2508" w:hanging="360"/>
      </w:pPr>
      <w:rPr>
        <w:rFonts w:hint="default"/>
      </w:rPr>
    </w:lvl>
    <w:lvl w:ilvl="2" w:tplc="0C09001B">
      <w:start w:val="1"/>
      <w:numFmt w:val="lowerRoman"/>
      <w:lvlText w:val="%3."/>
      <w:lvlJc w:val="right"/>
      <w:pPr>
        <w:tabs>
          <w:tab w:val="num" w:pos="3228"/>
        </w:tabs>
        <w:ind w:left="3228" w:hanging="180"/>
      </w:pPr>
    </w:lvl>
    <w:lvl w:ilvl="3" w:tplc="0C09000F" w:tentative="1">
      <w:start w:val="1"/>
      <w:numFmt w:val="decimal"/>
      <w:lvlText w:val="%4."/>
      <w:lvlJc w:val="left"/>
      <w:pPr>
        <w:tabs>
          <w:tab w:val="num" w:pos="3948"/>
        </w:tabs>
        <w:ind w:left="3948" w:hanging="360"/>
      </w:pPr>
    </w:lvl>
    <w:lvl w:ilvl="4" w:tplc="0C090019" w:tentative="1">
      <w:start w:val="1"/>
      <w:numFmt w:val="lowerLetter"/>
      <w:lvlText w:val="%5."/>
      <w:lvlJc w:val="left"/>
      <w:pPr>
        <w:tabs>
          <w:tab w:val="num" w:pos="4668"/>
        </w:tabs>
        <w:ind w:left="4668" w:hanging="360"/>
      </w:pPr>
    </w:lvl>
    <w:lvl w:ilvl="5" w:tplc="0C09001B" w:tentative="1">
      <w:start w:val="1"/>
      <w:numFmt w:val="lowerRoman"/>
      <w:lvlText w:val="%6."/>
      <w:lvlJc w:val="right"/>
      <w:pPr>
        <w:tabs>
          <w:tab w:val="num" w:pos="5388"/>
        </w:tabs>
        <w:ind w:left="5388" w:hanging="180"/>
      </w:pPr>
    </w:lvl>
    <w:lvl w:ilvl="6" w:tplc="0C09000F" w:tentative="1">
      <w:start w:val="1"/>
      <w:numFmt w:val="decimal"/>
      <w:lvlText w:val="%7."/>
      <w:lvlJc w:val="left"/>
      <w:pPr>
        <w:tabs>
          <w:tab w:val="num" w:pos="6108"/>
        </w:tabs>
        <w:ind w:left="6108" w:hanging="360"/>
      </w:pPr>
    </w:lvl>
    <w:lvl w:ilvl="7" w:tplc="0C090019" w:tentative="1">
      <w:start w:val="1"/>
      <w:numFmt w:val="lowerLetter"/>
      <w:lvlText w:val="%8."/>
      <w:lvlJc w:val="left"/>
      <w:pPr>
        <w:tabs>
          <w:tab w:val="num" w:pos="6828"/>
        </w:tabs>
        <w:ind w:left="6828" w:hanging="360"/>
      </w:pPr>
    </w:lvl>
    <w:lvl w:ilvl="8" w:tplc="0C09001B" w:tentative="1">
      <w:start w:val="1"/>
      <w:numFmt w:val="lowerRoman"/>
      <w:lvlText w:val="%9."/>
      <w:lvlJc w:val="right"/>
      <w:pPr>
        <w:tabs>
          <w:tab w:val="num" w:pos="7548"/>
        </w:tabs>
        <w:ind w:left="7548" w:hanging="180"/>
      </w:pPr>
    </w:lvl>
  </w:abstractNum>
  <w:abstractNum w:abstractNumId="24" w15:restartNumberingAfterBreak="0">
    <w:nsid w:val="5BEC293E"/>
    <w:multiLevelType w:val="hybridMultilevel"/>
    <w:tmpl w:val="6B6695AA"/>
    <w:lvl w:ilvl="0" w:tplc="26C23BB0">
      <w:start w:val="1"/>
      <w:numFmt w:val="bullet"/>
      <w:lvlText w:val=""/>
      <w:lvlJc w:val="left"/>
      <w:pPr>
        <w:ind w:left="588" w:hanging="1156"/>
      </w:pPr>
      <w:rPr>
        <w:rFonts w:ascii="Wingdings" w:hAnsi="Wingdings" w:hint="default"/>
      </w:rPr>
    </w:lvl>
    <w:lvl w:ilvl="1" w:tplc="03CE7978">
      <w:numFmt w:val="bullet"/>
      <w:lvlText w:val=""/>
      <w:lvlJc w:val="left"/>
      <w:pPr>
        <w:ind w:left="588" w:hanging="360"/>
      </w:pPr>
      <w:rPr>
        <w:rFonts w:ascii="Calibri" w:eastAsia="Times New Roman" w:hAnsi="Calibri" w:cs="Segoe UI"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1"/>
  </w:num>
  <w:num w:numId="16">
    <w:abstractNumId w:val="16"/>
  </w:num>
  <w:num w:numId="17">
    <w:abstractNumId w:val="17"/>
  </w:num>
  <w:num w:numId="18">
    <w:abstractNumId w:val="12"/>
  </w:num>
  <w:num w:numId="19">
    <w:abstractNumId w:val="22"/>
  </w:num>
  <w:num w:numId="20">
    <w:abstractNumId w:val="9"/>
  </w:num>
  <w:num w:numId="21">
    <w:abstractNumId w:val="9"/>
  </w:num>
  <w:num w:numId="22">
    <w:abstractNumId w:val="13"/>
  </w:num>
  <w:num w:numId="23">
    <w:abstractNumId w:val="14"/>
  </w:num>
  <w:num w:numId="24">
    <w:abstractNumId w:val="24"/>
  </w:num>
  <w:num w:numId="25">
    <w:abstractNumId w:val="23"/>
  </w:num>
  <w:num w:numId="26">
    <w:abstractNumId w:val="1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0"/>
  </w:num>
  <w:num w:numId="39">
    <w:abstractNumId w:val="9"/>
  </w:num>
  <w:num w:numId="4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94"/>
    <w:rsid w:val="000027A8"/>
    <w:rsid w:val="00004BC8"/>
    <w:rsid w:val="00004EE2"/>
    <w:rsid w:val="00012B62"/>
    <w:rsid w:val="00013791"/>
    <w:rsid w:val="00013FDE"/>
    <w:rsid w:val="000149AB"/>
    <w:rsid w:val="00015632"/>
    <w:rsid w:val="0001724E"/>
    <w:rsid w:val="000238D5"/>
    <w:rsid w:val="00024B06"/>
    <w:rsid w:val="00033667"/>
    <w:rsid w:val="00035167"/>
    <w:rsid w:val="00035B47"/>
    <w:rsid w:val="00036F10"/>
    <w:rsid w:val="0003707B"/>
    <w:rsid w:val="000373BA"/>
    <w:rsid w:val="000374FC"/>
    <w:rsid w:val="00041CFE"/>
    <w:rsid w:val="00042492"/>
    <w:rsid w:val="00043648"/>
    <w:rsid w:val="00044B53"/>
    <w:rsid w:val="00045B47"/>
    <w:rsid w:val="00053BF4"/>
    <w:rsid w:val="000553D8"/>
    <w:rsid w:val="00060828"/>
    <w:rsid w:val="000666EA"/>
    <w:rsid w:val="000718A9"/>
    <w:rsid w:val="00071F05"/>
    <w:rsid w:val="000742B5"/>
    <w:rsid w:val="0007449B"/>
    <w:rsid w:val="00074CB2"/>
    <w:rsid w:val="00074D8E"/>
    <w:rsid w:val="000762F9"/>
    <w:rsid w:val="00076DB4"/>
    <w:rsid w:val="00080C82"/>
    <w:rsid w:val="0008281A"/>
    <w:rsid w:val="00083062"/>
    <w:rsid w:val="0008576E"/>
    <w:rsid w:val="00085DBD"/>
    <w:rsid w:val="00091F91"/>
    <w:rsid w:val="00094741"/>
    <w:rsid w:val="000A006E"/>
    <w:rsid w:val="000A43F7"/>
    <w:rsid w:val="000A4C92"/>
    <w:rsid w:val="000A514A"/>
    <w:rsid w:val="000A5DB2"/>
    <w:rsid w:val="000B3F90"/>
    <w:rsid w:val="000B43F1"/>
    <w:rsid w:val="000B53A5"/>
    <w:rsid w:val="000B5521"/>
    <w:rsid w:val="000B633F"/>
    <w:rsid w:val="000B7575"/>
    <w:rsid w:val="000C04A4"/>
    <w:rsid w:val="000C06D3"/>
    <w:rsid w:val="000C467B"/>
    <w:rsid w:val="000C62A1"/>
    <w:rsid w:val="000C6C2A"/>
    <w:rsid w:val="000C7F7F"/>
    <w:rsid w:val="000D4A00"/>
    <w:rsid w:val="000D623B"/>
    <w:rsid w:val="000D626C"/>
    <w:rsid w:val="000E0493"/>
    <w:rsid w:val="000E1AC3"/>
    <w:rsid w:val="000E4126"/>
    <w:rsid w:val="000E47DC"/>
    <w:rsid w:val="000E557E"/>
    <w:rsid w:val="000F01D9"/>
    <w:rsid w:val="000F054D"/>
    <w:rsid w:val="000F324F"/>
    <w:rsid w:val="000F33E5"/>
    <w:rsid w:val="000F35A7"/>
    <w:rsid w:val="000F35CE"/>
    <w:rsid w:val="000F3729"/>
    <w:rsid w:val="000F48E9"/>
    <w:rsid w:val="000F5C8F"/>
    <w:rsid w:val="000F6A16"/>
    <w:rsid w:val="0010306E"/>
    <w:rsid w:val="001034F0"/>
    <w:rsid w:val="00104432"/>
    <w:rsid w:val="001047AD"/>
    <w:rsid w:val="00106227"/>
    <w:rsid w:val="0011066E"/>
    <w:rsid w:val="001125C3"/>
    <w:rsid w:val="00112C38"/>
    <w:rsid w:val="00114652"/>
    <w:rsid w:val="001149F2"/>
    <w:rsid w:val="00115977"/>
    <w:rsid w:val="001171A9"/>
    <w:rsid w:val="00122EA4"/>
    <w:rsid w:val="00125640"/>
    <w:rsid w:val="00126021"/>
    <w:rsid w:val="00127EDB"/>
    <w:rsid w:val="0013217C"/>
    <w:rsid w:val="00132DFF"/>
    <w:rsid w:val="00132FC5"/>
    <w:rsid w:val="00133D5E"/>
    <w:rsid w:val="001361AC"/>
    <w:rsid w:val="00144006"/>
    <w:rsid w:val="00146A1C"/>
    <w:rsid w:val="00152215"/>
    <w:rsid w:val="00152575"/>
    <w:rsid w:val="00152641"/>
    <w:rsid w:val="0015519B"/>
    <w:rsid w:val="001559A5"/>
    <w:rsid w:val="00156CE2"/>
    <w:rsid w:val="00161FA2"/>
    <w:rsid w:val="00163500"/>
    <w:rsid w:val="0016428E"/>
    <w:rsid w:val="001660D4"/>
    <w:rsid w:val="001678EF"/>
    <w:rsid w:val="0017267F"/>
    <w:rsid w:val="0017341F"/>
    <w:rsid w:val="00173735"/>
    <w:rsid w:val="0017375F"/>
    <w:rsid w:val="00177110"/>
    <w:rsid w:val="001821A8"/>
    <w:rsid w:val="001856B2"/>
    <w:rsid w:val="0018678B"/>
    <w:rsid w:val="0019129E"/>
    <w:rsid w:val="00193EA0"/>
    <w:rsid w:val="00193F1C"/>
    <w:rsid w:val="00194169"/>
    <w:rsid w:val="00195758"/>
    <w:rsid w:val="00195D5E"/>
    <w:rsid w:val="001A1BF0"/>
    <w:rsid w:val="001A337D"/>
    <w:rsid w:val="001B1951"/>
    <w:rsid w:val="001B1D78"/>
    <w:rsid w:val="001B50E0"/>
    <w:rsid w:val="001B566D"/>
    <w:rsid w:val="001B6B72"/>
    <w:rsid w:val="001C0433"/>
    <w:rsid w:val="001C04F7"/>
    <w:rsid w:val="001C1737"/>
    <w:rsid w:val="001C29E1"/>
    <w:rsid w:val="001C322F"/>
    <w:rsid w:val="001C7896"/>
    <w:rsid w:val="001D0093"/>
    <w:rsid w:val="001D15C2"/>
    <w:rsid w:val="001D2896"/>
    <w:rsid w:val="001D3679"/>
    <w:rsid w:val="001D3861"/>
    <w:rsid w:val="001D6484"/>
    <w:rsid w:val="001D790A"/>
    <w:rsid w:val="001E017B"/>
    <w:rsid w:val="001E0E5F"/>
    <w:rsid w:val="001E2156"/>
    <w:rsid w:val="001E2F22"/>
    <w:rsid w:val="001E6F54"/>
    <w:rsid w:val="001F005D"/>
    <w:rsid w:val="001F1C22"/>
    <w:rsid w:val="001F2907"/>
    <w:rsid w:val="001F2AFA"/>
    <w:rsid w:val="001F710A"/>
    <w:rsid w:val="001F71E9"/>
    <w:rsid w:val="001F7CD7"/>
    <w:rsid w:val="00200CE3"/>
    <w:rsid w:val="0020226B"/>
    <w:rsid w:val="002046E3"/>
    <w:rsid w:val="002128E3"/>
    <w:rsid w:val="00212924"/>
    <w:rsid w:val="002142FB"/>
    <w:rsid w:val="00221BC2"/>
    <w:rsid w:val="00222138"/>
    <w:rsid w:val="00223D39"/>
    <w:rsid w:val="002256B2"/>
    <w:rsid w:val="00225B6B"/>
    <w:rsid w:val="00225FAF"/>
    <w:rsid w:val="00226545"/>
    <w:rsid w:val="00233071"/>
    <w:rsid w:val="0023472E"/>
    <w:rsid w:val="0023540C"/>
    <w:rsid w:val="0023542B"/>
    <w:rsid w:val="00241F01"/>
    <w:rsid w:val="002444B0"/>
    <w:rsid w:val="002453D6"/>
    <w:rsid w:val="00245AE9"/>
    <w:rsid w:val="00247646"/>
    <w:rsid w:val="0025116C"/>
    <w:rsid w:val="0025253C"/>
    <w:rsid w:val="00253647"/>
    <w:rsid w:val="0025571D"/>
    <w:rsid w:val="00255D5E"/>
    <w:rsid w:val="002614D5"/>
    <w:rsid w:val="00263FCF"/>
    <w:rsid w:val="002640BE"/>
    <w:rsid w:val="002647D2"/>
    <w:rsid w:val="002648C4"/>
    <w:rsid w:val="002667DF"/>
    <w:rsid w:val="00267AAC"/>
    <w:rsid w:val="0027124E"/>
    <w:rsid w:val="00272DCA"/>
    <w:rsid w:val="00273A04"/>
    <w:rsid w:val="00273BD2"/>
    <w:rsid w:val="00281C67"/>
    <w:rsid w:val="0028274D"/>
    <w:rsid w:val="0028435C"/>
    <w:rsid w:val="0028589B"/>
    <w:rsid w:val="0028743D"/>
    <w:rsid w:val="002914A1"/>
    <w:rsid w:val="00291CFE"/>
    <w:rsid w:val="00294124"/>
    <w:rsid w:val="00294C00"/>
    <w:rsid w:val="00295AD8"/>
    <w:rsid w:val="002A095A"/>
    <w:rsid w:val="002A1067"/>
    <w:rsid w:val="002A288E"/>
    <w:rsid w:val="002A31C2"/>
    <w:rsid w:val="002A3840"/>
    <w:rsid w:val="002A3D43"/>
    <w:rsid w:val="002A4D69"/>
    <w:rsid w:val="002A59D3"/>
    <w:rsid w:val="002B0650"/>
    <w:rsid w:val="002B27BA"/>
    <w:rsid w:val="002B5053"/>
    <w:rsid w:val="002B6A40"/>
    <w:rsid w:val="002C1A9F"/>
    <w:rsid w:val="002C41AC"/>
    <w:rsid w:val="002D298D"/>
    <w:rsid w:val="002D5537"/>
    <w:rsid w:val="002D5800"/>
    <w:rsid w:val="002D6C7F"/>
    <w:rsid w:val="002D7151"/>
    <w:rsid w:val="002E0743"/>
    <w:rsid w:val="002E1D6F"/>
    <w:rsid w:val="002E5284"/>
    <w:rsid w:val="002E52CA"/>
    <w:rsid w:val="002E7CC3"/>
    <w:rsid w:val="002F3224"/>
    <w:rsid w:val="002F4976"/>
    <w:rsid w:val="002F6834"/>
    <w:rsid w:val="0030023F"/>
    <w:rsid w:val="003002ED"/>
    <w:rsid w:val="00302F2D"/>
    <w:rsid w:val="00303AFD"/>
    <w:rsid w:val="003069EB"/>
    <w:rsid w:val="003106F7"/>
    <w:rsid w:val="00311066"/>
    <w:rsid w:val="003120FA"/>
    <w:rsid w:val="003127C6"/>
    <w:rsid w:val="00312B1F"/>
    <w:rsid w:val="00313758"/>
    <w:rsid w:val="003142F1"/>
    <w:rsid w:val="0031604C"/>
    <w:rsid w:val="00317BC8"/>
    <w:rsid w:val="00321A84"/>
    <w:rsid w:val="00321C4D"/>
    <w:rsid w:val="003231EB"/>
    <w:rsid w:val="003238D2"/>
    <w:rsid w:val="003264BD"/>
    <w:rsid w:val="003267B7"/>
    <w:rsid w:val="0033750C"/>
    <w:rsid w:val="003412AF"/>
    <w:rsid w:val="00342189"/>
    <w:rsid w:val="00345266"/>
    <w:rsid w:val="003459C8"/>
    <w:rsid w:val="00345A24"/>
    <w:rsid w:val="00347496"/>
    <w:rsid w:val="00351B27"/>
    <w:rsid w:val="003552F8"/>
    <w:rsid w:val="00355AB2"/>
    <w:rsid w:val="00355DC8"/>
    <w:rsid w:val="0036188D"/>
    <w:rsid w:val="003623E9"/>
    <w:rsid w:val="00363691"/>
    <w:rsid w:val="00366D3E"/>
    <w:rsid w:val="0036708F"/>
    <w:rsid w:val="00370FC8"/>
    <w:rsid w:val="00372FDC"/>
    <w:rsid w:val="003732C4"/>
    <w:rsid w:val="00373830"/>
    <w:rsid w:val="00375AF8"/>
    <w:rsid w:val="00377B34"/>
    <w:rsid w:val="00381058"/>
    <w:rsid w:val="00382AB0"/>
    <w:rsid w:val="00384740"/>
    <w:rsid w:val="00384F64"/>
    <w:rsid w:val="00386C64"/>
    <w:rsid w:val="0039373A"/>
    <w:rsid w:val="00395D50"/>
    <w:rsid w:val="00395EA4"/>
    <w:rsid w:val="003A22C1"/>
    <w:rsid w:val="003A2ED8"/>
    <w:rsid w:val="003A300C"/>
    <w:rsid w:val="003A3AFA"/>
    <w:rsid w:val="003A6304"/>
    <w:rsid w:val="003A69A8"/>
    <w:rsid w:val="003B0D8E"/>
    <w:rsid w:val="003B1625"/>
    <w:rsid w:val="003B1874"/>
    <w:rsid w:val="003B1ECB"/>
    <w:rsid w:val="003B1ED5"/>
    <w:rsid w:val="003B43C1"/>
    <w:rsid w:val="003B59F9"/>
    <w:rsid w:val="003C13C1"/>
    <w:rsid w:val="003C21C8"/>
    <w:rsid w:val="003C3159"/>
    <w:rsid w:val="003C505E"/>
    <w:rsid w:val="003C7E77"/>
    <w:rsid w:val="003D15EB"/>
    <w:rsid w:val="003D223C"/>
    <w:rsid w:val="003D375F"/>
    <w:rsid w:val="003D3AA5"/>
    <w:rsid w:val="003E1F70"/>
    <w:rsid w:val="003E6948"/>
    <w:rsid w:val="003F0053"/>
    <w:rsid w:val="003F0647"/>
    <w:rsid w:val="003F0E96"/>
    <w:rsid w:val="003F1A88"/>
    <w:rsid w:val="003F2566"/>
    <w:rsid w:val="003F3A98"/>
    <w:rsid w:val="003F6232"/>
    <w:rsid w:val="003F6DD6"/>
    <w:rsid w:val="003F752F"/>
    <w:rsid w:val="003F79F1"/>
    <w:rsid w:val="0040126B"/>
    <w:rsid w:val="00402773"/>
    <w:rsid w:val="00403FC0"/>
    <w:rsid w:val="00405D10"/>
    <w:rsid w:val="00405DA4"/>
    <w:rsid w:val="00407960"/>
    <w:rsid w:val="0041034A"/>
    <w:rsid w:val="00413CA3"/>
    <w:rsid w:val="00414628"/>
    <w:rsid w:val="004146BC"/>
    <w:rsid w:val="004221C6"/>
    <w:rsid w:val="004247D0"/>
    <w:rsid w:val="00424D2B"/>
    <w:rsid w:val="004260C4"/>
    <w:rsid w:val="004312EA"/>
    <w:rsid w:val="00432375"/>
    <w:rsid w:val="004332BE"/>
    <w:rsid w:val="004341AA"/>
    <w:rsid w:val="00440EC8"/>
    <w:rsid w:val="004425A1"/>
    <w:rsid w:val="004433E9"/>
    <w:rsid w:val="0044451F"/>
    <w:rsid w:val="00444BCD"/>
    <w:rsid w:val="00444FA8"/>
    <w:rsid w:val="00447B41"/>
    <w:rsid w:val="00450521"/>
    <w:rsid w:val="0045150D"/>
    <w:rsid w:val="00451769"/>
    <w:rsid w:val="0045207B"/>
    <w:rsid w:val="004526FC"/>
    <w:rsid w:val="0046035B"/>
    <w:rsid w:val="00461D0A"/>
    <w:rsid w:val="00462F7D"/>
    <w:rsid w:val="00463978"/>
    <w:rsid w:val="00464C23"/>
    <w:rsid w:val="00465945"/>
    <w:rsid w:val="00467281"/>
    <w:rsid w:val="00470683"/>
    <w:rsid w:val="0047618B"/>
    <w:rsid w:val="00477232"/>
    <w:rsid w:val="004802FF"/>
    <w:rsid w:val="0048053B"/>
    <w:rsid w:val="00482395"/>
    <w:rsid w:val="00482AA7"/>
    <w:rsid w:val="00484976"/>
    <w:rsid w:val="00487668"/>
    <w:rsid w:val="00487971"/>
    <w:rsid w:val="004907A3"/>
    <w:rsid w:val="00492DBD"/>
    <w:rsid w:val="00494ECB"/>
    <w:rsid w:val="004977AC"/>
    <w:rsid w:val="004A0C10"/>
    <w:rsid w:val="004A2B86"/>
    <w:rsid w:val="004A3BBF"/>
    <w:rsid w:val="004A46B3"/>
    <w:rsid w:val="004A6748"/>
    <w:rsid w:val="004B0D28"/>
    <w:rsid w:val="004B1E6D"/>
    <w:rsid w:val="004B306A"/>
    <w:rsid w:val="004B4851"/>
    <w:rsid w:val="004B4939"/>
    <w:rsid w:val="004B5B33"/>
    <w:rsid w:val="004B63F0"/>
    <w:rsid w:val="004C0434"/>
    <w:rsid w:val="004C1584"/>
    <w:rsid w:val="004C281D"/>
    <w:rsid w:val="004C3D84"/>
    <w:rsid w:val="004C4D8E"/>
    <w:rsid w:val="004C70DC"/>
    <w:rsid w:val="004D1939"/>
    <w:rsid w:val="004D1C01"/>
    <w:rsid w:val="004D4BE6"/>
    <w:rsid w:val="004E1197"/>
    <w:rsid w:val="004E3FDF"/>
    <w:rsid w:val="004E41BD"/>
    <w:rsid w:val="004E4C6C"/>
    <w:rsid w:val="004E4F44"/>
    <w:rsid w:val="004E57F1"/>
    <w:rsid w:val="004E6523"/>
    <w:rsid w:val="004F0087"/>
    <w:rsid w:val="004F4033"/>
    <w:rsid w:val="00501F6F"/>
    <w:rsid w:val="00503BC7"/>
    <w:rsid w:val="005053C5"/>
    <w:rsid w:val="0050587D"/>
    <w:rsid w:val="005108FE"/>
    <w:rsid w:val="00513445"/>
    <w:rsid w:val="00517B2B"/>
    <w:rsid w:val="00517E55"/>
    <w:rsid w:val="00520926"/>
    <w:rsid w:val="00521770"/>
    <w:rsid w:val="00525698"/>
    <w:rsid w:val="00525E85"/>
    <w:rsid w:val="0052609E"/>
    <w:rsid w:val="00526E8D"/>
    <w:rsid w:val="00527F85"/>
    <w:rsid w:val="005300EA"/>
    <w:rsid w:val="005302B9"/>
    <w:rsid w:val="00530461"/>
    <w:rsid w:val="0053094B"/>
    <w:rsid w:val="005320A2"/>
    <w:rsid w:val="00533E6A"/>
    <w:rsid w:val="005350F2"/>
    <w:rsid w:val="00536879"/>
    <w:rsid w:val="00542D5D"/>
    <w:rsid w:val="005456D3"/>
    <w:rsid w:val="00546187"/>
    <w:rsid w:val="00551F92"/>
    <w:rsid w:val="00552B1B"/>
    <w:rsid w:val="005551CD"/>
    <w:rsid w:val="005557AB"/>
    <w:rsid w:val="005561CE"/>
    <w:rsid w:val="0055792A"/>
    <w:rsid w:val="00562B01"/>
    <w:rsid w:val="00563A99"/>
    <w:rsid w:val="00563D7F"/>
    <w:rsid w:val="00570543"/>
    <w:rsid w:val="00571511"/>
    <w:rsid w:val="005743CD"/>
    <w:rsid w:val="0057589C"/>
    <w:rsid w:val="0057652D"/>
    <w:rsid w:val="00576F24"/>
    <w:rsid w:val="00576F56"/>
    <w:rsid w:val="005775AA"/>
    <w:rsid w:val="00577D2D"/>
    <w:rsid w:val="00580D6B"/>
    <w:rsid w:val="0058114E"/>
    <w:rsid w:val="00582B42"/>
    <w:rsid w:val="00582D0B"/>
    <w:rsid w:val="00591CC7"/>
    <w:rsid w:val="005930ED"/>
    <w:rsid w:val="005935A0"/>
    <w:rsid w:val="00595504"/>
    <w:rsid w:val="00595AF9"/>
    <w:rsid w:val="005A0767"/>
    <w:rsid w:val="005A7086"/>
    <w:rsid w:val="005B040E"/>
    <w:rsid w:val="005B18C8"/>
    <w:rsid w:val="005B1B73"/>
    <w:rsid w:val="005B1E33"/>
    <w:rsid w:val="005B2830"/>
    <w:rsid w:val="005B2E51"/>
    <w:rsid w:val="005B3B5C"/>
    <w:rsid w:val="005B65D2"/>
    <w:rsid w:val="005C0DE7"/>
    <w:rsid w:val="005C63AB"/>
    <w:rsid w:val="005D04FC"/>
    <w:rsid w:val="005D2517"/>
    <w:rsid w:val="005D2F23"/>
    <w:rsid w:val="005D3179"/>
    <w:rsid w:val="005D3563"/>
    <w:rsid w:val="005D5B70"/>
    <w:rsid w:val="005E53B2"/>
    <w:rsid w:val="005E5699"/>
    <w:rsid w:val="005E5728"/>
    <w:rsid w:val="005F39C4"/>
    <w:rsid w:val="005F5B0A"/>
    <w:rsid w:val="005F717A"/>
    <w:rsid w:val="00600C3B"/>
    <w:rsid w:val="00600FCF"/>
    <w:rsid w:val="00602A50"/>
    <w:rsid w:val="006067E1"/>
    <w:rsid w:val="006113BB"/>
    <w:rsid w:val="00611DC8"/>
    <w:rsid w:val="00615531"/>
    <w:rsid w:val="00616BD1"/>
    <w:rsid w:val="00616ED3"/>
    <w:rsid w:val="00617C10"/>
    <w:rsid w:val="00620DBC"/>
    <w:rsid w:val="00624851"/>
    <w:rsid w:val="00625C63"/>
    <w:rsid w:val="006272F2"/>
    <w:rsid w:val="0063633F"/>
    <w:rsid w:val="00636903"/>
    <w:rsid w:val="0064127F"/>
    <w:rsid w:val="0064434D"/>
    <w:rsid w:val="0064711D"/>
    <w:rsid w:val="00651087"/>
    <w:rsid w:val="00653D57"/>
    <w:rsid w:val="00654108"/>
    <w:rsid w:val="00654AF7"/>
    <w:rsid w:val="006568D0"/>
    <w:rsid w:val="00662A87"/>
    <w:rsid w:val="00663566"/>
    <w:rsid w:val="00664C00"/>
    <w:rsid w:val="00665EDF"/>
    <w:rsid w:val="00666498"/>
    <w:rsid w:val="0066755E"/>
    <w:rsid w:val="00670E61"/>
    <w:rsid w:val="0067117A"/>
    <w:rsid w:val="006717AD"/>
    <w:rsid w:val="006721A5"/>
    <w:rsid w:val="00672D9F"/>
    <w:rsid w:val="006751DF"/>
    <w:rsid w:val="00675629"/>
    <w:rsid w:val="006834F8"/>
    <w:rsid w:val="00684E28"/>
    <w:rsid w:val="00685099"/>
    <w:rsid w:val="00685F3C"/>
    <w:rsid w:val="00690E50"/>
    <w:rsid w:val="00691284"/>
    <w:rsid w:val="00693B68"/>
    <w:rsid w:val="00697EFD"/>
    <w:rsid w:val="006A0AA6"/>
    <w:rsid w:val="006A467E"/>
    <w:rsid w:val="006A6499"/>
    <w:rsid w:val="006B0961"/>
    <w:rsid w:val="006B2C7F"/>
    <w:rsid w:val="006B42AB"/>
    <w:rsid w:val="006B5294"/>
    <w:rsid w:val="006B6882"/>
    <w:rsid w:val="006B6DAC"/>
    <w:rsid w:val="006B6FB4"/>
    <w:rsid w:val="006C00D8"/>
    <w:rsid w:val="006C130D"/>
    <w:rsid w:val="006C1D99"/>
    <w:rsid w:val="006C294C"/>
    <w:rsid w:val="006D192A"/>
    <w:rsid w:val="006D332F"/>
    <w:rsid w:val="006D3488"/>
    <w:rsid w:val="006D7532"/>
    <w:rsid w:val="006D77DD"/>
    <w:rsid w:val="006E0F29"/>
    <w:rsid w:val="006E16E0"/>
    <w:rsid w:val="006E7FF7"/>
    <w:rsid w:val="006F247C"/>
    <w:rsid w:val="006F46A7"/>
    <w:rsid w:val="006F5BF4"/>
    <w:rsid w:val="006F7ACD"/>
    <w:rsid w:val="00700484"/>
    <w:rsid w:val="00701F7C"/>
    <w:rsid w:val="00705A10"/>
    <w:rsid w:val="00705EAC"/>
    <w:rsid w:val="0070628A"/>
    <w:rsid w:val="007067ED"/>
    <w:rsid w:val="00711254"/>
    <w:rsid w:val="007138A8"/>
    <w:rsid w:val="0072448D"/>
    <w:rsid w:val="00724559"/>
    <w:rsid w:val="00727246"/>
    <w:rsid w:val="0072787A"/>
    <w:rsid w:val="00727B50"/>
    <w:rsid w:val="00732292"/>
    <w:rsid w:val="00732C4C"/>
    <w:rsid w:val="00735591"/>
    <w:rsid w:val="00735F86"/>
    <w:rsid w:val="007367A5"/>
    <w:rsid w:val="00740589"/>
    <w:rsid w:val="00743228"/>
    <w:rsid w:val="00745D2D"/>
    <w:rsid w:val="00745EC4"/>
    <w:rsid w:val="00746162"/>
    <w:rsid w:val="007510D0"/>
    <w:rsid w:val="00751CF6"/>
    <w:rsid w:val="0075514B"/>
    <w:rsid w:val="0075567D"/>
    <w:rsid w:val="00756205"/>
    <w:rsid w:val="007564DD"/>
    <w:rsid w:val="00757BC1"/>
    <w:rsid w:val="00764533"/>
    <w:rsid w:val="00764BF1"/>
    <w:rsid w:val="00767E63"/>
    <w:rsid w:val="00767F31"/>
    <w:rsid w:val="00770149"/>
    <w:rsid w:val="0077567A"/>
    <w:rsid w:val="00783149"/>
    <w:rsid w:val="00784A8F"/>
    <w:rsid w:val="00786687"/>
    <w:rsid w:val="00786E5E"/>
    <w:rsid w:val="007905E0"/>
    <w:rsid w:val="00793DD1"/>
    <w:rsid w:val="007947D7"/>
    <w:rsid w:val="00794B03"/>
    <w:rsid w:val="0079611F"/>
    <w:rsid w:val="00796B86"/>
    <w:rsid w:val="00797ABB"/>
    <w:rsid w:val="007A183F"/>
    <w:rsid w:val="007A28B9"/>
    <w:rsid w:val="007A2D00"/>
    <w:rsid w:val="007A3DC6"/>
    <w:rsid w:val="007A4447"/>
    <w:rsid w:val="007B1673"/>
    <w:rsid w:val="007B4367"/>
    <w:rsid w:val="007C0D17"/>
    <w:rsid w:val="007C3A1C"/>
    <w:rsid w:val="007C62D7"/>
    <w:rsid w:val="007C66A8"/>
    <w:rsid w:val="007D2B78"/>
    <w:rsid w:val="007E0A16"/>
    <w:rsid w:val="007E1658"/>
    <w:rsid w:val="007E167C"/>
    <w:rsid w:val="007E1D1B"/>
    <w:rsid w:val="007E21B2"/>
    <w:rsid w:val="007E387E"/>
    <w:rsid w:val="007E4538"/>
    <w:rsid w:val="007E5B19"/>
    <w:rsid w:val="007F0D0B"/>
    <w:rsid w:val="007F243E"/>
    <w:rsid w:val="007F44D9"/>
    <w:rsid w:val="007F5BD6"/>
    <w:rsid w:val="007F75DC"/>
    <w:rsid w:val="00801144"/>
    <w:rsid w:val="008030E7"/>
    <w:rsid w:val="008063A1"/>
    <w:rsid w:val="008069C2"/>
    <w:rsid w:val="00813AB0"/>
    <w:rsid w:val="00814BB4"/>
    <w:rsid w:val="00815920"/>
    <w:rsid w:val="00816D6A"/>
    <w:rsid w:val="00817A01"/>
    <w:rsid w:val="00824381"/>
    <w:rsid w:val="00835A51"/>
    <w:rsid w:val="00836968"/>
    <w:rsid w:val="00837E8A"/>
    <w:rsid w:val="00837FDC"/>
    <w:rsid w:val="00841749"/>
    <w:rsid w:val="008418AB"/>
    <w:rsid w:val="0084225E"/>
    <w:rsid w:val="00845103"/>
    <w:rsid w:val="008478D0"/>
    <w:rsid w:val="00847A7D"/>
    <w:rsid w:val="00847ACA"/>
    <w:rsid w:val="008503CE"/>
    <w:rsid w:val="00855AFF"/>
    <w:rsid w:val="00856650"/>
    <w:rsid w:val="00860C95"/>
    <w:rsid w:val="008631DB"/>
    <w:rsid w:val="00870ACE"/>
    <w:rsid w:val="00870DB5"/>
    <w:rsid w:val="00871463"/>
    <w:rsid w:val="00871D97"/>
    <w:rsid w:val="00872F60"/>
    <w:rsid w:val="00875976"/>
    <w:rsid w:val="00876003"/>
    <w:rsid w:val="00876407"/>
    <w:rsid w:val="008769D3"/>
    <w:rsid w:val="008800A9"/>
    <w:rsid w:val="008804FD"/>
    <w:rsid w:val="00880578"/>
    <w:rsid w:val="00880798"/>
    <w:rsid w:val="00882097"/>
    <w:rsid w:val="00882F73"/>
    <w:rsid w:val="0088620B"/>
    <w:rsid w:val="00886E88"/>
    <w:rsid w:val="0089243F"/>
    <w:rsid w:val="0089545B"/>
    <w:rsid w:val="008A0461"/>
    <w:rsid w:val="008A0DDD"/>
    <w:rsid w:val="008A17C1"/>
    <w:rsid w:val="008A2566"/>
    <w:rsid w:val="008A29A3"/>
    <w:rsid w:val="008A3EBE"/>
    <w:rsid w:val="008B0DA0"/>
    <w:rsid w:val="008B5A1F"/>
    <w:rsid w:val="008C066E"/>
    <w:rsid w:val="008C0DD3"/>
    <w:rsid w:val="008C16BE"/>
    <w:rsid w:val="008C1E41"/>
    <w:rsid w:val="008C246D"/>
    <w:rsid w:val="008C28CA"/>
    <w:rsid w:val="008C4FED"/>
    <w:rsid w:val="008C6770"/>
    <w:rsid w:val="008D1973"/>
    <w:rsid w:val="008D2B37"/>
    <w:rsid w:val="008D7600"/>
    <w:rsid w:val="008E5565"/>
    <w:rsid w:val="008E7721"/>
    <w:rsid w:val="008F1A8F"/>
    <w:rsid w:val="008F2315"/>
    <w:rsid w:val="008F2C79"/>
    <w:rsid w:val="008F32BB"/>
    <w:rsid w:val="008F37D5"/>
    <w:rsid w:val="009003E4"/>
    <w:rsid w:val="009010ED"/>
    <w:rsid w:val="009101E2"/>
    <w:rsid w:val="00910F66"/>
    <w:rsid w:val="00911255"/>
    <w:rsid w:val="00911C86"/>
    <w:rsid w:val="0091347D"/>
    <w:rsid w:val="00915064"/>
    <w:rsid w:val="00915D60"/>
    <w:rsid w:val="00926B6D"/>
    <w:rsid w:val="0093130C"/>
    <w:rsid w:val="00932E4E"/>
    <w:rsid w:val="009404E3"/>
    <w:rsid w:val="00940FEB"/>
    <w:rsid w:val="00941AAD"/>
    <w:rsid w:val="00941FC8"/>
    <w:rsid w:val="0094487B"/>
    <w:rsid w:val="00944910"/>
    <w:rsid w:val="0094559E"/>
    <w:rsid w:val="00945670"/>
    <w:rsid w:val="00945857"/>
    <w:rsid w:val="00947EC5"/>
    <w:rsid w:val="00950743"/>
    <w:rsid w:val="0095174E"/>
    <w:rsid w:val="00954C71"/>
    <w:rsid w:val="00956217"/>
    <w:rsid w:val="00956C04"/>
    <w:rsid w:val="00960C35"/>
    <w:rsid w:val="00962AB2"/>
    <w:rsid w:val="00963963"/>
    <w:rsid w:val="00964301"/>
    <w:rsid w:val="009646FA"/>
    <w:rsid w:val="00965BA0"/>
    <w:rsid w:val="00966E85"/>
    <w:rsid w:val="00970E3F"/>
    <w:rsid w:val="009711C7"/>
    <w:rsid w:val="0097153D"/>
    <w:rsid w:val="00972AAE"/>
    <w:rsid w:val="00974631"/>
    <w:rsid w:val="0097543C"/>
    <w:rsid w:val="009757CC"/>
    <w:rsid w:val="00977B33"/>
    <w:rsid w:val="00977D9D"/>
    <w:rsid w:val="00986AC2"/>
    <w:rsid w:val="00986EB5"/>
    <w:rsid w:val="00990A7D"/>
    <w:rsid w:val="00990DDF"/>
    <w:rsid w:val="0099184A"/>
    <w:rsid w:val="009932DA"/>
    <w:rsid w:val="0099794E"/>
    <w:rsid w:val="00997EE7"/>
    <w:rsid w:val="009A241B"/>
    <w:rsid w:val="009A45D5"/>
    <w:rsid w:val="009A5AFC"/>
    <w:rsid w:val="009A7AC8"/>
    <w:rsid w:val="009B0784"/>
    <w:rsid w:val="009B0C83"/>
    <w:rsid w:val="009B144E"/>
    <w:rsid w:val="009B1B6A"/>
    <w:rsid w:val="009B287D"/>
    <w:rsid w:val="009B4515"/>
    <w:rsid w:val="009B65C8"/>
    <w:rsid w:val="009C1A60"/>
    <w:rsid w:val="009C1CB7"/>
    <w:rsid w:val="009C4E06"/>
    <w:rsid w:val="009C68F3"/>
    <w:rsid w:val="009C706E"/>
    <w:rsid w:val="009D265B"/>
    <w:rsid w:val="009D2DF7"/>
    <w:rsid w:val="009D44FE"/>
    <w:rsid w:val="009D6BF6"/>
    <w:rsid w:val="009D6CD5"/>
    <w:rsid w:val="009E00AF"/>
    <w:rsid w:val="009E12A2"/>
    <w:rsid w:val="009E1C2A"/>
    <w:rsid w:val="009E1D11"/>
    <w:rsid w:val="009E1F8B"/>
    <w:rsid w:val="009E4965"/>
    <w:rsid w:val="009E4E13"/>
    <w:rsid w:val="009F0BB2"/>
    <w:rsid w:val="009F2637"/>
    <w:rsid w:val="009F4DA4"/>
    <w:rsid w:val="009F604A"/>
    <w:rsid w:val="00A00826"/>
    <w:rsid w:val="00A0447E"/>
    <w:rsid w:val="00A07753"/>
    <w:rsid w:val="00A07DFA"/>
    <w:rsid w:val="00A13389"/>
    <w:rsid w:val="00A16794"/>
    <w:rsid w:val="00A20EE5"/>
    <w:rsid w:val="00A21E47"/>
    <w:rsid w:val="00A22323"/>
    <w:rsid w:val="00A22F9B"/>
    <w:rsid w:val="00A247B1"/>
    <w:rsid w:val="00A329EE"/>
    <w:rsid w:val="00A3450E"/>
    <w:rsid w:val="00A3481A"/>
    <w:rsid w:val="00A35B52"/>
    <w:rsid w:val="00A367A9"/>
    <w:rsid w:val="00A374C6"/>
    <w:rsid w:val="00A43255"/>
    <w:rsid w:val="00A46518"/>
    <w:rsid w:val="00A46D4F"/>
    <w:rsid w:val="00A46D57"/>
    <w:rsid w:val="00A50E28"/>
    <w:rsid w:val="00A5173D"/>
    <w:rsid w:val="00A5285F"/>
    <w:rsid w:val="00A579EB"/>
    <w:rsid w:val="00A61389"/>
    <w:rsid w:val="00A623BE"/>
    <w:rsid w:val="00A626E0"/>
    <w:rsid w:val="00A6324D"/>
    <w:rsid w:val="00A63E1B"/>
    <w:rsid w:val="00A64D9B"/>
    <w:rsid w:val="00A65EC8"/>
    <w:rsid w:val="00A667D6"/>
    <w:rsid w:val="00A6714B"/>
    <w:rsid w:val="00A752B7"/>
    <w:rsid w:val="00A76A54"/>
    <w:rsid w:val="00A7715D"/>
    <w:rsid w:val="00A7750D"/>
    <w:rsid w:val="00A81D10"/>
    <w:rsid w:val="00A83E06"/>
    <w:rsid w:val="00A846E4"/>
    <w:rsid w:val="00A86865"/>
    <w:rsid w:val="00A9257E"/>
    <w:rsid w:val="00A92BD7"/>
    <w:rsid w:val="00A94DF0"/>
    <w:rsid w:val="00A9558F"/>
    <w:rsid w:val="00A96602"/>
    <w:rsid w:val="00AA1D5D"/>
    <w:rsid w:val="00AA264F"/>
    <w:rsid w:val="00AA2FEC"/>
    <w:rsid w:val="00AA4EFD"/>
    <w:rsid w:val="00AA6089"/>
    <w:rsid w:val="00AB0451"/>
    <w:rsid w:val="00AB21DD"/>
    <w:rsid w:val="00AC026B"/>
    <w:rsid w:val="00AC2210"/>
    <w:rsid w:val="00AC2289"/>
    <w:rsid w:val="00AC37CD"/>
    <w:rsid w:val="00AC4BE3"/>
    <w:rsid w:val="00AC6BA9"/>
    <w:rsid w:val="00AC74DB"/>
    <w:rsid w:val="00AC7F5C"/>
    <w:rsid w:val="00AD06E0"/>
    <w:rsid w:val="00AD1EF6"/>
    <w:rsid w:val="00AD608E"/>
    <w:rsid w:val="00AE07E1"/>
    <w:rsid w:val="00AE0BE0"/>
    <w:rsid w:val="00AE39AB"/>
    <w:rsid w:val="00AE5A67"/>
    <w:rsid w:val="00AF0F94"/>
    <w:rsid w:val="00AF6DF6"/>
    <w:rsid w:val="00AF721C"/>
    <w:rsid w:val="00AF7396"/>
    <w:rsid w:val="00B012A9"/>
    <w:rsid w:val="00B0508B"/>
    <w:rsid w:val="00B06FD9"/>
    <w:rsid w:val="00B0717D"/>
    <w:rsid w:val="00B10182"/>
    <w:rsid w:val="00B1065B"/>
    <w:rsid w:val="00B143B6"/>
    <w:rsid w:val="00B146D1"/>
    <w:rsid w:val="00B151DA"/>
    <w:rsid w:val="00B155CE"/>
    <w:rsid w:val="00B17322"/>
    <w:rsid w:val="00B17D24"/>
    <w:rsid w:val="00B21CED"/>
    <w:rsid w:val="00B22EDB"/>
    <w:rsid w:val="00B2591C"/>
    <w:rsid w:val="00B25B46"/>
    <w:rsid w:val="00B2663C"/>
    <w:rsid w:val="00B268AF"/>
    <w:rsid w:val="00B300CC"/>
    <w:rsid w:val="00B31BBF"/>
    <w:rsid w:val="00B32849"/>
    <w:rsid w:val="00B337FE"/>
    <w:rsid w:val="00B33C55"/>
    <w:rsid w:val="00B3731B"/>
    <w:rsid w:val="00B414BB"/>
    <w:rsid w:val="00B41A8A"/>
    <w:rsid w:val="00B41FA8"/>
    <w:rsid w:val="00B42A05"/>
    <w:rsid w:val="00B4406A"/>
    <w:rsid w:val="00B46EA8"/>
    <w:rsid w:val="00B4767D"/>
    <w:rsid w:val="00B503D1"/>
    <w:rsid w:val="00B51A1A"/>
    <w:rsid w:val="00B52064"/>
    <w:rsid w:val="00B54539"/>
    <w:rsid w:val="00B545C0"/>
    <w:rsid w:val="00B546C6"/>
    <w:rsid w:val="00B54AC4"/>
    <w:rsid w:val="00B577E4"/>
    <w:rsid w:val="00B57F1B"/>
    <w:rsid w:val="00B602A4"/>
    <w:rsid w:val="00B62E10"/>
    <w:rsid w:val="00B63F7B"/>
    <w:rsid w:val="00B64E3F"/>
    <w:rsid w:val="00B67947"/>
    <w:rsid w:val="00B717CE"/>
    <w:rsid w:val="00B71D70"/>
    <w:rsid w:val="00B76168"/>
    <w:rsid w:val="00B773BB"/>
    <w:rsid w:val="00B80CBA"/>
    <w:rsid w:val="00B81570"/>
    <w:rsid w:val="00B8287E"/>
    <w:rsid w:val="00B82C25"/>
    <w:rsid w:val="00B83435"/>
    <w:rsid w:val="00B8604D"/>
    <w:rsid w:val="00B86515"/>
    <w:rsid w:val="00B9455A"/>
    <w:rsid w:val="00B96E92"/>
    <w:rsid w:val="00B97AC0"/>
    <w:rsid w:val="00BA0333"/>
    <w:rsid w:val="00BA14DF"/>
    <w:rsid w:val="00BA305F"/>
    <w:rsid w:val="00BA3062"/>
    <w:rsid w:val="00BA3B1D"/>
    <w:rsid w:val="00BA47A0"/>
    <w:rsid w:val="00BA5DEB"/>
    <w:rsid w:val="00BA6153"/>
    <w:rsid w:val="00BB14B7"/>
    <w:rsid w:val="00BC04A4"/>
    <w:rsid w:val="00BC1566"/>
    <w:rsid w:val="00BC23C6"/>
    <w:rsid w:val="00BC25A1"/>
    <w:rsid w:val="00BC3D5B"/>
    <w:rsid w:val="00BC4B66"/>
    <w:rsid w:val="00BC4D01"/>
    <w:rsid w:val="00BD202F"/>
    <w:rsid w:val="00BD2A63"/>
    <w:rsid w:val="00BD3C3A"/>
    <w:rsid w:val="00BD44AC"/>
    <w:rsid w:val="00BD5DA1"/>
    <w:rsid w:val="00BD78AC"/>
    <w:rsid w:val="00BE13CD"/>
    <w:rsid w:val="00BE2D6B"/>
    <w:rsid w:val="00BE374D"/>
    <w:rsid w:val="00BE40E9"/>
    <w:rsid w:val="00BE554B"/>
    <w:rsid w:val="00BF0A1E"/>
    <w:rsid w:val="00BF2C14"/>
    <w:rsid w:val="00BF3C47"/>
    <w:rsid w:val="00BF5811"/>
    <w:rsid w:val="00BF5D73"/>
    <w:rsid w:val="00BF7EB8"/>
    <w:rsid w:val="00C009B6"/>
    <w:rsid w:val="00C04231"/>
    <w:rsid w:val="00C0540B"/>
    <w:rsid w:val="00C11E14"/>
    <w:rsid w:val="00C12543"/>
    <w:rsid w:val="00C154D3"/>
    <w:rsid w:val="00C15AD2"/>
    <w:rsid w:val="00C17181"/>
    <w:rsid w:val="00C17733"/>
    <w:rsid w:val="00C22724"/>
    <w:rsid w:val="00C25C75"/>
    <w:rsid w:val="00C270FE"/>
    <w:rsid w:val="00C27A4F"/>
    <w:rsid w:val="00C30EE7"/>
    <w:rsid w:val="00C31502"/>
    <w:rsid w:val="00C31552"/>
    <w:rsid w:val="00C31E16"/>
    <w:rsid w:val="00C32A6A"/>
    <w:rsid w:val="00C345F4"/>
    <w:rsid w:val="00C359BE"/>
    <w:rsid w:val="00C3667D"/>
    <w:rsid w:val="00C36AC2"/>
    <w:rsid w:val="00C3739A"/>
    <w:rsid w:val="00C37CB9"/>
    <w:rsid w:val="00C40428"/>
    <w:rsid w:val="00C408CB"/>
    <w:rsid w:val="00C40DB4"/>
    <w:rsid w:val="00C415A5"/>
    <w:rsid w:val="00C41A8C"/>
    <w:rsid w:val="00C41ADF"/>
    <w:rsid w:val="00C460D0"/>
    <w:rsid w:val="00C468E1"/>
    <w:rsid w:val="00C4693E"/>
    <w:rsid w:val="00C472F9"/>
    <w:rsid w:val="00C514F2"/>
    <w:rsid w:val="00C5321A"/>
    <w:rsid w:val="00C53CDA"/>
    <w:rsid w:val="00C55596"/>
    <w:rsid w:val="00C57FB0"/>
    <w:rsid w:val="00C60562"/>
    <w:rsid w:val="00C63C02"/>
    <w:rsid w:val="00C63E7B"/>
    <w:rsid w:val="00C65E0B"/>
    <w:rsid w:val="00C6690B"/>
    <w:rsid w:val="00C7058E"/>
    <w:rsid w:val="00C73D43"/>
    <w:rsid w:val="00C75240"/>
    <w:rsid w:val="00C753D6"/>
    <w:rsid w:val="00C758CE"/>
    <w:rsid w:val="00C762BA"/>
    <w:rsid w:val="00C7637F"/>
    <w:rsid w:val="00C76878"/>
    <w:rsid w:val="00C76E6E"/>
    <w:rsid w:val="00C878F8"/>
    <w:rsid w:val="00C97428"/>
    <w:rsid w:val="00CA20A1"/>
    <w:rsid w:val="00CA2751"/>
    <w:rsid w:val="00CA47C8"/>
    <w:rsid w:val="00CA5902"/>
    <w:rsid w:val="00CB01CF"/>
    <w:rsid w:val="00CB312D"/>
    <w:rsid w:val="00CB3B02"/>
    <w:rsid w:val="00CB4B43"/>
    <w:rsid w:val="00CB4E1A"/>
    <w:rsid w:val="00CB5980"/>
    <w:rsid w:val="00CC2E8D"/>
    <w:rsid w:val="00CC76A4"/>
    <w:rsid w:val="00CD1F66"/>
    <w:rsid w:val="00CD2E8C"/>
    <w:rsid w:val="00CD3DD9"/>
    <w:rsid w:val="00CD686A"/>
    <w:rsid w:val="00CD6E5E"/>
    <w:rsid w:val="00CE08DC"/>
    <w:rsid w:val="00CE1F88"/>
    <w:rsid w:val="00CE4065"/>
    <w:rsid w:val="00CE4D9D"/>
    <w:rsid w:val="00CE500E"/>
    <w:rsid w:val="00CE5C0B"/>
    <w:rsid w:val="00CE6AC1"/>
    <w:rsid w:val="00CE7A0E"/>
    <w:rsid w:val="00CF0BBA"/>
    <w:rsid w:val="00CF2C98"/>
    <w:rsid w:val="00CF33FC"/>
    <w:rsid w:val="00CF4F36"/>
    <w:rsid w:val="00CF70BE"/>
    <w:rsid w:val="00D00912"/>
    <w:rsid w:val="00D03F68"/>
    <w:rsid w:val="00D068D0"/>
    <w:rsid w:val="00D07B29"/>
    <w:rsid w:val="00D10096"/>
    <w:rsid w:val="00D10594"/>
    <w:rsid w:val="00D1091A"/>
    <w:rsid w:val="00D11327"/>
    <w:rsid w:val="00D12E6B"/>
    <w:rsid w:val="00D219D3"/>
    <w:rsid w:val="00D21C4F"/>
    <w:rsid w:val="00D222DA"/>
    <w:rsid w:val="00D261B4"/>
    <w:rsid w:val="00D27F1F"/>
    <w:rsid w:val="00D3029F"/>
    <w:rsid w:val="00D33C7A"/>
    <w:rsid w:val="00D3544F"/>
    <w:rsid w:val="00D35D4D"/>
    <w:rsid w:val="00D41048"/>
    <w:rsid w:val="00D43ACB"/>
    <w:rsid w:val="00D44914"/>
    <w:rsid w:val="00D51E16"/>
    <w:rsid w:val="00D53EE7"/>
    <w:rsid w:val="00D5574C"/>
    <w:rsid w:val="00D55922"/>
    <w:rsid w:val="00D56423"/>
    <w:rsid w:val="00D56DC5"/>
    <w:rsid w:val="00D576EA"/>
    <w:rsid w:val="00D5797D"/>
    <w:rsid w:val="00D60D26"/>
    <w:rsid w:val="00D62142"/>
    <w:rsid w:val="00D621BF"/>
    <w:rsid w:val="00D62380"/>
    <w:rsid w:val="00D6332F"/>
    <w:rsid w:val="00D63704"/>
    <w:rsid w:val="00D66F5A"/>
    <w:rsid w:val="00D67B00"/>
    <w:rsid w:val="00D70301"/>
    <w:rsid w:val="00D710F3"/>
    <w:rsid w:val="00D71C45"/>
    <w:rsid w:val="00D71CA9"/>
    <w:rsid w:val="00D72897"/>
    <w:rsid w:val="00D733D8"/>
    <w:rsid w:val="00D74CA0"/>
    <w:rsid w:val="00D75C63"/>
    <w:rsid w:val="00D77C5E"/>
    <w:rsid w:val="00D82650"/>
    <w:rsid w:val="00D87963"/>
    <w:rsid w:val="00D9264B"/>
    <w:rsid w:val="00D94AC4"/>
    <w:rsid w:val="00D960DA"/>
    <w:rsid w:val="00D97A94"/>
    <w:rsid w:val="00D97E61"/>
    <w:rsid w:val="00DA012B"/>
    <w:rsid w:val="00DA1255"/>
    <w:rsid w:val="00DA1665"/>
    <w:rsid w:val="00DA54B9"/>
    <w:rsid w:val="00DA7B5D"/>
    <w:rsid w:val="00DB11D1"/>
    <w:rsid w:val="00DB4CEB"/>
    <w:rsid w:val="00DB4E50"/>
    <w:rsid w:val="00DB5EEA"/>
    <w:rsid w:val="00DB7DFF"/>
    <w:rsid w:val="00DC3E20"/>
    <w:rsid w:val="00DD2E18"/>
    <w:rsid w:val="00DD3FF0"/>
    <w:rsid w:val="00DD4684"/>
    <w:rsid w:val="00DD48F0"/>
    <w:rsid w:val="00DD57A5"/>
    <w:rsid w:val="00DD721C"/>
    <w:rsid w:val="00DE123C"/>
    <w:rsid w:val="00DE1A9F"/>
    <w:rsid w:val="00DE275B"/>
    <w:rsid w:val="00DE7562"/>
    <w:rsid w:val="00DF4F10"/>
    <w:rsid w:val="00DF5F6B"/>
    <w:rsid w:val="00E01434"/>
    <w:rsid w:val="00E103A9"/>
    <w:rsid w:val="00E106B1"/>
    <w:rsid w:val="00E118BD"/>
    <w:rsid w:val="00E1381B"/>
    <w:rsid w:val="00E1390B"/>
    <w:rsid w:val="00E17C28"/>
    <w:rsid w:val="00E226D8"/>
    <w:rsid w:val="00E2290B"/>
    <w:rsid w:val="00E2397F"/>
    <w:rsid w:val="00E3208B"/>
    <w:rsid w:val="00E3270F"/>
    <w:rsid w:val="00E34011"/>
    <w:rsid w:val="00E353E6"/>
    <w:rsid w:val="00E36B21"/>
    <w:rsid w:val="00E41FE1"/>
    <w:rsid w:val="00E43EF6"/>
    <w:rsid w:val="00E45663"/>
    <w:rsid w:val="00E46044"/>
    <w:rsid w:val="00E46401"/>
    <w:rsid w:val="00E51FE1"/>
    <w:rsid w:val="00E5252E"/>
    <w:rsid w:val="00E528B1"/>
    <w:rsid w:val="00E532B3"/>
    <w:rsid w:val="00E61573"/>
    <w:rsid w:val="00E70F23"/>
    <w:rsid w:val="00E74327"/>
    <w:rsid w:val="00E74BE0"/>
    <w:rsid w:val="00E75E45"/>
    <w:rsid w:val="00E75EB3"/>
    <w:rsid w:val="00E75EEC"/>
    <w:rsid w:val="00E819FA"/>
    <w:rsid w:val="00E83C60"/>
    <w:rsid w:val="00E84CAF"/>
    <w:rsid w:val="00E908C6"/>
    <w:rsid w:val="00E90B7F"/>
    <w:rsid w:val="00E91326"/>
    <w:rsid w:val="00E954EE"/>
    <w:rsid w:val="00E95702"/>
    <w:rsid w:val="00E96359"/>
    <w:rsid w:val="00EA1AB4"/>
    <w:rsid w:val="00EA2992"/>
    <w:rsid w:val="00EA31D4"/>
    <w:rsid w:val="00EA3F22"/>
    <w:rsid w:val="00EA4819"/>
    <w:rsid w:val="00EA7B4E"/>
    <w:rsid w:val="00EA7F5D"/>
    <w:rsid w:val="00EB0E11"/>
    <w:rsid w:val="00EB1E00"/>
    <w:rsid w:val="00EB4482"/>
    <w:rsid w:val="00EB4837"/>
    <w:rsid w:val="00EC03DF"/>
    <w:rsid w:val="00EC0E23"/>
    <w:rsid w:val="00EC1A26"/>
    <w:rsid w:val="00EC3BFD"/>
    <w:rsid w:val="00EC4990"/>
    <w:rsid w:val="00EC6120"/>
    <w:rsid w:val="00EC6698"/>
    <w:rsid w:val="00EC67C7"/>
    <w:rsid w:val="00ED0ABB"/>
    <w:rsid w:val="00ED1E79"/>
    <w:rsid w:val="00ED2CC9"/>
    <w:rsid w:val="00ED450E"/>
    <w:rsid w:val="00ED522A"/>
    <w:rsid w:val="00ED576E"/>
    <w:rsid w:val="00ED7460"/>
    <w:rsid w:val="00EE04DB"/>
    <w:rsid w:val="00EE123C"/>
    <w:rsid w:val="00EE2469"/>
    <w:rsid w:val="00EE3D47"/>
    <w:rsid w:val="00EE46ED"/>
    <w:rsid w:val="00EE587F"/>
    <w:rsid w:val="00EE7777"/>
    <w:rsid w:val="00EF0AB0"/>
    <w:rsid w:val="00EF1516"/>
    <w:rsid w:val="00EF204E"/>
    <w:rsid w:val="00EF48DC"/>
    <w:rsid w:val="00EF6012"/>
    <w:rsid w:val="00EF6637"/>
    <w:rsid w:val="00F035C1"/>
    <w:rsid w:val="00F04C51"/>
    <w:rsid w:val="00F04F1B"/>
    <w:rsid w:val="00F04F26"/>
    <w:rsid w:val="00F05D49"/>
    <w:rsid w:val="00F07662"/>
    <w:rsid w:val="00F07DE9"/>
    <w:rsid w:val="00F170A0"/>
    <w:rsid w:val="00F17F05"/>
    <w:rsid w:val="00F23DE9"/>
    <w:rsid w:val="00F30E4F"/>
    <w:rsid w:val="00F31312"/>
    <w:rsid w:val="00F31F20"/>
    <w:rsid w:val="00F321D9"/>
    <w:rsid w:val="00F326C7"/>
    <w:rsid w:val="00F32A43"/>
    <w:rsid w:val="00F32E79"/>
    <w:rsid w:val="00F34662"/>
    <w:rsid w:val="00F40F7A"/>
    <w:rsid w:val="00F41009"/>
    <w:rsid w:val="00F427C4"/>
    <w:rsid w:val="00F45455"/>
    <w:rsid w:val="00F501E7"/>
    <w:rsid w:val="00F50992"/>
    <w:rsid w:val="00F52285"/>
    <w:rsid w:val="00F55E63"/>
    <w:rsid w:val="00F56306"/>
    <w:rsid w:val="00F569F8"/>
    <w:rsid w:val="00F60155"/>
    <w:rsid w:val="00F61633"/>
    <w:rsid w:val="00F61B74"/>
    <w:rsid w:val="00F6203E"/>
    <w:rsid w:val="00F64984"/>
    <w:rsid w:val="00F65725"/>
    <w:rsid w:val="00F65AAD"/>
    <w:rsid w:val="00F65B99"/>
    <w:rsid w:val="00F66DCF"/>
    <w:rsid w:val="00F706F6"/>
    <w:rsid w:val="00F720B3"/>
    <w:rsid w:val="00F7218A"/>
    <w:rsid w:val="00F75BC0"/>
    <w:rsid w:val="00F7669B"/>
    <w:rsid w:val="00F8322A"/>
    <w:rsid w:val="00F833DC"/>
    <w:rsid w:val="00F8541F"/>
    <w:rsid w:val="00F85893"/>
    <w:rsid w:val="00F8636C"/>
    <w:rsid w:val="00F874F1"/>
    <w:rsid w:val="00F9092A"/>
    <w:rsid w:val="00F92554"/>
    <w:rsid w:val="00F93624"/>
    <w:rsid w:val="00F946F6"/>
    <w:rsid w:val="00F94D71"/>
    <w:rsid w:val="00F94DCD"/>
    <w:rsid w:val="00F97053"/>
    <w:rsid w:val="00FA1C87"/>
    <w:rsid w:val="00FB53BC"/>
    <w:rsid w:val="00FB5AB8"/>
    <w:rsid w:val="00FC0874"/>
    <w:rsid w:val="00FC1025"/>
    <w:rsid w:val="00FC2093"/>
    <w:rsid w:val="00FC3931"/>
    <w:rsid w:val="00FC3EE4"/>
    <w:rsid w:val="00FC480B"/>
    <w:rsid w:val="00FC4DD1"/>
    <w:rsid w:val="00FC79C0"/>
    <w:rsid w:val="00FD07BA"/>
    <w:rsid w:val="00FD3DEA"/>
    <w:rsid w:val="00FD508F"/>
    <w:rsid w:val="00FD562C"/>
    <w:rsid w:val="00FD5863"/>
    <w:rsid w:val="00FD60E9"/>
    <w:rsid w:val="00FD6F12"/>
    <w:rsid w:val="00FE0013"/>
    <w:rsid w:val="00FE1E42"/>
    <w:rsid w:val="00FE1F4E"/>
    <w:rsid w:val="00FE28D8"/>
    <w:rsid w:val="00FE2CF0"/>
    <w:rsid w:val="00FE43D0"/>
    <w:rsid w:val="00FE4AFA"/>
    <w:rsid w:val="00FE70FB"/>
    <w:rsid w:val="00FE7C84"/>
    <w:rsid w:val="00FE7F4F"/>
    <w:rsid w:val="00FF0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5F25F5A6-741A-4925-B9DF-9320FA7F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1A"/>
    <w:rPr>
      <w:rFonts w:ascii="Arial" w:hAnsi="Arial"/>
      <w:sz w:val="18"/>
    </w:rPr>
  </w:style>
  <w:style w:type="paragraph" w:styleId="Heading1">
    <w:name w:val="heading 1"/>
    <w:basedOn w:val="Title"/>
    <w:next w:val="Normal"/>
    <w:link w:val="Heading1Char"/>
    <w:qFormat/>
    <w:rsid w:val="0099794E"/>
    <w:pPr>
      <w:spacing w:before="840" w:after="800"/>
    </w:pPr>
    <w:rPr>
      <w:color w:val="FFFFFF" w:themeColor="background1"/>
      <w:sz w:val="32"/>
    </w:rPr>
  </w:style>
  <w:style w:type="paragraph" w:styleId="Heading2">
    <w:name w:val="heading 2"/>
    <w:basedOn w:val="Normal"/>
    <w:next w:val="Normal"/>
    <w:link w:val="Heading2Char"/>
    <w:unhideWhenUsed/>
    <w:qFormat/>
    <w:rsid w:val="00A367A9"/>
    <w:pPr>
      <w:keepNext/>
      <w:keepLines/>
      <w:outlineLvl w:val="1"/>
    </w:pPr>
    <w:rPr>
      <w:rFonts w:ascii="Arial Bold" w:eastAsiaTheme="majorEastAsia" w:hAnsi="Arial Bold" w:cstheme="majorBidi"/>
      <w:b/>
      <w:bCs/>
      <w:caps/>
      <w:sz w:val="28"/>
      <w:szCs w:val="26"/>
    </w:rPr>
  </w:style>
  <w:style w:type="paragraph" w:styleId="Heading3">
    <w:name w:val="heading 3"/>
    <w:basedOn w:val="Normal"/>
    <w:next w:val="Normal"/>
    <w:link w:val="Heading3Char"/>
    <w:unhideWhenUsed/>
    <w:qFormat/>
    <w:rsid w:val="00366D3E"/>
    <w:pPr>
      <w:keepNext/>
      <w:keepLines/>
      <w:outlineLvl w:val="2"/>
    </w:pPr>
    <w:rPr>
      <w:rFonts w:eastAsiaTheme="majorEastAsia" w:cstheme="majorBidi"/>
      <w:b/>
      <w:bCs/>
      <w:sz w:val="22"/>
    </w:rPr>
  </w:style>
  <w:style w:type="paragraph" w:styleId="Heading4">
    <w:name w:val="heading 4"/>
    <w:basedOn w:val="Normal"/>
    <w:next w:val="Normal"/>
    <w:link w:val="Heading4Char"/>
    <w:unhideWhenUsed/>
    <w:qFormat/>
    <w:rsid w:val="00A92BD7"/>
    <w:pPr>
      <w:keepNext/>
      <w:keepLines/>
      <w:outlineLvl w:val="3"/>
    </w:pPr>
    <w:rPr>
      <w:rFonts w:eastAsiaTheme="majorEastAsia" w:cstheme="majorBidi"/>
      <w:b/>
      <w:bCs/>
      <w:iCs/>
      <w:sz w:val="20"/>
    </w:rPr>
  </w:style>
  <w:style w:type="paragraph" w:styleId="Heading5">
    <w:name w:val="heading 5"/>
    <w:basedOn w:val="Normal"/>
    <w:next w:val="Normal"/>
    <w:link w:val="Heading5Char"/>
    <w:unhideWhenUsed/>
    <w:qFormat/>
    <w:rsid w:val="00074CB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82A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74CB2"/>
    <w:pPr>
      <w:keepLines/>
      <w:suppressAutoHyphens/>
      <w:spacing w:before="240" w:after="60" w:line="312" w:lineRule="auto"/>
      <w:outlineLvl w:val="6"/>
    </w:pPr>
    <w:rPr>
      <w:rFonts w:ascii="Times New Roman" w:eastAsia="Times New Roman" w:hAnsi="Times New Roman" w:cs="Times New Roman"/>
      <w:color w:val="333333"/>
      <w:sz w:val="24"/>
      <w:szCs w:val="24"/>
      <w:lang w:eastAsia="en-AU"/>
    </w:rPr>
  </w:style>
  <w:style w:type="paragraph" w:styleId="Heading8">
    <w:name w:val="heading 8"/>
    <w:basedOn w:val="Normal"/>
    <w:next w:val="Normal"/>
    <w:link w:val="Heading8Char"/>
    <w:qFormat/>
    <w:rsid w:val="00074CB2"/>
    <w:pPr>
      <w:keepLines/>
      <w:suppressAutoHyphens/>
      <w:spacing w:before="240" w:after="60" w:line="312" w:lineRule="auto"/>
      <w:outlineLvl w:val="7"/>
    </w:pPr>
    <w:rPr>
      <w:rFonts w:ascii="Times New Roman" w:eastAsia="Times New Roman" w:hAnsi="Times New Roman" w:cs="Times New Roman"/>
      <w:i/>
      <w:iCs/>
      <w:color w:val="333333"/>
      <w:sz w:val="24"/>
      <w:szCs w:val="24"/>
      <w:lang w:eastAsia="en-AU"/>
    </w:rPr>
  </w:style>
  <w:style w:type="paragraph" w:styleId="Heading9">
    <w:name w:val="heading 9"/>
    <w:basedOn w:val="Normal"/>
    <w:next w:val="Normal"/>
    <w:link w:val="Heading9Char"/>
    <w:qFormat/>
    <w:rsid w:val="00074CB2"/>
    <w:pPr>
      <w:keepLines/>
      <w:suppressAutoHyphens/>
      <w:spacing w:before="240" w:after="60" w:line="312" w:lineRule="auto"/>
      <w:outlineLvl w:val="8"/>
    </w:pPr>
    <w:rPr>
      <w:rFonts w:eastAsia="Times New Roman" w:cs="Arial"/>
      <w:color w:val="333333"/>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3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1A"/>
  </w:style>
  <w:style w:type="paragraph" w:styleId="Footer">
    <w:name w:val="footer"/>
    <w:basedOn w:val="Normal"/>
    <w:link w:val="FooterChar"/>
    <w:unhideWhenUsed/>
    <w:rsid w:val="00C5321A"/>
    <w:pPr>
      <w:tabs>
        <w:tab w:val="center" w:pos="4513"/>
        <w:tab w:val="right" w:pos="9026"/>
      </w:tabs>
      <w:spacing w:after="0" w:line="240" w:lineRule="auto"/>
    </w:pPr>
  </w:style>
  <w:style w:type="character" w:customStyle="1" w:styleId="FooterChar">
    <w:name w:val="Footer Char"/>
    <w:basedOn w:val="DefaultParagraphFont"/>
    <w:link w:val="Footer"/>
    <w:rsid w:val="00C5321A"/>
  </w:style>
  <w:style w:type="paragraph" w:styleId="BalloonText">
    <w:name w:val="Balloon Text"/>
    <w:basedOn w:val="Normal"/>
    <w:link w:val="BalloonTextChar"/>
    <w:semiHidden/>
    <w:unhideWhenUsed/>
    <w:rsid w:val="00C53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21A"/>
    <w:rPr>
      <w:rFonts w:ascii="Tahoma" w:hAnsi="Tahoma" w:cs="Tahoma"/>
      <w:sz w:val="16"/>
      <w:szCs w:val="16"/>
    </w:rPr>
  </w:style>
  <w:style w:type="table" w:styleId="TableGrid">
    <w:name w:val="Table Grid"/>
    <w:basedOn w:val="TableNormal"/>
    <w:uiPriority w:val="59"/>
    <w:rsid w:val="00C5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794E"/>
    <w:rPr>
      <w:rFonts w:ascii="Arial" w:eastAsia="Times New Roman" w:hAnsi="Arial" w:cs="Arial"/>
      <w:b/>
      <w:bCs/>
      <w:color w:val="FFFFFF" w:themeColor="background1"/>
      <w:kern w:val="28"/>
      <w:sz w:val="32"/>
      <w:szCs w:val="34"/>
      <w:lang w:eastAsia="en-AU"/>
    </w:rPr>
  </w:style>
  <w:style w:type="character" w:customStyle="1" w:styleId="Heading2Char">
    <w:name w:val="Heading 2 Char"/>
    <w:basedOn w:val="DefaultParagraphFont"/>
    <w:link w:val="Heading2"/>
    <w:rsid w:val="00A367A9"/>
    <w:rPr>
      <w:rFonts w:ascii="Arial Bold" w:eastAsiaTheme="majorEastAsia" w:hAnsi="Arial Bold" w:cstheme="majorBidi"/>
      <w:b/>
      <w:bCs/>
      <w:caps/>
      <w:sz w:val="28"/>
      <w:szCs w:val="26"/>
    </w:rPr>
  </w:style>
  <w:style w:type="character" w:customStyle="1" w:styleId="Heading3Char">
    <w:name w:val="Heading 3 Char"/>
    <w:basedOn w:val="DefaultParagraphFont"/>
    <w:link w:val="Heading3"/>
    <w:rsid w:val="00366D3E"/>
    <w:rPr>
      <w:rFonts w:ascii="Arial" w:eastAsiaTheme="majorEastAsia" w:hAnsi="Arial" w:cstheme="majorBidi"/>
      <w:b/>
      <w:bCs/>
    </w:rPr>
  </w:style>
  <w:style w:type="character" w:customStyle="1" w:styleId="Heading4Char">
    <w:name w:val="Heading 4 Char"/>
    <w:basedOn w:val="DefaultParagraphFont"/>
    <w:link w:val="Heading4"/>
    <w:rsid w:val="00A92BD7"/>
    <w:rPr>
      <w:rFonts w:ascii="Arial" w:eastAsiaTheme="majorEastAsia" w:hAnsi="Arial" w:cstheme="majorBidi"/>
      <w:b/>
      <w:bCs/>
      <w:iCs/>
      <w:sz w:val="20"/>
    </w:rPr>
  </w:style>
  <w:style w:type="paragraph" w:styleId="ListParagraph">
    <w:name w:val="List Paragraph"/>
    <w:aliases w:val="List Paragraph1,List Paragraph11,Recommendation,1 heading"/>
    <w:basedOn w:val="Normal"/>
    <w:link w:val="ListParagraphChar"/>
    <w:uiPriority w:val="34"/>
    <w:qFormat/>
    <w:rsid w:val="00617C10"/>
    <w:pPr>
      <w:spacing w:line="360" w:lineRule="auto"/>
      <w:contextualSpacing/>
    </w:pPr>
  </w:style>
  <w:style w:type="character" w:styleId="Hyperlink">
    <w:name w:val="Hyperlink"/>
    <w:basedOn w:val="DefaultParagraphFont"/>
    <w:unhideWhenUsed/>
    <w:rsid w:val="00926B6D"/>
    <w:rPr>
      <w:color w:val="0000FF" w:themeColor="hyperlink"/>
      <w:u w:val="none"/>
    </w:rPr>
  </w:style>
  <w:style w:type="paragraph" w:customStyle="1" w:styleId="HyperlinkACREAGEURL">
    <w:name w:val="Hyperlink ACREAGE URL"/>
    <w:basedOn w:val="Footer"/>
    <w:qFormat/>
    <w:rsid w:val="00926B6D"/>
    <w:rPr>
      <w:color w:val="A6A6A6" w:themeColor="background1" w:themeShade="A6"/>
      <w:sz w:val="20"/>
    </w:rPr>
  </w:style>
  <w:style w:type="character" w:customStyle="1" w:styleId="HyperlinkACREAGEURLcharacter">
    <w:name w:val="Hyperlink ACREAGE URL character"/>
    <w:basedOn w:val="Hyperlink"/>
    <w:uiPriority w:val="1"/>
    <w:qFormat/>
    <w:rsid w:val="00312B1F"/>
    <w:rPr>
      <w:color w:val="7F7F7F" w:themeColor="text1" w:themeTint="80"/>
      <w:sz w:val="20"/>
      <w:u w:val="none"/>
    </w:rPr>
  </w:style>
  <w:style w:type="character" w:styleId="FollowedHyperlink">
    <w:name w:val="FollowedHyperlink"/>
    <w:basedOn w:val="DefaultParagraphFont"/>
    <w:unhideWhenUsed/>
    <w:rsid w:val="00384740"/>
    <w:rPr>
      <w:color w:val="800080" w:themeColor="followedHyperlink"/>
      <w:u w:val="single"/>
    </w:rPr>
  </w:style>
  <w:style w:type="paragraph" w:styleId="CommentText">
    <w:name w:val="annotation text"/>
    <w:basedOn w:val="Normal"/>
    <w:link w:val="CommentTextChar"/>
    <w:rsid w:val="00783149"/>
    <w:pPr>
      <w:keepLines/>
      <w:suppressAutoHyphens/>
      <w:spacing w:before="40" w:after="160" w:line="312" w:lineRule="auto"/>
    </w:pPr>
    <w:rPr>
      <w:rFonts w:eastAsia="Times New Roman" w:cs="Arial"/>
      <w:color w:val="333333"/>
      <w:sz w:val="20"/>
      <w:szCs w:val="20"/>
      <w:lang w:eastAsia="en-AU"/>
    </w:rPr>
  </w:style>
  <w:style w:type="character" w:customStyle="1" w:styleId="CommentTextChar">
    <w:name w:val="Comment Text Char"/>
    <w:basedOn w:val="DefaultParagraphFont"/>
    <w:link w:val="CommentText"/>
    <w:rsid w:val="00783149"/>
    <w:rPr>
      <w:rFonts w:ascii="Arial" w:eastAsia="Times New Roman" w:hAnsi="Arial" w:cs="Arial"/>
      <w:color w:val="333333"/>
      <w:sz w:val="20"/>
      <w:szCs w:val="20"/>
      <w:lang w:eastAsia="en-AU"/>
    </w:rPr>
  </w:style>
  <w:style w:type="paragraph" w:styleId="FootnoteText">
    <w:name w:val="footnote text"/>
    <w:basedOn w:val="Normal"/>
    <w:link w:val="FootnoteTextChar"/>
    <w:semiHidden/>
    <w:rsid w:val="00783149"/>
    <w:pPr>
      <w:keepLines/>
      <w:suppressAutoHyphens/>
      <w:spacing w:before="40" w:after="160" w:line="312" w:lineRule="auto"/>
    </w:pPr>
    <w:rPr>
      <w:rFonts w:eastAsia="Times New Roman" w:cs="Arial"/>
      <w:color w:val="333333"/>
      <w:sz w:val="20"/>
      <w:szCs w:val="20"/>
      <w:lang w:eastAsia="en-AU"/>
    </w:rPr>
  </w:style>
  <w:style w:type="character" w:customStyle="1" w:styleId="FootnoteTextChar">
    <w:name w:val="Footnote Text Char"/>
    <w:basedOn w:val="DefaultParagraphFont"/>
    <w:link w:val="FootnoteText"/>
    <w:semiHidden/>
    <w:rsid w:val="00783149"/>
    <w:rPr>
      <w:rFonts w:ascii="Arial" w:eastAsia="Times New Roman" w:hAnsi="Arial" w:cs="Arial"/>
      <w:color w:val="333333"/>
      <w:sz w:val="20"/>
      <w:szCs w:val="20"/>
      <w:lang w:eastAsia="en-AU"/>
    </w:rPr>
  </w:style>
  <w:style w:type="character" w:styleId="CommentReference">
    <w:name w:val="annotation reference"/>
    <w:rsid w:val="00783149"/>
    <w:rPr>
      <w:sz w:val="16"/>
      <w:szCs w:val="16"/>
    </w:rPr>
  </w:style>
  <w:style w:type="character" w:styleId="FootnoteReference">
    <w:name w:val="footnote reference"/>
    <w:semiHidden/>
    <w:rsid w:val="00783149"/>
    <w:rPr>
      <w:vertAlign w:val="superscript"/>
    </w:rPr>
  </w:style>
  <w:style w:type="paragraph" w:styleId="NormalWeb">
    <w:name w:val="Normal (Web)"/>
    <w:basedOn w:val="Normal"/>
    <w:link w:val="NormalWebChar"/>
    <w:rsid w:val="00222138"/>
    <w:pPr>
      <w:keepLines/>
      <w:suppressAutoHyphens/>
      <w:spacing w:before="40" w:after="160" w:line="312" w:lineRule="auto"/>
    </w:pPr>
    <w:rPr>
      <w:rFonts w:ascii="Times New Roman" w:eastAsia="Times New Roman" w:hAnsi="Times New Roman" w:cs="Times New Roman"/>
      <w:color w:val="333333"/>
      <w:sz w:val="24"/>
      <w:szCs w:val="24"/>
      <w:lang w:eastAsia="en-AU"/>
    </w:rPr>
  </w:style>
  <w:style w:type="character" w:customStyle="1" w:styleId="NormalWebChar">
    <w:name w:val="Normal (Web) Char"/>
    <w:link w:val="NormalWeb"/>
    <w:rsid w:val="00222138"/>
    <w:rPr>
      <w:rFonts w:ascii="Times New Roman" w:eastAsia="Times New Roman" w:hAnsi="Times New Roman" w:cs="Times New Roman"/>
      <w:color w:val="333333"/>
      <w:sz w:val="24"/>
      <w:szCs w:val="24"/>
      <w:lang w:eastAsia="en-AU"/>
    </w:rPr>
  </w:style>
  <w:style w:type="paragraph" w:customStyle="1" w:styleId="Heading2-Template">
    <w:name w:val="Heading 2 - Template"/>
    <w:basedOn w:val="Normal"/>
    <w:rsid w:val="00222138"/>
    <w:pPr>
      <w:autoSpaceDE w:val="0"/>
      <w:autoSpaceDN w:val="0"/>
      <w:adjustRightInd w:val="0"/>
      <w:spacing w:after="0" w:line="240" w:lineRule="auto"/>
    </w:pPr>
    <w:rPr>
      <w:rFonts w:ascii="AvenirLTStd-Heavy" w:eastAsia="Times New Roman" w:hAnsi="AvenirLTStd-Heavy" w:cs="AvenirLTStd-Heavy"/>
      <w:color w:val="00819D"/>
      <w:sz w:val="24"/>
      <w:szCs w:val="24"/>
      <w:lang w:eastAsia="en-AU"/>
    </w:rPr>
  </w:style>
  <w:style w:type="character" w:customStyle="1" w:styleId="Heading6Char">
    <w:name w:val="Heading 6 Char"/>
    <w:basedOn w:val="DefaultParagraphFont"/>
    <w:link w:val="Heading6"/>
    <w:rsid w:val="00382AB0"/>
    <w:rPr>
      <w:rFonts w:asciiTheme="majorHAnsi" w:eastAsiaTheme="majorEastAsia" w:hAnsiTheme="majorHAnsi" w:cstheme="majorBidi"/>
      <w:i/>
      <w:iCs/>
      <w:color w:val="243F60" w:themeColor="accent1" w:themeShade="7F"/>
      <w:sz w:val="18"/>
    </w:rPr>
  </w:style>
  <w:style w:type="character" w:customStyle="1" w:styleId="Heading5Char">
    <w:name w:val="Heading 5 Char"/>
    <w:basedOn w:val="DefaultParagraphFont"/>
    <w:link w:val="Heading5"/>
    <w:rsid w:val="00074CB2"/>
    <w:rPr>
      <w:rFonts w:asciiTheme="majorHAnsi" w:eastAsiaTheme="majorEastAsia" w:hAnsiTheme="majorHAnsi" w:cstheme="majorBidi"/>
      <w:color w:val="243F60" w:themeColor="accent1" w:themeShade="7F"/>
      <w:sz w:val="18"/>
    </w:rPr>
  </w:style>
  <w:style w:type="character" w:customStyle="1" w:styleId="Heading7Char">
    <w:name w:val="Heading 7 Char"/>
    <w:basedOn w:val="DefaultParagraphFont"/>
    <w:link w:val="Heading7"/>
    <w:rsid w:val="00074CB2"/>
    <w:rPr>
      <w:rFonts w:ascii="Times New Roman" w:eastAsia="Times New Roman" w:hAnsi="Times New Roman" w:cs="Times New Roman"/>
      <w:color w:val="333333"/>
      <w:sz w:val="24"/>
      <w:szCs w:val="24"/>
      <w:lang w:eastAsia="en-AU"/>
    </w:rPr>
  </w:style>
  <w:style w:type="character" w:customStyle="1" w:styleId="Heading8Char">
    <w:name w:val="Heading 8 Char"/>
    <w:basedOn w:val="DefaultParagraphFont"/>
    <w:link w:val="Heading8"/>
    <w:rsid w:val="00074CB2"/>
    <w:rPr>
      <w:rFonts w:ascii="Times New Roman" w:eastAsia="Times New Roman" w:hAnsi="Times New Roman" w:cs="Times New Roman"/>
      <w:i/>
      <w:iCs/>
      <w:color w:val="333333"/>
      <w:sz w:val="24"/>
      <w:szCs w:val="24"/>
      <w:lang w:eastAsia="en-AU"/>
    </w:rPr>
  </w:style>
  <w:style w:type="character" w:customStyle="1" w:styleId="Heading9Char">
    <w:name w:val="Heading 9 Char"/>
    <w:basedOn w:val="DefaultParagraphFont"/>
    <w:link w:val="Heading9"/>
    <w:rsid w:val="00074CB2"/>
    <w:rPr>
      <w:rFonts w:ascii="Arial" w:eastAsia="Times New Roman" w:hAnsi="Arial" w:cs="Arial"/>
      <w:color w:val="333333"/>
      <w:lang w:eastAsia="en-AU"/>
    </w:rPr>
  </w:style>
  <w:style w:type="numbering" w:customStyle="1" w:styleId="NoList1">
    <w:name w:val="No List1"/>
    <w:next w:val="NoList"/>
    <w:semiHidden/>
    <w:rsid w:val="00074CB2"/>
  </w:style>
  <w:style w:type="paragraph" w:customStyle="1" w:styleId="Definition">
    <w:name w:val="Definition"/>
    <w:semiHidden/>
    <w:rsid w:val="00074CB2"/>
    <w:pPr>
      <w:spacing w:before="40" w:after="40" w:line="280" w:lineRule="atLeast"/>
    </w:pPr>
    <w:rPr>
      <w:rFonts w:ascii="Arial" w:eastAsia="Times New Roman" w:hAnsi="Arial" w:cs="Arial"/>
      <w:lang w:eastAsia="en-AU"/>
    </w:rPr>
  </w:style>
  <w:style w:type="character" w:styleId="PageNumber">
    <w:name w:val="page number"/>
    <w:basedOn w:val="DefaultParagraphFont"/>
    <w:rsid w:val="00074CB2"/>
    <w:rPr>
      <w:rFonts w:ascii="Myriad Pro" w:hAnsi="Myriad Pro"/>
    </w:rPr>
  </w:style>
  <w:style w:type="table" w:customStyle="1" w:styleId="TableGrid1">
    <w:name w:val="Table Grid1"/>
    <w:basedOn w:val="TableNormal"/>
    <w:next w:val="TableGrid"/>
    <w:rsid w:val="00074CB2"/>
    <w:pPr>
      <w:keepLines/>
      <w:suppressAutoHyphens/>
      <w:spacing w:before="120" w:after="100" w:afterAutospacing="1" w:line="240" w:lineRule="auto"/>
      <w:contextualSpacing/>
      <w:jc w:val="right"/>
    </w:pPr>
    <w:rPr>
      <w:rFonts w:ascii="Myriad Pro" w:eastAsia="Times New Roman" w:hAnsi="Myriad Pro" w:cs="Times New Roman"/>
      <w:color w:val="333333"/>
      <w:sz w:val="16"/>
      <w:szCs w:val="20"/>
      <w:lang w:eastAsia="en-AU"/>
    </w:rPr>
    <w:tblPr/>
    <w:tcPr>
      <w:shd w:val="clear" w:color="auto" w:fill="auto"/>
      <w:tcMar>
        <w:left w:w="57" w:type="dxa"/>
        <w:right w:w="57" w:type="dxa"/>
      </w:tcMar>
      <w:vAlign w:val="center"/>
    </w:tcPr>
  </w:style>
  <w:style w:type="numbering" w:customStyle="1" w:styleId="BulletTEXT">
    <w:name w:val="Bullet TEXT"/>
    <w:basedOn w:val="NoList"/>
    <w:rsid w:val="00074CB2"/>
    <w:pPr>
      <w:numPr>
        <w:numId w:val="1"/>
      </w:numPr>
    </w:pPr>
  </w:style>
  <w:style w:type="numbering" w:customStyle="1" w:styleId="numberedLIST">
    <w:name w:val="numbered LIST"/>
    <w:basedOn w:val="NoList"/>
    <w:rsid w:val="00074CB2"/>
    <w:pPr>
      <w:numPr>
        <w:numId w:val="2"/>
      </w:numPr>
    </w:pPr>
  </w:style>
  <w:style w:type="paragraph" w:customStyle="1" w:styleId="HEADING-ReleaseArea">
    <w:name w:val="HEADING - Release Area"/>
    <w:basedOn w:val="Heading1"/>
    <w:rsid w:val="00074CB2"/>
    <w:pPr>
      <w:spacing w:after="240" w:line="360" w:lineRule="auto"/>
    </w:pPr>
    <w:rPr>
      <w:b w:val="0"/>
      <w:color w:val="003366"/>
      <w:kern w:val="32"/>
      <w:szCs w:val="32"/>
    </w:rPr>
  </w:style>
  <w:style w:type="paragraph" w:customStyle="1" w:styleId="Wellname">
    <w:name w:val="Well name"/>
    <w:basedOn w:val="Heading3"/>
    <w:rsid w:val="00074CB2"/>
    <w:pPr>
      <w:suppressAutoHyphens/>
      <w:spacing w:after="60" w:line="312" w:lineRule="auto"/>
    </w:pPr>
    <w:rPr>
      <w:rFonts w:eastAsia="Times New Roman" w:cs="Arial"/>
      <w:caps/>
      <w:smallCaps/>
      <w:color w:val="003366"/>
      <w:sz w:val="28"/>
      <w:szCs w:val="28"/>
      <w:lang w:val="it-IT" w:eastAsia="en-AU"/>
    </w:rPr>
  </w:style>
  <w:style w:type="table" w:customStyle="1" w:styleId="PSESTable">
    <w:name w:val="PSES Table"/>
    <w:basedOn w:val="TableNormal"/>
    <w:rsid w:val="00074CB2"/>
    <w:pPr>
      <w:spacing w:after="0" w:line="240" w:lineRule="auto"/>
    </w:pPr>
    <w:rPr>
      <w:rFonts w:ascii="Arial" w:eastAsia="Times New Roman" w:hAnsi="Arial" w:cs="Times New Roman"/>
      <w:color w:val="333333"/>
      <w:sz w:val="20"/>
      <w:szCs w:val="20"/>
      <w:lang w:eastAsia="en-AU"/>
    </w:rPr>
    <w:tblPr>
      <w:tblInd w:w="57" w:type="dxa"/>
    </w:tblPr>
  </w:style>
  <w:style w:type="table" w:customStyle="1" w:styleId="FiguresTableStyle">
    <w:name w:val="Figures Table Style"/>
    <w:basedOn w:val="PSESTable"/>
    <w:rsid w:val="00074CB2"/>
    <w:tblPr/>
  </w:style>
  <w:style w:type="paragraph" w:customStyle="1" w:styleId="Figurecaptionstyle">
    <w:name w:val="Figure caption style"/>
    <w:basedOn w:val="Normal"/>
    <w:rsid w:val="00074CB2"/>
    <w:pPr>
      <w:keepLines/>
      <w:suppressAutoHyphens/>
      <w:spacing w:before="40" w:after="160" w:line="312" w:lineRule="auto"/>
    </w:pPr>
    <w:rPr>
      <w:rFonts w:eastAsia="Times New Roman" w:cs="Arial"/>
      <w:color w:val="333333"/>
      <w:sz w:val="17"/>
      <w:lang w:eastAsia="en-AU"/>
    </w:rPr>
  </w:style>
  <w:style w:type="paragraph" w:styleId="BlockText">
    <w:name w:val="Block Text"/>
    <w:basedOn w:val="Normal"/>
    <w:rsid w:val="00074CB2"/>
    <w:pPr>
      <w:keepLines/>
      <w:suppressAutoHyphens/>
      <w:spacing w:before="40" w:after="120" w:line="312" w:lineRule="auto"/>
      <w:ind w:left="1440" w:right="1440"/>
    </w:pPr>
    <w:rPr>
      <w:rFonts w:eastAsia="Times New Roman" w:cs="Arial"/>
      <w:color w:val="333333"/>
      <w:sz w:val="17"/>
      <w:lang w:eastAsia="en-AU"/>
    </w:rPr>
  </w:style>
  <w:style w:type="paragraph" w:styleId="BodyText">
    <w:name w:val="Body Text"/>
    <w:basedOn w:val="Normal"/>
    <w:link w:val="BodyTextChar"/>
    <w:rsid w:val="00074CB2"/>
    <w:pPr>
      <w:keepLines/>
      <w:suppressAutoHyphens/>
      <w:spacing w:before="40" w:after="120" w:line="312" w:lineRule="auto"/>
    </w:pPr>
    <w:rPr>
      <w:rFonts w:eastAsia="Times New Roman" w:cs="Arial"/>
      <w:color w:val="333333"/>
      <w:sz w:val="17"/>
      <w:lang w:eastAsia="en-AU"/>
    </w:rPr>
  </w:style>
  <w:style w:type="character" w:customStyle="1" w:styleId="BodyTextChar">
    <w:name w:val="Body Text Char"/>
    <w:basedOn w:val="DefaultParagraphFont"/>
    <w:link w:val="BodyText"/>
    <w:rsid w:val="00074CB2"/>
    <w:rPr>
      <w:rFonts w:ascii="Arial" w:eastAsia="Times New Roman" w:hAnsi="Arial" w:cs="Arial"/>
      <w:color w:val="333333"/>
      <w:sz w:val="17"/>
      <w:lang w:eastAsia="en-AU"/>
    </w:rPr>
  </w:style>
  <w:style w:type="paragraph" w:styleId="BodyText2">
    <w:name w:val="Body Text 2"/>
    <w:basedOn w:val="Normal"/>
    <w:link w:val="BodyText2Char"/>
    <w:rsid w:val="00074CB2"/>
    <w:pPr>
      <w:keepLines/>
      <w:suppressAutoHyphens/>
      <w:spacing w:before="40" w:after="120" w:line="480" w:lineRule="auto"/>
    </w:pPr>
    <w:rPr>
      <w:rFonts w:eastAsia="Times New Roman" w:cs="Arial"/>
      <w:color w:val="333333"/>
      <w:sz w:val="17"/>
      <w:lang w:eastAsia="en-AU"/>
    </w:rPr>
  </w:style>
  <w:style w:type="character" w:customStyle="1" w:styleId="BodyText2Char">
    <w:name w:val="Body Text 2 Char"/>
    <w:basedOn w:val="DefaultParagraphFont"/>
    <w:link w:val="BodyText2"/>
    <w:rsid w:val="00074CB2"/>
    <w:rPr>
      <w:rFonts w:ascii="Arial" w:eastAsia="Times New Roman" w:hAnsi="Arial" w:cs="Arial"/>
      <w:color w:val="333333"/>
      <w:sz w:val="17"/>
      <w:lang w:eastAsia="en-AU"/>
    </w:rPr>
  </w:style>
  <w:style w:type="paragraph" w:styleId="BodyText3">
    <w:name w:val="Body Text 3"/>
    <w:basedOn w:val="Normal"/>
    <w:link w:val="BodyText3Char"/>
    <w:rsid w:val="00074CB2"/>
    <w:pPr>
      <w:keepLines/>
      <w:suppressAutoHyphens/>
      <w:spacing w:before="40" w:after="120" w:line="312" w:lineRule="auto"/>
    </w:pPr>
    <w:rPr>
      <w:rFonts w:eastAsia="Times New Roman" w:cs="Arial"/>
      <w:color w:val="333333"/>
      <w:sz w:val="16"/>
      <w:szCs w:val="16"/>
      <w:lang w:eastAsia="en-AU"/>
    </w:rPr>
  </w:style>
  <w:style w:type="character" w:customStyle="1" w:styleId="BodyText3Char">
    <w:name w:val="Body Text 3 Char"/>
    <w:basedOn w:val="DefaultParagraphFont"/>
    <w:link w:val="BodyText3"/>
    <w:rsid w:val="00074CB2"/>
    <w:rPr>
      <w:rFonts w:ascii="Arial" w:eastAsia="Times New Roman" w:hAnsi="Arial" w:cs="Arial"/>
      <w:color w:val="333333"/>
      <w:sz w:val="16"/>
      <w:szCs w:val="16"/>
      <w:lang w:eastAsia="en-AU"/>
    </w:rPr>
  </w:style>
  <w:style w:type="paragraph" w:styleId="BodyTextFirstIndent">
    <w:name w:val="Body Text First Indent"/>
    <w:basedOn w:val="BodyText"/>
    <w:link w:val="BodyTextFirstIndentChar"/>
    <w:rsid w:val="00074CB2"/>
    <w:pPr>
      <w:ind w:firstLine="210"/>
    </w:pPr>
  </w:style>
  <w:style w:type="character" w:customStyle="1" w:styleId="BodyTextFirstIndentChar">
    <w:name w:val="Body Text First Indent Char"/>
    <w:basedOn w:val="BodyTextChar"/>
    <w:link w:val="BodyTextFirstIndent"/>
    <w:rsid w:val="00074CB2"/>
    <w:rPr>
      <w:rFonts w:ascii="Arial" w:eastAsia="Times New Roman" w:hAnsi="Arial" w:cs="Arial"/>
      <w:color w:val="333333"/>
      <w:sz w:val="17"/>
      <w:lang w:eastAsia="en-AU"/>
    </w:rPr>
  </w:style>
  <w:style w:type="paragraph" w:styleId="BodyTextIndent">
    <w:name w:val="Body Text Indent"/>
    <w:basedOn w:val="Normal"/>
    <w:link w:val="BodyTextIndentChar"/>
    <w:rsid w:val="00074CB2"/>
    <w:pPr>
      <w:keepLines/>
      <w:suppressAutoHyphens/>
      <w:spacing w:before="40" w:after="120" w:line="312" w:lineRule="auto"/>
      <w:ind w:left="283"/>
    </w:pPr>
    <w:rPr>
      <w:rFonts w:eastAsia="Times New Roman" w:cs="Arial"/>
      <w:color w:val="333333"/>
      <w:sz w:val="17"/>
      <w:lang w:eastAsia="en-AU"/>
    </w:rPr>
  </w:style>
  <w:style w:type="character" w:customStyle="1" w:styleId="BodyTextIndentChar">
    <w:name w:val="Body Text Indent Char"/>
    <w:basedOn w:val="DefaultParagraphFont"/>
    <w:link w:val="BodyTextIndent"/>
    <w:rsid w:val="00074CB2"/>
    <w:rPr>
      <w:rFonts w:ascii="Arial" w:eastAsia="Times New Roman" w:hAnsi="Arial" w:cs="Arial"/>
      <w:color w:val="333333"/>
      <w:sz w:val="17"/>
      <w:lang w:eastAsia="en-AU"/>
    </w:rPr>
  </w:style>
  <w:style w:type="paragraph" w:styleId="BodyTextFirstIndent2">
    <w:name w:val="Body Text First Indent 2"/>
    <w:basedOn w:val="BodyTextIndent"/>
    <w:link w:val="BodyTextFirstIndent2Char"/>
    <w:rsid w:val="00074CB2"/>
    <w:pPr>
      <w:ind w:firstLine="210"/>
    </w:pPr>
  </w:style>
  <w:style w:type="character" w:customStyle="1" w:styleId="BodyTextFirstIndent2Char">
    <w:name w:val="Body Text First Indent 2 Char"/>
    <w:basedOn w:val="BodyTextIndentChar"/>
    <w:link w:val="BodyTextFirstIndent2"/>
    <w:rsid w:val="00074CB2"/>
    <w:rPr>
      <w:rFonts w:ascii="Arial" w:eastAsia="Times New Roman" w:hAnsi="Arial" w:cs="Arial"/>
      <w:color w:val="333333"/>
      <w:sz w:val="17"/>
      <w:lang w:eastAsia="en-AU"/>
    </w:rPr>
  </w:style>
  <w:style w:type="paragraph" w:styleId="BodyTextIndent2">
    <w:name w:val="Body Text Indent 2"/>
    <w:basedOn w:val="Normal"/>
    <w:link w:val="BodyTextIndent2Char"/>
    <w:rsid w:val="00074CB2"/>
    <w:pPr>
      <w:keepLines/>
      <w:suppressAutoHyphens/>
      <w:spacing w:before="40" w:after="120" w:line="480" w:lineRule="auto"/>
      <w:ind w:left="283"/>
    </w:pPr>
    <w:rPr>
      <w:rFonts w:eastAsia="Times New Roman" w:cs="Arial"/>
      <w:color w:val="333333"/>
      <w:sz w:val="17"/>
      <w:lang w:eastAsia="en-AU"/>
    </w:rPr>
  </w:style>
  <w:style w:type="character" w:customStyle="1" w:styleId="BodyTextIndent2Char">
    <w:name w:val="Body Text Indent 2 Char"/>
    <w:basedOn w:val="DefaultParagraphFont"/>
    <w:link w:val="BodyTextIndent2"/>
    <w:rsid w:val="00074CB2"/>
    <w:rPr>
      <w:rFonts w:ascii="Arial" w:eastAsia="Times New Roman" w:hAnsi="Arial" w:cs="Arial"/>
      <w:color w:val="333333"/>
      <w:sz w:val="17"/>
      <w:lang w:eastAsia="en-AU"/>
    </w:rPr>
  </w:style>
  <w:style w:type="paragraph" w:styleId="BodyTextIndent3">
    <w:name w:val="Body Text Indent 3"/>
    <w:basedOn w:val="Normal"/>
    <w:link w:val="BodyTextIndent3Char"/>
    <w:rsid w:val="00074CB2"/>
    <w:pPr>
      <w:keepLines/>
      <w:suppressAutoHyphens/>
      <w:spacing w:before="40" w:after="120" w:line="312" w:lineRule="auto"/>
      <w:ind w:left="283"/>
    </w:pPr>
    <w:rPr>
      <w:rFonts w:eastAsia="Times New Roman" w:cs="Arial"/>
      <w:color w:val="333333"/>
      <w:sz w:val="16"/>
      <w:szCs w:val="16"/>
      <w:lang w:eastAsia="en-AU"/>
    </w:rPr>
  </w:style>
  <w:style w:type="character" w:customStyle="1" w:styleId="BodyTextIndent3Char">
    <w:name w:val="Body Text Indent 3 Char"/>
    <w:basedOn w:val="DefaultParagraphFont"/>
    <w:link w:val="BodyTextIndent3"/>
    <w:rsid w:val="00074CB2"/>
    <w:rPr>
      <w:rFonts w:ascii="Arial" w:eastAsia="Times New Roman" w:hAnsi="Arial" w:cs="Arial"/>
      <w:color w:val="333333"/>
      <w:sz w:val="16"/>
      <w:szCs w:val="16"/>
      <w:lang w:eastAsia="en-AU"/>
    </w:rPr>
  </w:style>
  <w:style w:type="paragraph" w:styleId="Caption">
    <w:name w:val="caption"/>
    <w:basedOn w:val="Normal"/>
    <w:next w:val="Normal"/>
    <w:qFormat/>
    <w:rsid w:val="00074CB2"/>
    <w:pPr>
      <w:keepLines/>
      <w:suppressAutoHyphens/>
      <w:spacing w:before="120" w:after="120" w:line="312" w:lineRule="auto"/>
    </w:pPr>
    <w:rPr>
      <w:rFonts w:eastAsia="Times New Roman" w:cs="Arial"/>
      <w:b/>
      <w:bCs/>
      <w:color w:val="333333"/>
      <w:sz w:val="20"/>
      <w:szCs w:val="20"/>
      <w:lang w:eastAsia="en-AU"/>
    </w:rPr>
  </w:style>
  <w:style w:type="paragraph" w:styleId="Closing">
    <w:name w:val="Closing"/>
    <w:basedOn w:val="Normal"/>
    <w:link w:val="ClosingChar"/>
    <w:rsid w:val="00074CB2"/>
    <w:pPr>
      <w:keepLines/>
      <w:suppressAutoHyphens/>
      <w:spacing w:before="40" w:after="160" w:line="312" w:lineRule="auto"/>
      <w:ind w:left="4252"/>
    </w:pPr>
    <w:rPr>
      <w:rFonts w:eastAsia="Times New Roman" w:cs="Arial"/>
      <w:color w:val="333333"/>
      <w:sz w:val="17"/>
      <w:lang w:eastAsia="en-AU"/>
    </w:rPr>
  </w:style>
  <w:style w:type="character" w:customStyle="1" w:styleId="ClosingChar">
    <w:name w:val="Closing Char"/>
    <w:basedOn w:val="DefaultParagraphFont"/>
    <w:link w:val="Closing"/>
    <w:rsid w:val="00074CB2"/>
    <w:rPr>
      <w:rFonts w:ascii="Arial" w:eastAsia="Times New Roman" w:hAnsi="Arial" w:cs="Arial"/>
      <w:color w:val="333333"/>
      <w:sz w:val="17"/>
      <w:lang w:eastAsia="en-AU"/>
    </w:rPr>
  </w:style>
  <w:style w:type="paragraph" w:styleId="CommentSubject">
    <w:name w:val="annotation subject"/>
    <w:basedOn w:val="CommentText"/>
    <w:next w:val="CommentText"/>
    <w:link w:val="CommentSubjectChar"/>
    <w:semiHidden/>
    <w:rsid w:val="00074CB2"/>
    <w:rPr>
      <w:b/>
      <w:bCs/>
    </w:rPr>
  </w:style>
  <w:style w:type="character" w:customStyle="1" w:styleId="CommentSubjectChar">
    <w:name w:val="Comment Subject Char"/>
    <w:basedOn w:val="CommentTextChar"/>
    <w:link w:val="CommentSubject"/>
    <w:semiHidden/>
    <w:rsid w:val="00074CB2"/>
    <w:rPr>
      <w:rFonts w:ascii="Arial" w:eastAsia="Times New Roman" w:hAnsi="Arial" w:cs="Arial"/>
      <w:b/>
      <w:bCs/>
      <w:color w:val="333333"/>
      <w:sz w:val="20"/>
      <w:szCs w:val="20"/>
      <w:lang w:eastAsia="en-AU"/>
    </w:rPr>
  </w:style>
  <w:style w:type="paragraph" w:styleId="Date">
    <w:name w:val="Date"/>
    <w:basedOn w:val="Normal"/>
    <w:next w:val="Normal"/>
    <w:link w:val="DateChar"/>
    <w:rsid w:val="00074CB2"/>
    <w:pPr>
      <w:keepLines/>
      <w:suppressAutoHyphens/>
      <w:spacing w:before="40" w:after="160" w:line="312" w:lineRule="auto"/>
    </w:pPr>
    <w:rPr>
      <w:rFonts w:eastAsia="Times New Roman" w:cs="Arial"/>
      <w:color w:val="333333"/>
      <w:sz w:val="17"/>
      <w:lang w:eastAsia="en-AU"/>
    </w:rPr>
  </w:style>
  <w:style w:type="character" w:customStyle="1" w:styleId="DateChar">
    <w:name w:val="Date Char"/>
    <w:basedOn w:val="DefaultParagraphFont"/>
    <w:link w:val="Date"/>
    <w:rsid w:val="00074CB2"/>
    <w:rPr>
      <w:rFonts w:ascii="Arial" w:eastAsia="Times New Roman" w:hAnsi="Arial" w:cs="Arial"/>
      <w:color w:val="333333"/>
      <w:sz w:val="17"/>
      <w:lang w:eastAsia="en-AU"/>
    </w:rPr>
  </w:style>
  <w:style w:type="paragraph" w:styleId="DocumentMap">
    <w:name w:val="Document Map"/>
    <w:basedOn w:val="Normal"/>
    <w:link w:val="DocumentMapChar"/>
    <w:semiHidden/>
    <w:rsid w:val="00074CB2"/>
    <w:pPr>
      <w:keepLines/>
      <w:shd w:val="clear" w:color="auto" w:fill="000080"/>
      <w:suppressAutoHyphens/>
      <w:spacing w:before="40" w:after="160" w:line="312" w:lineRule="auto"/>
    </w:pPr>
    <w:rPr>
      <w:rFonts w:ascii="Tahoma" w:eastAsia="Times New Roman" w:hAnsi="Tahoma" w:cs="Tahoma"/>
      <w:color w:val="333333"/>
      <w:sz w:val="17"/>
      <w:lang w:eastAsia="en-AU"/>
    </w:rPr>
  </w:style>
  <w:style w:type="character" w:customStyle="1" w:styleId="DocumentMapChar">
    <w:name w:val="Document Map Char"/>
    <w:basedOn w:val="DefaultParagraphFont"/>
    <w:link w:val="DocumentMap"/>
    <w:semiHidden/>
    <w:rsid w:val="00074CB2"/>
    <w:rPr>
      <w:rFonts w:ascii="Tahoma" w:eastAsia="Times New Roman" w:hAnsi="Tahoma" w:cs="Tahoma"/>
      <w:color w:val="333333"/>
      <w:sz w:val="17"/>
      <w:shd w:val="clear" w:color="auto" w:fill="000080"/>
      <w:lang w:eastAsia="en-AU"/>
    </w:rPr>
  </w:style>
  <w:style w:type="paragraph" w:styleId="E-mailSignature">
    <w:name w:val="E-mail Signature"/>
    <w:basedOn w:val="Normal"/>
    <w:link w:val="E-mailSignatureChar"/>
    <w:rsid w:val="00074CB2"/>
    <w:pPr>
      <w:keepLines/>
      <w:suppressAutoHyphens/>
      <w:spacing w:before="40" w:after="160" w:line="312" w:lineRule="auto"/>
    </w:pPr>
    <w:rPr>
      <w:rFonts w:eastAsia="Times New Roman" w:cs="Arial"/>
      <w:color w:val="333333"/>
      <w:sz w:val="17"/>
      <w:lang w:eastAsia="en-AU"/>
    </w:rPr>
  </w:style>
  <w:style w:type="character" w:customStyle="1" w:styleId="E-mailSignatureChar">
    <w:name w:val="E-mail Signature Char"/>
    <w:basedOn w:val="DefaultParagraphFont"/>
    <w:link w:val="E-mailSignature"/>
    <w:rsid w:val="00074CB2"/>
    <w:rPr>
      <w:rFonts w:ascii="Arial" w:eastAsia="Times New Roman" w:hAnsi="Arial" w:cs="Arial"/>
      <w:color w:val="333333"/>
      <w:sz w:val="17"/>
      <w:lang w:eastAsia="en-AU"/>
    </w:rPr>
  </w:style>
  <w:style w:type="paragraph" w:styleId="EndnoteText">
    <w:name w:val="endnote text"/>
    <w:basedOn w:val="Normal"/>
    <w:link w:val="EndnoteTextChar"/>
    <w:semiHidden/>
    <w:rsid w:val="00074CB2"/>
    <w:pPr>
      <w:keepLines/>
      <w:suppressAutoHyphens/>
      <w:spacing w:before="40" w:after="160" w:line="312" w:lineRule="auto"/>
    </w:pPr>
    <w:rPr>
      <w:rFonts w:eastAsia="Times New Roman" w:cs="Arial"/>
      <w:color w:val="333333"/>
      <w:sz w:val="20"/>
      <w:szCs w:val="20"/>
      <w:lang w:eastAsia="en-AU"/>
    </w:rPr>
  </w:style>
  <w:style w:type="character" w:customStyle="1" w:styleId="EndnoteTextChar">
    <w:name w:val="Endnote Text Char"/>
    <w:basedOn w:val="DefaultParagraphFont"/>
    <w:link w:val="EndnoteText"/>
    <w:semiHidden/>
    <w:rsid w:val="00074CB2"/>
    <w:rPr>
      <w:rFonts w:ascii="Arial" w:eastAsia="Times New Roman" w:hAnsi="Arial" w:cs="Arial"/>
      <w:color w:val="333333"/>
      <w:sz w:val="20"/>
      <w:szCs w:val="20"/>
      <w:lang w:eastAsia="en-AU"/>
    </w:rPr>
  </w:style>
  <w:style w:type="paragraph" w:styleId="EnvelopeAddress">
    <w:name w:val="envelope address"/>
    <w:basedOn w:val="Normal"/>
    <w:rsid w:val="00074CB2"/>
    <w:pPr>
      <w:keepLines/>
      <w:framePr w:w="7920" w:h="1980" w:hRule="exact" w:hSpace="180" w:wrap="auto" w:hAnchor="page" w:xAlign="center" w:yAlign="bottom"/>
      <w:suppressAutoHyphens/>
      <w:spacing w:before="40" w:after="160" w:line="312" w:lineRule="auto"/>
      <w:ind w:left="2880"/>
    </w:pPr>
    <w:rPr>
      <w:rFonts w:eastAsia="Times New Roman" w:cs="Arial"/>
      <w:color w:val="333333"/>
      <w:sz w:val="24"/>
      <w:szCs w:val="24"/>
      <w:lang w:eastAsia="en-AU"/>
    </w:rPr>
  </w:style>
  <w:style w:type="paragraph" w:styleId="EnvelopeReturn">
    <w:name w:val="envelope return"/>
    <w:basedOn w:val="Normal"/>
    <w:rsid w:val="00074CB2"/>
    <w:pPr>
      <w:keepLines/>
      <w:suppressAutoHyphens/>
      <w:spacing w:before="40" w:after="160" w:line="312" w:lineRule="auto"/>
    </w:pPr>
    <w:rPr>
      <w:rFonts w:eastAsia="Times New Roman" w:cs="Arial"/>
      <w:color w:val="333333"/>
      <w:sz w:val="20"/>
      <w:szCs w:val="20"/>
      <w:lang w:eastAsia="en-AU"/>
    </w:rPr>
  </w:style>
  <w:style w:type="paragraph" w:styleId="HTMLAddress">
    <w:name w:val="HTML Address"/>
    <w:basedOn w:val="Normal"/>
    <w:link w:val="HTMLAddressChar"/>
    <w:rsid w:val="00074CB2"/>
    <w:pPr>
      <w:keepLines/>
      <w:suppressAutoHyphens/>
      <w:spacing w:before="40" w:after="160" w:line="312" w:lineRule="auto"/>
    </w:pPr>
    <w:rPr>
      <w:rFonts w:eastAsia="Times New Roman" w:cs="Arial"/>
      <w:i/>
      <w:iCs/>
      <w:color w:val="333333"/>
      <w:sz w:val="17"/>
      <w:lang w:eastAsia="en-AU"/>
    </w:rPr>
  </w:style>
  <w:style w:type="character" w:customStyle="1" w:styleId="HTMLAddressChar">
    <w:name w:val="HTML Address Char"/>
    <w:basedOn w:val="DefaultParagraphFont"/>
    <w:link w:val="HTMLAddress"/>
    <w:rsid w:val="00074CB2"/>
    <w:rPr>
      <w:rFonts w:ascii="Arial" w:eastAsia="Times New Roman" w:hAnsi="Arial" w:cs="Arial"/>
      <w:i/>
      <w:iCs/>
      <w:color w:val="333333"/>
      <w:sz w:val="17"/>
      <w:lang w:eastAsia="en-AU"/>
    </w:rPr>
  </w:style>
  <w:style w:type="paragraph" w:styleId="HTMLPreformatted">
    <w:name w:val="HTML Preformatted"/>
    <w:basedOn w:val="Normal"/>
    <w:link w:val="HTMLPreformattedChar"/>
    <w:rsid w:val="00074CB2"/>
    <w:pPr>
      <w:keepLines/>
      <w:suppressAutoHyphens/>
      <w:spacing w:before="40" w:after="160" w:line="312" w:lineRule="auto"/>
    </w:pPr>
    <w:rPr>
      <w:rFonts w:ascii="Courier New" w:eastAsia="Times New Roman" w:hAnsi="Courier New" w:cs="Courier New"/>
      <w:color w:val="333333"/>
      <w:sz w:val="20"/>
      <w:szCs w:val="20"/>
      <w:lang w:eastAsia="en-AU"/>
    </w:rPr>
  </w:style>
  <w:style w:type="character" w:customStyle="1" w:styleId="HTMLPreformattedChar">
    <w:name w:val="HTML Preformatted Char"/>
    <w:basedOn w:val="DefaultParagraphFont"/>
    <w:link w:val="HTMLPreformatted"/>
    <w:rsid w:val="00074CB2"/>
    <w:rPr>
      <w:rFonts w:ascii="Courier New" w:eastAsia="Times New Roman" w:hAnsi="Courier New" w:cs="Courier New"/>
      <w:color w:val="333333"/>
      <w:sz w:val="20"/>
      <w:szCs w:val="20"/>
      <w:lang w:eastAsia="en-AU"/>
    </w:rPr>
  </w:style>
  <w:style w:type="paragraph" w:styleId="Index1">
    <w:name w:val="index 1"/>
    <w:basedOn w:val="Normal"/>
    <w:next w:val="Normal"/>
    <w:autoRedefine/>
    <w:semiHidden/>
    <w:rsid w:val="00074CB2"/>
    <w:pPr>
      <w:keepLines/>
      <w:suppressAutoHyphens/>
      <w:spacing w:before="40" w:after="160" w:line="312" w:lineRule="auto"/>
      <w:ind w:left="180" w:hanging="180"/>
    </w:pPr>
    <w:rPr>
      <w:rFonts w:eastAsia="Times New Roman" w:cs="Arial"/>
      <w:color w:val="333333"/>
      <w:sz w:val="17"/>
      <w:lang w:eastAsia="en-AU"/>
    </w:rPr>
  </w:style>
  <w:style w:type="paragraph" w:styleId="Index2">
    <w:name w:val="index 2"/>
    <w:basedOn w:val="Normal"/>
    <w:next w:val="Normal"/>
    <w:autoRedefine/>
    <w:semiHidden/>
    <w:rsid w:val="00074CB2"/>
    <w:pPr>
      <w:keepLines/>
      <w:suppressAutoHyphens/>
      <w:spacing w:before="40" w:after="160" w:line="312" w:lineRule="auto"/>
      <w:ind w:left="360" w:hanging="180"/>
    </w:pPr>
    <w:rPr>
      <w:rFonts w:eastAsia="Times New Roman" w:cs="Arial"/>
      <w:color w:val="333333"/>
      <w:sz w:val="17"/>
      <w:lang w:eastAsia="en-AU"/>
    </w:rPr>
  </w:style>
  <w:style w:type="paragraph" w:styleId="Index3">
    <w:name w:val="index 3"/>
    <w:basedOn w:val="Normal"/>
    <w:next w:val="Normal"/>
    <w:autoRedefine/>
    <w:semiHidden/>
    <w:rsid w:val="00074CB2"/>
    <w:pPr>
      <w:keepLines/>
      <w:suppressAutoHyphens/>
      <w:spacing w:before="40" w:after="160" w:line="312" w:lineRule="auto"/>
      <w:ind w:left="540" w:hanging="180"/>
    </w:pPr>
    <w:rPr>
      <w:rFonts w:eastAsia="Times New Roman" w:cs="Arial"/>
      <w:color w:val="333333"/>
      <w:sz w:val="17"/>
      <w:lang w:eastAsia="en-AU"/>
    </w:rPr>
  </w:style>
  <w:style w:type="paragraph" w:styleId="Index4">
    <w:name w:val="index 4"/>
    <w:basedOn w:val="Normal"/>
    <w:next w:val="Normal"/>
    <w:autoRedefine/>
    <w:semiHidden/>
    <w:rsid w:val="00074CB2"/>
    <w:pPr>
      <w:keepLines/>
      <w:suppressAutoHyphens/>
      <w:spacing w:before="40" w:after="160" w:line="312" w:lineRule="auto"/>
      <w:ind w:left="720" w:hanging="180"/>
    </w:pPr>
    <w:rPr>
      <w:rFonts w:eastAsia="Times New Roman" w:cs="Arial"/>
      <w:color w:val="333333"/>
      <w:sz w:val="17"/>
      <w:lang w:eastAsia="en-AU"/>
    </w:rPr>
  </w:style>
  <w:style w:type="paragraph" w:styleId="Index5">
    <w:name w:val="index 5"/>
    <w:basedOn w:val="Normal"/>
    <w:next w:val="Normal"/>
    <w:autoRedefine/>
    <w:semiHidden/>
    <w:rsid w:val="00074CB2"/>
    <w:pPr>
      <w:keepLines/>
      <w:suppressAutoHyphens/>
      <w:spacing w:before="40" w:after="160" w:line="312" w:lineRule="auto"/>
      <w:ind w:left="900" w:hanging="180"/>
    </w:pPr>
    <w:rPr>
      <w:rFonts w:eastAsia="Times New Roman" w:cs="Arial"/>
      <w:color w:val="333333"/>
      <w:sz w:val="17"/>
      <w:lang w:eastAsia="en-AU"/>
    </w:rPr>
  </w:style>
  <w:style w:type="paragraph" w:styleId="Index6">
    <w:name w:val="index 6"/>
    <w:basedOn w:val="Normal"/>
    <w:next w:val="Normal"/>
    <w:autoRedefine/>
    <w:semiHidden/>
    <w:rsid w:val="00074CB2"/>
    <w:pPr>
      <w:keepLines/>
      <w:suppressAutoHyphens/>
      <w:spacing w:before="40" w:after="160" w:line="312" w:lineRule="auto"/>
      <w:ind w:left="1080" w:hanging="180"/>
    </w:pPr>
    <w:rPr>
      <w:rFonts w:eastAsia="Times New Roman" w:cs="Arial"/>
      <w:color w:val="333333"/>
      <w:sz w:val="17"/>
      <w:lang w:eastAsia="en-AU"/>
    </w:rPr>
  </w:style>
  <w:style w:type="paragraph" w:styleId="Index7">
    <w:name w:val="index 7"/>
    <w:basedOn w:val="Normal"/>
    <w:next w:val="Normal"/>
    <w:autoRedefine/>
    <w:semiHidden/>
    <w:rsid w:val="00074CB2"/>
    <w:pPr>
      <w:keepLines/>
      <w:suppressAutoHyphens/>
      <w:spacing w:before="40" w:after="160" w:line="312" w:lineRule="auto"/>
      <w:ind w:left="1260" w:hanging="180"/>
    </w:pPr>
    <w:rPr>
      <w:rFonts w:eastAsia="Times New Roman" w:cs="Arial"/>
      <w:color w:val="333333"/>
      <w:sz w:val="17"/>
      <w:lang w:eastAsia="en-AU"/>
    </w:rPr>
  </w:style>
  <w:style w:type="paragraph" w:styleId="Index8">
    <w:name w:val="index 8"/>
    <w:basedOn w:val="Normal"/>
    <w:next w:val="Normal"/>
    <w:autoRedefine/>
    <w:semiHidden/>
    <w:rsid w:val="00074CB2"/>
    <w:pPr>
      <w:keepLines/>
      <w:suppressAutoHyphens/>
      <w:spacing w:before="40" w:after="160" w:line="312" w:lineRule="auto"/>
      <w:ind w:left="1440" w:hanging="180"/>
    </w:pPr>
    <w:rPr>
      <w:rFonts w:eastAsia="Times New Roman" w:cs="Arial"/>
      <w:color w:val="333333"/>
      <w:sz w:val="17"/>
      <w:lang w:eastAsia="en-AU"/>
    </w:rPr>
  </w:style>
  <w:style w:type="paragraph" w:styleId="Index9">
    <w:name w:val="index 9"/>
    <w:basedOn w:val="Normal"/>
    <w:next w:val="Normal"/>
    <w:autoRedefine/>
    <w:semiHidden/>
    <w:rsid w:val="00074CB2"/>
    <w:pPr>
      <w:keepLines/>
      <w:suppressAutoHyphens/>
      <w:spacing w:before="40" w:after="160" w:line="312" w:lineRule="auto"/>
      <w:ind w:left="1620" w:hanging="180"/>
    </w:pPr>
    <w:rPr>
      <w:rFonts w:eastAsia="Times New Roman" w:cs="Arial"/>
      <w:color w:val="333333"/>
      <w:sz w:val="17"/>
      <w:lang w:eastAsia="en-AU"/>
    </w:rPr>
  </w:style>
  <w:style w:type="paragraph" w:styleId="IndexHeading">
    <w:name w:val="index heading"/>
    <w:basedOn w:val="Normal"/>
    <w:next w:val="Index1"/>
    <w:semiHidden/>
    <w:rsid w:val="00074CB2"/>
    <w:pPr>
      <w:keepLines/>
      <w:suppressAutoHyphens/>
      <w:spacing w:before="40" w:after="160" w:line="312" w:lineRule="auto"/>
    </w:pPr>
    <w:rPr>
      <w:rFonts w:eastAsia="Times New Roman" w:cs="Arial"/>
      <w:b/>
      <w:bCs/>
      <w:color w:val="333333"/>
      <w:sz w:val="17"/>
      <w:lang w:eastAsia="en-AU"/>
    </w:rPr>
  </w:style>
  <w:style w:type="paragraph" w:styleId="List">
    <w:name w:val="List"/>
    <w:basedOn w:val="Normal"/>
    <w:rsid w:val="00074CB2"/>
    <w:pPr>
      <w:keepLines/>
      <w:suppressAutoHyphens/>
      <w:spacing w:before="40" w:after="160" w:line="312" w:lineRule="auto"/>
      <w:ind w:left="283" w:hanging="283"/>
    </w:pPr>
    <w:rPr>
      <w:rFonts w:eastAsia="Times New Roman" w:cs="Arial"/>
      <w:color w:val="333333"/>
      <w:sz w:val="17"/>
      <w:lang w:eastAsia="en-AU"/>
    </w:rPr>
  </w:style>
  <w:style w:type="paragraph" w:styleId="List2">
    <w:name w:val="List 2"/>
    <w:basedOn w:val="Normal"/>
    <w:rsid w:val="00074CB2"/>
    <w:pPr>
      <w:keepLines/>
      <w:suppressAutoHyphens/>
      <w:spacing w:before="40" w:after="160" w:line="312" w:lineRule="auto"/>
      <w:ind w:left="566" w:hanging="283"/>
    </w:pPr>
    <w:rPr>
      <w:rFonts w:eastAsia="Times New Roman" w:cs="Arial"/>
      <w:color w:val="333333"/>
      <w:sz w:val="17"/>
      <w:lang w:eastAsia="en-AU"/>
    </w:rPr>
  </w:style>
  <w:style w:type="paragraph" w:styleId="List3">
    <w:name w:val="List 3"/>
    <w:basedOn w:val="Normal"/>
    <w:rsid w:val="00074CB2"/>
    <w:pPr>
      <w:keepLines/>
      <w:suppressAutoHyphens/>
      <w:spacing w:before="40" w:after="160" w:line="312" w:lineRule="auto"/>
      <w:ind w:left="849" w:hanging="283"/>
    </w:pPr>
    <w:rPr>
      <w:rFonts w:eastAsia="Times New Roman" w:cs="Arial"/>
      <w:color w:val="333333"/>
      <w:sz w:val="17"/>
      <w:lang w:eastAsia="en-AU"/>
    </w:rPr>
  </w:style>
  <w:style w:type="paragraph" w:styleId="List4">
    <w:name w:val="List 4"/>
    <w:basedOn w:val="Normal"/>
    <w:rsid w:val="00074CB2"/>
    <w:pPr>
      <w:keepLines/>
      <w:suppressAutoHyphens/>
      <w:spacing w:before="40" w:after="160" w:line="312" w:lineRule="auto"/>
      <w:ind w:left="1132" w:hanging="283"/>
    </w:pPr>
    <w:rPr>
      <w:rFonts w:eastAsia="Times New Roman" w:cs="Arial"/>
      <w:color w:val="333333"/>
      <w:sz w:val="17"/>
      <w:lang w:eastAsia="en-AU"/>
    </w:rPr>
  </w:style>
  <w:style w:type="paragraph" w:styleId="List5">
    <w:name w:val="List 5"/>
    <w:basedOn w:val="Normal"/>
    <w:rsid w:val="00074CB2"/>
    <w:pPr>
      <w:keepLines/>
      <w:suppressAutoHyphens/>
      <w:spacing w:before="40" w:after="160" w:line="312" w:lineRule="auto"/>
      <w:ind w:left="1415" w:hanging="283"/>
    </w:pPr>
    <w:rPr>
      <w:rFonts w:eastAsia="Times New Roman" w:cs="Arial"/>
      <w:color w:val="333333"/>
      <w:sz w:val="17"/>
      <w:lang w:eastAsia="en-AU"/>
    </w:rPr>
  </w:style>
  <w:style w:type="paragraph" w:styleId="ListBullet">
    <w:name w:val="List Bullet"/>
    <w:basedOn w:val="Normal"/>
    <w:autoRedefine/>
    <w:rsid w:val="00085DBD"/>
    <w:pPr>
      <w:keepLines/>
      <w:numPr>
        <w:numId w:val="3"/>
      </w:numPr>
      <w:suppressAutoHyphens/>
    </w:pPr>
    <w:rPr>
      <w:rFonts w:eastAsia="Times New Roman" w:cs="Arial"/>
      <w:sz w:val="17"/>
      <w:lang w:eastAsia="en-AU"/>
    </w:rPr>
  </w:style>
  <w:style w:type="paragraph" w:styleId="ListBullet2">
    <w:name w:val="List Bullet 2"/>
    <w:basedOn w:val="Normal"/>
    <w:autoRedefine/>
    <w:rsid w:val="00074CB2"/>
    <w:pPr>
      <w:keepLines/>
      <w:numPr>
        <w:numId w:val="4"/>
      </w:numPr>
      <w:suppressAutoHyphens/>
      <w:spacing w:before="40" w:after="160" w:line="312" w:lineRule="auto"/>
    </w:pPr>
    <w:rPr>
      <w:rFonts w:eastAsia="Times New Roman" w:cs="Arial"/>
      <w:color w:val="333333"/>
      <w:sz w:val="17"/>
      <w:lang w:eastAsia="en-AU"/>
    </w:rPr>
  </w:style>
  <w:style w:type="paragraph" w:styleId="ListBullet3">
    <w:name w:val="List Bullet 3"/>
    <w:basedOn w:val="Normal"/>
    <w:autoRedefine/>
    <w:rsid w:val="00074CB2"/>
    <w:pPr>
      <w:keepLines/>
      <w:numPr>
        <w:numId w:val="5"/>
      </w:numPr>
      <w:suppressAutoHyphens/>
      <w:spacing w:before="40" w:after="160" w:line="312" w:lineRule="auto"/>
    </w:pPr>
    <w:rPr>
      <w:rFonts w:eastAsia="Times New Roman" w:cs="Arial"/>
      <w:color w:val="333333"/>
      <w:sz w:val="17"/>
      <w:lang w:eastAsia="en-AU"/>
    </w:rPr>
  </w:style>
  <w:style w:type="paragraph" w:styleId="ListBullet4">
    <w:name w:val="List Bullet 4"/>
    <w:basedOn w:val="Normal"/>
    <w:autoRedefine/>
    <w:rsid w:val="00074CB2"/>
    <w:pPr>
      <w:keepLines/>
      <w:numPr>
        <w:numId w:val="6"/>
      </w:numPr>
      <w:suppressAutoHyphens/>
      <w:spacing w:before="40" w:after="160" w:line="312" w:lineRule="auto"/>
    </w:pPr>
    <w:rPr>
      <w:rFonts w:eastAsia="Times New Roman" w:cs="Arial"/>
      <w:color w:val="333333"/>
      <w:sz w:val="17"/>
      <w:lang w:eastAsia="en-AU"/>
    </w:rPr>
  </w:style>
  <w:style w:type="paragraph" w:styleId="ListBullet5">
    <w:name w:val="List Bullet 5"/>
    <w:basedOn w:val="Normal"/>
    <w:autoRedefine/>
    <w:rsid w:val="00074CB2"/>
    <w:pPr>
      <w:keepLines/>
      <w:numPr>
        <w:numId w:val="7"/>
      </w:numPr>
      <w:suppressAutoHyphens/>
      <w:spacing w:before="40" w:after="160" w:line="312" w:lineRule="auto"/>
    </w:pPr>
    <w:rPr>
      <w:rFonts w:eastAsia="Times New Roman" w:cs="Arial"/>
      <w:color w:val="333333"/>
      <w:sz w:val="17"/>
      <w:lang w:eastAsia="en-AU"/>
    </w:rPr>
  </w:style>
  <w:style w:type="paragraph" w:styleId="ListContinue">
    <w:name w:val="List Continue"/>
    <w:basedOn w:val="Normal"/>
    <w:rsid w:val="00074CB2"/>
    <w:pPr>
      <w:keepLines/>
      <w:suppressAutoHyphens/>
      <w:spacing w:before="40" w:after="120" w:line="312" w:lineRule="auto"/>
      <w:ind w:left="283"/>
    </w:pPr>
    <w:rPr>
      <w:rFonts w:eastAsia="Times New Roman" w:cs="Arial"/>
      <w:color w:val="333333"/>
      <w:sz w:val="17"/>
      <w:lang w:eastAsia="en-AU"/>
    </w:rPr>
  </w:style>
  <w:style w:type="paragraph" w:styleId="ListContinue2">
    <w:name w:val="List Continue 2"/>
    <w:basedOn w:val="Normal"/>
    <w:rsid w:val="00074CB2"/>
    <w:pPr>
      <w:keepLines/>
      <w:suppressAutoHyphens/>
      <w:spacing w:before="40" w:after="120" w:line="312" w:lineRule="auto"/>
      <w:ind w:left="566"/>
    </w:pPr>
    <w:rPr>
      <w:rFonts w:eastAsia="Times New Roman" w:cs="Arial"/>
      <w:color w:val="333333"/>
      <w:sz w:val="17"/>
      <w:lang w:eastAsia="en-AU"/>
    </w:rPr>
  </w:style>
  <w:style w:type="paragraph" w:styleId="ListContinue3">
    <w:name w:val="List Continue 3"/>
    <w:basedOn w:val="Normal"/>
    <w:rsid w:val="00074CB2"/>
    <w:pPr>
      <w:keepLines/>
      <w:suppressAutoHyphens/>
      <w:spacing w:before="40" w:after="120" w:line="312" w:lineRule="auto"/>
      <w:ind w:left="849"/>
    </w:pPr>
    <w:rPr>
      <w:rFonts w:eastAsia="Times New Roman" w:cs="Arial"/>
      <w:color w:val="333333"/>
      <w:sz w:val="17"/>
      <w:lang w:eastAsia="en-AU"/>
    </w:rPr>
  </w:style>
  <w:style w:type="paragraph" w:styleId="ListContinue4">
    <w:name w:val="List Continue 4"/>
    <w:basedOn w:val="Normal"/>
    <w:rsid w:val="00074CB2"/>
    <w:pPr>
      <w:keepLines/>
      <w:suppressAutoHyphens/>
      <w:spacing w:before="40" w:after="120" w:line="312" w:lineRule="auto"/>
      <w:ind w:left="1132"/>
    </w:pPr>
    <w:rPr>
      <w:rFonts w:eastAsia="Times New Roman" w:cs="Arial"/>
      <w:color w:val="333333"/>
      <w:sz w:val="17"/>
      <w:lang w:eastAsia="en-AU"/>
    </w:rPr>
  </w:style>
  <w:style w:type="paragraph" w:styleId="ListContinue5">
    <w:name w:val="List Continue 5"/>
    <w:basedOn w:val="Normal"/>
    <w:rsid w:val="00074CB2"/>
    <w:pPr>
      <w:keepLines/>
      <w:suppressAutoHyphens/>
      <w:spacing w:before="40" w:after="120" w:line="312" w:lineRule="auto"/>
      <w:ind w:left="1415"/>
    </w:pPr>
    <w:rPr>
      <w:rFonts w:eastAsia="Times New Roman" w:cs="Arial"/>
      <w:color w:val="333333"/>
      <w:sz w:val="17"/>
      <w:lang w:eastAsia="en-AU"/>
    </w:rPr>
  </w:style>
  <w:style w:type="paragraph" w:styleId="ListNumber">
    <w:name w:val="List Number"/>
    <w:basedOn w:val="Normal"/>
    <w:rsid w:val="00074CB2"/>
    <w:pPr>
      <w:keepLines/>
      <w:numPr>
        <w:numId w:val="8"/>
      </w:numPr>
      <w:suppressAutoHyphens/>
      <w:spacing w:before="40" w:after="160" w:line="312" w:lineRule="auto"/>
    </w:pPr>
    <w:rPr>
      <w:rFonts w:eastAsia="Times New Roman" w:cs="Arial"/>
      <w:color w:val="333333"/>
      <w:sz w:val="17"/>
      <w:lang w:eastAsia="en-AU"/>
    </w:rPr>
  </w:style>
  <w:style w:type="paragraph" w:styleId="ListNumber2">
    <w:name w:val="List Number 2"/>
    <w:basedOn w:val="Normal"/>
    <w:rsid w:val="00074CB2"/>
    <w:pPr>
      <w:keepLines/>
      <w:numPr>
        <w:numId w:val="9"/>
      </w:numPr>
      <w:suppressAutoHyphens/>
      <w:spacing w:before="40" w:after="160" w:line="312" w:lineRule="auto"/>
    </w:pPr>
    <w:rPr>
      <w:rFonts w:eastAsia="Times New Roman" w:cs="Arial"/>
      <w:color w:val="333333"/>
      <w:sz w:val="17"/>
      <w:lang w:eastAsia="en-AU"/>
    </w:rPr>
  </w:style>
  <w:style w:type="paragraph" w:styleId="ListNumber3">
    <w:name w:val="List Number 3"/>
    <w:basedOn w:val="Normal"/>
    <w:rsid w:val="00074CB2"/>
    <w:pPr>
      <w:keepLines/>
      <w:numPr>
        <w:numId w:val="10"/>
      </w:numPr>
      <w:suppressAutoHyphens/>
      <w:spacing w:before="40" w:after="160" w:line="312" w:lineRule="auto"/>
    </w:pPr>
    <w:rPr>
      <w:rFonts w:eastAsia="Times New Roman" w:cs="Arial"/>
      <w:color w:val="333333"/>
      <w:sz w:val="17"/>
      <w:lang w:eastAsia="en-AU"/>
    </w:rPr>
  </w:style>
  <w:style w:type="paragraph" w:styleId="ListNumber4">
    <w:name w:val="List Number 4"/>
    <w:basedOn w:val="Normal"/>
    <w:rsid w:val="00074CB2"/>
    <w:pPr>
      <w:keepLines/>
      <w:numPr>
        <w:numId w:val="11"/>
      </w:numPr>
      <w:suppressAutoHyphens/>
      <w:spacing w:before="40" w:after="160" w:line="312" w:lineRule="auto"/>
    </w:pPr>
    <w:rPr>
      <w:rFonts w:eastAsia="Times New Roman" w:cs="Arial"/>
      <w:color w:val="333333"/>
      <w:sz w:val="17"/>
      <w:lang w:eastAsia="en-AU"/>
    </w:rPr>
  </w:style>
  <w:style w:type="paragraph" w:styleId="ListNumber5">
    <w:name w:val="List Number 5"/>
    <w:basedOn w:val="Normal"/>
    <w:rsid w:val="00074CB2"/>
    <w:pPr>
      <w:keepLines/>
      <w:numPr>
        <w:numId w:val="12"/>
      </w:numPr>
      <w:suppressAutoHyphens/>
      <w:spacing w:before="40" w:after="160" w:line="312" w:lineRule="auto"/>
    </w:pPr>
    <w:rPr>
      <w:rFonts w:eastAsia="Times New Roman" w:cs="Arial"/>
      <w:color w:val="333333"/>
      <w:sz w:val="17"/>
      <w:lang w:eastAsia="en-AU"/>
    </w:rPr>
  </w:style>
  <w:style w:type="paragraph" w:styleId="MacroText">
    <w:name w:val="macro"/>
    <w:link w:val="MacroTextChar"/>
    <w:semiHidden/>
    <w:rsid w:val="00074CB2"/>
    <w:pPr>
      <w:keepLines/>
      <w:tabs>
        <w:tab w:val="left" w:pos="480"/>
        <w:tab w:val="left" w:pos="960"/>
        <w:tab w:val="left" w:pos="1440"/>
        <w:tab w:val="left" w:pos="1920"/>
        <w:tab w:val="left" w:pos="2400"/>
        <w:tab w:val="left" w:pos="2880"/>
        <w:tab w:val="left" w:pos="3360"/>
        <w:tab w:val="left" w:pos="3840"/>
        <w:tab w:val="left" w:pos="4320"/>
      </w:tabs>
      <w:suppressAutoHyphens/>
      <w:spacing w:before="40" w:after="40" w:line="360" w:lineRule="auto"/>
    </w:pPr>
    <w:rPr>
      <w:rFonts w:ascii="Courier New" w:eastAsia="Times New Roman" w:hAnsi="Courier New" w:cs="Courier New"/>
      <w:color w:val="333333"/>
      <w:sz w:val="20"/>
      <w:szCs w:val="20"/>
      <w:lang w:eastAsia="en-AU"/>
    </w:rPr>
  </w:style>
  <w:style w:type="character" w:customStyle="1" w:styleId="MacroTextChar">
    <w:name w:val="Macro Text Char"/>
    <w:basedOn w:val="DefaultParagraphFont"/>
    <w:link w:val="MacroText"/>
    <w:semiHidden/>
    <w:rsid w:val="00074CB2"/>
    <w:rPr>
      <w:rFonts w:ascii="Courier New" w:eastAsia="Times New Roman" w:hAnsi="Courier New" w:cs="Courier New"/>
      <w:color w:val="333333"/>
      <w:sz w:val="20"/>
      <w:szCs w:val="20"/>
      <w:lang w:eastAsia="en-AU"/>
    </w:rPr>
  </w:style>
  <w:style w:type="paragraph" w:styleId="MessageHeader">
    <w:name w:val="Message Header"/>
    <w:basedOn w:val="Normal"/>
    <w:link w:val="MessageHeaderChar"/>
    <w:rsid w:val="00074CB2"/>
    <w:pPr>
      <w:keepLines/>
      <w:pBdr>
        <w:top w:val="single" w:sz="6" w:space="1" w:color="auto"/>
        <w:left w:val="single" w:sz="6" w:space="1" w:color="auto"/>
        <w:bottom w:val="single" w:sz="6" w:space="1" w:color="auto"/>
        <w:right w:val="single" w:sz="6" w:space="1" w:color="auto"/>
      </w:pBdr>
      <w:shd w:val="pct20" w:color="auto" w:fill="auto"/>
      <w:suppressAutoHyphens/>
      <w:spacing w:before="40" w:after="160" w:line="312" w:lineRule="auto"/>
      <w:ind w:left="1134" w:hanging="1134"/>
    </w:pPr>
    <w:rPr>
      <w:rFonts w:eastAsia="Times New Roman" w:cs="Arial"/>
      <w:color w:val="333333"/>
      <w:sz w:val="24"/>
      <w:szCs w:val="24"/>
      <w:lang w:eastAsia="en-AU"/>
    </w:rPr>
  </w:style>
  <w:style w:type="character" w:customStyle="1" w:styleId="MessageHeaderChar">
    <w:name w:val="Message Header Char"/>
    <w:basedOn w:val="DefaultParagraphFont"/>
    <w:link w:val="MessageHeader"/>
    <w:rsid w:val="00074CB2"/>
    <w:rPr>
      <w:rFonts w:ascii="Arial" w:eastAsia="Times New Roman" w:hAnsi="Arial" w:cs="Arial"/>
      <w:color w:val="333333"/>
      <w:sz w:val="24"/>
      <w:szCs w:val="24"/>
      <w:shd w:val="pct20" w:color="auto" w:fill="auto"/>
      <w:lang w:eastAsia="en-AU"/>
    </w:rPr>
  </w:style>
  <w:style w:type="paragraph" w:styleId="NormalIndent">
    <w:name w:val="Normal Indent"/>
    <w:basedOn w:val="Normal"/>
    <w:rsid w:val="00074CB2"/>
    <w:pPr>
      <w:keepLines/>
      <w:suppressAutoHyphens/>
      <w:spacing w:before="40" w:after="160" w:line="312" w:lineRule="auto"/>
      <w:ind w:left="720"/>
    </w:pPr>
    <w:rPr>
      <w:rFonts w:eastAsia="Times New Roman" w:cs="Arial"/>
      <w:color w:val="333333"/>
      <w:sz w:val="17"/>
      <w:lang w:eastAsia="en-AU"/>
    </w:rPr>
  </w:style>
  <w:style w:type="paragraph" w:styleId="NoteHeading">
    <w:name w:val="Note Heading"/>
    <w:basedOn w:val="Normal"/>
    <w:next w:val="Normal"/>
    <w:link w:val="NoteHeadingChar"/>
    <w:rsid w:val="00074CB2"/>
    <w:pPr>
      <w:keepLines/>
      <w:suppressAutoHyphens/>
      <w:spacing w:before="40" w:after="160" w:line="312" w:lineRule="auto"/>
    </w:pPr>
    <w:rPr>
      <w:rFonts w:eastAsia="Times New Roman" w:cs="Arial"/>
      <w:color w:val="333333"/>
      <w:sz w:val="17"/>
      <w:lang w:eastAsia="en-AU"/>
    </w:rPr>
  </w:style>
  <w:style w:type="character" w:customStyle="1" w:styleId="NoteHeadingChar">
    <w:name w:val="Note Heading Char"/>
    <w:basedOn w:val="DefaultParagraphFont"/>
    <w:link w:val="NoteHeading"/>
    <w:rsid w:val="00074CB2"/>
    <w:rPr>
      <w:rFonts w:ascii="Arial" w:eastAsia="Times New Roman" w:hAnsi="Arial" w:cs="Arial"/>
      <w:color w:val="333333"/>
      <w:sz w:val="17"/>
      <w:lang w:eastAsia="en-AU"/>
    </w:rPr>
  </w:style>
  <w:style w:type="paragraph" w:styleId="PlainText">
    <w:name w:val="Plain Text"/>
    <w:basedOn w:val="Normal"/>
    <w:link w:val="PlainTextChar"/>
    <w:rsid w:val="00074CB2"/>
    <w:pPr>
      <w:keepLines/>
      <w:suppressAutoHyphens/>
      <w:spacing w:before="40" w:after="160" w:line="312" w:lineRule="auto"/>
    </w:pPr>
    <w:rPr>
      <w:rFonts w:ascii="Courier New" w:eastAsia="Times New Roman" w:hAnsi="Courier New" w:cs="Courier New"/>
      <w:color w:val="333333"/>
      <w:sz w:val="20"/>
      <w:szCs w:val="20"/>
      <w:lang w:eastAsia="en-AU"/>
    </w:rPr>
  </w:style>
  <w:style w:type="character" w:customStyle="1" w:styleId="PlainTextChar">
    <w:name w:val="Plain Text Char"/>
    <w:basedOn w:val="DefaultParagraphFont"/>
    <w:link w:val="PlainText"/>
    <w:rsid w:val="00074CB2"/>
    <w:rPr>
      <w:rFonts w:ascii="Courier New" w:eastAsia="Times New Roman" w:hAnsi="Courier New" w:cs="Courier New"/>
      <w:color w:val="333333"/>
      <w:sz w:val="20"/>
      <w:szCs w:val="20"/>
      <w:lang w:eastAsia="en-AU"/>
    </w:rPr>
  </w:style>
  <w:style w:type="paragraph" w:styleId="Salutation">
    <w:name w:val="Salutation"/>
    <w:basedOn w:val="Normal"/>
    <w:next w:val="Normal"/>
    <w:link w:val="SalutationChar"/>
    <w:rsid w:val="00074CB2"/>
    <w:pPr>
      <w:keepLines/>
      <w:suppressAutoHyphens/>
      <w:spacing w:before="40" w:after="160" w:line="312" w:lineRule="auto"/>
    </w:pPr>
    <w:rPr>
      <w:rFonts w:eastAsia="Times New Roman" w:cs="Arial"/>
      <w:color w:val="333333"/>
      <w:sz w:val="17"/>
      <w:lang w:eastAsia="en-AU"/>
    </w:rPr>
  </w:style>
  <w:style w:type="character" w:customStyle="1" w:styleId="SalutationChar">
    <w:name w:val="Salutation Char"/>
    <w:basedOn w:val="DefaultParagraphFont"/>
    <w:link w:val="Salutation"/>
    <w:rsid w:val="00074CB2"/>
    <w:rPr>
      <w:rFonts w:ascii="Arial" w:eastAsia="Times New Roman" w:hAnsi="Arial" w:cs="Arial"/>
      <w:color w:val="333333"/>
      <w:sz w:val="17"/>
      <w:lang w:eastAsia="en-AU"/>
    </w:rPr>
  </w:style>
  <w:style w:type="paragraph" w:styleId="Signature">
    <w:name w:val="Signature"/>
    <w:basedOn w:val="Normal"/>
    <w:link w:val="SignatureChar"/>
    <w:rsid w:val="00074CB2"/>
    <w:pPr>
      <w:keepLines/>
      <w:suppressAutoHyphens/>
      <w:spacing w:before="40" w:after="160" w:line="312" w:lineRule="auto"/>
      <w:ind w:left="4252"/>
    </w:pPr>
    <w:rPr>
      <w:rFonts w:eastAsia="Times New Roman" w:cs="Arial"/>
      <w:color w:val="333333"/>
      <w:sz w:val="17"/>
      <w:lang w:eastAsia="en-AU"/>
    </w:rPr>
  </w:style>
  <w:style w:type="character" w:customStyle="1" w:styleId="SignatureChar">
    <w:name w:val="Signature Char"/>
    <w:basedOn w:val="DefaultParagraphFont"/>
    <w:link w:val="Signature"/>
    <w:rsid w:val="00074CB2"/>
    <w:rPr>
      <w:rFonts w:ascii="Arial" w:eastAsia="Times New Roman" w:hAnsi="Arial" w:cs="Arial"/>
      <w:color w:val="333333"/>
      <w:sz w:val="17"/>
      <w:lang w:eastAsia="en-AU"/>
    </w:rPr>
  </w:style>
  <w:style w:type="paragraph" w:styleId="Subtitle">
    <w:name w:val="Subtitle"/>
    <w:basedOn w:val="Normal"/>
    <w:link w:val="SubtitleChar"/>
    <w:qFormat/>
    <w:rsid w:val="00074CB2"/>
    <w:pPr>
      <w:keepLines/>
      <w:suppressAutoHyphens/>
      <w:spacing w:line="480" w:lineRule="auto"/>
      <w:outlineLvl w:val="1"/>
    </w:pPr>
    <w:rPr>
      <w:rFonts w:eastAsia="Times New Roman" w:cs="Arial"/>
      <w:color w:val="FFFFFF"/>
      <w:sz w:val="28"/>
      <w:szCs w:val="28"/>
      <w:lang w:eastAsia="en-AU"/>
    </w:rPr>
  </w:style>
  <w:style w:type="character" w:customStyle="1" w:styleId="SubtitleChar">
    <w:name w:val="Subtitle Char"/>
    <w:basedOn w:val="DefaultParagraphFont"/>
    <w:link w:val="Subtitle"/>
    <w:rsid w:val="00074CB2"/>
    <w:rPr>
      <w:rFonts w:ascii="Arial" w:eastAsia="Times New Roman" w:hAnsi="Arial" w:cs="Arial"/>
      <w:color w:val="FFFFFF"/>
      <w:sz w:val="28"/>
      <w:szCs w:val="28"/>
      <w:lang w:eastAsia="en-AU"/>
    </w:rPr>
  </w:style>
  <w:style w:type="paragraph" w:styleId="TableofAuthorities">
    <w:name w:val="table of authorities"/>
    <w:basedOn w:val="Normal"/>
    <w:next w:val="Normal"/>
    <w:semiHidden/>
    <w:rsid w:val="00074CB2"/>
    <w:pPr>
      <w:keepLines/>
      <w:suppressAutoHyphens/>
      <w:spacing w:before="40" w:after="160" w:line="312" w:lineRule="auto"/>
      <w:ind w:left="180" w:hanging="180"/>
    </w:pPr>
    <w:rPr>
      <w:rFonts w:eastAsia="Times New Roman" w:cs="Arial"/>
      <w:color w:val="333333"/>
      <w:sz w:val="17"/>
      <w:lang w:eastAsia="en-AU"/>
    </w:rPr>
  </w:style>
  <w:style w:type="paragraph" w:styleId="TableofFigures">
    <w:name w:val="table of figures"/>
    <w:basedOn w:val="Normal"/>
    <w:next w:val="Normal"/>
    <w:semiHidden/>
    <w:rsid w:val="00074CB2"/>
    <w:pPr>
      <w:keepLines/>
      <w:suppressAutoHyphens/>
      <w:spacing w:before="40" w:after="160" w:line="312" w:lineRule="auto"/>
      <w:ind w:left="360" w:hanging="360"/>
    </w:pPr>
    <w:rPr>
      <w:rFonts w:eastAsia="Times New Roman" w:cs="Arial"/>
      <w:color w:val="333333"/>
      <w:sz w:val="17"/>
      <w:lang w:eastAsia="en-AU"/>
    </w:rPr>
  </w:style>
  <w:style w:type="paragraph" w:styleId="Title">
    <w:name w:val="Title"/>
    <w:basedOn w:val="Normal"/>
    <w:link w:val="TitleChar"/>
    <w:qFormat/>
    <w:rsid w:val="00074CB2"/>
    <w:pPr>
      <w:keepLines/>
      <w:suppressAutoHyphens/>
      <w:spacing w:before="240" w:after="0" w:line="240" w:lineRule="auto"/>
      <w:outlineLvl w:val="0"/>
    </w:pPr>
    <w:rPr>
      <w:rFonts w:eastAsia="Times New Roman" w:cs="Arial"/>
      <w:b/>
      <w:bCs/>
      <w:color w:val="FFFFFF"/>
      <w:kern w:val="28"/>
      <w:sz w:val="34"/>
      <w:szCs w:val="34"/>
      <w:lang w:eastAsia="en-AU"/>
    </w:rPr>
  </w:style>
  <w:style w:type="character" w:customStyle="1" w:styleId="TitleChar">
    <w:name w:val="Title Char"/>
    <w:basedOn w:val="DefaultParagraphFont"/>
    <w:link w:val="Title"/>
    <w:rsid w:val="00074CB2"/>
    <w:rPr>
      <w:rFonts w:ascii="Arial" w:eastAsia="Times New Roman" w:hAnsi="Arial" w:cs="Arial"/>
      <w:b/>
      <w:bCs/>
      <w:color w:val="FFFFFF"/>
      <w:kern w:val="28"/>
      <w:sz w:val="34"/>
      <w:szCs w:val="34"/>
      <w:lang w:eastAsia="en-AU"/>
    </w:rPr>
  </w:style>
  <w:style w:type="paragraph" w:styleId="TOAHeading">
    <w:name w:val="toa heading"/>
    <w:basedOn w:val="Normal"/>
    <w:next w:val="Normal"/>
    <w:semiHidden/>
    <w:rsid w:val="00074CB2"/>
    <w:pPr>
      <w:keepLines/>
      <w:suppressAutoHyphens/>
      <w:spacing w:before="120" w:after="160" w:line="312" w:lineRule="auto"/>
    </w:pPr>
    <w:rPr>
      <w:rFonts w:eastAsia="Times New Roman" w:cs="Arial"/>
      <w:b/>
      <w:bCs/>
      <w:color w:val="333333"/>
      <w:sz w:val="24"/>
      <w:szCs w:val="24"/>
      <w:lang w:eastAsia="en-AU"/>
    </w:rPr>
  </w:style>
  <w:style w:type="paragraph" w:styleId="TOC1">
    <w:name w:val="toc 1"/>
    <w:basedOn w:val="Normal"/>
    <w:next w:val="Normal"/>
    <w:autoRedefine/>
    <w:semiHidden/>
    <w:rsid w:val="00074CB2"/>
    <w:pPr>
      <w:keepLines/>
      <w:suppressAutoHyphens/>
      <w:spacing w:before="40" w:after="160" w:line="312" w:lineRule="auto"/>
    </w:pPr>
    <w:rPr>
      <w:rFonts w:eastAsia="Times New Roman" w:cs="Arial"/>
      <w:color w:val="333333"/>
      <w:sz w:val="17"/>
      <w:lang w:eastAsia="en-AU"/>
    </w:rPr>
  </w:style>
  <w:style w:type="paragraph" w:styleId="TOC2">
    <w:name w:val="toc 2"/>
    <w:basedOn w:val="Normal"/>
    <w:next w:val="Normal"/>
    <w:autoRedefine/>
    <w:semiHidden/>
    <w:rsid w:val="00074CB2"/>
    <w:pPr>
      <w:keepLines/>
      <w:suppressAutoHyphens/>
      <w:spacing w:before="40" w:after="160" w:line="312" w:lineRule="auto"/>
      <w:ind w:left="180"/>
    </w:pPr>
    <w:rPr>
      <w:rFonts w:eastAsia="Times New Roman" w:cs="Arial"/>
      <w:color w:val="333333"/>
      <w:sz w:val="17"/>
      <w:lang w:eastAsia="en-AU"/>
    </w:rPr>
  </w:style>
  <w:style w:type="paragraph" w:styleId="TOC3">
    <w:name w:val="toc 3"/>
    <w:basedOn w:val="Normal"/>
    <w:next w:val="Normal"/>
    <w:autoRedefine/>
    <w:semiHidden/>
    <w:rsid w:val="00074CB2"/>
    <w:pPr>
      <w:keepLines/>
      <w:suppressAutoHyphens/>
      <w:spacing w:before="40" w:after="160" w:line="312" w:lineRule="auto"/>
      <w:ind w:left="360"/>
    </w:pPr>
    <w:rPr>
      <w:rFonts w:eastAsia="Times New Roman" w:cs="Arial"/>
      <w:color w:val="333333"/>
      <w:sz w:val="17"/>
      <w:lang w:eastAsia="en-AU"/>
    </w:rPr>
  </w:style>
  <w:style w:type="paragraph" w:styleId="TOC4">
    <w:name w:val="toc 4"/>
    <w:basedOn w:val="Normal"/>
    <w:next w:val="Normal"/>
    <w:autoRedefine/>
    <w:semiHidden/>
    <w:rsid w:val="00074CB2"/>
    <w:pPr>
      <w:keepLines/>
      <w:suppressAutoHyphens/>
      <w:spacing w:before="40" w:after="160" w:line="312" w:lineRule="auto"/>
      <w:ind w:left="540"/>
    </w:pPr>
    <w:rPr>
      <w:rFonts w:eastAsia="Times New Roman" w:cs="Arial"/>
      <w:color w:val="333333"/>
      <w:sz w:val="17"/>
      <w:lang w:eastAsia="en-AU"/>
    </w:rPr>
  </w:style>
  <w:style w:type="paragraph" w:styleId="TOC5">
    <w:name w:val="toc 5"/>
    <w:basedOn w:val="Normal"/>
    <w:next w:val="Normal"/>
    <w:autoRedefine/>
    <w:semiHidden/>
    <w:rsid w:val="00074CB2"/>
    <w:pPr>
      <w:keepLines/>
      <w:suppressAutoHyphens/>
      <w:spacing w:before="40" w:after="160" w:line="312" w:lineRule="auto"/>
      <w:ind w:left="720"/>
    </w:pPr>
    <w:rPr>
      <w:rFonts w:eastAsia="Times New Roman" w:cs="Arial"/>
      <w:color w:val="333333"/>
      <w:sz w:val="17"/>
      <w:lang w:eastAsia="en-AU"/>
    </w:rPr>
  </w:style>
  <w:style w:type="paragraph" w:styleId="TOC6">
    <w:name w:val="toc 6"/>
    <w:basedOn w:val="Normal"/>
    <w:next w:val="Normal"/>
    <w:autoRedefine/>
    <w:semiHidden/>
    <w:rsid w:val="00074CB2"/>
    <w:pPr>
      <w:keepLines/>
      <w:suppressAutoHyphens/>
      <w:spacing w:before="40" w:after="160" w:line="312" w:lineRule="auto"/>
      <w:ind w:left="900"/>
    </w:pPr>
    <w:rPr>
      <w:rFonts w:eastAsia="Times New Roman" w:cs="Arial"/>
      <w:color w:val="333333"/>
      <w:sz w:val="17"/>
      <w:lang w:eastAsia="en-AU"/>
    </w:rPr>
  </w:style>
  <w:style w:type="paragraph" w:styleId="TOC7">
    <w:name w:val="toc 7"/>
    <w:basedOn w:val="Normal"/>
    <w:next w:val="Normal"/>
    <w:autoRedefine/>
    <w:semiHidden/>
    <w:rsid w:val="00074CB2"/>
    <w:pPr>
      <w:keepLines/>
      <w:suppressAutoHyphens/>
      <w:spacing w:before="40" w:after="160" w:line="312" w:lineRule="auto"/>
      <w:ind w:left="1080"/>
    </w:pPr>
    <w:rPr>
      <w:rFonts w:eastAsia="Times New Roman" w:cs="Arial"/>
      <w:color w:val="333333"/>
      <w:sz w:val="17"/>
      <w:lang w:eastAsia="en-AU"/>
    </w:rPr>
  </w:style>
  <w:style w:type="paragraph" w:styleId="TOC8">
    <w:name w:val="toc 8"/>
    <w:basedOn w:val="Normal"/>
    <w:next w:val="Normal"/>
    <w:autoRedefine/>
    <w:semiHidden/>
    <w:rsid w:val="00074CB2"/>
    <w:pPr>
      <w:keepLines/>
      <w:suppressAutoHyphens/>
      <w:spacing w:before="40" w:after="160" w:line="312" w:lineRule="auto"/>
      <w:ind w:left="1260"/>
    </w:pPr>
    <w:rPr>
      <w:rFonts w:eastAsia="Times New Roman" w:cs="Arial"/>
      <w:color w:val="333333"/>
      <w:sz w:val="17"/>
      <w:lang w:eastAsia="en-AU"/>
    </w:rPr>
  </w:style>
  <w:style w:type="paragraph" w:styleId="TOC9">
    <w:name w:val="toc 9"/>
    <w:basedOn w:val="Normal"/>
    <w:next w:val="Normal"/>
    <w:autoRedefine/>
    <w:semiHidden/>
    <w:rsid w:val="00074CB2"/>
    <w:pPr>
      <w:keepLines/>
      <w:suppressAutoHyphens/>
      <w:spacing w:before="40" w:after="160" w:line="312" w:lineRule="auto"/>
      <w:ind w:left="1440"/>
    </w:pPr>
    <w:rPr>
      <w:rFonts w:eastAsia="Times New Roman" w:cs="Arial"/>
      <w:color w:val="333333"/>
      <w:sz w:val="17"/>
      <w:lang w:eastAsia="en-AU"/>
    </w:rPr>
  </w:style>
  <w:style w:type="character" w:customStyle="1" w:styleId="Heading4Char1">
    <w:name w:val="Heading 4 Char1"/>
    <w:basedOn w:val="DefaultParagraphFont"/>
    <w:rsid w:val="00074CB2"/>
    <w:rPr>
      <w:rFonts w:ascii="Arial" w:hAnsi="Arial"/>
      <w:b/>
      <w:bCs/>
      <w:sz w:val="22"/>
      <w:lang w:val="en-AU" w:eastAsia="en-AU" w:bidi="ar-SA"/>
    </w:rPr>
  </w:style>
  <w:style w:type="character" w:customStyle="1" w:styleId="Heading2Char1">
    <w:name w:val="Heading 2 Char1"/>
    <w:basedOn w:val="DefaultParagraphFont"/>
    <w:rsid w:val="00074CB2"/>
    <w:rPr>
      <w:rFonts w:ascii="Arial" w:hAnsi="Arial" w:cs="Arial"/>
      <w:bCs/>
      <w:iCs/>
      <w:caps/>
      <w:color w:val="003366"/>
      <w:sz w:val="36"/>
      <w:szCs w:val="36"/>
      <w:lang w:val="en-AU" w:eastAsia="en-AU" w:bidi="ar-SA"/>
    </w:rPr>
  </w:style>
  <w:style w:type="paragraph" w:customStyle="1" w:styleId="Heading116">
    <w:name w:val="Heading 1 + 16"/>
    <w:basedOn w:val="Heading1"/>
    <w:rsid w:val="00074CB2"/>
    <w:pPr>
      <w:keepLines w:val="0"/>
      <w:spacing w:before="240" w:beforeAutospacing="1" w:after="60" w:afterAutospacing="1"/>
    </w:pPr>
    <w:rPr>
      <w:rFonts w:cs="Times New Roman"/>
      <w:bCs w:val="0"/>
      <w:caps/>
      <w:color w:val="3366FF"/>
      <w:szCs w:val="24"/>
    </w:rPr>
  </w:style>
  <w:style w:type="character" w:customStyle="1" w:styleId="s1">
    <w:name w:val="s1"/>
    <w:basedOn w:val="DefaultParagraphFont"/>
    <w:rsid w:val="00074CB2"/>
    <w:rPr>
      <w:rFonts w:ascii="Arial" w:hAnsi="Arial" w:cs="Arial" w:hint="default"/>
      <w:sz w:val="20"/>
      <w:szCs w:val="20"/>
    </w:rPr>
  </w:style>
  <w:style w:type="character" w:styleId="Emphasis">
    <w:name w:val="Emphasis"/>
    <w:basedOn w:val="DefaultParagraphFont"/>
    <w:qFormat/>
    <w:rsid w:val="00074CB2"/>
    <w:rPr>
      <w:i/>
      <w:iCs/>
    </w:rPr>
  </w:style>
  <w:style w:type="character" w:customStyle="1" w:styleId="CateCoddington">
    <w:name w:val="Cate Coddington"/>
    <w:basedOn w:val="DefaultParagraphFont"/>
    <w:semiHidden/>
    <w:rsid w:val="00074CB2"/>
    <w:rPr>
      <w:rFonts w:ascii="Arial" w:hAnsi="Arial" w:cs="Arial"/>
      <w:color w:val="auto"/>
      <w:sz w:val="20"/>
      <w:szCs w:val="20"/>
    </w:rPr>
  </w:style>
  <w:style w:type="paragraph" w:customStyle="1" w:styleId="CM3">
    <w:name w:val="CM3"/>
    <w:basedOn w:val="Normal"/>
    <w:next w:val="Normal"/>
    <w:rsid w:val="00074CB2"/>
    <w:pPr>
      <w:widowControl w:val="0"/>
      <w:autoSpaceDE w:val="0"/>
      <w:autoSpaceDN w:val="0"/>
      <w:adjustRightInd w:val="0"/>
      <w:spacing w:before="100" w:beforeAutospacing="1" w:after="100" w:afterAutospacing="1" w:line="240" w:lineRule="auto"/>
    </w:pPr>
    <w:rPr>
      <w:rFonts w:ascii="Avenir LT Std 65 Medium" w:eastAsia="Times New Roman" w:hAnsi="Avenir LT Std 65 Medium" w:cs="Times New Roman"/>
      <w:sz w:val="24"/>
      <w:szCs w:val="24"/>
      <w:lang w:eastAsia="en-AU"/>
    </w:rPr>
  </w:style>
  <w:style w:type="character" w:styleId="HTMLAcronym">
    <w:name w:val="HTML Acronym"/>
    <w:basedOn w:val="DefaultParagraphFont"/>
    <w:rsid w:val="00074CB2"/>
  </w:style>
  <w:style w:type="paragraph" w:customStyle="1" w:styleId="TitleTemplate">
    <w:name w:val="Title Template"/>
    <w:basedOn w:val="Heading1"/>
    <w:link w:val="TitleTemplateChar"/>
    <w:rsid w:val="00074CB2"/>
    <w:pPr>
      <w:keepLines w:val="0"/>
      <w:autoSpaceDE w:val="0"/>
      <w:autoSpaceDN w:val="0"/>
      <w:adjustRightInd w:val="0"/>
      <w:spacing w:before="240" w:beforeAutospacing="1" w:after="60" w:afterAutospacing="1"/>
      <w:jc w:val="center"/>
    </w:pPr>
    <w:rPr>
      <w:rFonts w:ascii="AvenirLTStd-Heavy" w:hAnsi="AvenirLTStd-Heavy" w:cs="AvenirLTStd-Heavy"/>
      <w:bCs w:val="0"/>
      <w:caps/>
      <w:color w:val="007290"/>
      <w:sz w:val="44"/>
      <w:szCs w:val="44"/>
    </w:rPr>
  </w:style>
  <w:style w:type="paragraph" w:customStyle="1" w:styleId="NormalText-Template">
    <w:name w:val="Normal Text - Template"/>
    <w:basedOn w:val="Normal"/>
    <w:rsid w:val="00074CB2"/>
    <w:pPr>
      <w:autoSpaceDE w:val="0"/>
      <w:autoSpaceDN w:val="0"/>
      <w:adjustRightInd w:val="0"/>
      <w:spacing w:before="100" w:beforeAutospacing="1" w:after="100" w:afterAutospacing="1" w:line="240" w:lineRule="auto"/>
    </w:pPr>
    <w:rPr>
      <w:rFonts w:ascii="AvenirLTStd-Light" w:eastAsia="AvenirLTStd-Light" w:hAnsi="AvenirLTStd-Heavy" w:cs="AvenirLTStd-Light"/>
      <w:color w:val="4D4D4F"/>
      <w:sz w:val="17"/>
      <w:szCs w:val="18"/>
      <w:lang w:eastAsia="en-AU"/>
    </w:rPr>
  </w:style>
  <w:style w:type="paragraph" w:customStyle="1" w:styleId="Heading3-Template">
    <w:name w:val="Heading 3 - Template"/>
    <w:basedOn w:val="Normal"/>
    <w:rsid w:val="00074CB2"/>
    <w:pPr>
      <w:autoSpaceDE w:val="0"/>
      <w:autoSpaceDN w:val="0"/>
      <w:adjustRightInd w:val="0"/>
      <w:spacing w:after="0" w:line="240" w:lineRule="auto"/>
    </w:pPr>
    <w:rPr>
      <w:rFonts w:ascii="AvenirLTStd-Heavy" w:eastAsia="Times New Roman" w:hAnsi="AvenirLTStd-Heavy" w:cs="AvenirLTStd-Heavy"/>
      <w:b/>
      <w:color w:val="4D4D4F"/>
      <w:sz w:val="17"/>
      <w:szCs w:val="18"/>
      <w:lang w:eastAsia="en-AU"/>
    </w:rPr>
  </w:style>
  <w:style w:type="character" w:customStyle="1" w:styleId="TitleTemplateChar">
    <w:name w:val="Title Template Char"/>
    <w:basedOn w:val="DefaultParagraphFont"/>
    <w:link w:val="TitleTemplate"/>
    <w:rsid w:val="00074CB2"/>
    <w:rPr>
      <w:rFonts w:ascii="AvenirLTStd-Heavy" w:eastAsia="Times New Roman" w:hAnsi="AvenirLTStd-Heavy" w:cs="AvenirLTStd-Heavy"/>
      <w:b/>
      <w:color w:val="007290"/>
      <w:kern w:val="28"/>
      <w:sz w:val="44"/>
      <w:szCs w:val="44"/>
      <w:lang w:eastAsia="en-AU"/>
    </w:rPr>
  </w:style>
  <w:style w:type="character" w:styleId="Strong">
    <w:name w:val="Strong"/>
    <w:basedOn w:val="DefaultParagraphFont"/>
    <w:uiPriority w:val="22"/>
    <w:qFormat/>
    <w:rsid w:val="00074CB2"/>
    <w:rPr>
      <w:b/>
      <w:bCs/>
    </w:rPr>
  </w:style>
  <w:style w:type="paragraph" w:customStyle="1" w:styleId="TableColHead">
    <w:name w:val="TableColHead"/>
    <w:basedOn w:val="Normal"/>
    <w:rsid w:val="00074CB2"/>
    <w:pPr>
      <w:keepNext/>
      <w:spacing w:before="120" w:after="60" w:line="200" w:lineRule="exact"/>
    </w:pPr>
    <w:rPr>
      <w:rFonts w:eastAsia="Times New Roman" w:cs="Times New Roman"/>
      <w:b/>
      <w:sz w:val="17"/>
      <w:szCs w:val="24"/>
    </w:rPr>
  </w:style>
  <w:style w:type="paragraph" w:customStyle="1" w:styleId="TableText">
    <w:name w:val="TableText"/>
    <w:basedOn w:val="Normal"/>
    <w:link w:val="TableTextChar"/>
    <w:rsid w:val="00074CB2"/>
    <w:pPr>
      <w:spacing w:before="60" w:after="60" w:line="240" w:lineRule="exact"/>
    </w:pPr>
    <w:rPr>
      <w:rFonts w:ascii="Times New Roman" w:eastAsia="Times New Roman" w:hAnsi="Times New Roman" w:cs="Times New Roman"/>
      <w:sz w:val="22"/>
      <w:szCs w:val="24"/>
    </w:rPr>
  </w:style>
  <w:style w:type="character" w:customStyle="1" w:styleId="TableTextChar">
    <w:name w:val="TableText Char"/>
    <w:basedOn w:val="DefaultParagraphFont"/>
    <w:link w:val="TableText"/>
    <w:rsid w:val="00074CB2"/>
    <w:rPr>
      <w:rFonts w:ascii="Times New Roman" w:eastAsia="Times New Roman" w:hAnsi="Times New Roman" w:cs="Times New Roman"/>
      <w:szCs w:val="24"/>
    </w:rPr>
  </w:style>
  <w:style w:type="paragraph" w:customStyle="1" w:styleId="TextDraftPlanMainStyles">
    <w:name w:val="Text (DraftPlan_MainStyles)"/>
    <w:basedOn w:val="Normal"/>
    <w:rsid w:val="00074CB2"/>
    <w:pPr>
      <w:widowControl w:val="0"/>
      <w:suppressAutoHyphens/>
      <w:autoSpaceDE w:val="0"/>
      <w:autoSpaceDN w:val="0"/>
      <w:adjustRightInd w:val="0"/>
      <w:spacing w:before="170" w:after="0" w:line="280" w:lineRule="atLeast"/>
      <w:textAlignment w:val="center"/>
    </w:pPr>
    <w:rPr>
      <w:rFonts w:ascii="ArialMT" w:eastAsia="Times New Roman" w:hAnsi="ArialMT" w:cs="ArialMT"/>
      <w:color w:val="000000"/>
      <w:spacing w:val="-2"/>
      <w:sz w:val="20"/>
      <w:szCs w:val="20"/>
      <w:lang w:val="en-US"/>
    </w:rPr>
  </w:style>
  <w:style w:type="paragraph" w:customStyle="1" w:styleId="Pa11">
    <w:name w:val="Pa11"/>
    <w:basedOn w:val="Normal"/>
    <w:next w:val="Normal"/>
    <w:uiPriority w:val="99"/>
    <w:rsid w:val="00074CB2"/>
    <w:pPr>
      <w:autoSpaceDE w:val="0"/>
      <w:autoSpaceDN w:val="0"/>
      <w:adjustRightInd w:val="0"/>
      <w:spacing w:after="0" w:line="221" w:lineRule="atLeast"/>
    </w:pPr>
    <w:rPr>
      <w:rFonts w:eastAsia="Calibri" w:cs="Arial"/>
      <w:sz w:val="24"/>
      <w:szCs w:val="24"/>
      <w:lang w:eastAsia="en-AU"/>
    </w:rPr>
  </w:style>
  <w:style w:type="paragraph" w:customStyle="1" w:styleId="Pa18">
    <w:name w:val="Pa18"/>
    <w:basedOn w:val="Normal"/>
    <w:next w:val="Normal"/>
    <w:uiPriority w:val="99"/>
    <w:rsid w:val="00074CB2"/>
    <w:pPr>
      <w:autoSpaceDE w:val="0"/>
      <w:autoSpaceDN w:val="0"/>
      <w:adjustRightInd w:val="0"/>
      <w:spacing w:after="0" w:line="181" w:lineRule="atLeast"/>
    </w:pPr>
    <w:rPr>
      <w:rFonts w:eastAsia="Times New Roman" w:cs="Arial"/>
      <w:sz w:val="24"/>
      <w:szCs w:val="24"/>
      <w:lang w:eastAsia="en-AU"/>
    </w:rPr>
  </w:style>
  <w:style w:type="paragraph" w:customStyle="1" w:styleId="Pa14">
    <w:name w:val="Pa14"/>
    <w:basedOn w:val="Normal"/>
    <w:next w:val="Normal"/>
    <w:uiPriority w:val="99"/>
    <w:rsid w:val="00074CB2"/>
    <w:pPr>
      <w:autoSpaceDE w:val="0"/>
      <w:autoSpaceDN w:val="0"/>
      <w:adjustRightInd w:val="0"/>
      <w:spacing w:after="0" w:line="181" w:lineRule="atLeast"/>
    </w:pPr>
    <w:rPr>
      <w:rFonts w:eastAsia="Times New Roman" w:cs="Arial"/>
      <w:sz w:val="24"/>
      <w:szCs w:val="24"/>
      <w:lang w:eastAsia="en-AU"/>
    </w:rPr>
  </w:style>
  <w:style w:type="paragraph" w:customStyle="1" w:styleId="Default">
    <w:name w:val="Default"/>
    <w:rsid w:val="00074CB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uiPriority w:val="1"/>
    <w:qFormat/>
    <w:rsid w:val="00C15AD2"/>
    <w:pPr>
      <w:spacing w:after="0" w:line="240" w:lineRule="auto"/>
    </w:pPr>
    <w:rPr>
      <w:rFonts w:ascii="Times New Roman" w:eastAsia="Times New Roman" w:hAnsi="Times New Roman" w:cs="Times New Roman"/>
      <w:sz w:val="24"/>
      <w:szCs w:val="24"/>
      <w:lang w:eastAsia="en-AU"/>
    </w:rPr>
  </w:style>
  <w:style w:type="paragraph" w:customStyle="1" w:styleId="ReserveTableBullets">
    <w:name w:val="Reserve Table Bullets"/>
    <w:basedOn w:val="ListParagraph"/>
    <w:qFormat/>
    <w:rsid w:val="00817A01"/>
    <w:pPr>
      <w:numPr>
        <w:numId w:val="19"/>
      </w:numPr>
      <w:spacing w:after="0" w:line="252" w:lineRule="auto"/>
    </w:pPr>
    <w:rPr>
      <w:rFonts w:eastAsia="Calibri" w:cs="Cordia New"/>
      <w:sz w:val="20"/>
      <w:lang w:bidi="th-TH"/>
    </w:rPr>
  </w:style>
  <w:style w:type="numbering" w:customStyle="1" w:styleId="ReserveTableBulletsList">
    <w:name w:val="Reserve Table Bullets List"/>
    <w:uiPriority w:val="99"/>
    <w:rsid w:val="00817A01"/>
    <w:pPr>
      <w:numPr>
        <w:numId w:val="18"/>
      </w:numPr>
    </w:pPr>
  </w:style>
  <w:style w:type="character" w:customStyle="1" w:styleId="ListParagraphChar">
    <w:name w:val="List Paragraph Char"/>
    <w:aliases w:val="List Paragraph1 Char,List Paragraph11 Char,Recommendation Char,1 heading Char"/>
    <w:link w:val="ListParagraph"/>
    <w:uiPriority w:val="34"/>
    <w:rsid w:val="002E52CA"/>
    <w:rPr>
      <w:rFonts w:ascii="Arial" w:hAnsi="Arial"/>
      <w:sz w:val="18"/>
    </w:rPr>
  </w:style>
  <w:style w:type="paragraph" w:customStyle="1" w:styleId="Pa19">
    <w:name w:val="Pa19"/>
    <w:basedOn w:val="Normal"/>
    <w:next w:val="Normal"/>
    <w:uiPriority w:val="99"/>
    <w:rsid w:val="00615531"/>
    <w:pPr>
      <w:autoSpaceDE w:val="0"/>
      <w:autoSpaceDN w:val="0"/>
      <w:adjustRightInd w:val="0"/>
      <w:spacing w:after="0" w:line="181" w:lineRule="atLeast"/>
    </w:pPr>
    <w:rPr>
      <w:rFonts w:ascii="Times New Roman" w:eastAsia="Times New Roman" w:hAnsi="Times New Roman" w:cs="Times New Roman"/>
      <w:sz w:val="24"/>
      <w:szCs w:val="24"/>
      <w:lang w:eastAsia="en-AU"/>
    </w:rPr>
  </w:style>
  <w:style w:type="character" w:customStyle="1" w:styleId="Bold">
    <w:name w:val="Bold"/>
    <w:basedOn w:val="DefaultParagraphFont"/>
    <w:uiPriority w:val="1"/>
    <w:qFormat/>
    <w:rsid w:val="00651087"/>
    <w:rPr>
      <w:b/>
    </w:rPr>
  </w:style>
  <w:style w:type="paragraph" w:customStyle="1" w:styleId="Foliotext">
    <w:name w:val="Folio text"/>
    <w:basedOn w:val="Normal"/>
    <w:qFormat/>
    <w:rsid w:val="00651087"/>
    <w:pPr>
      <w:keepLines/>
      <w:pBdr>
        <w:top w:val="single" w:sz="4" w:space="3" w:color="auto"/>
      </w:pBdr>
      <w:tabs>
        <w:tab w:val="left" w:pos="4536"/>
        <w:tab w:val="right" w:pos="9639"/>
      </w:tabs>
      <w:suppressAutoHyphens/>
      <w:spacing w:after="120" w:line="260" w:lineRule="exact"/>
    </w:pPr>
    <w:rPr>
      <w:rFonts w:eastAsia="Times New Roman" w:cs="Times New Roman"/>
      <w:color w:val="333333"/>
      <w:szCs w:val="18"/>
    </w:rPr>
  </w:style>
  <w:style w:type="paragraph" w:customStyle="1" w:styleId="Disclaimer">
    <w:name w:val="Disclaimer"/>
    <w:basedOn w:val="BodyText"/>
    <w:qFormat/>
    <w:rsid w:val="00651087"/>
    <w:pPr>
      <w:pBdr>
        <w:top w:val="single" w:sz="4" w:space="4" w:color="auto"/>
        <w:bottom w:val="single" w:sz="4" w:space="4" w:color="auto"/>
      </w:pBdr>
      <w:shd w:val="clear" w:color="auto" w:fill="D9D9D9" w:themeFill="background1" w:themeFillShade="D9"/>
      <w:tabs>
        <w:tab w:val="left" w:pos="113"/>
      </w:tabs>
      <w:spacing w:before="0" w:after="80" w:line="240" w:lineRule="auto"/>
      <w:ind w:left="113" w:hanging="113"/>
    </w:pPr>
    <w:rPr>
      <w:rFonts w:cs="Times New Roman"/>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579">
      <w:bodyDiv w:val="1"/>
      <w:marLeft w:val="0"/>
      <w:marRight w:val="0"/>
      <w:marTop w:val="0"/>
      <w:marBottom w:val="0"/>
      <w:divBdr>
        <w:top w:val="none" w:sz="0" w:space="0" w:color="auto"/>
        <w:left w:val="none" w:sz="0" w:space="0" w:color="auto"/>
        <w:bottom w:val="none" w:sz="0" w:space="0" w:color="auto"/>
        <w:right w:val="none" w:sz="0" w:space="0" w:color="auto"/>
      </w:divBdr>
    </w:div>
    <w:div w:id="306253292">
      <w:bodyDiv w:val="1"/>
      <w:marLeft w:val="0"/>
      <w:marRight w:val="0"/>
      <w:marTop w:val="0"/>
      <w:marBottom w:val="0"/>
      <w:divBdr>
        <w:top w:val="none" w:sz="0" w:space="0" w:color="auto"/>
        <w:left w:val="none" w:sz="0" w:space="0" w:color="auto"/>
        <w:bottom w:val="none" w:sz="0" w:space="0" w:color="auto"/>
        <w:right w:val="none" w:sz="0" w:space="0" w:color="auto"/>
      </w:divBdr>
      <w:divsChild>
        <w:div w:id="707725286">
          <w:marLeft w:val="0"/>
          <w:marRight w:val="0"/>
          <w:marTop w:val="0"/>
          <w:marBottom w:val="0"/>
          <w:divBdr>
            <w:top w:val="none" w:sz="0" w:space="0" w:color="auto"/>
            <w:left w:val="none" w:sz="0" w:space="0" w:color="auto"/>
            <w:bottom w:val="none" w:sz="0" w:space="0" w:color="auto"/>
            <w:right w:val="none" w:sz="0" w:space="0" w:color="auto"/>
          </w:divBdr>
        </w:div>
      </w:divsChild>
    </w:div>
    <w:div w:id="490297169">
      <w:bodyDiv w:val="1"/>
      <w:marLeft w:val="0"/>
      <w:marRight w:val="0"/>
      <w:marTop w:val="0"/>
      <w:marBottom w:val="0"/>
      <w:divBdr>
        <w:top w:val="none" w:sz="0" w:space="0" w:color="auto"/>
        <w:left w:val="none" w:sz="0" w:space="0" w:color="auto"/>
        <w:bottom w:val="none" w:sz="0" w:space="0" w:color="auto"/>
        <w:right w:val="none" w:sz="0" w:space="0" w:color="auto"/>
      </w:divBdr>
      <w:divsChild>
        <w:div w:id="521671922">
          <w:marLeft w:val="0"/>
          <w:marRight w:val="0"/>
          <w:marTop w:val="0"/>
          <w:marBottom w:val="0"/>
          <w:divBdr>
            <w:top w:val="none" w:sz="0" w:space="0" w:color="auto"/>
            <w:left w:val="none" w:sz="0" w:space="0" w:color="auto"/>
            <w:bottom w:val="none" w:sz="0" w:space="0" w:color="auto"/>
            <w:right w:val="none" w:sz="0" w:space="0" w:color="auto"/>
          </w:divBdr>
        </w:div>
      </w:divsChild>
    </w:div>
    <w:div w:id="734088739">
      <w:bodyDiv w:val="1"/>
      <w:marLeft w:val="0"/>
      <w:marRight w:val="0"/>
      <w:marTop w:val="0"/>
      <w:marBottom w:val="0"/>
      <w:divBdr>
        <w:top w:val="none" w:sz="0" w:space="0" w:color="auto"/>
        <w:left w:val="none" w:sz="0" w:space="0" w:color="auto"/>
        <w:bottom w:val="none" w:sz="0" w:space="0" w:color="auto"/>
        <w:right w:val="none" w:sz="0" w:space="0" w:color="auto"/>
      </w:divBdr>
    </w:div>
    <w:div w:id="735587595">
      <w:bodyDiv w:val="1"/>
      <w:marLeft w:val="0"/>
      <w:marRight w:val="0"/>
      <w:marTop w:val="0"/>
      <w:marBottom w:val="0"/>
      <w:divBdr>
        <w:top w:val="none" w:sz="0" w:space="0" w:color="auto"/>
        <w:left w:val="none" w:sz="0" w:space="0" w:color="auto"/>
        <w:bottom w:val="none" w:sz="0" w:space="0" w:color="auto"/>
        <w:right w:val="none" w:sz="0" w:space="0" w:color="auto"/>
      </w:divBdr>
    </w:div>
    <w:div w:id="896866910">
      <w:bodyDiv w:val="1"/>
      <w:marLeft w:val="0"/>
      <w:marRight w:val="0"/>
      <w:marTop w:val="0"/>
      <w:marBottom w:val="0"/>
      <w:divBdr>
        <w:top w:val="none" w:sz="0" w:space="0" w:color="auto"/>
        <w:left w:val="none" w:sz="0" w:space="0" w:color="auto"/>
        <w:bottom w:val="none" w:sz="0" w:space="0" w:color="auto"/>
        <w:right w:val="none" w:sz="0" w:space="0" w:color="auto"/>
      </w:divBdr>
      <w:divsChild>
        <w:div w:id="81538099">
          <w:marLeft w:val="0"/>
          <w:marRight w:val="0"/>
          <w:marTop w:val="0"/>
          <w:marBottom w:val="0"/>
          <w:divBdr>
            <w:top w:val="none" w:sz="0" w:space="0" w:color="auto"/>
            <w:left w:val="none" w:sz="0" w:space="0" w:color="auto"/>
            <w:bottom w:val="none" w:sz="0" w:space="0" w:color="auto"/>
            <w:right w:val="none" w:sz="0" w:space="0" w:color="auto"/>
          </w:divBdr>
        </w:div>
      </w:divsChild>
    </w:div>
    <w:div w:id="1130435421">
      <w:bodyDiv w:val="1"/>
      <w:marLeft w:val="0"/>
      <w:marRight w:val="0"/>
      <w:marTop w:val="0"/>
      <w:marBottom w:val="0"/>
      <w:divBdr>
        <w:top w:val="none" w:sz="0" w:space="0" w:color="auto"/>
        <w:left w:val="none" w:sz="0" w:space="0" w:color="auto"/>
        <w:bottom w:val="none" w:sz="0" w:space="0" w:color="auto"/>
        <w:right w:val="none" w:sz="0" w:space="0" w:color="auto"/>
      </w:divBdr>
    </w:div>
    <w:div w:id="1180970635">
      <w:bodyDiv w:val="1"/>
      <w:marLeft w:val="0"/>
      <w:marRight w:val="0"/>
      <w:marTop w:val="0"/>
      <w:marBottom w:val="0"/>
      <w:divBdr>
        <w:top w:val="none" w:sz="0" w:space="0" w:color="auto"/>
        <w:left w:val="none" w:sz="0" w:space="0" w:color="auto"/>
        <w:bottom w:val="none" w:sz="0" w:space="0" w:color="auto"/>
        <w:right w:val="none" w:sz="0" w:space="0" w:color="auto"/>
      </w:divBdr>
    </w:div>
    <w:div w:id="209069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hgacerage@industry.gov.au" TargetMode="External"/><Relationship Id="rId26" Type="http://schemas.openxmlformats.org/officeDocument/2006/relationships/hyperlink" Target="http://www.environment.gov.au/topics/marine/marine-reserves" TargetMode="External"/><Relationship Id="rId39" Type="http://schemas.openxmlformats.org/officeDocument/2006/relationships/hyperlink" Target="http://www.environment.gov.au/topics/marine/marine-bioregional-plans/conservation-values-atlas" TargetMode="External"/><Relationship Id="rId21" Type="http://schemas.openxmlformats.org/officeDocument/2006/relationships/hyperlink" Target="mailto:info@nopta.gov.au" TargetMode="External"/><Relationship Id="rId34" Type="http://schemas.openxmlformats.org/officeDocument/2006/relationships/hyperlink" Target="http://www.environment.gov.au/epbc/publications/seismic/index.html" TargetMode="External"/><Relationship Id="rId42" Type="http://schemas.openxmlformats.org/officeDocument/2006/relationships/hyperlink" Target="mailto:petroleum@afma.gov.au" TargetMode="External"/><Relationship Id="rId47" Type="http://schemas.openxmlformats.org/officeDocument/2006/relationships/hyperlink" Target="http://www.amsa.gov.au/community/online-service" TargetMode="External"/><Relationship Id="rId50" Type="http://schemas.openxmlformats.org/officeDocument/2006/relationships/hyperlink" Target="mailto:enquiries@nntt.gov.au" TargetMode="External"/><Relationship Id="rId55" Type="http://schemas.openxmlformats.org/officeDocument/2006/relationships/hyperlink" Target="http://www.nopsema.gov.au/safety/petroleum-safety-zo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iu@environment.gov.au" TargetMode="External"/><Relationship Id="rId25" Type="http://schemas.openxmlformats.org/officeDocument/2006/relationships/hyperlink" Target="http://www.environment.gov.au/topics/about-us/legislation/environment-protection-and-biodiversity-conservation-act-1999" TargetMode="External"/><Relationship Id="rId33" Type="http://schemas.openxmlformats.org/officeDocument/2006/relationships/hyperlink" Target="http://www.environment.gov.au/aggregation/historic-shipwrecks" TargetMode="External"/><Relationship Id="rId38" Type="http://schemas.openxmlformats.org/officeDocument/2006/relationships/hyperlink" Target="http://www.environment.gov.au/topics/marine/marine-bioregional-plans" TargetMode="External"/><Relationship Id="rId46" Type="http://schemas.openxmlformats.org/officeDocument/2006/relationships/hyperlink" Target="http://www.amsa.gov.au/navigation/shipping-management/offshore-activitie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inereserves@environment.gov.au" TargetMode="External"/><Relationship Id="rId20" Type="http://schemas.openxmlformats.org/officeDocument/2006/relationships/hyperlink" Target="mailto:information@nopsema.gov.au" TargetMode="External"/><Relationship Id="rId29" Type="http://schemas.openxmlformats.org/officeDocument/2006/relationships/hyperlink" Target="http://www.environment.gov.au/topics/heritage/heritage-places/national-heritage-list" TargetMode="External"/><Relationship Id="rId41" Type="http://schemas.openxmlformats.org/officeDocument/2006/relationships/hyperlink" Target="http://www.afma.gov.au/managing-our-fisheries/environment-and-sustainability/petroleum-industry-consultation/" TargetMode="External"/><Relationship Id="rId54" Type="http://schemas.openxmlformats.org/officeDocument/2006/relationships/hyperlink" Target="http://www.hydro.gov.au/n2m/2014/annual/annual_ntm_20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industry.gov.au/resource/UpstreamPetroleum/OffshorePetroleumEnvironment/Pages/OffshorePetroleumandGreenhouseGasStorageRegulations2009.aspx" TargetMode="External"/><Relationship Id="rId32" Type="http://schemas.openxmlformats.org/officeDocument/2006/relationships/hyperlink" Target="http://www.environment.gov.au/heritage/ahc/publications/commission/books/ask-first.html" TargetMode="External"/><Relationship Id="rId37" Type="http://schemas.openxmlformats.org/officeDocument/2006/relationships/hyperlink" Target="http://www.environment.gov.au/resource/australian-national-guidelines-whale-and-dolphin-watching-2005" TargetMode="External"/><Relationship Id="rId40" Type="http://schemas.openxmlformats.org/officeDocument/2006/relationships/hyperlink" Target="http://www.environment.gov.au/topics/marine/marine-bioregional-plans/conservation-values-atlas" TargetMode="External"/><Relationship Id="rId45" Type="http://schemas.openxmlformats.org/officeDocument/2006/relationships/hyperlink" Target="file://prod.protected.ind/group/Resources/Offshore%20Resources%20Branch/EXPLORATION/RELEASE/2014%20Release/Areas%20&amp;%20Nominations/2014%20Areas/Consultation/NauticalAdvice@amsa.gov.au.%20" TargetMode="External"/><Relationship Id="rId53" Type="http://schemas.openxmlformats.org/officeDocument/2006/relationships/hyperlink" Target="http://www.environment.gov.au/wetlands"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internal/dfs/RET%20Group/Resources%20Division/Offshore%20Resources%20Branch/EXPLORATION/RELEASE/2014%20Release/Areas%20&amp;%20Nominations/2014%20Areas/Consultation/NauticalAdvice@amsa.gov.au.%20" TargetMode="External"/><Relationship Id="rId23" Type="http://schemas.openxmlformats.org/officeDocument/2006/relationships/hyperlink" Target="mailto:malcolm.eccles@basslink.com.au" TargetMode="External"/><Relationship Id="rId28" Type="http://schemas.openxmlformats.org/officeDocument/2006/relationships/hyperlink" Target="http://www.environment.gov.au/topics/heritage/heritage-places/world-heritage-list" TargetMode="External"/><Relationship Id="rId36" Type="http://schemas.openxmlformats.org/officeDocument/2006/relationships/hyperlink" Target="http://www.environment.gov.au/topics/marine/marine-bioregional-plans/conservation-values-atlas" TargetMode="External"/><Relationship Id="rId49" Type="http://schemas.openxmlformats.org/officeDocument/2006/relationships/hyperlink" Target="mailto:malcolm.eccles@basslink.com.au" TargetMode="External"/><Relationship Id="rId57" Type="http://schemas.openxmlformats.org/officeDocument/2006/relationships/hyperlink" Target="http://www.amsa.gov.au/vessels/standards-regulations/marine-orders/documents/MO30-modcomp-130729Z.pdf" TargetMode="External"/><Relationship Id="rId10" Type="http://schemas.openxmlformats.org/officeDocument/2006/relationships/endnotes" Target="endnotes.xml"/><Relationship Id="rId19" Type="http://schemas.openxmlformats.org/officeDocument/2006/relationships/hyperlink" Target="mailto:enquiries@nntt.gov.au" TargetMode="External"/><Relationship Id="rId31" Type="http://schemas.openxmlformats.org/officeDocument/2006/relationships/hyperlink" Target="http://www.environment.gov.au/cgi-bin/ahdb/search.pl" TargetMode="External"/><Relationship Id="rId44" Type="http://schemas.openxmlformats.org/officeDocument/2006/relationships/hyperlink" Target="mailto:petroleum@afma.gov.au" TargetMode="External"/><Relationship Id="rId52" Type="http://schemas.openxmlformats.org/officeDocument/2006/relationships/hyperlink" Target="http://www.environment.gov.au/topics/marine/marine-reser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oleum@afma.gov.au" TargetMode="External"/><Relationship Id="rId22" Type="http://schemas.openxmlformats.org/officeDocument/2006/relationships/hyperlink" Target="mailto:zack.gurdon@team.telstra.com" TargetMode="External"/><Relationship Id="rId27" Type="http://schemas.openxmlformats.org/officeDocument/2006/relationships/hyperlink" Target="http://www.environment.gov.au/topics/environment-protection/environment-assessments/assessment-and-approval-process" TargetMode="External"/><Relationship Id="rId30" Type="http://schemas.openxmlformats.org/officeDocument/2006/relationships/hyperlink" Target="http://www.environment.gov.au/topics/heritage/heritage-places/commonwealth-heritage-list" TargetMode="External"/><Relationship Id="rId35" Type="http://schemas.openxmlformats.org/officeDocument/2006/relationships/hyperlink" Target="http://www.environment.gov.au/resource/epbc-act-policy-statement-21-interaction-between-offshore-seismic-exploration-and-whales" TargetMode="External"/><Relationship Id="rId43" Type="http://schemas.openxmlformats.org/officeDocument/2006/relationships/hyperlink" Target="http://www.afma.gov.au/petroleum" TargetMode="External"/><Relationship Id="rId48" Type="http://schemas.openxmlformats.org/officeDocument/2006/relationships/hyperlink" Target="mailto:zack.gurdon@team.telstra.com.au" TargetMode="External"/><Relationship Id="rId56" Type="http://schemas.openxmlformats.org/officeDocument/2006/relationships/hyperlink" Target="http://nremap.nre.vic.gov.au/Website/hlinks/mpd/dbmap_html/well/perch4.htm" TargetMode="External"/><Relationship Id="rId8" Type="http://schemas.openxmlformats.org/officeDocument/2006/relationships/webSettings" Target="webSettings.xml"/><Relationship Id="rId51" Type="http://schemas.openxmlformats.org/officeDocument/2006/relationships/hyperlink" Target="mailto:petroleum.exploration@industry.gov.au"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ndusty.gov.au/ghg-acreag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opta.gov.au/legislation" TargetMode="External"/><Relationship Id="rId1" Type="http://schemas.openxmlformats.org/officeDocument/2006/relationships/hyperlink" Target="http://www.industy.gov.au/ghg-acrea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Comments xmlns="55c08754-dc08-49e0-b3e6-1571a5e07017" xsi:nil="true"/>
    <CorePublishingDocumentCategory xmlns="c0b4bd0a-f6ac-422c-a0b2-ddc3a705a698" xsi:nil="true"/>
    <KeywordsLookupField xmlns="c0b4bd0a-f6ac-422c-a0b2-ddc3a705a698"/>
    <CorePublishingFileReference xmlns="55c08754-dc08-49e0-b3e6-1571a5e07017">28469</CorePublishingFileReference>
    <CorePublishingDocumentChangeDescription xmlns="55c08754-dc08-49e0-b3e6-1571a5e07017" xsi:nil="true"/>
    <CorePublishingDocumentContact xmlns="55c08754-dc08-49e0-b3e6-1571a5e07017">
      <UserInfo>
        <DisplayName>online</DisplayName>
        <AccountId>189</AccountId>
        <AccountType/>
      </UserInfo>
    </CorePublishingDocumentContact>
    <IPSCategory xmlns="55c08754-dc08-49e0-b3e6-1571a5e07017" xsi:nil="true"/>
    <IncludeInContentRollups xmlns="55c08754-dc08-49e0-b3e6-1571a5e07017">false</IncludeInContentRollups>
    <SubjectLookupField xmlns="c0b4bd0a-f6ac-422c-a0b2-ddc3a705a698"/>
    <IncludeInNotificationsAndUpdates xmlns="55c08754-dc08-49e0-b3e6-1571a5e07017">true</IncludeInNotificationsAndUpdates>
    <PublishingExpirationDate xmlns="http://schemas.microsoft.com/sharepoint/v3" xsi:nil="true"/>
    <PublishingStartDate xmlns="http://schemas.microsoft.com/sharepoint/v3" xsi:nil="true"/>
    <IncludeInRSSFeeds xmlns="55c08754-dc08-49e0-b3e6-1571a5e07017">false</IncludeInRSSFeeds>
    <DocumentRollupCategory xmlns="c0b4bd0a-f6ac-422c-a0b2-ddc3a705a698"/>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61DCC6993642B7BE071EBA4F0CB6" ma:contentTypeVersion="79" ma:contentTypeDescription="Core Publishing Document, inherited from OOTB document." ma:contentTypeScope="" ma:versionID="d73c4be80eafcf893ff13feb65d66746">
  <xsd:schema xmlns:xsd="http://www.w3.org/2001/XMLSchema" xmlns:xs="http://www.w3.org/2001/XMLSchema" xmlns:p="http://schemas.microsoft.com/office/2006/metadata/properties" xmlns:ns1="http://schemas.microsoft.com/sharepoint/v3" xmlns:ns2="55c08754-dc08-49e0-b3e6-1571a5e07017" xmlns:ns3="c0b4bd0a-f6ac-422c-a0b2-ddc3a705a698" targetNamespace="http://schemas.microsoft.com/office/2006/metadata/properties" ma:root="true" ma:fieldsID="cb31d88178b4658710bd8f35dbbd1722" ns1:_="" ns2:_="" ns3:_="">
    <xsd:import namespace="http://schemas.microsoft.com/sharepoint/v3"/>
    <xsd:import namespace="55c08754-dc08-49e0-b3e6-1571a5e07017"/>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08754-dc08-49e0-b3e6-1571a5e07017"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6B88-DD8D-4A51-8FCA-810F9CAA643C}">
  <ds:schemaRefs>
    <ds:schemaRef ds:uri="http://schemas.microsoft.com/sharepoint/v3/contenttype/forms"/>
  </ds:schemaRefs>
</ds:datastoreItem>
</file>

<file path=customXml/itemProps2.xml><?xml version="1.0" encoding="utf-8"?>
<ds:datastoreItem xmlns:ds="http://schemas.openxmlformats.org/officeDocument/2006/customXml" ds:itemID="{14B0B06A-C6BC-4E10-ADC9-389F4D558170}">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purl.org/dc/dcmitype/"/>
    <ds:schemaRef ds:uri="c0b4bd0a-f6ac-422c-a0b2-ddc3a705a698"/>
    <ds:schemaRef ds:uri="55c08754-dc08-49e0-b3e6-1571a5e07017"/>
    <ds:schemaRef ds:uri="http://www.w3.org/XML/1998/namespace"/>
    <ds:schemaRef ds:uri="http://purl.org/dc/elements/1.1/"/>
  </ds:schemaRefs>
</ds:datastoreItem>
</file>

<file path=customXml/itemProps3.xml><?xml version="1.0" encoding="utf-8"?>
<ds:datastoreItem xmlns:ds="http://schemas.openxmlformats.org/officeDocument/2006/customXml" ds:itemID="{BCF13C11-36D8-4574-8C02-50CF5E7F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c08754-dc08-49e0-b3e6-1571a5e07017"/>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475C3-E455-4B4A-9244-6DEB79CD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7621</Words>
  <Characters>43445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GHG-General-Special-Notices</vt:lpstr>
    </vt:vector>
  </TitlesOfParts>
  <Company>DIISRTE</Company>
  <LinksUpToDate>false</LinksUpToDate>
  <CharactersWithSpaces>50965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GHG-General-Special-Notices</dc:title>
  <dc:creator>Reid, Emma</dc:creator>
  <cp:lastModifiedBy>Bingham, Adam</cp:lastModifiedBy>
  <cp:revision>2</cp:revision>
  <cp:lastPrinted>2014-07-30T23:13:00Z</cp:lastPrinted>
  <dcterms:created xsi:type="dcterms:W3CDTF">2019-03-05T22:59:00Z</dcterms:created>
  <dcterms:modified xsi:type="dcterms:W3CDTF">2019-03-05T22:59:00Z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0x01010097F86F0C24D64525B252BB20BD9D45A700186D61DCC6993642B7BE071EBA4F0CB6</vt:lpwstr>
  </property>
</Properties>
</file>