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AD9E54" w14:textId="77777777" w:rsidR="004A6622" w:rsidRDefault="004A6622" w:rsidP="004A6622">
      <w:pPr>
        <w:pStyle w:val="Heading1"/>
        <w:spacing w:after="800"/>
      </w:pPr>
      <w:bookmarkStart w:id="0" w:name="_GoBack"/>
      <w:bookmarkEnd w:id="0"/>
      <w:r>
        <w:t>OFFSHORE GREENHOUSE GAS STORAGE</w:t>
      </w:r>
      <w:r>
        <w:br/>
        <w:t xml:space="preserve">ACREAGE RELEASE | </w:t>
      </w:r>
      <w:r w:rsidRPr="004A6622">
        <w:rPr>
          <w:rFonts w:ascii="Arial" w:hAnsi="Arial"/>
          <w:b w:val="0"/>
        </w:rPr>
        <w:t>AUSTRALIA 2014</w:t>
      </w:r>
    </w:p>
    <w:p w14:paraId="28AD9E55" w14:textId="77777777" w:rsidR="004A6622" w:rsidRPr="004A6622" w:rsidRDefault="004A6622" w:rsidP="004A6622">
      <w:pPr>
        <w:pStyle w:val="Heading1"/>
        <w:spacing w:after="320"/>
      </w:pPr>
      <w:r w:rsidRPr="004A6622">
        <w:t>Legislative Framework</w:t>
      </w:r>
    </w:p>
    <w:p w14:paraId="28AD9E56" w14:textId="77777777" w:rsidR="004A6622" w:rsidRDefault="004A6622" w:rsidP="00B65156">
      <w:pPr>
        <w:pStyle w:val="Heading2"/>
        <w:sectPr w:rsidR="004A6622" w:rsidSect="004A6622">
          <w:footerReference w:type="default" r:id="rId10"/>
          <w:headerReference w:type="first" r:id="rId11"/>
          <w:footerReference w:type="first" r:id="rId12"/>
          <w:type w:val="continuous"/>
          <w:pgSz w:w="11906" w:h="16838" w:code="142"/>
          <w:pgMar w:top="1134" w:right="1134" w:bottom="2268" w:left="1134" w:header="1814" w:footer="709" w:gutter="0"/>
          <w:cols w:space="284"/>
          <w:titlePg/>
          <w:docGrid w:linePitch="360"/>
        </w:sectPr>
      </w:pPr>
    </w:p>
    <w:p w14:paraId="28AD9E57" w14:textId="77777777" w:rsidR="00075ADF" w:rsidRPr="00141805" w:rsidRDefault="00B65156" w:rsidP="00790388">
      <w:r>
        <w:t>T</w:t>
      </w:r>
      <w:r w:rsidR="00075ADF" w:rsidRPr="003768B6">
        <w:t>his fact sheet outlines the legislative framework for greenhouse gas</w:t>
      </w:r>
      <w:r w:rsidR="001F36E5">
        <w:t xml:space="preserve"> (GHG)</w:t>
      </w:r>
      <w:r w:rsidR="00075ADF" w:rsidRPr="003768B6">
        <w:t xml:space="preserve"> injection and storage operations in Commonwealth offshore waters under the</w:t>
      </w:r>
      <w:r w:rsidR="00075ADF" w:rsidRPr="003768B6">
        <w:rPr>
          <w:i/>
        </w:rPr>
        <w:t xml:space="preserve"> Offshore Petroleum and Greenhouse Gas Storage Act 2006</w:t>
      </w:r>
      <w:r w:rsidR="00757B68">
        <w:rPr>
          <w:i/>
        </w:rPr>
        <w:t xml:space="preserve"> </w:t>
      </w:r>
      <w:r w:rsidR="00757B68">
        <w:t>(</w:t>
      </w:r>
      <w:r w:rsidR="00496A21">
        <w:t>OPGGSA</w:t>
      </w:r>
      <w:r w:rsidR="00757B68">
        <w:t>)</w:t>
      </w:r>
      <w:r w:rsidR="00075ADF" w:rsidRPr="003768B6">
        <w:rPr>
          <w:i/>
        </w:rPr>
        <w:t>.</w:t>
      </w:r>
    </w:p>
    <w:p w14:paraId="28AD9E58" w14:textId="77777777" w:rsidR="00075ADF" w:rsidRDefault="00075ADF" w:rsidP="00790388">
      <w:r w:rsidRPr="003768B6">
        <w:t xml:space="preserve">The </w:t>
      </w:r>
      <w:r w:rsidR="00757B68">
        <w:t>OPGGS</w:t>
      </w:r>
      <w:r w:rsidR="00496A21">
        <w:t>A</w:t>
      </w:r>
      <w:r w:rsidRPr="003768B6">
        <w:t xml:space="preserve"> </w:t>
      </w:r>
      <w:r w:rsidR="00141805">
        <w:t xml:space="preserve">provides a legal framework that </w:t>
      </w:r>
      <w:r w:rsidRPr="003768B6">
        <w:t>establishes</w:t>
      </w:r>
      <w:r w:rsidR="00757B68">
        <w:t xml:space="preserve"> a</w:t>
      </w:r>
      <w:r w:rsidRPr="003768B6">
        <w:t xml:space="preserve"> title</w:t>
      </w:r>
      <w:r w:rsidR="00757B68">
        <w:t xml:space="preserve"> system</w:t>
      </w:r>
      <w:r w:rsidRPr="003768B6">
        <w:t xml:space="preserve"> for pipeline transportation, injection and storage of </w:t>
      </w:r>
      <w:r w:rsidR="001F36E5">
        <w:t>GHG</w:t>
      </w:r>
      <w:r w:rsidR="00E63AD7">
        <w:t xml:space="preserve"> </w:t>
      </w:r>
      <w:r w:rsidRPr="003768B6">
        <w:t>substances in geological formations in</w:t>
      </w:r>
      <w:r>
        <w:t xml:space="preserve"> </w:t>
      </w:r>
      <w:r w:rsidR="00757B68">
        <w:t xml:space="preserve">the Commonwealth waters of </w:t>
      </w:r>
      <w:r>
        <w:t>Australia’s</w:t>
      </w:r>
      <w:r w:rsidRPr="003768B6">
        <w:t xml:space="preserve"> offshore</w:t>
      </w:r>
      <w:r>
        <w:t xml:space="preserve"> areas</w:t>
      </w:r>
      <w:r w:rsidR="00141805">
        <w:t xml:space="preserve"> three nautical miles from the coastline to the boundary of Australia’s Exclusive Economic Zone</w:t>
      </w:r>
      <w:r w:rsidR="00B65156">
        <w:t>.</w:t>
      </w:r>
    </w:p>
    <w:p w14:paraId="28AD9E59" w14:textId="77777777" w:rsidR="00075ADF" w:rsidRPr="003768B6" w:rsidRDefault="00075ADF" w:rsidP="00790388">
      <w:pPr>
        <w:rPr>
          <w:szCs w:val="18"/>
        </w:rPr>
      </w:pPr>
      <w:r w:rsidRPr="003768B6">
        <w:rPr>
          <w:szCs w:val="18"/>
        </w:rPr>
        <w:t>Major features of the legislation include:</w:t>
      </w:r>
    </w:p>
    <w:p w14:paraId="28AD9E5A" w14:textId="77777777" w:rsidR="00075ADF" w:rsidRPr="003768B6" w:rsidRDefault="00075ADF" w:rsidP="00790388">
      <w:pPr>
        <w:keepLines/>
        <w:numPr>
          <w:ilvl w:val="0"/>
          <w:numId w:val="2"/>
        </w:numPr>
        <w:tabs>
          <w:tab w:val="clear" w:pos="720"/>
        </w:tabs>
        <w:suppressAutoHyphens/>
        <w:ind w:left="426" w:hanging="426"/>
        <w:rPr>
          <w:szCs w:val="18"/>
        </w:rPr>
      </w:pPr>
      <w:r w:rsidRPr="003768B6">
        <w:rPr>
          <w:szCs w:val="18"/>
        </w:rPr>
        <w:t>the provision of access and property rights through a title system sim</w:t>
      </w:r>
      <w:r w:rsidR="00B65156">
        <w:rPr>
          <w:szCs w:val="18"/>
        </w:rPr>
        <w:t>ilar to that used for petroleum</w:t>
      </w:r>
      <w:r w:rsidR="00141805" w:rsidRPr="00141805">
        <w:t xml:space="preserve"> </w:t>
      </w:r>
      <w:r w:rsidR="00141805">
        <w:t>for exploring for and using GHG storage formations and sites</w:t>
      </w:r>
    </w:p>
    <w:p w14:paraId="28AD9E5B" w14:textId="77777777" w:rsidR="00075ADF" w:rsidRPr="003768B6" w:rsidRDefault="00075ADF" w:rsidP="00790388">
      <w:pPr>
        <w:keepLines/>
        <w:numPr>
          <w:ilvl w:val="0"/>
          <w:numId w:val="2"/>
        </w:numPr>
        <w:tabs>
          <w:tab w:val="clear" w:pos="720"/>
        </w:tabs>
        <w:suppressAutoHyphens/>
        <w:ind w:left="426" w:hanging="426"/>
        <w:rPr>
          <w:szCs w:val="18"/>
        </w:rPr>
      </w:pPr>
      <w:r w:rsidRPr="003768B6">
        <w:rPr>
          <w:szCs w:val="18"/>
        </w:rPr>
        <w:t>e</w:t>
      </w:r>
      <w:r w:rsidR="00B65156">
        <w:rPr>
          <w:szCs w:val="18"/>
        </w:rPr>
        <w:t>nsuring safe and secure storage</w:t>
      </w:r>
    </w:p>
    <w:p w14:paraId="28AD9E5C" w14:textId="77777777" w:rsidR="00075ADF" w:rsidRPr="003768B6" w:rsidRDefault="00075ADF" w:rsidP="00790388">
      <w:pPr>
        <w:keepLines/>
        <w:numPr>
          <w:ilvl w:val="0"/>
          <w:numId w:val="2"/>
        </w:numPr>
        <w:tabs>
          <w:tab w:val="clear" w:pos="720"/>
        </w:tabs>
        <w:suppressAutoHyphens/>
        <w:ind w:left="426" w:hanging="426"/>
        <w:rPr>
          <w:szCs w:val="18"/>
        </w:rPr>
      </w:pPr>
      <w:r w:rsidRPr="003768B6">
        <w:rPr>
          <w:szCs w:val="18"/>
        </w:rPr>
        <w:t>mechanisms for managing interactions with the petroleum in</w:t>
      </w:r>
      <w:r w:rsidR="00B65156">
        <w:rPr>
          <w:szCs w:val="18"/>
        </w:rPr>
        <w:t>dustry</w:t>
      </w:r>
    </w:p>
    <w:p w14:paraId="28AD9E5D" w14:textId="77777777" w:rsidR="00075ADF" w:rsidRPr="003768B6" w:rsidRDefault="00075ADF" w:rsidP="00790388">
      <w:pPr>
        <w:keepLines/>
        <w:numPr>
          <w:ilvl w:val="0"/>
          <w:numId w:val="2"/>
        </w:numPr>
        <w:tabs>
          <w:tab w:val="clear" w:pos="720"/>
        </w:tabs>
        <w:suppressAutoHyphens/>
        <w:ind w:left="426" w:hanging="426"/>
        <w:rPr>
          <w:szCs w:val="18"/>
        </w:rPr>
      </w:pPr>
      <w:r w:rsidRPr="003768B6">
        <w:rPr>
          <w:szCs w:val="18"/>
        </w:rPr>
        <w:t>site closure and the treatment of long-term liability.</w:t>
      </w:r>
    </w:p>
    <w:p w14:paraId="28AD9E5E" w14:textId="77777777" w:rsidR="00141805" w:rsidRDefault="00141805" w:rsidP="009507D1">
      <w:r w:rsidRPr="00141805">
        <w:t xml:space="preserve">In relation to access and property rights, the </w:t>
      </w:r>
      <w:r w:rsidR="009507D1">
        <w:t xml:space="preserve">OPGGSA </w:t>
      </w:r>
      <w:r w:rsidRPr="00141805">
        <w:t>provides for the issue of invitations t</w:t>
      </w:r>
      <w:r>
        <w:t>o apply for assessment permits through an acreage release</w:t>
      </w:r>
      <w:r w:rsidR="009507D1" w:rsidRPr="009507D1">
        <w:t xml:space="preserve"> </w:t>
      </w:r>
      <w:r w:rsidR="009507D1" w:rsidRPr="00141805">
        <w:t>on either a work</w:t>
      </w:r>
      <w:r w:rsidR="009507D1">
        <w:t xml:space="preserve"> program bid or cash bid basis</w:t>
      </w:r>
      <w:r w:rsidRPr="00141805">
        <w:t>, followed by assessment of bids against publicly available criteria and then issue of permits to successful applicants. Conditions of the title will also be determined at this time.</w:t>
      </w:r>
    </w:p>
    <w:p w14:paraId="28AD9E5F" w14:textId="77777777" w:rsidR="00790388" w:rsidRPr="00E63AD7" w:rsidRDefault="00790388" w:rsidP="00790388">
      <w:pPr>
        <w:rPr>
          <w:b/>
        </w:rPr>
      </w:pPr>
      <w:r w:rsidRPr="00790388">
        <w:t xml:space="preserve">The legislation </w:t>
      </w:r>
      <w:r w:rsidR="00141805">
        <w:t xml:space="preserve">also </w:t>
      </w:r>
      <w:r w:rsidRPr="00790388">
        <w:t>provides the petroleum industry with additional options for the storage of any carbon dioxide that may be produced through petroleum operations.</w:t>
      </w:r>
      <w:r w:rsidR="00E63AD7" w:rsidRPr="00B65156">
        <w:t xml:space="preserve"> </w:t>
      </w:r>
      <w:r>
        <w:t xml:space="preserve">Petroleum producers’ rights to use GHG for enhanced </w:t>
      </w:r>
      <w:r>
        <w:t>petroleum recovery remain unchanged and can be undertaken under a petroleum production licence.</w:t>
      </w:r>
    </w:p>
    <w:p w14:paraId="28AD9E60" w14:textId="77777777" w:rsidR="00790388" w:rsidRDefault="00790388" w:rsidP="00790388">
      <w:pPr>
        <w:pStyle w:val="Heading2"/>
      </w:pPr>
      <w:r>
        <w:t xml:space="preserve">Interaction with petroleum </w:t>
      </w:r>
      <w:r w:rsidRPr="00790388">
        <w:t>titles</w:t>
      </w:r>
    </w:p>
    <w:p w14:paraId="28AD9E61" w14:textId="77777777" w:rsidR="00075ADF" w:rsidRDefault="00790388" w:rsidP="00790388">
      <w:pPr>
        <w:rPr>
          <w:b/>
          <w:szCs w:val="18"/>
        </w:rPr>
      </w:pPr>
      <w:r w:rsidRPr="00AA1FBF">
        <w:rPr>
          <w:szCs w:val="18"/>
        </w:rPr>
        <w:t>T</w:t>
      </w:r>
      <w:r w:rsidR="00075ADF" w:rsidRPr="003768B6">
        <w:rPr>
          <w:szCs w:val="18"/>
        </w:rPr>
        <w:t xml:space="preserve">he </w:t>
      </w:r>
      <w:r w:rsidR="009507D1">
        <w:rPr>
          <w:szCs w:val="18"/>
        </w:rPr>
        <w:t>OPGGSA</w:t>
      </w:r>
      <w:r w:rsidR="00075ADF" w:rsidRPr="003768B6">
        <w:rPr>
          <w:szCs w:val="18"/>
        </w:rPr>
        <w:t xml:space="preserve"> sets out the requirements for the co-existence of the petroleum industry and the </w:t>
      </w:r>
      <w:r w:rsidR="00362FB2">
        <w:rPr>
          <w:szCs w:val="18"/>
        </w:rPr>
        <w:t>GHG</w:t>
      </w:r>
      <w:r w:rsidR="003E24F7">
        <w:rPr>
          <w:szCs w:val="18"/>
        </w:rPr>
        <w:t xml:space="preserve"> storage industry.</w:t>
      </w:r>
      <w:r w:rsidR="00075ADF" w:rsidRPr="003768B6">
        <w:rPr>
          <w:szCs w:val="18"/>
        </w:rPr>
        <w:t xml:space="preserve"> In some circumstances, one activity could impact o</w:t>
      </w:r>
      <w:r w:rsidR="00FE6A90">
        <w:rPr>
          <w:szCs w:val="18"/>
        </w:rPr>
        <w:t>n the other activity. To manage</w:t>
      </w:r>
      <w:r w:rsidR="00B65156">
        <w:rPr>
          <w:szCs w:val="18"/>
        </w:rPr>
        <w:t xml:space="preserve"> </w:t>
      </w:r>
      <w:r w:rsidR="00075ADF" w:rsidRPr="003768B6">
        <w:rPr>
          <w:szCs w:val="18"/>
        </w:rPr>
        <w:t>this, the legislation distinguishes between pre-commencement petroleum titles and post-commencement petroleum titles.</w:t>
      </w:r>
    </w:p>
    <w:p w14:paraId="28AD9E62" w14:textId="77777777" w:rsidR="00075ADF" w:rsidRDefault="00075ADF" w:rsidP="00790388">
      <w:r>
        <w:t>Pre-commencement titles are the titles that were in existence before the amendments came into effect in November 2008; all subsequent titles are post-commencement titles</w:t>
      </w:r>
      <w:r w:rsidR="005D40AB">
        <w:t xml:space="preserve">. </w:t>
      </w:r>
      <w:r w:rsidR="005B6459">
        <w:t>For example, e</w:t>
      </w:r>
      <w:r w:rsidR="005D40AB">
        <w:t xml:space="preserve">xploration permits awarded from </w:t>
      </w:r>
      <w:r w:rsidR="00734A33">
        <w:t>the 2014</w:t>
      </w:r>
      <w:r>
        <w:t xml:space="preserve"> Offshore Petroleum Exploration Acreage Release </w:t>
      </w:r>
      <w:r w:rsidR="00790388">
        <w:t xml:space="preserve">are </w:t>
      </w:r>
      <w:r w:rsidR="00734A33">
        <w:t>post-commencement titles</w:t>
      </w:r>
      <w:r>
        <w:t>.</w:t>
      </w:r>
    </w:p>
    <w:p w14:paraId="28AD9E63" w14:textId="77777777" w:rsidR="00075ADF" w:rsidRPr="002B35E7" w:rsidRDefault="0099652E" w:rsidP="00790388">
      <w:pPr>
        <w:pStyle w:val="Heading2"/>
      </w:pPr>
      <w:r w:rsidRPr="002B35E7">
        <w:t>Pre-commencement t</w:t>
      </w:r>
      <w:r w:rsidR="00075ADF" w:rsidRPr="002B35E7">
        <w:t>itles</w:t>
      </w:r>
    </w:p>
    <w:p w14:paraId="28AD9E64" w14:textId="77777777" w:rsidR="00075ADF" w:rsidRDefault="00075ADF" w:rsidP="00790388">
      <w:r>
        <w:t>Petroleum titles awarded before November 2008, or directly derived from such title</w:t>
      </w:r>
      <w:r w:rsidR="003E24F7">
        <w:t>s, are pre-commencement titles.</w:t>
      </w:r>
      <w:r>
        <w:t xml:space="preserve"> Rights under these titles are protected through a ‘significant impact test’. Under this test, an activity under a </w:t>
      </w:r>
      <w:r w:rsidR="00362FB2">
        <w:t>GHG</w:t>
      </w:r>
      <w:r>
        <w:t xml:space="preserve"> title</w:t>
      </w:r>
      <w:r w:rsidR="00141805">
        <w:t xml:space="preserve"> cannot be approved unless the R</w:t>
      </w:r>
      <w:r>
        <w:t>esponsible Commonwealth Minister</w:t>
      </w:r>
      <w:r w:rsidR="009507D1">
        <w:t xml:space="preserve"> (RCM)</w:t>
      </w:r>
      <w:r>
        <w:t xml:space="preserve"> is satisfied that the activity does not pose a significant risk of a significant adverse impact on a pre-commencement petroleum title</w:t>
      </w:r>
      <w:r w:rsidR="002E4072">
        <w:t>,</w:t>
      </w:r>
      <w:r>
        <w:t xml:space="preserve"> or that there is a commercial agreement between th</w:t>
      </w:r>
      <w:r w:rsidR="00B65156">
        <w:t>e two titleholders.</w:t>
      </w:r>
    </w:p>
    <w:p w14:paraId="28AD9E65" w14:textId="77777777" w:rsidR="00075ADF" w:rsidRPr="00D239B1" w:rsidRDefault="0099652E" w:rsidP="00790388">
      <w:pPr>
        <w:pStyle w:val="Heading2"/>
      </w:pPr>
      <w:r>
        <w:t>Post-commencement t</w:t>
      </w:r>
      <w:r w:rsidR="00075ADF" w:rsidRPr="00D239B1">
        <w:t>itles</w:t>
      </w:r>
    </w:p>
    <w:p w14:paraId="28AD9E66" w14:textId="77777777" w:rsidR="00141805" w:rsidRDefault="00075ADF" w:rsidP="00790388">
      <w:r>
        <w:t>All petroleum exploration permits awarded after November 2008, or directly derived from such titles</w:t>
      </w:r>
      <w:r w:rsidR="003E24F7">
        <w:t>, are post-commencement titles.</w:t>
      </w:r>
      <w:r>
        <w:t xml:space="preserve"> If there is no agreement between a petroleum </w:t>
      </w:r>
      <w:r w:rsidR="003E24F7">
        <w:t xml:space="preserve">titleholder </w:t>
      </w:r>
      <w:r>
        <w:t xml:space="preserve">and a </w:t>
      </w:r>
      <w:r w:rsidR="00362FB2">
        <w:t>GHG</w:t>
      </w:r>
      <w:r>
        <w:t xml:space="preserve"> titleholder, and the two operations cannot coexist, the </w:t>
      </w:r>
      <w:r w:rsidR="009507D1">
        <w:t>RCM</w:t>
      </w:r>
      <w:r>
        <w:t xml:space="preserve"> will make </w:t>
      </w:r>
      <w:r>
        <w:lastRenderedPageBreak/>
        <w:t xml:space="preserve">a decision on which operation should </w:t>
      </w:r>
      <w:r w:rsidR="00362FB2">
        <w:t xml:space="preserve">proceed in the public interest. </w:t>
      </w:r>
      <w:r>
        <w:t xml:space="preserve">However, once granted, a post-commencement petroleum production licence is protected through the </w:t>
      </w:r>
      <w:r w:rsidR="00F06B7F">
        <w:t>‘</w:t>
      </w:r>
      <w:r>
        <w:t>significant impact test</w:t>
      </w:r>
      <w:r w:rsidR="00F06B7F">
        <w:t>’</w:t>
      </w:r>
      <w:r>
        <w:t>.</w:t>
      </w:r>
    </w:p>
    <w:p w14:paraId="28AD9E67" w14:textId="77777777" w:rsidR="00141805" w:rsidRDefault="00141805" w:rsidP="00141805">
      <w:pPr>
        <w:pStyle w:val="Heading2"/>
      </w:pPr>
      <w:r>
        <w:t>Regulatory responsibilities</w:t>
      </w:r>
    </w:p>
    <w:p w14:paraId="28AD9E68" w14:textId="77777777" w:rsidR="00141805" w:rsidRDefault="00141805" w:rsidP="00141805">
      <w:pPr>
        <w:rPr>
          <w:szCs w:val="18"/>
        </w:rPr>
      </w:pPr>
      <w:r>
        <w:rPr>
          <w:szCs w:val="18"/>
        </w:rPr>
        <w:t>The</w:t>
      </w:r>
      <w:r w:rsidRPr="00501A32">
        <w:rPr>
          <w:szCs w:val="18"/>
        </w:rPr>
        <w:t xml:space="preserve"> regime for </w:t>
      </w:r>
      <w:r>
        <w:rPr>
          <w:szCs w:val="18"/>
        </w:rPr>
        <w:t xml:space="preserve">awarding titles for </w:t>
      </w:r>
      <w:r w:rsidRPr="00501A32">
        <w:rPr>
          <w:szCs w:val="18"/>
        </w:rPr>
        <w:t xml:space="preserve">offshore </w:t>
      </w:r>
      <w:r>
        <w:rPr>
          <w:szCs w:val="18"/>
        </w:rPr>
        <w:t>GHG Storage</w:t>
      </w:r>
      <w:r w:rsidRPr="00501A32">
        <w:rPr>
          <w:szCs w:val="18"/>
        </w:rPr>
        <w:t xml:space="preserve"> in Commonwealth waters is administer</w:t>
      </w:r>
      <w:r>
        <w:rPr>
          <w:szCs w:val="18"/>
        </w:rPr>
        <w:t>ed by the Commonwealth</w:t>
      </w:r>
      <w:r w:rsidR="009507D1">
        <w:rPr>
          <w:szCs w:val="18"/>
        </w:rPr>
        <w:t xml:space="preserve"> Government</w:t>
      </w:r>
      <w:r w:rsidRPr="00501A32">
        <w:rPr>
          <w:szCs w:val="18"/>
        </w:rPr>
        <w:t xml:space="preserve"> through </w:t>
      </w:r>
      <w:r>
        <w:rPr>
          <w:szCs w:val="18"/>
        </w:rPr>
        <w:t xml:space="preserve">the </w:t>
      </w:r>
      <w:r w:rsidR="009507D1">
        <w:rPr>
          <w:szCs w:val="18"/>
        </w:rPr>
        <w:t>RCM</w:t>
      </w:r>
      <w:r>
        <w:rPr>
          <w:szCs w:val="18"/>
        </w:rPr>
        <w:t xml:space="preserve"> who is currently the Minister for Industry.</w:t>
      </w:r>
    </w:p>
    <w:p w14:paraId="28AD9E69" w14:textId="77777777" w:rsidR="00141805" w:rsidRDefault="00141805" w:rsidP="00141805">
      <w:pPr>
        <w:rPr>
          <w:szCs w:val="18"/>
        </w:rPr>
      </w:pPr>
      <w:r w:rsidRPr="00501A32">
        <w:rPr>
          <w:szCs w:val="18"/>
        </w:rPr>
        <w:t xml:space="preserve">The National Offshore Petroleum Titles Administrator (NOPTA) and the National Offshore Petroleum Safety and Environmental Management Authority (NOPSEMA) perform regulatory functions related to offshore </w:t>
      </w:r>
      <w:r>
        <w:rPr>
          <w:szCs w:val="18"/>
        </w:rPr>
        <w:t>GHG Storage activities.</w:t>
      </w:r>
    </w:p>
    <w:p w14:paraId="28AD9E6A" w14:textId="77777777" w:rsidR="00141805" w:rsidRDefault="00141805" w:rsidP="00141805">
      <w:pPr>
        <w:pStyle w:val="Heading3"/>
        <w:spacing w:before="0" w:after="200" w:line="276" w:lineRule="auto"/>
      </w:pPr>
      <w:r>
        <w:t>Responsible Commonwealth Minister</w:t>
      </w:r>
    </w:p>
    <w:p w14:paraId="28AD9E6B" w14:textId="77777777" w:rsidR="00141805" w:rsidRDefault="00141805" w:rsidP="00141805">
      <w:r>
        <w:t xml:space="preserve">The RCM makes the major policy decisions under the OPGGSA concerning the granting of GHG titles, the imposition of title conditions and the cancellation of titles. Other key functions and powers of the RCM include the release of offshore GHG </w:t>
      </w:r>
      <w:r w:rsidR="001F36E5">
        <w:t>s</w:t>
      </w:r>
      <w:r>
        <w:t>torage acreage areas and assessment of bids for these areas.</w:t>
      </w:r>
    </w:p>
    <w:p w14:paraId="28AD9E6C" w14:textId="77777777" w:rsidR="00141805" w:rsidRDefault="00141805" w:rsidP="00141805">
      <w:pPr>
        <w:pStyle w:val="Heading3"/>
        <w:spacing w:before="0" w:after="200" w:line="276" w:lineRule="auto"/>
      </w:pPr>
      <w:r>
        <w:t>National Offshore Petroleum Titles Administrator</w:t>
      </w:r>
    </w:p>
    <w:p w14:paraId="28AD9E6D" w14:textId="77777777" w:rsidR="00141805" w:rsidRDefault="00141805" w:rsidP="00141805">
      <w:pPr>
        <w:rPr>
          <w:szCs w:val="18"/>
          <w:lang w:val="en-US"/>
        </w:rPr>
      </w:pPr>
      <w:r w:rsidRPr="00D953B7">
        <w:rPr>
          <w:szCs w:val="18"/>
        </w:rPr>
        <w:t xml:space="preserve">NOPTA is responsible for the day-to-day administration of </w:t>
      </w:r>
      <w:r>
        <w:rPr>
          <w:szCs w:val="18"/>
        </w:rPr>
        <w:t xml:space="preserve">GHG </w:t>
      </w:r>
      <w:r w:rsidRPr="00D953B7">
        <w:rPr>
          <w:szCs w:val="18"/>
        </w:rPr>
        <w:t>titles</w:t>
      </w:r>
      <w:r>
        <w:rPr>
          <w:szCs w:val="18"/>
        </w:rPr>
        <w:t xml:space="preserve"> in all offshore areas and is</w:t>
      </w:r>
      <w:r>
        <w:rPr>
          <w:szCs w:val="18"/>
          <w:lang w:val="en-US"/>
        </w:rPr>
        <w:t xml:space="preserve"> the</w:t>
      </w:r>
      <w:r w:rsidRPr="00D953B7">
        <w:rPr>
          <w:szCs w:val="18"/>
          <w:lang w:val="en-US"/>
        </w:rPr>
        <w:t xml:space="preserve"> </w:t>
      </w:r>
      <w:r>
        <w:rPr>
          <w:szCs w:val="18"/>
          <w:lang w:val="en-US"/>
        </w:rPr>
        <w:t xml:space="preserve">point of contact for </w:t>
      </w:r>
      <w:r w:rsidRPr="00D953B7">
        <w:rPr>
          <w:szCs w:val="18"/>
          <w:lang w:val="en-US"/>
        </w:rPr>
        <w:t xml:space="preserve">matters pertaining to offshore titles administration in </w:t>
      </w:r>
      <w:r>
        <w:rPr>
          <w:szCs w:val="18"/>
          <w:lang w:val="en-US"/>
        </w:rPr>
        <w:t>Commonwealth waters.</w:t>
      </w:r>
    </w:p>
    <w:p w14:paraId="28AD9E6E" w14:textId="77777777" w:rsidR="00141805" w:rsidRPr="00D953B7" w:rsidRDefault="00141805" w:rsidP="00141805">
      <w:pPr>
        <w:rPr>
          <w:szCs w:val="18"/>
        </w:rPr>
      </w:pPr>
      <w:r>
        <w:rPr>
          <w:szCs w:val="18"/>
          <w:lang w:val="en-US"/>
        </w:rPr>
        <w:t>NOPTA’s k</w:t>
      </w:r>
      <w:r w:rsidRPr="00D953B7">
        <w:rPr>
          <w:szCs w:val="18"/>
          <w:lang w:val="en-US"/>
        </w:rPr>
        <w:t>ey functions include:</w:t>
      </w:r>
    </w:p>
    <w:p w14:paraId="28AD9E6F" w14:textId="77777777" w:rsidR="00141805" w:rsidRPr="00D953B7" w:rsidRDefault="00141805" w:rsidP="00141805">
      <w:pPr>
        <w:numPr>
          <w:ilvl w:val="0"/>
          <w:numId w:val="3"/>
        </w:numPr>
        <w:rPr>
          <w:szCs w:val="18"/>
        </w:rPr>
      </w:pPr>
      <w:r w:rsidRPr="00D953B7">
        <w:rPr>
          <w:szCs w:val="18"/>
        </w:rPr>
        <w:t xml:space="preserve">providing information, assessments, analysis, reports and advice to </w:t>
      </w:r>
      <w:r>
        <w:rPr>
          <w:szCs w:val="18"/>
        </w:rPr>
        <w:t>the RCM</w:t>
      </w:r>
    </w:p>
    <w:p w14:paraId="28AD9E70" w14:textId="77777777" w:rsidR="00141805" w:rsidRPr="00D953B7" w:rsidRDefault="00141805" w:rsidP="00141805">
      <w:pPr>
        <w:numPr>
          <w:ilvl w:val="0"/>
          <w:numId w:val="3"/>
        </w:numPr>
        <w:rPr>
          <w:szCs w:val="18"/>
        </w:rPr>
      </w:pPr>
      <w:r w:rsidRPr="00D953B7">
        <w:rPr>
          <w:szCs w:val="18"/>
        </w:rPr>
        <w:t>managing the collection, admi</w:t>
      </w:r>
      <w:r>
        <w:rPr>
          <w:szCs w:val="18"/>
        </w:rPr>
        <w:t>nistration and release of data</w:t>
      </w:r>
    </w:p>
    <w:p w14:paraId="28AD9E71" w14:textId="77777777" w:rsidR="00141805" w:rsidRPr="00D953B7" w:rsidRDefault="00141805" w:rsidP="00141805">
      <w:pPr>
        <w:numPr>
          <w:ilvl w:val="0"/>
          <w:numId w:val="3"/>
        </w:numPr>
        <w:rPr>
          <w:szCs w:val="18"/>
        </w:rPr>
      </w:pPr>
      <w:r w:rsidRPr="00D953B7">
        <w:rPr>
          <w:szCs w:val="18"/>
        </w:rPr>
        <w:t xml:space="preserve">facilitating life of title administration, including </w:t>
      </w:r>
      <w:r>
        <w:rPr>
          <w:szCs w:val="18"/>
        </w:rPr>
        <w:t>RCM</w:t>
      </w:r>
      <w:r w:rsidRPr="00D953B7">
        <w:rPr>
          <w:szCs w:val="18"/>
        </w:rPr>
        <w:t xml:space="preserve"> consideration of changes to permit conditions, and approval and registration of transfers and dealings associated with offshore </w:t>
      </w:r>
      <w:r>
        <w:rPr>
          <w:szCs w:val="18"/>
        </w:rPr>
        <w:t>GHG titles</w:t>
      </w:r>
    </w:p>
    <w:p w14:paraId="28AD9E72" w14:textId="77777777" w:rsidR="00141805" w:rsidRPr="00D953B7" w:rsidRDefault="00141805" w:rsidP="00141805">
      <w:pPr>
        <w:numPr>
          <w:ilvl w:val="0"/>
          <w:numId w:val="3"/>
        </w:numPr>
        <w:rPr>
          <w:szCs w:val="18"/>
        </w:rPr>
      </w:pPr>
      <w:r w:rsidRPr="00D953B7">
        <w:rPr>
          <w:szCs w:val="18"/>
        </w:rPr>
        <w:t xml:space="preserve">maintaining the registers of petroleum and </w:t>
      </w:r>
      <w:r>
        <w:rPr>
          <w:szCs w:val="18"/>
        </w:rPr>
        <w:t>GHG storage titles</w:t>
      </w:r>
      <w:r w:rsidRPr="00D953B7">
        <w:rPr>
          <w:szCs w:val="18"/>
        </w:rPr>
        <w:t>.</w:t>
      </w:r>
    </w:p>
    <w:p w14:paraId="28AD9E73" w14:textId="77777777" w:rsidR="00141805" w:rsidRPr="00755ED5" w:rsidRDefault="00141805" w:rsidP="00141805">
      <w:pPr>
        <w:rPr>
          <w:rStyle w:val="Hyperlink"/>
          <w:rFonts w:eastAsiaTheme="majorEastAsia" w:cstheme="majorBidi"/>
          <w:bCs/>
          <w:color w:val="auto"/>
        </w:rPr>
      </w:pPr>
      <w:bookmarkStart w:id="1" w:name="OLE_LINK5"/>
      <w:r w:rsidRPr="00D953B7">
        <w:rPr>
          <w:szCs w:val="18"/>
        </w:rPr>
        <w:t xml:space="preserve">For more information, </w:t>
      </w:r>
      <w:r>
        <w:rPr>
          <w:szCs w:val="18"/>
        </w:rPr>
        <w:t>visit</w:t>
      </w:r>
      <w:r w:rsidRPr="00D953B7">
        <w:rPr>
          <w:szCs w:val="18"/>
        </w:rPr>
        <w:t xml:space="preserve"> the NOPTA website at</w:t>
      </w:r>
      <w:r>
        <w:rPr>
          <w:szCs w:val="18"/>
        </w:rPr>
        <w:t>:</w:t>
      </w:r>
      <w:r w:rsidRPr="00D953B7">
        <w:rPr>
          <w:szCs w:val="18"/>
        </w:rPr>
        <w:t xml:space="preserve"> </w:t>
      </w:r>
      <w:hyperlink r:id="rId13" w:tooltip="Link to the NOPTA website." w:history="1">
        <w:r w:rsidRPr="003F7638">
          <w:rPr>
            <w:rStyle w:val="Hyperlink"/>
            <w:szCs w:val="18"/>
          </w:rPr>
          <w:t>www.nopta.gov.au</w:t>
        </w:r>
      </w:hyperlink>
    </w:p>
    <w:p w14:paraId="28AD9E74" w14:textId="77777777" w:rsidR="00141805" w:rsidRPr="00031286" w:rsidRDefault="00141805" w:rsidP="00141805">
      <w:pPr>
        <w:pStyle w:val="Heading3"/>
        <w:spacing w:before="0" w:after="200" w:line="276" w:lineRule="auto"/>
      </w:pPr>
      <w:r w:rsidRPr="00031286">
        <w:t>National Offshore Petroleum Safety and Environmental Management Authority</w:t>
      </w:r>
      <w:bookmarkEnd w:id="1"/>
    </w:p>
    <w:p w14:paraId="28AD9E75" w14:textId="3A614316" w:rsidR="00141805" w:rsidRPr="00FD6B5C" w:rsidRDefault="00141805" w:rsidP="00141805">
      <w:r w:rsidRPr="00FD6B5C">
        <w:t>NOPSEMA is the regulator of</w:t>
      </w:r>
      <w:r w:rsidR="009507D1">
        <w:t xml:space="preserve"> </w:t>
      </w:r>
      <w:r w:rsidR="002432DC">
        <w:t>safety</w:t>
      </w:r>
      <w:r w:rsidR="009507D1">
        <w:t xml:space="preserve"> management</w:t>
      </w:r>
      <w:r w:rsidRPr="00FD6B5C">
        <w:t xml:space="preserve"> </w:t>
      </w:r>
      <w:r>
        <w:t>of GHG Storage</w:t>
      </w:r>
      <w:r w:rsidRPr="00FD6B5C">
        <w:t xml:space="preserve"> operations i</w:t>
      </w:r>
      <w:r>
        <w:t>n Commonwealth offshore areas.</w:t>
      </w:r>
    </w:p>
    <w:p w14:paraId="28AD9E76" w14:textId="77777777" w:rsidR="00141805" w:rsidRPr="00D953B7" w:rsidRDefault="00141805" w:rsidP="00141805">
      <w:pPr>
        <w:rPr>
          <w:szCs w:val="18"/>
        </w:rPr>
      </w:pPr>
      <w:r w:rsidRPr="00FD6B5C">
        <w:t>For more information, see the NOPSEMA website at</w:t>
      </w:r>
      <w:r w:rsidR="009507D1">
        <w:t>:</w:t>
      </w:r>
      <w:r w:rsidRPr="00D953B7">
        <w:rPr>
          <w:szCs w:val="18"/>
        </w:rPr>
        <w:t xml:space="preserve"> </w:t>
      </w:r>
      <w:hyperlink r:id="rId14" w:history="1">
        <w:r w:rsidRPr="003F7638">
          <w:rPr>
            <w:rStyle w:val="Hyperlink"/>
            <w:szCs w:val="18"/>
          </w:rPr>
          <w:t>www.nopsema.gov.au</w:t>
        </w:r>
      </w:hyperlink>
    </w:p>
    <w:p w14:paraId="28AD9E77" w14:textId="77777777" w:rsidR="00141805" w:rsidRPr="004814A8" w:rsidRDefault="00141805" w:rsidP="00141805">
      <w:pPr>
        <w:pStyle w:val="Heading2"/>
      </w:pPr>
      <w:bookmarkStart w:id="2" w:name="CursorPositionBM"/>
      <w:bookmarkEnd w:id="2"/>
      <w:r>
        <w:t>Further information</w:t>
      </w:r>
    </w:p>
    <w:p w14:paraId="28AD9E78" w14:textId="77777777" w:rsidR="00141805" w:rsidRPr="00141805" w:rsidRDefault="009507D1" w:rsidP="00790388">
      <w:pPr>
        <w:rPr>
          <w:szCs w:val="18"/>
        </w:rPr>
      </w:pPr>
      <w:r>
        <w:rPr>
          <w:szCs w:val="18"/>
        </w:rPr>
        <w:t>A</w:t>
      </w:r>
      <w:r w:rsidR="00141805" w:rsidRPr="00D953B7">
        <w:rPr>
          <w:szCs w:val="18"/>
        </w:rPr>
        <w:t xml:space="preserve">ll current legislation, regulations and guidelines governing the offshore </w:t>
      </w:r>
      <w:r w:rsidR="00141805">
        <w:rPr>
          <w:szCs w:val="18"/>
        </w:rPr>
        <w:t>GHG Storage</w:t>
      </w:r>
      <w:r w:rsidR="00141805" w:rsidRPr="00D953B7">
        <w:rPr>
          <w:szCs w:val="18"/>
        </w:rPr>
        <w:t xml:space="preserve"> industry can be found at:</w:t>
      </w:r>
      <w:bookmarkStart w:id="3" w:name="OLE_LINK9"/>
      <w:r w:rsidR="00141805" w:rsidRPr="00D953B7">
        <w:rPr>
          <w:szCs w:val="18"/>
        </w:rPr>
        <w:t xml:space="preserve"> </w:t>
      </w:r>
      <w:bookmarkEnd w:id="3"/>
      <w:r w:rsidRPr="006067BF">
        <w:rPr>
          <w:szCs w:val="18"/>
        </w:rPr>
        <w:fldChar w:fldCharType="begin"/>
      </w:r>
      <w:r w:rsidRPr="006067BF">
        <w:rPr>
          <w:szCs w:val="18"/>
        </w:rPr>
        <w:instrText xml:space="preserve"> HYPERLINK "http://www.nopta.gov.au/legislation/index.html" </w:instrText>
      </w:r>
      <w:r w:rsidRPr="006067BF">
        <w:rPr>
          <w:szCs w:val="18"/>
        </w:rPr>
        <w:fldChar w:fldCharType="separate"/>
      </w:r>
      <w:r w:rsidRPr="006067BF">
        <w:rPr>
          <w:rStyle w:val="Hyperlink"/>
          <w:szCs w:val="18"/>
        </w:rPr>
        <w:t>www.nopta.gov.au/legislation/index.html</w:t>
      </w:r>
      <w:r w:rsidRPr="006067BF">
        <w:rPr>
          <w:szCs w:val="18"/>
        </w:rPr>
        <w:fldChar w:fldCharType="end"/>
      </w:r>
    </w:p>
    <w:sectPr w:rsidR="00141805" w:rsidRPr="00141805" w:rsidSect="004E1197">
      <w:type w:val="continuous"/>
      <w:pgSz w:w="11906" w:h="16838" w:code="142"/>
      <w:pgMar w:top="1134" w:right="1134" w:bottom="2268" w:left="1134" w:header="709" w:footer="709" w:gutter="0"/>
      <w:cols w:num="2"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D9E7B" w14:textId="77777777" w:rsidR="00362FB2" w:rsidRDefault="00362FB2" w:rsidP="00C5321A">
      <w:pPr>
        <w:spacing w:after="0" w:line="240" w:lineRule="auto"/>
      </w:pPr>
      <w:r>
        <w:separator/>
      </w:r>
    </w:p>
  </w:endnote>
  <w:endnote w:type="continuationSeparator" w:id="0">
    <w:p w14:paraId="28AD9E7C" w14:textId="77777777" w:rsidR="00362FB2" w:rsidRDefault="00362FB2" w:rsidP="00C53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1"/>
      <w:gridCol w:w="4797"/>
    </w:tblGrid>
    <w:tr w:rsidR="00362FB2" w14:paraId="28AD9E7F" w14:textId="77777777" w:rsidTr="002B35E7">
      <w:tc>
        <w:tcPr>
          <w:tcW w:w="4927" w:type="dxa"/>
          <w:tcBorders>
            <w:bottom w:val="single" w:sz="4" w:space="0" w:color="auto"/>
          </w:tcBorders>
        </w:tcPr>
        <w:p w14:paraId="28AD9E7D" w14:textId="77777777" w:rsidR="00362FB2" w:rsidRPr="00926B6D" w:rsidRDefault="008815BE" w:rsidP="004A6622">
          <w:pPr>
            <w:pStyle w:val="Footer"/>
            <w:rPr>
              <w:rStyle w:val="HyperlinkACREAGEURLcharacter"/>
            </w:rPr>
          </w:pPr>
          <w:hyperlink r:id="rId1" w:history="1">
            <w:r w:rsidR="004A6622" w:rsidRPr="00557B36">
              <w:rPr>
                <w:rStyle w:val="Hyperlink"/>
                <w:sz w:val="20"/>
              </w:rPr>
              <w:t>www.industy.gov.au/ghg-acreage</w:t>
            </w:r>
          </w:hyperlink>
        </w:p>
      </w:tc>
      <w:tc>
        <w:tcPr>
          <w:tcW w:w="4927" w:type="dxa"/>
          <w:tcBorders>
            <w:bottom w:val="single" w:sz="4" w:space="0" w:color="auto"/>
          </w:tcBorders>
        </w:tcPr>
        <w:p w14:paraId="28AD9E7E" w14:textId="77777777" w:rsidR="00362FB2" w:rsidRPr="00B223B1" w:rsidRDefault="00362FB2" w:rsidP="002B35E7">
          <w:pPr>
            <w:pStyle w:val="Footer"/>
            <w:jc w:val="right"/>
            <w:rPr>
              <w:rFonts w:cs="Arial"/>
              <w:color w:val="404040" w:themeColor="text1" w:themeTint="BF"/>
              <w:sz w:val="20"/>
              <w:szCs w:val="20"/>
            </w:rPr>
          </w:pPr>
          <w:r w:rsidRPr="00B223B1">
            <w:rPr>
              <w:rFonts w:cs="Arial"/>
              <w:color w:val="404040" w:themeColor="text1" w:themeTint="BF"/>
              <w:sz w:val="20"/>
              <w:szCs w:val="20"/>
            </w:rPr>
            <w:fldChar w:fldCharType="begin"/>
          </w:r>
          <w:r w:rsidRPr="00B223B1">
            <w:rPr>
              <w:rFonts w:cs="Arial"/>
              <w:color w:val="404040" w:themeColor="text1" w:themeTint="BF"/>
              <w:sz w:val="20"/>
              <w:szCs w:val="20"/>
            </w:rPr>
            <w:instrText xml:space="preserve"> PAGE   \* MERGEFORMAT </w:instrText>
          </w:r>
          <w:r w:rsidRPr="00B223B1">
            <w:rPr>
              <w:rFonts w:cs="Arial"/>
              <w:color w:val="404040" w:themeColor="text1" w:themeTint="BF"/>
              <w:sz w:val="20"/>
              <w:szCs w:val="20"/>
            </w:rPr>
            <w:fldChar w:fldCharType="separate"/>
          </w:r>
          <w:r w:rsidR="008815BE" w:rsidRPr="008815BE">
            <w:rPr>
              <w:rFonts w:asciiTheme="minorHAnsi" w:hAnsiTheme="minorHAnsi" w:cs="Arial"/>
              <w:noProof/>
              <w:color w:val="404040" w:themeColor="text1" w:themeTint="BF"/>
              <w:sz w:val="20"/>
              <w:szCs w:val="20"/>
            </w:rPr>
            <w:t>2</w:t>
          </w:r>
          <w:r w:rsidRPr="00B223B1">
            <w:rPr>
              <w:rFonts w:cs="Arial"/>
              <w:noProof/>
              <w:color w:val="404040" w:themeColor="text1" w:themeTint="BF"/>
              <w:sz w:val="20"/>
              <w:szCs w:val="20"/>
            </w:rPr>
            <w:fldChar w:fldCharType="end"/>
          </w:r>
        </w:p>
      </w:tc>
    </w:tr>
    <w:tr w:rsidR="00362FB2" w14:paraId="28AD9E82" w14:textId="77777777" w:rsidTr="002B35E7">
      <w:tc>
        <w:tcPr>
          <w:tcW w:w="4927" w:type="dxa"/>
          <w:tcBorders>
            <w:top w:val="single" w:sz="4" w:space="0" w:color="auto"/>
          </w:tcBorders>
          <w:shd w:val="clear" w:color="auto" w:fill="auto"/>
          <w:tcMar>
            <w:top w:w="108" w:type="dxa"/>
            <w:bottom w:w="108" w:type="dxa"/>
          </w:tcMar>
          <w:vAlign w:val="center"/>
        </w:tcPr>
        <w:p w14:paraId="28AD9E80" w14:textId="77777777" w:rsidR="00362FB2" w:rsidRPr="00B223B1" w:rsidRDefault="00362FB2" w:rsidP="002B35E7">
          <w:pPr>
            <w:pStyle w:val="Footer"/>
            <w:rPr>
              <w:rFonts w:cs="Arial"/>
              <w:b/>
              <w:color w:val="404040" w:themeColor="text1" w:themeTint="BF"/>
              <w:sz w:val="20"/>
              <w:szCs w:val="20"/>
            </w:rPr>
          </w:pPr>
          <w:r w:rsidRPr="00B223B1">
            <w:rPr>
              <w:rFonts w:cs="Arial"/>
              <w:b/>
              <w:color w:val="404040" w:themeColor="text1" w:themeTint="BF"/>
              <w:sz w:val="20"/>
              <w:szCs w:val="20"/>
            </w:rPr>
            <w:t>AUSTRALIA 2013</w:t>
          </w:r>
        </w:p>
      </w:tc>
      <w:tc>
        <w:tcPr>
          <w:tcW w:w="4927" w:type="dxa"/>
          <w:tcBorders>
            <w:top w:val="single" w:sz="4" w:space="0" w:color="auto"/>
          </w:tcBorders>
          <w:shd w:val="clear" w:color="auto" w:fill="auto"/>
          <w:vAlign w:val="center"/>
        </w:tcPr>
        <w:p w14:paraId="28AD9E81" w14:textId="77777777" w:rsidR="00362FB2" w:rsidRPr="00B223B1" w:rsidRDefault="00362FB2" w:rsidP="002B35E7">
          <w:pPr>
            <w:pStyle w:val="Footer"/>
            <w:jc w:val="right"/>
            <w:rPr>
              <w:rFonts w:cs="Arial"/>
              <w:color w:val="404040" w:themeColor="text1" w:themeTint="BF"/>
              <w:sz w:val="20"/>
              <w:szCs w:val="20"/>
            </w:rPr>
          </w:pPr>
          <w:r w:rsidRPr="00B223B1">
            <w:rPr>
              <w:rFonts w:cs="Arial"/>
              <w:color w:val="404040" w:themeColor="text1" w:themeTint="BF"/>
              <w:sz w:val="20"/>
              <w:szCs w:val="20"/>
            </w:rPr>
            <w:t>Offshore Petroleum Exploration Acreage Release</w:t>
          </w:r>
        </w:p>
      </w:tc>
    </w:tr>
  </w:tbl>
  <w:p w14:paraId="28AD9E83" w14:textId="77777777" w:rsidR="00362FB2" w:rsidRPr="00C5321A" w:rsidRDefault="00362FB2" w:rsidP="00C532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ront Page Footer"/>
      <w:tblDescription w:val="This is the generic front page footer text for the 2014 Offshore Petroleum Exploration Acreage Release documents. It lists the website for information relating to the 2014 Acreage Release. It provides a legal disclaimer regarding the content of this document. It attributes the hero image of this document to BHP Billiton Petroleum Pty Ltd. "/>
    </w:tblPr>
    <w:tblGrid>
      <w:gridCol w:w="4852"/>
      <w:gridCol w:w="4786"/>
    </w:tblGrid>
    <w:tr w:rsidR="00362FB2" w:rsidRPr="006067BF" w14:paraId="28AD9E88" w14:textId="77777777" w:rsidTr="002B35E7">
      <w:tc>
        <w:tcPr>
          <w:tcW w:w="4927" w:type="dxa"/>
          <w:tcBorders>
            <w:bottom w:val="single" w:sz="4" w:space="0" w:color="auto"/>
          </w:tcBorders>
        </w:tcPr>
        <w:p w14:paraId="28AD9E86" w14:textId="77777777" w:rsidR="00362FB2" w:rsidRPr="00141805" w:rsidRDefault="008815BE" w:rsidP="004A6622">
          <w:pPr>
            <w:pStyle w:val="HyperlinkACREAGEURL"/>
            <w:rPr>
              <w:rStyle w:val="HyperlinkACREAGEURLcharacter"/>
              <w:highlight w:val="yellow"/>
            </w:rPr>
          </w:pPr>
          <w:hyperlink r:id="rId1" w:history="1">
            <w:r w:rsidR="004A6622" w:rsidRPr="00557B36">
              <w:rPr>
                <w:rStyle w:val="Hyperlink"/>
              </w:rPr>
              <w:t>www.industy.gov.au/ghg-acreage</w:t>
            </w:r>
          </w:hyperlink>
        </w:p>
      </w:tc>
      <w:tc>
        <w:tcPr>
          <w:tcW w:w="4927" w:type="dxa"/>
          <w:tcBorders>
            <w:bottom w:val="single" w:sz="4" w:space="0" w:color="auto"/>
          </w:tcBorders>
        </w:tcPr>
        <w:p w14:paraId="28AD9E87" w14:textId="77777777" w:rsidR="00362FB2" w:rsidRPr="006067BF" w:rsidRDefault="00362FB2" w:rsidP="002B35E7">
          <w:pPr>
            <w:pStyle w:val="Footer"/>
            <w:jc w:val="right"/>
            <w:rPr>
              <w:rFonts w:cs="Arial"/>
              <w:sz w:val="20"/>
              <w:szCs w:val="20"/>
            </w:rPr>
          </w:pPr>
          <w:r w:rsidRPr="006067BF">
            <w:rPr>
              <w:rFonts w:cs="Arial"/>
              <w:color w:val="808080" w:themeColor="background1" w:themeShade="80"/>
              <w:sz w:val="20"/>
              <w:szCs w:val="20"/>
            </w:rPr>
            <w:fldChar w:fldCharType="begin"/>
          </w:r>
          <w:r w:rsidRPr="006067BF">
            <w:rPr>
              <w:rFonts w:cs="Arial"/>
              <w:color w:val="808080" w:themeColor="background1" w:themeShade="80"/>
              <w:sz w:val="20"/>
              <w:szCs w:val="20"/>
            </w:rPr>
            <w:instrText xml:space="preserve"> PAGE   \* MERGEFORMAT </w:instrText>
          </w:r>
          <w:r w:rsidRPr="006067BF">
            <w:rPr>
              <w:rFonts w:cs="Arial"/>
              <w:color w:val="808080" w:themeColor="background1" w:themeShade="80"/>
              <w:sz w:val="20"/>
              <w:szCs w:val="20"/>
            </w:rPr>
            <w:fldChar w:fldCharType="separate"/>
          </w:r>
          <w:r w:rsidR="008815BE" w:rsidRPr="008815BE">
            <w:rPr>
              <w:rFonts w:asciiTheme="minorHAnsi" w:hAnsiTheme="minorHAnsi" w:cs="Arial"/>
              <w:noProof/>
              <w:color w:val="808080" w:themeColor="background1" w:themeShade="80"/>
              <w:sz w:val="20"/>
              <w:szCs w:val="20"/>
            </w:rPr>
            <w:t>1</w:t>
          </w:r>
          <w:r w:rsidRPr="006067BF">
            <w:rPr>
              <w:rFonts w:cs="Arial"/>
              <w:noProof/>
              <w:color w:val="808080" w:themeColor="background1" w:themeShade="80"/>
              <w:sz w:val="20"/>
              <w:szCs w:val="20"/>
            </w:rPr>
            <w:fldChar w:fldCharType="end"/>
          </w:r>
        </w:p>
      </w:tc>
    </w:tr>
    <w:tr w:rsidR="00362FB2" w14:paraId="28AD9E8A" w14:textId="77777777" w:rsidTr="002B35E7">
      <w:tc>
        <w:tcPr>
          <w:tcW w:w="9854" w:type="dxa"/>
          <w:gridSpan w:val="2"/>
          <w:tcBorders>
            <w:top w:val="single" w:sz="4" w:space="0" w:color="auto"/>
          </w:tcBorders>
          <w:shd w:val="clear" w:color="auto" w:fill="D9D9D9" w:themeFill="background1" w:themeFillShade="D9"/>
          <w:tcMar>
            <w:top w:w="108" w:type="dxa"/>
            <w:bottom w:w="108" w:type="dxa"/>
          </w:tcMar>
          <w:vAlign w:val="center"/>
        </w:tcPr>
        <w:p w14:paraId="28AD9E89" w14:textId="77777777" w:rsidR="00362FB2" w:rsidRPr="00C4222A" w:rsidRDefault="00362FB2" w:rsidP="00C4222A">
          <w:pPr>
            <w:pStyle w:val="Footer"/>
            <w:rPr>
              <w:rFonts w:cs="Arial"/>
              <w:sz w:val="12"/>
              <w:szCs w:val="12"/>
            </w:rPr>
          </w:pPr>
          <w:r w:rsidRPr="00C4222A">
            <w:rPr>
              <w:rFonts w:cs="Arial"/>
              <w:sz w:val="12"/>
              <w:szCs w:val="12"/>
            </w:rPr>
            <w:t xml:space="preserve">DISCLAIMER: This fact sheet has been developed as a guide only. It does not replace or amend information provided in the Offshore Petroleum </w:t>
          </w:r>
          <w:r w:rsidR="00C4222A" w:rsidRPr="00C4222A">
            <w:rPr>
              <w:rFonts w:cs="Arial"/>
              <w:sz w:val="12"/>
              <w:szCs w:val="12"/>
            </w:rPr>
            <w:t xml:space="preserve">and Greenhouse Gas Storage </w:t>
          </w:r>
          <w:r w:rsidRPr="00C4222A">
            <w:rPr>
              <w:rFonts w:cs="Arial"/>
              <w:sz w:val="12"/>
              <w:szCs w:val="12"/>
            </w:rPr>
            <w:t xml:space="preserve">Legislation, Regulations and Guidelines available at: </w:t>
          </w:r>
          <w:hyperlink r:id="rId2" w:tooltip="Legislation, Regulations and Guidelines for offshore petroleum activities from the NOPTA website" w:history="1">
            <w:r w:rsidRPr="00C4222A">
              <w:rPr>
                <w:rStyle w:val="Hyperlink"/>
                <w:rFonts w:cs="Arial"/>
                <w:sz w:val="12"/>
                <w:szCs w:val="12"/>
              </w:rPr>
              <w:t>www.nopta.gov.au/legislation</w:t>
            </w:r>
          </w:hyperlink>
          <w:r w:rsidRPr="00C4222A">
            <w:rPr>
              <w:rFonts w:cs="Arial"/>
              <w:sz w:val="12"/>
              <w:szCs w:val="12"/>
            </w:rPr>
            <w:t>. In the event that there is a discrepancy between this fact sheet and the legislation</w:t>
          </w:r>
          <w:r w:rsidR="00AA44FB" w:rsidRPr="00C4222A">
            <w:rPr>
              <w:rFonts w:cs="Arial"/>
              <w:sz w:val="12"/>
              <w:szCs w:val="12"/>
            </w:rPr>
            <w:t xml:space="preserve"> or regulations</w:t>
          </w:r>
          <w:r w:rsidRPr="00C4222A">
            <w:rPr>
              <w:rFonts w:cs="Arial"/>
              <w:sz w:val="12"/>
              <w:szCs w:val="12"/>
            </w:rPr>
            <w:t>, t</w:t>
          </w:r>
          <w:r w:rsidR="00AA44FB" w:rsidRPr="00C4222A">
            <w:rPr>
              <w:rFonts w:cs="Arial"/>
              <w:sz w:val="12"/>
              <w:szCs w:val="12"/>
            </w:rPr>
            <w:t>he legislation or regulations have</w:t>
          </w:r>
          <w:r w:rsidRPr="00C4222A">
            <w:rPr>
              <w:rFonts w:cs="Arial"/>
              <w:sz w:val="12"/>
              <w:szCs w:val="12"/>
            </w:rPr>
            <w:t xml:space="preserve"> precedence. Explorers should not rely solely on this information wh</w:t>
          </w:r>
          <w:r w:rsidR="00C4222A" w:rsidRPr="00C4222A">
            <w:rPr>
              <w:rFonts w:cs="Arial"/>
              <w:sz w:val="12"/>
              <w:szCs w:val="12"/>
            </w:rPr>
            <w:t>en making commercial decisions.</w:t>
          </w:r>
        </w:p>
      </w:tc>
    </w:tr>
  </w:tbl>
  <w:p w14:paraId="28AD9E8B" w14:textId="77777777" w:rsidR="00362FB2" w:rsidRDefault="00362F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AD9E79" w14:textId="77777777" w:rsidR="00362FB2" w:rsidRDefault="00362FB2" w:rsidP="00C5321A">
      <w:pPr>
        <w:spacing w:after="0" w:line="240" w:lineRule="auto"/>
      </w:pPr>
      <w:r>
        <w:separator/>
      </w:r>
    </w:p>
  </w:footnote>
  <w:footnote w:type="continuationSeparator" w:id="0">
    <w:p w14:paraId="28AD9E7A" w14:textId="77777777" w:rsidR="00362FB2" w:rsidRDefault="00362FB2" w:rsidP="00C532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D9E84" w14:textId="77777777" w:rsidR="004A6622" w:rsidRDefault="004A6622">
    <w:pPr>
      <w:pStyle w:val="Header"/>
    </w:pPr>
  </w:p>
  <w:p w14:paraId="28AD9E85" w14:textId="77777777" w:rsidR="004A6622" w:rsidRDefault="004A6622">
    <w:pPr>
      <w:pStyle w:val="Header"/>
    </w:pPr>
    <w:r>
      <w:rPr>
        <w:b/>
        <w:noProof/>
        <w:lang w:eastAsia="en-AU"/>
      </w:rPr>
      <w:drawing>
        <wp:anchor distT="0" distB="0" distL="114300" distR="114300" simplePos="0" relativeHeight="251659264" behindDoc="1" locked="1" layoutInCell="1" allowOverlap="1" wp14:anchorId="28AD9E8C" wp14:editId="28AD9E8D">
          <wp:simplePos x="0" y="0"/>
          <wp:positionH relativeFrom="page">
            <wp:posOffset>0</wp:posOffset>
          </wp:positionH>
          <wp:positionV relativeFrom="page">
            <wp:posOffset>-414020</wp:posOffset>
          </wp:positionV>
          <wp:extent cx="7572375" cy="3714750"/>
          <wp:effectExtent l="0" t="0" r="9525" b="0"/>
          <wp:wrapNone/>
          <wp:docPr id="1" name="Picture 1" descr="Australian Government: Department of Industry, Geoscience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_GHG-AR_final.jpg"/>
                  <pic:cNvPicPr/>
                </pic:nvPicPr>
                <pic:blipFill rotWithShape="1">
                  <a:blip r:embed="rId1">
                    <a:extLst>
                      <a:ext uri="{28A0092B-C50C-407E-A947-70E740481C1C}">
                        <a14:useLocalDpi xmlns:a14="http://schemas.microsoft.com/office/drawing/2010/main" val="0"/>
                      </a:ext>
                    </a:extLst>
                  </a:blip>
                  <a:srcRect t="-9840" b="18462"/>
                  <a:stretch/>
                </pic:blipFill>
                <pic:spPr bwMode="auto">
                  <a:xfrm>
                    <a:off x="0" y="0"/>
                    <a:ext cx="7572375" cy="3714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0C5989"/>
    <w:multiLevelType w:val="hybridMultilevel"/>
    <w:tmpl w:val="67827C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5DD4552"/>
    <w:multiLevelType w:val="hybridMultilevel"/>
    <w:tmpl w:val="172AF5F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A120C3B"/>
    <w:multiLevelType w:val="hybridMultilevel"/>
    <w:tmpl w:val="D72A0230"/>
    <w:lvl w:ilvl="0" w:tplc="0C090001">
      <w:start w:val="1"/>
      <w:numFmt w:val="bullet"/>
      <w:lvlText w:val=""/>
      <w:lvlJc w:val="left"/>
      <w:pPr>
        <w:tabs>
          <w:tab w:val="num" w:pos="360"/>
        </w:tabs>
        <w:ind w:left="360" w:hanging="360"/>
      </w:pPr>
      <w:rPr>
        <w:rFonts w:ascii="Symbol" w:hAnsi="Symbol"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ADF"/>
    <w:rsid w:val="00057BF0"/>
    <w:rsid w:val="00075ADF"/>
    <w:rsid w:val="000836B9"/>
    <w:rsid w:val="001171A9"/>
    <w:rsid w:val="00141805"/>
    <w:rsid w:val="001D6484"/>
    <w:rsid w:val="001D7821"/>
    <w:rsid w:val="001F36E5"/>
    <w:rsid w:val="002432DC"/>
    <w:rsid w:val="002B35E7"/>
    <w:rsid w:val="002C143A"/>
    <w:rsid w:val="002E4072"/>
    <w:rsid w:val="003011ED"/>
    <w:rsid w:val="003114F3"/>
    <w:rsid w:val="00312B1F"/>
    <w:rsid w:val="00362FB2"/>
    <w:rsid w:val="00384740"/>
    <w:rsid w:val="003C3F22"/>
    <w:rsid w:val="003E24F7"/>
    <w:rsid w:val="00412557"/>
    <w:rsid w:val="00417D53"/>
    <w:rsid w:val="00496A21"/>
    <w:rsid w:val="004A6622"/>
    <w:rsid w:val="004E1197"/>
    <w:rsid w:val="00513B8F"/>
    <w:rsid w:val="00524E58"/>
    <w:rsid w:val="00525698"/>
    <w:rsid w:val="005551CD"/>
    <w:rsid w:val="00577D2D"/>
    <w:rsid w:val="005B6459"/>
    <w:rsid w:val="005C59C6"/>
    <w:rsid w:val="005C670F"/>
    <w:rsid w:val="005D40AB"/>
    <w:rsid w:val="005E2AF1"/>
    <w:rsid w:val="006067BF"/>
    <w:rsid w:val="00617C10"/>
    <w:rsid w:val="00662EE8"/>
    <w:rsid w:val="006C5E82"/>
    <w:rsid w:val="00734A33"/>
    <w:rsid w:val="00757B68"/>
    <w:rsid w:val="00790388"/>
    <w:rsid w:val="007905E0"/>
    <w:rsid w:val="007F181C"/>
    <w:rsid w:val="008815BE"/>
    <w:rsid w:val="00895F39"/>
    <w:rsid w:val="008A5E7E"/>
    <w:rsid w:val="009101E2"/>
    <w:rsid w:val="00926B6D"/>
    <w:rsid w:val="009507D1"/>
    <w:rsid w:val="009564D1"/>
    <w:rsid w:val="00956C04"/>
    <w:rsid w:val="00972AAE"/>
    <w:rsid w:val="0099652E"/>
    <w:rsid w:val="00A14D01"/>
    <w:rsid w:val="00A64D9B"/>
    <w:rsid w:val="00A81D10"/>
    <w:rsid w:val="00AA1FBF"/>
    <w:rsid w:val="00AA44FB"/>
    <w:rsid w:val="00B16A27"/>
    <w:rsid w:val="00B300CC"/>
    <w:rsid w:val="00B65156"/>
    <w:rsid w:val="00B6553C"/>
    <w:rsid w:val="00C361B5"/>
    <w:rsid w:val="00C4222A"/>
    <w:rsid w:val="00C5321A"/>
    <w:rsid w:val="00C8244C"/>
    <w:rsid w:val="00CE08DC"/>
    <w:rsid w:val="00D2309A"/>
    <w:rsid w:val="00D239B1"/>
    <w:rsid w:val="00D576EA"/>
    <w:rsid w:val="00D904FE"/>
    <w:rsid w:val="00DA1255"/>
    <w:rsid w:val="00E07434"/>
    <w:rsid w:val="00E5231D"/>
    <w:rsid w:val="00E63AD7"/>
    <w:rsid w:val="00F06B7F"/>
    <w:rsid w:val="00F326C7"/>
    <w:rsid w:val="00F427C4"/>
    <w:rsid w:val="00FD5D5D"/>
    <w:rsid w:val="00FD6710"/>
    <w:rsid w:val="00FE6A90"/>
    <w:rsid w:val="00FE7C84"/>
    <w:rsid w:val="00FF6B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8AD9E54"/>
  <w15:docId w15:val="{D52AA427-B792-4AD2-A19A-9FD7492D7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21A"/>
    <w:rPr>
      <w:rFonts w:ascii="Arial" w:hAnsi="Arial"/>
      <w:sz w:val="18"/>
    </w:rPr>
  </w:style>
  <w:style w:type="paragraph" w:styleId="Heading1">
    <w:name w:val="heading 1"/>
    <w:basedOn w:val="Normal"/>
    <w:next w:val="Normal"/>
    <w:link w:val="Heading1Char"/>
    <w:uiPriority w:val="9"/>
    <w:qFormat/>
    <w:rsid w:val="004A6622"/>
    <w:pPr>
      <w:keepNext/>
      <w:keepLines/>
      <w:spacing w:before="800" w:after="920" w:line="240" w:lineRule="auto"/>
      <w:outlineLvl w:val="0"/>
    </w:pPr>
    <w:rPr>
      <w:rFonts w:ascii="Arial Bold" w:eastAsiaTheme="majorEastAsia" w:hAnsi="Arial Bold" w:cstheme="majorBidi"/>
      <w:b/>
      <w:bCs/>
      <w:caps/>
      <w:color w:val="FFFFFF" w:themeColor="background1"/>
      <w:sz w:val="32"/>
      <w:szCs w:val="28"/>
    </w:rPr>
  </w:style>
  <w:style w:type="paragraph" w:styleId="Heading2">
    <w:name w:val="heading 2"/>
    <w:basedOn w:val="Normal"/>
    <w:next w:val="Normal"/>
    <w:link w:val="Heading2Char"/>
    <w:uiPriority w:val="9"/>
    <w:unhideWhenUsed/>
    <w:qFormat/>
    <w:rsid w:val="002B35E7"/>
    <w:pPr>
      <w:keepNext/>
      <w:keepLines/>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9101E2"/>
    <w:pPr>
      <w:keepNext/>
      <w:keepLines/>
      <w:spacing w:before="120" w:after="120" w:line="240" w:lineRule="auto"/>
      <w:outlineLvl w:val="2"/>
    </w:pPr>
    <w:rPr>
      <w:rFonts w:eastAsiaTheme="majorEastAsia" w:cstheme="majorBidi"/>
      <w:b/>
      <w:bCs/>
      <w:sz w:val="24"/>
    </w:rPr>
  </w:style>
  <w:style w:type="paragraph" w:styleId="Heading4">
    <w:name w:val="heading 4"/>
    <w:basedOn w:val="Normal"/>
    <w:next w:val="Normal"/>
    <w:link w:val="Heading4Char"/>
    <w:uiPriority w:val="9"/>
    <w:unhideWhenUsed/>
    <w:qFormat/>
    <w:rsid w:val="009101E2"/>
    <w:pPr>
      <w:keepNext/>
      <w:keepLines/>
      <w:spacing w:before="120" w:after="120" w:line="240" w:lineRule="auto"/>
      <w:outlineLvl w:val="3"/>
    </w:pPr>
    <w:rPr>
      <w:rFonts w:eastAsiaTheme="majorEastAsia" w:cstheme="majorBidi"/>
      <w:b/>
      <w:bCs/>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32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21A"/>
  </w:style>
  <w:style w:type="paragraph" w:styleId="Footer">
    <w:name w:val="footer"/>
    <w:basedOn w:val="Normal"/>
    <w:link w:val="FooterChar"/>
    <w:uiPriority w:val="99"/>
    <w:unhideWhenUsed/>
    <w:rsid w:val="00C532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21A"/>
  </w:style>
  <w:style w:type="paragraph" w:styleId="BalloonText">
    <w:name w:val="Balloon Text"/>
    <w:basedOn w:val="Normal"/>
    <w:link w:val="BalloonTextChar"/>
    <w:uiPriority w:val="99"/>
    <w:semiHidden/>
    <w:unhideWhenUsed/>
    <w:rsid w:val="00C53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21A"/>
    <w:rPr>
      <w:rFonts w:ascii="Tahoma" w:hAnsi="Tahoma" w:cs="Tahoma"/>
      <w:sz w:val="16"/>
      <w:szCs w:val="16"/>
    </w:rPr>
  </w:style>
  <w:style w:type="table" w:styleId="TableGrid">
    <w:name w:val="Table Grid"/>
    <w:basedOn w:val="TableNormal"/>
    <w:uiPriority w:val="59"/>
    <w:rsid w:val="00C532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A6622"/>
    <w:rPr>
      <w:rFonts w:ascii="Arial Bold" w:eastAsiaTheme="majorEastAsia" w:hAnsi="Arial Bold" w:cstheme="majorBidi"/>
      <w:b/>
      <w:bCs/>
      <w:caps/>
      <w:color w:val="FFFFFF" w:themeColor="background1"/>
      <w:sz w:val="32"/>
      <w:szCs w:val="28"/>
    </w:rPr>
  </w:style>
  <w:style w:type="character" w:customStyle="1" w:styleId="Heading2Char">
    <w:name w:val="Heading 2 Char"/>
    <w:basedOn w:val="DefaultParagraphFont"/>
    <w:link w:val="Heading2"/>
    <w:uiPriority w:val="9"/>
    <w:rsid w:val="002B35E7"/>
    <w:rPr>
      <w:rFonts w:ascii="Arial" w:eastAsiaTheme="majorEastAsia" w:hAnsi="Arial" w:cstheme="majorBidi"/>
      <w:b/>
      <w:bCs/>
      <w:sz w:val="24"/>
      <w:szCs w:val="26"/>
    </w:rPr>
  </w:style>
  <w:style w:type="character" w:customStyle="1" w:styleId="Heading3Char">
    <w:name w:val="Heading 3 Char"/>
    <w:basedOn w:val="DefaultParagraphFont"/>
    <w:link w:val="Heading3"/>
    <w:uiPriority w:val="9"/>
    <w:rsid w:val="009101E2"/>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9101E2"/>
    <w:rPr>
      <w:rFonts w:ascii="Arial" w:eastAsiaTheme="majorEastAsia" w:hAnsi="Arial" w:cstheme="majorBidi"/>
      <w:b/>
      <w:bCs/>
      <w:iCs/>
      <w:sz w:val="20"/>
    </w:rPr>
  </w:style>
  <w:style w:type="paragraph" w:styleId="ListParagraph">
    <w:name w:val="List Paragraph"/>
    <w:basedOn w:val="Normal"/>
    <w:uiPriority w:val="34"/>
    <w:qFormat/>
    <w:rsid w:val="00617C10"/>
    <w:pPr>
      <w:spacing w:line="360" w:lineRule="auto"/>
      <w:contextualSpacing/>
    </w:pPr>
  </w:style>
  <w:style w:type="character" w:styleId="Hyperlink">
    <w:name w:val="Hyperlink"/>
    <w:basedOn w:val="DefaultParagraphFont"/>
    <w:unhideWhenUsed/>
    <w:rsid w:val="00926B6D"/>
    <w:rPr>
      <w:color w:val="0000FF" w:themeColor="hyperlink"/>
      <w:u w:val="none"/>
    </w:rPr>
  </w:style>
  <w:style w:type="paragraph" w:customStyle="1" w:styleId="HyperlinkACREAGEURL">
    <w:name w:val="Hyperlink ACREAGE URL"/>
    <w:basedOn w:val="Footer"/>
    <w:qFormat/>
    <w:rsid w:val="00926B6D"/>
    <w:rPr>
      <w:color w:val="A6A6A6" w:themeColor="background1" w:themeShade="A6"/>
      <w:sz w:val="20"/>
    </w:rPr>
  </w:style>
  <w:style w:type="character" w:customStyle="1" w:styleId="HyperlinkACREAGEURLcharacter">
    <w:name w:val="Hyperlink ACREAGE URL character"/>
    <w:basedOn w:val="Hyperlink"/>
    <w:uiPriority w:val="1"/>
    <w:qFormat/>
    <w:rsid w:val="00312B1F"/>
    <w:rPr>
      <w:color w:val="7F7F7F" w:themeColor="text1" w:themeTint="80"/>
      <w:sz w:val="20"/>
      <w:u w:val="none"/>
    </w:rPr>
  </w:style>
  <w:style w:type="character" w:styleId="FollowedHyperlink">
    <w:name w:val="FollowedHyperlink"/>
    <w:basedOn w:val="DefaultParagraphFont"/>
    <w:uiPriority w:val="99"/>
    <w:semiHidden/>
    <w:unhideWhenUsed/>
    <w:rsid w:val="003847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opta.gov.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opsema.gov.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ndusty.gov.au/ghg-acreag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nopta.gov.au/legislation" TargetMode="External"/><Relationship Id="rId1" Type="http://schemas.openxmlformats.org/officeDocument/2006/relationships/hyperlink" Target="http://www.industy.gov.au/ghg-acrea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rePublishingComments xmlns="55c08754-dc08-49e0-b3e6-1571a5e07017" xsi:nil="true"/>
    <CorePublishingDocumentCategory xmlns="c0b4bd0a-f6ac-422c-a0b2-ddc3a705a698" xsi:nil="true"/>
    <KeywordsLookupField xmlns="c0b4bd0a-f6ac-422c-a0b2-ddc3a705a698"/>
    <CorePublishingFileReference xmlns="55c08754-dc08-49e0-b3e6-1571a5e07017">28469</CorePublishingFileReference>
    <CorePublishingDocumentChangeDescription xmlns="55c08754-dc08-49e0-b3e6-1571a5e07017" xsi:nil="true"/>
    <CorePublishingDocumentContact xmlns="55c08754-dc08-49e0-b3e6-1571a5e07017">
      <UserInfo>
        <DisplayName>online</DisplayName>
        <AccountId>189</AccountId>
        <AccountType/>
      </UserInfo>
    </CorePublishingDocumentContact>
    <IPSCategory xmlns="55c08754-dc08-49e0-b3e6-1571a5e07017" xsi:nil="true"/>
    <IncludeInContentRollups xmlns="55c08754-dc08-49e0-b3e6-1571a5e07017">false</IncludeInContentRollups>
    <SubjectLookupField xmlns="c0b4bd0a-f6ac-422c-a0b2-ddc3a705a698"/>
    <IncludeInNotificationsAndUpdates xmlns="55c08754-dc08-49e0-b3e6-1571a5e07017">true</IncludeInNotificationsAndUpdates>
    <PublishingExpirationDate xmlns="http://schemas.microsoft.com/sharepoint/v3" xsi:nil="true"/>
    <PublishingStartDate xmlns="http://schemas.microsoft.com/sharepoint/v3" xsi:nil="true"/>
    <IncludeInRSSFeeds xmlns="55c08754-dc08-49e0-b3e6-1571a5e07017">false</IncludeInRSSFeeds>
    <DocumentRollupCategory xmlns="c0b4bd0a-f6ac-422c-a0b2-ddc3a705a698"/>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186D61DCC6993642B7BE071EBA4F0CB6" ma:contentTypeVersion="79" ma:contentTypeDescription="Core Publishing Document, inherited from OOTB document." ma:contentTypeScope="" ma:versionID="d73c4be80eafcf893ff13feb65d66746">
  <xsd:schema xmlns:xsd="http://www.w3.org/2001/XMLSchema" xmlns:xs="http://www.w3.org/2001/XMLSchema" xmlns:p="http://schemas.microsoft.com/office/2006/metadata/properties" xmlns:ns1="http://schemas.microsoft.com/sharepoint/v3" xmlns:ns2="55c08754-dc08-49e0-b3e6-1571a5e07017" xmlns:ns3="c0b4bd0a-f6ac-422c-a0b2-ddc3a705a698" targetNamespace="http://schemas.microsoft.com/office/2006/metadata/properties" ma:root="true" ma:fieldsID="cb31d88178b4658710bd8f35dbbd1722" ns1:_="" ns2:_="" ns3:_="">
    <xsd:import namespace="http://schemas.microsoft.com/sharepoint/v3"/>
    <xsd:import namespace="55c08754-dc08-49e0-b3e6-1571a5e07017"/>
    <xsd:import namespace="c0b4bd0a-f6ac-422c-a0b2-ddc3a705a698"/>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xsd:element ref="ns3:SubjectLookupField" minOccurs="0"/>
                <xsd:element ref="ns3:KeywordsLookupField" minOccurs="0"/>
                <xsd:element ref="ns3:CorePublishingDocumentCategory" minOccurs="0"/>
                <xsd:element ref="ns2:IPSCategory" minOccurs="0"/>
                <xsd:element ref="ns2:CorePublishingFileReference"/>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c08754-dc08-49e0-b3e6-1571a5e07017"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ma:displayName="Document Contact" ma:list="UserInfo" ma:internalName="CorePublishingDocumentContact">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ma:displayName="File Reference" ma:description="Audit Requirement." ma:internalName="CorePublishingFileReference">
      <xsd:simpleType>
        <xsd:restriction base="dms:Text"/>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b4bd0a-f6ac-422c-a0b2-ddc3a705a698" elementFormDefault="qualified">
    <xsd:import namespace="http://schemas.microsoft.com/office/2006/documentManagement/types"/>
    <xsd:import namespace="http://schemas.microsoft.com/office/infopath/2007/PartnerControls"/>
    <xsd:element name="SubjectLookupField" ma:index="12" nillable="true" ma:displayName="Subject" ma:list="4a441248-04bf-4c62-8747-8bfb61e5e21c" ma:internalName="Subject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fbec0be5-db93-4c03-a796-ce5d02f374a3" ma:internalName="Keywords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233fae74-8b6e-4f87-8db3-5052d625541f}" ma:internalName="CorePublishingDocumentCategory" ma:showField="Title" ma:web="{c0b4bd0a-f6ac-422c-a0b2-ddc3a705a698}">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6ca4ea36-3739-485e-8e04-ddf89b384e56}" ma:internalName="DocumentRollupCategory"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4572E4-81BC-466B-84C8-B6979BBEAE40}">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microsoft.com/sharepoint/v3"/>
    <ds:schemaRef ds:uri="http://purl.org/dc/terms/"/>
    <ds:schemaRef ds:uri="http://schemas.openxmlformats.org/package/2006/metadata/core-properties"/>
    <ds:schemaRef ds:uri="c0b4bd0a-f6ac-422c-a0b2-ddc3a705a698"/>
    <ds:schemaRef ds:uri="55c08754-dc08-49e0-b3e6-1571a5e07017"/>
    <ds:schemaRef ds:uri="http://www.w3.org/XML/1998/namespace"/>
    <ds:schemaRef ds:uri="http://purl.org/dc/elements/1.1/"/>
  </ds:schemaRefs>
</ds:datastoreItem>
</file>

<file path=customXml/itemProps2.xml><?xml version="1.0" encoding="utf-8"?>
<ds:datastoreItem xmlns:ds="http://schemas.openxmlformats.org/officeDocument/2006/customXml" ds:itemID="{3CE767A6-504F-4ECA-9C7A-B57B08BC9E08}">
  <ds:schemaRefs>
    <ds:schemaRef ds:uri="http://schemas.microsoft.com/sharepoint/v3/contenttype/forms"/>
  </ds:schemaRefs>
</ds:datastoreItem>
</file>

<file path=customXml/itemProps3.xml><?xml version="1.0" encoding="utf-8"?>
<ds:datastoreItem xmlns:ds="http://schemas.openxmlformats.org/officeDocument/2006/customXml" ds:itemID="{93D63851-8A3F-4BCD-BB23-7130F0DC5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c08754-dc08-49e0-b3e6-1571a5e07017"/>
    <ds:schemaRef ds:uri="c0b4bd0a-f6ac-422c-a0b2-ddc3a705a6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815</Words>
  <Characters>4651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GHG-legislative-framework-Factsheet</vt:lpstr>
    </vt:vector>
  </TitlesOfParts>
  <Company>DIISRTE</Company>
  <LinksUpToDate>false</LinksUpToDate>
  <CharactersWithSpaces>5456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GHG-legislative-framework-Factsheet</dc:title>
  <dc:creator>Reid, Emma;Meredith.Dinneen@ret.gov.au</dc:creator>
  <cp:keywords>Acreage Release, Petroleum Exploration, Greenhouse Gas Storage</cp:keywords>
  <cp:lastModifiedBy>Bingham, Adam</cp:lastModifiedBy>
  <cp:revision>2</cp:revision>
  <cp:lastPrinted>2013-11-26T04:02:00Z</cp:lastPrinted>
  <dcterms:created xsi:type="dcterms:W3CDTF">2019-03-05T23:34:00Z</dcterms:created>
  <dcterms:modified xsi:type="dcterms:W3CDTF">2019-03-05T23:34:00Z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0x01010097F86F0C24D64525B252BB20BD9D45A700186D61DCC6993642B7BE071EBA4F0CB6</vt:lpwstr>
  </property>
</Properties>
</file>