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theme/themeOverride13.xml" ContentType="application/vnd.openxmlformats-officedocument.themeOverrid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14.xml" ContentType="application/vnd.openxmlformats-officedocument.themeOverride+xml"/>
  <Override PartName="/word/charts/chart2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theme/themeOverride15.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B086E4" w14:textId="77777777" w:rsidR="00380F11" w:rsidRPr="00380F11" w:rsidRDefault="004160C5" w:rsidP="000716D3">
      <w:pPr>
        <w:numPr>
          <w:ilvl w:val="1"/>
          <w:numId w:val="0"/>
        </w:numPr>
        <w:spacing w:before="240" w:after="120" w:line="276" w:lineRule="auto"/>
        <w:ind w:right="-2"/>
        <w:jc w:val="center"/>
        <w:rPr>
          <w:rFonts w:ascii="Arial" w:eastAsia="MS PGothic" w:hAnsi="Arial" w:cs="Times New Roman"/>
          <w:iCs/>
          <w:color w:val="FFFFFF"/>
          <w:spacing w:val="15"/>
          <w:sz w:val="40"/>
          <w:szCs w:val="24"/>
          <w:lang w:val="en-AU"/>
        </w:rPr>
      </w:pPr>
      <w:r>
        <w:rPr>
          <w:rFonts w:ascii="Arial" w:eastAsia="MS PGothic" w:hAnsi="Arial" w:cs="Times New Roman"/>
          <w:b/>
          <w:noProof/>
          <w:color w:val="FFFFFF"/>
          <w:spacing w:val="5"/>
          <w:kern w:val="28"/>
          <w:sz w:val="52"/>
          <w:szCs w:val="52"/>
          <w:lang w:val="en-AU" w:eastAsia="en-AU"/>
        </w:rPr>
        <mc:AlternateContent>
          <mc:Choice Requires="wps">
            <w:drawing>
              <wp:anchor distT="0" distB="0" distL="114300" distR="114300" simplePos="0" relativeHeight="251698176" behindDoc="0" locked="0" layoutInCell="1" allowOverlap="1" wp14:anchorId="00D7F1A4" wp14:editId="0D5BBB32">
                <wp:simplePos x="0" y="0"/>
                <wp:positionH relativeFrom="column">
                  <wp:posOffset>1139502</wp:posOffset>
                </wp:positionH>
                <wp:positionV relativeFrom="paragraph">
                  <wp:posOffset>5953041</wp:posOffset>
                </wp:positionV>
                <wp:extent cx="4960188" cy="2734574"/>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4960188" cy="2734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BF797" w14:textId="77777777" w:rsidR="009241EC" w:rsidRDefault="009241EC">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sidRPr="004160C5">
                              <w:rPr>
                                <w:rFonts w:ascii="Arial" w:hAnsi="Arial" w:cs="Arial"/>
                                <w:color w:val="FFFFFF" w:themeColor="background1"/>
                                <w:sz w:val="52"/>
                                <w:szCs w:val="52"/>
                                <w14:textOutline w14:w="9525" w14:cap="rnd" w14:cmpd="sng" w14:algn="ctr">
                                  <w14:solidFill>
                                    <w14:schemeClr w14:val="bg1"/>
                                  </w14:solidFill>
                                  <w14:prstDash w14:val="solid"/>
                                  <w14:bevel/>
                                </w14:textOutline>
                              </w:rPr>
                              <w:t>AN</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ALYSIS OF STEEL AND ALUMINIUM MARKETS REPORT TO THE COMMISSIONER OF THE ANTI-DUMPING COMMISSION</w:t>
                            </w:r>
                          </w:p>
                          <w:p w14:paraId="7B963205" w14:textId="77777777" w:rsidR="009241EC" w:rsidRDefault="009241EC">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p>
                          <w:p w14:paraId="4C09E5AC" w14:textId="77777777" w:rsidR="009241EC" w:rsidRPr="004160C5" w:rsidRDefault="009241EC">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r w:rsidRPr="004160C5">
                              <w:rPr>
                                <w:rFonts w:ascii="Arial" w:hAnsi="Arial" w:cs="Arial"/>
                                <w:color w:val="FFFFFF" w:themeColor="background1"/>
                                <w:sz w:val="40"/>
                                <w:szCs w:val="40"/>
                                <w14:textOutline w14:w="9525" w14:cap="rnd" w14:cmpd="sng" w14:algn="ctr">
                                  <w14:solidFill>
                                    <w14:schemeClr w14:val="bg1"/>
                                  </w14:solidFill>
                                  <w14:prstDash w14:val="solid"/>
                                  <w14:bevel/>
                                </w14:textOutline>
                              </w:rPr>
                              <w:t>August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D7F1A4" id="_x0000_t202" coordsize="21600,21600" o:spt="202" path="m,l,21600r21600,l21600,xe">
                <v:stroke joinstyle="miter"/>
                <v:path gradientshapeok="t" o:connecttype="rect"/>
              </v:shapetype>
              <v:shape id="Text Box 236" o:spid="_x0000_s1026" type="#_x0000_t202" style="position:absolute;left:0;text-align:left;margin-left:89.7pt;margin-top:468.75pt;width:390.55pt;height:215.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" filled="f" stroked="f" strokeweight=".5pt">
                <v:textbox>
                  <w:txbxContent>
                    <w:p w14:paraId="343BF797" w14:textId="77777777" w:rsidR="009241EC" w:rsidRDefault="009241EC">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r w:rsidRPr="004160C5">
                        <w:rPr>
                          <w:rFonts w:ascii="Arial" w:hAnsi="Arial" w:cs="Arial"/>
                          <w:color w:val="FFFFFF" w:themeColor="background1"/>
                          <w:sz w:val="52"/>
                          <w:szCs w:val="52"/>
                          <w14:textOutline w14:w="9525" w14:cap="rnd" w14:cmpd="sng" w14:algn="ctr">
                            <w14:solidFill>
                              <w14:schemeClr w14:val="bg1"/>
                            </w14:solidFill>
                            <w14:prstDash w14:val="solid"/>
                            <w14:bevel/>
                          </w14:textOutline>
                        </w:rPr>
                        <w:t>AN</w:t>
                      </w:r>
                      <w:r>
                        <w:rPr>
                          <w:rFonts w:ascii="Arial" w:hAnsi="Arial" w:cs="Arial"/>
                          <w:color w:val="FFFFFF" w:themeColor="background1"/>
                          <w:sz w:val="52"/>
                          <w:szCs w:val="52"/>
                          <w14:textOutline w14:w="9525" w14:cap="rnd" w14:cmpd="sng" w14:algn="ctr">
                            <w14:solidFill>
                              <w14:schemeClr w14:val="bg1"/>
                            </w14:solidFill>
                            <w14:prstDash w14:val="solid"/>
                            <w14:bevel/>
                          </w14:textOutline>
                        </w:rPr>
                        <w:t>ALYSIS OF STEEL AND ALUMINIUM MARKETS REPORT TO THE COMMISSIONER OF THE ANTI-DUMPING COMMISSION</w:t>
                      </w:r>
                    </w:p>
                    <w:p w14:paraId="7B963205" w14:textId="77777777" w:rsidR="009241EC" w:rsidRDefault="009241EC">
                      <w:pPr>
                        <w:rPr>
                          <w:rFonts w:ascii="Arial" w:hAnsi="Arial" w:cs="Arial"/>
                          <w:color w:val="FFFFFF" w:themeColor="background1"/>
                          <w:sz w:val="52"/>
                          <w:szCs w:val="52"/>
                          <w14:textOutline w14:w="9525" w14:cap="rnd" w14:cmpd="sng" w14:algn="ctr">
                            <w14:solidFill>
                              <w14:schemeClr w14:val="bg1"/>
                            </w14:solidFill>
                            <w14:prstDash w14:val="solid"/>
                            <w14:bevel/>
                          </w14:textOutline>
                        </w:rPr>
                      </w:pPr>
                    </w:p>
                    <w:p w14:paraId="4C09E5AC" w14:textId="77777777" w:rsidR="009241EC" w:rsidRPr="004160C5" w:rsidRDefault="009241EC">
                      <w:pPr>
                        <w:rPr>
                          <w:rFonts w:ascii="Arial" w:hAnsi="Arial" w:cs="Arial"/>
                          <w:color w:val="FFFFFF" w:themeColor="background1"/>
                          <w:sz w:val="40"/>
                          <w:szCs w:val="40"/>
                          <w14:textOutline w14:w="9525" w14:cap="rnd" w14:cmpd="sng" w14:algn="ctr">
                            <w14:solidFill>
                              <w14:schemeClr w14:val="bg1"/>
                            </w14:solidFill>
                            <w14:prstDash w14:val="solid"/>
                            <w14:bevel/>
                          </w14:textOutline>
                        </w:rPr>
                      </w:pPr>
                      <w:r w:rsidRPr="004160C5">
                        <w:rPr>
                          <w:rFonts w:ascii="Arial" w:hAnsi="Arial" w:cs="Arial"/>
                          <w:color w:val="FFFFFF" w:themeColor="background1"/>
                          <w:sz w:val="40"/>
                          <w:szCs w:val="40"/>
                          <w14:textOutline w14:w="9525" w14:cap="rnd" w14:cmpd="sng" w14:algn="ctr">
                            <w14:solidFill>
                              <w14:schemeClr w14:val="bg1"/>
                            </w14:solidFill>
                            <w14:prstDash w14:val="solid"/>
                            <w14:bevel/>
                          </w14:textOutline>
                        </w:rPr>
                        <w:t>August 2016</w:t>
                      </w:r>
                    </w:p>
                  </w:txbxContent>
                </v:textbox>
              </v:shape>
            </w:pict>
          </mc:Fallback>
        </mc:AlternateContent>
      </w:r>
      <w:bookmarkStart w:id="0" w:name="_GoBack"/>
      <w:r w:rsidR="000716D3">
        <w:rPr>
          <w:rFonts w:ascii="Arial" w:eastAsia="MS PGothic" w:hAnsi="Arial" w:cs="Times New Roman"/>
          <w:b/>
          <w:noProof/>
          <w:color w:val="FFFFFF"/>
          <w:spacing w:val="5"/>
          <w:kern w:val="28"/>
          <w:sz w:val="52"/>
          <w:szCs w:val="52"/>
          <w:lang w:val="en-AU" w:eastAsia="en-AU"/>
        </w:rPr>
        <w:drawing>
          <wp:inline distT="0" distB="0" distL="0" distR="0" wp14:anchorId="6726BD0A" wp14:editId="542F1880">
            <wp:extent cx="6901132" cy="975761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DC_steelIndustry_front_cover_v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04464" cy="9762327"/>
                    </a:xfrm>
                    <a:prstGeom prst="rect">
                      <a:avLst/>
                    </a:prstGeom>
                  </pic:spPr>
                </pic:pic>
              </a:graphicData>
            </a:graphic>
          </wp:inline>
        </w:drawing>
      </w:r>
      <w:bookmarkEnd w:id="0"/>
    </w:p>
    <w:p w14:paraId="4C33CAA5" w14:textId="77777777" w:rsidR="00380F11" w:rsidRPr="00380F11" w:rsidRDefault="00380F11" w:rsidP="00380F11">
      <w:pPr>
        <w:spacing w:after="120" w:line="276" w:lineRule="auto"/>
        <w:ind w:left="993" w:right="804"/>
        <w:rPr>
          <w:rFonts w:ascii="Arial" w:eastAsia="Arial" w:hAnsi="Arial" w:cs="Times New Roman"/>
          <w:color w:val="005677"/>
          <w:sz w:val="20"/>
          <w:u w:val="single"/>
          <w:lang w:val="en-AU"/>
        </w:rPr>
      </w:pPr>
    </w:p>
    <w:p w14:paraId="79F1F268" w14:textId="77777777" w:rsidR="00380F11" w:rsidRPr="00380F11" w:rsidRDefault="00380F11" w:rsidP="00380F11">
      <w:pPr>
        <w:spacing w:after="120" w:line="276" w:lineRule="auto"/>
        <w:rPr>
          <w:rFonts w:ascii="Arial" w:eastAsia="Arial" w:hAnsi="Arial" w:cs="Times New Roman"/>
          <w:color w:val="005677"/>
          <w:sz w:val="20"/>
          <w:u w:val="single"/>
          <w:lang w:val="en-AU"/>
        </w:rPr>
        <w:sectPr w:rsidR="00380F11" w:rsidRPr="00380F11" w:rsidSect="00C54F71">
          <w:pgSz w:w="11906" w:h="16838"/>
          <w:pgMar w:top="284" w:right="284" w:bottom="284" w:left="284" w:header="709" w:footer="709" w:gutter="0"/>
          <w:cols w:space="708"/>
          <w:docGrid w:linePitch="360"/>
        </w:sectPr>
      </w:pPr>
    </w:p>
    <w:sdt>
      <w:sdtPr>
        <w:rPr>
          <w:rFonts w:eastAsiaTheme="minorHAnsi"/>
          <w:b w:val="0"/>
          <w:color w:val="auto"/>
          <w:spacing w:val="0"/>
          <w:sz w:val="22"/>
          <w:lang w:val="en-US" w:eastAsia="en-US"/>
        </w:rPr>
        <w:id w:val="-545906446"/>
        <w:docPartObj>
          <w:docPartGallery w:val="Table of Contents"/>
          <w:docPartUnique/>
        </w:docPartObj>
      </w:sdtPr>
      <w:sdtEndPr>
        <w:rPr>
          <w:bCs/>
          <w:noProof/>
        </w:rPr>
      </w:sdtEndPr>
      <w:sdtContent>
        <w:p w14:paraId="7F7AAC9B" w14:textId="38F085C8" w:rsidR="001A41AE" w:rsidRDefault="001A41AE">
          <w:pPr>
            <w:pStyle w:val="TOCHeading"/>
          </w:pPr>
          <w:r>
            <w:t>Contents</w:t>
          </w:r>
        </w:p>
        <w:p w14:paraId="3075772D" w14:textId="77777777" w:rsidR="00DE7278" w:rsidRDefault="001A41AE">
          <w:pPr>
            <w:pStyle w:val="TOC1"/>
            <w:rPr>
              <w:noProof/>
              <w:lang w:eastAsia="en-AU"/>
            </w:rPr>
          </w:pPr>
          <w:r>
            <w:fldChar w:fldCharType="begin"/>
          </w:r>
          <w:r>
            <w:instrText xml:space="preserve"> TOC \o "1-2" \h \z \u </w:instrText>
          </w:r>
          <w:r>
            <w:fldChar w:fldCharType="separate"/>
          </w:r>
          <w:hyperlink w:anchor="_Toc460430472" w:history="1">
            <w:r w:rsidR="00DE7278" w:rsidRPr="00636BCE">
              <w:rPr>
                <w:rStyle w:val="Hyperlink"/>
                <w:noProof/>
              </w:rPr>
              <w:t>1</w:t>
            </w:r>
            <w:r w:rsidR="00DE7278">
              <w:rPr>
                <w:noProof/>
                <w:lang w:eastAsia="en-AU"/>
              </w:rPr>
              <w:tab/>
            </w:r>
            <w:r w:rsidR="00DE7278" w:rsidRPr="00636BCE">
              <w:rPr>
                <w:rStyle w:val="Hyperlink"/>
                <w:noProof/>
              </w:rPr>
              <w:t>Purpose of this inquiry and key findings</w:t>
            </w:r>
            <w:r w:rsidR="00DE7278">
              <w:rPr>
                <w:noProof/>
                <w:webHidden/>
              </w:rPr>
              <w:tab/>
            </w:r>
            <w:r w:rsidR="00DE7278">
              <w:rPr>
                <w:noProof/>
                <w:webHidden/>
              </w:rPr>
              <w:fldChar w:fldCharType="begin"/>
            </w:r>
            <w:r w:rsidR="00DE7278">
              <w:rPr>
                <w:noProof/>
                <w:webHidden/>
              </w:rPr>
              <w:instrText xml:space="preserve"> PAGEREF _Toc460430472 \h </w:instrText>
            </w:r>
            <w:r w:rsidR="00DE7278">
              <w:rPr>
                <w:noProof/>
                <w:webHidden/>
              </w:rPr>
            </w:r>
            <w:r w:rsidR="00DE7278">
              <w:rPr>
                <w:noProof/>
                <w:webHidden/>
              </w:rPr>
              <w:fldChar w:fldCharType="separate"/>
            </w:r>
            <w:r w:rsidR="00225A03">
              <w:rPr>
                <w:noProof/>
                <w:webHidden/>
              </w:rPr>
              <w:t>7</w:t>
            </w:r>
            <w:r w:rsidR="00DE7278">
              <w:rPr>
                <w:noProof/>
                <w:webHidden/>
              </w:rPr>
              <w:fldChar w:fldCharType="end"/>
            </w:r>
          </w:hyperlink>
        </w:p>
        <w:p w14:paraId="2569B777" w14:textId="77777777" w:rsidR="00DE7278" w:rsidRDefault="00B5492B">
          <w:pPr>
            <w:pStyle w:val="TOC2"/>
            <w:rPr>
              <w:lang w:eastAsia="en-AU"/>
            </w:rPr>
          </w:pPr>
          <w:hyperlink w:anchor="_Toc460430473" w:history="1">
            <w:r w:rsidR="00DE7278" w:rsidRPr="00636BCE">
              <w:rPr>
                <w:rStyle w:val="Hyperlink"/>
              </w:rPr>
              <w:t>1.1</w:t>
            </w:r>
            <w:r w:rsidR="00DE7278">
              <w:rPr>
                <w:lang w:eastAsia="en-AU"/>
              </w:rPr>
              <w:tab/>
            </w:r>
            <w:r w:rsidR="00DE7278" w:rsidRPr="00636BCE">
              <w:rPr>
                <w:rStyle w:val="Hyperlink"/>
              </w:rPr>
              <w:t>The Commission’s purpose in preparing this market analysis</w:t>
            </w:r>
            <w:r w:rsidR="00DE7278">
              <w:rPr>
                <w:webHidden/>
              </w:rPr>
              <w:tab/>
            </w:r>
            <w:r w:rsidR="00DE7278">
              <w:rPr>
                <w:webHidden/>
              </w:rPr>
              <w:fldChar w:fldCharType="begin"/>
            </w:r>
            <w:r w:rsidR="00DE7278">
              <w:rPr>
                <w:webHidden/>
              </w:rPr>
              <w:instrText xml:space="preserve"> PAGEREF _Toc460430473 \h </w:instrText>
            </w:r>
            <w:r w:rsidR="00DE7278">
              <w:rPr>
                <w:webHidden/>
              </w:rPr>
            </w:r>
            <w:r w:rsidR="00DE7278">
              <w:rPr>
                <w:webHidden/>
              </w:rPr>
              <w:fldChar w:fldCharType="separate"/>
            </w:r>
            <w:r w:rsidR="00225A03">
              <w:rPr>
                <w:webHidden/>
              </w:rPr>
              <w:t>7</w:t>
            </w:r>
            <w:r w:rsidR="00DE7278">
              <w:rPr>
                <w:webHidden/>
              </w:rPr>
              <w:fldChar w:fldCharType="end"/>
            </w:r>
          </w:hyperlink>
        </w:p>
        <w:p w14:paraId="63B019F5" w14:textId="77777777" w:rsidR="00DE7278" w:rsidRDefault="00B5492B">
          <w:pPr>
            <w:pStyle w:val="TOC2"/>
            <w:rPr>
              <w:lang w:eastAsia="en-AU"/>
            </w:rPr>
          </w:pPr>
          <w:hyperlink w:anchor="_Toc460430474" w:history="1">
            <w:r w:rsidR="00DE7278" w:rsidRPr="00636BCE">
              <w:rPr>
                <w:rStyle w:val="Hyperlink"/>
              </w:rPr>
              <w:t>1.2</w:t>
            </w:r>
            <w:r w:rsidR="00DE7278">
              <w:rPr>
                <w:lang w:eastAsia="en-AU"/>
              </w:rPr>
              <w:tab/>
            </w:r>
            <w:r w:rsidR="00DE7278" w:rsidRPr="00636BCE">
              <w:rPr>
                <w:rStyle w:val="Hyperlink"/>
              </w:rPr>
              <w:t>Government’s policy context</w:t>
            </w:r>
            <w:r w:rsidR="00DE7278">
              <w:rPr>
                <w:webHidden/>
              </w:rPr>
              <w:tab/>
            </w:r>
            <w:r w:rsidR="00DE7278">
              <w:rPr>
                <w:webHidden/>
              </w:rPr>
              <w:fldChar w:fldCharType="begin"/>
            </w:r>
            <w:r w:rsidR="00DE7278">
              <w:rPr>
                <w:webHidden/>
              </w:rPr>
              <w:instrText xml:space="preserve"> PAGEREF _Toc460430474 \h </w:instrText>
            </w:r>
            <w:r w:rsidR="00DE7278">
              <w:rPr>
                <w:webHidden/>
              </w:rPr>
            </w:r>
            <w:r w:rsidR="00DE7278">
              <w:rPr>
                <w:webHidden/>
              </w:rPr>
              <w:fldChar w:fldCharType="separate"/>
            </w:r>
            <w:r w:rsidR="00225A03">
              <w:rPr>
                <w:webHidden/>
              </w:rPr>
              <w:t>8</w:t>
            </w:r>
            <w:r w:rsidR="00DE7278">
              <w:rPr>
                <w:webHidden/>
              </w:rPr>
              <w:fldChar w:fldCharType="end"/>
            </w:r>
          </w:hyperlink>
        </w:p>
        <w:p w14:paraId="75E0C203" w14:textId="77777777" w:rsidR="00DE7278" w:rsidRDefault="00B5492B">
          <w:pPr>
            <w:pStyle w:val="TOC2"/>
            <w:rPr>
              <w:lang w:eastAsia="en-AU"/>
            </w:rPr>
          </w:pPr>
          <w:hyperlink w:anchor="_Toc460430475" w:history="1">
            <w:r w:rsidR="00DE7278" w:rsidRPr="00636BCE">
              <w:rPr>
                <w:rStyle w:val="Hyperlink"/>
              </w:rPr>
              <w:t>1.3</w:t>
            </w:r>
            <w:r w:rsidR="00DE7278">
              <w:rPr>
                <w:lang w:eastAsia="en-AU"/>
              </w:rPr>
              <w:tab/>
            </w:r>
            <w:r w:rsidR="00DE7278" w:rsidRPr="00636BCE">
              <w:rPr>
                <w:rStyle w:val="Hyperlink"/>
              </w:rPr>
              <w:t>Key findings</w:t>
            </w:r>
            <w:r w:rsidR="00DE7278">
              <w:rPr>
                <w:webHidden/>
              </w:rPr>
              <w:tab/>
            </w:r>
            <w:r w:rsidR="00DE7278">
              <w:rPr>
                <w:webHidden/>
              </w:rPr>
              <w:fldChar w:fldCharType="begin"/>
            </w:r>
            <w:r w:rsidR="00DE7278">
              <w:rPr>
                <w:webHidden/>
              </w:rPr>
              <w:instrText xml:space="preserve"> PAGEREF _Toc460430475 \h </w:instrText>
            </w:r>
            <w:r w:rsidR="00DE7278">
              <w:rPr>
                <w:webHidden/>
              </w:rPr>
            </w:r>
            <w:r w:rsidR="00DE7278">
              <w:rPr>
                <w:webHidden/>
              </w:rPr>
              <w:fldChar w:fldCharType="separate"/>
            </w:r>
            <w:r w:rsidR="00225A03">
              <w:rPr>
                <w:webHidden/>
              </w:rPr>
              <w:t>8</w:t>
            </w:r>
            <w:r w:rsidR="00DE7278">
              <w:rPr>
                <w:webHidden/>
              </w:rPr>
              <w:fldChar w:fldCharType="end"/>
            </w:r>
          </w:hyperlink>
        </w:p>
        <w:p w14:paraId="4A7FF084" w14:textId="77777777" w:rsidR="00DE7278" w:rsidRDefault="00B5492B">
          <w:pPr>
            <w:pStyle w:val="TOC2"/>
            <w:rPr>
              <w:lang w:eastAsia="en-AU"/>
            </w:rPr>
          </w:pPr>
          <w:hyperlink w:anchor="_Toc460430476" w:history="1">
            <w:r w:rsidR="00DE7278" w:rsidRPr="00636BCE">
              <w:rPr>
                <w:rStyle w:val="Hyperlink"/>
              </w:rPr>
              <w:t>1.4</w:t>
            </w:r>
            <w:r w:rsidR="00DE7278">
              <w:rPr>
                <w:lang w:eastAsia="en-AU"/>
              </w:rPr>
              <w:tab/>
            </w:r>
            <w:r w:rsidR="00DE7278" w:rsidRPr="00636BCE">
              <w:rPr>
                <w:rStyle w:val="Hyperlink"/>
              </w:rPr>
              <w:t>Implications for the administration of Australia’s anti-dumping system</w:t>
            </w:r>
            <w:r w:rsidR="00DE7278">
              <w:rPr>
                <w:webHidden/>
              </w:rPr>
              <w:tab/>
            </w:r>
            <w:r w:rsidR="00DE7278">
              <w:rPr>
                <w:webHidden/>
              </w:rPr>
              <w:fldChar w:fldCharType="begin"/>
            </w:r>
            <w:r w:rsidR="00DE7278">
              <w:rPr>
                <w:webHidden/>
              </w:rPr>
              <w:instrText xml:space="preserve"> PAGEREF _Toc460430476 \h </w:instrText>
            </w:r>
            <w:r w:rsidR="00DE7278">
              <w:rPr>
                <w:webHidden/>
              </w:rPr>
            </w:r>
            <w:r w:rsidR="00DE7278">
              <w:rPr>
                <w:webHidden/>
              </w:rPr>
              <w:fldChar w:fldCharType="separate"/>
            </w:r>
            <w:r w:rsidR="00225A03">
              <w:rPr>
                <w:webHidden/>
              </w:rPr>
              <w:t>10</w:t>
            </w:r>
            <w:r w:rsidR="00DE7278">
              <w:rPr>
                <w:webHidden/>
              </w:rPr>
              <w:fldChar w:fldCharType="end"/>
            </w:r>
          </w:hyperlink>
        </w:p>
        <w:p w14:paraId="293AC282" w14:textId="77777777" w:rsidR="00DE7278" w:rsidRDefault="00B5492B">
          <w:pPr>
            <w:pStyle w:val="TOC2"/>
            <w:rPr>
              <w:lang w:eastAsia="en-AU"/>
            </w:rPr>
          </w:pPr>
          <w:hyperlink w:anchor="_Toc460430477" w:history="1">
            <w:r w:rsidR="00DE7278" w:rsidRPr="00636BCE">
              <w:rPr>
                <w:rStyle w:val="Hyperlink"/>
              </w:rPr>
              <w:t>1.5</w:t>
            </w:r>
            <w:r w:rsidR="00DE7278">
              <w:rPr>
                <w:lang w:eastAsia="en-AU"/>
              </w:rPr>
              <w:tab/>
            </w:r>
            <w:r w:rsidR="00DE7278" w:rsidRPr="00636BCE">
              <w:rPr>
                <w:rStyle w:val="Hyperlink"/>
              </w:rPr>
              <w:t>Scope of the analysis</w:t>
            </w:r>
            <w:r w:rsidR="00DE7278">
              <w:rPr>
                <w:webHidden/>
              </w:rPr>
              <w:tab/>
            </w:r>
            <w:r w:rsidR="00DE7278">
              <w:rPr>
                <w:webHidden/>
              </w:rPr>
              <w:fldChar w:fldCharType="begin"/>
            </w:r>
            <w:r w:rsidR="00DE7278">
              <w:rPr>
                <w:webHidden/>
              </w:rPr>
              <w:instrText xml:space="preserve"> PAGEREF _Toc460430477 \h </w:instrText>
            </w:r>
            <w:r w:rsidR="00DE7278">
              <w:rPr>
                <w:webHidden/>
              </w:rPr>
            </w:r>
            <w:r w:rsidR="00DE7278">
              <w:rPr>
                <w:webHidden/>
              </w:rPr>
              <w:fldChar w:fldCharType="separate"/>
            </w:r>
            <w:r w:rsidR="00225A03">
              <w:rPr>
                <w:webHidden/>
              </w:rPr>
              <w:t>10</w:t>
            </w:r>
            <w:r w:rsidR="00DE7278">
              <w:rPr>
                <w:webHidden/>
              </w:rPr>
              <w:fldChar w:fldCharType="end"/>
            </w:r>
          </w:hyperlink>
        </w:p>
        <w:p w14:paraId="4E44C4CD" w14:textId="77777777" w:rsidR="00DE7278" w:rsidRDefault="00B5492B">
          <w:pPr>
            <w:pStyle w:val="TOC2"/>
            <w:rPr>
              <w:lang w:eastAsia="en-AU"/>
            </w:rPr>
          </w:pPr>
          <w:hyperlink w:anchor="_Toc460430478" w:history="1">
            <w:r w:rsidR="00DE7278" w:rsidRPr="00636BCE">
              <w:rPr>
                <w:rStyle w:val="Hyperlink"/>
              </w:rPr>
              <w:t>1.6</w:t>
            </w:r>
            <w:r w:rsidR="00DE7278">
              <w:rPr>
                <w:lang w:eastAsia="en-AU"/>
              </w:rPr>
              <w:tab/>
            </w:r>
            <w:r w:rsidR="00DE7278" w:rsidRPr="00636BCE">
              <w:rPr>
                <w:rStyle w:val="Hyperlink"/>
              </w:rPr>
              <w:t>Conduct of this analysis</w:t>
            </w:r>
            <w:r w:rsidR="00DE7278">
              <w:rPr>
                <w:webHidden/>
              </w:rPr>
              <w:tab/>
            </w:r>
            <w:r w:rsidR="00DE7278">
              <w:rPr>
                <w:webHidden/>
              </w:rPr>
              <w:fldChar w:fldCharType="begin"/>
            </w:r>
            <w:r w:rsidR="00DE7278">
              <w:rPr>
                <w:webHidden/>
              </w:rPr>
              <w:instrText xml:space="preserve"> PAGEREF _Toc460430478 \h </w:instrText>
            </w:r>
            <w:r w:rsidR="00DE7278">
              <w:rPr>
                <w:webHidden/>
              </w:rPr>
            </w:r>
            <w:r w:rsidR="00DE7278">
              <w:rPr>
                <w:webHidden/>
              </w:rPr>
              <w:fldChar w:fldCharType="separate"/>
            </w:r>
            <w:r w:rsidR="00225A03">
              <w:rPr>
                <w:webHidden/>
              </w:rPr>
              <w:t>11</w:t>
            </w:r>
            <w:r w:rsidR="00DE7278">
              <w:rPr>
                <w:webHidden/>
              </w:rPr>
              <w:fldChar w:fldCharType="end"/>
            </w:r>
          </w:hyperlink>
        </w:p>
        <w:p w14:paraId="3F3EC291" w14:textId="77777777" w:rsidR="00DE7278" w:rsidRDefault="00B5492B">
          <w:pPr>
            <w:pStyle w:val="TOC1"/>
            <w:rPr>
              <w:noProof/>
              <w:lang w:eastAsia="en-AU"/>
            </w:rPr>
          </w:pPr>
          <w:hyperlink w:anchor="_Toc460430479" w:history="1">
            <w:r w:rsidR="00DE7278" w:rsidRPr="00636BCE">
              <w:rPr>
                <w:rStyle w:val="Hyperlink"/>
                <w:noProof/>
              </w:rPr>
              <w:t>2</w:t>
            </w:r>
            <w:r w:rsidR="00DE7278">
              <w:rPr>
                <w:noProof/>
                <w:lang w:eastAsia="en-AU"/>
              </w:rPr>
              <w:tab/>
            </w:r>
            <w:r w:rsidR="00DE7278" w:rsidRPr="00636BCE">
              <w:rPr>
                <w:rStyle w:val="Hyperlink"/>
                <w:noProof/>
              </w:rPr>
              <w:t>The global market for steel and aluminium</w:t>
            </w:r>
            <w:r w:rsidR="00DE7278">
              <w:rPr>
                <w:noProof/>
                <w:webHidden/>
              </w:rPr>
              <w:tab/>
            </w:r>
            <w:r w:rsidR="00DE7278">
              <w:rPr>
                <w:noProof/>
                <w:webHidden/>
              </w:rPr>
              <w:fldChar w:fldCharType="begin"/>
            </w:r>
            <w:r w:rsidR="00DE7278">
              <w:rPr>
                <w:noProof/>
                <w:webHidden/>
              </w:rPr>
              <w:instrText xml:space="preserve"> PAGEREF _Toc460430479 \h </w:instrText>
            </w:r>
            <w:r w:rsidR="00DE7278">
              <w:rPr>
                <w:noProof/>
                <w:webHidden/>
              </w:rPr>
            </w:r>
            <w:r w:rsidR="00DE7278">
              <w:rPr>
                <w:noProof/>
                <w:webHidden/>
              </w:rPr>
              <w:fldChar w:fldCharType="separate"/>
            </w:r>
            <w:r w:rsidR="00225A03">
              <w:rPr>
                <w:noProof/>
                <w:webHidden/>
              </w:rPr>
              <w:t>12</w:t>
            </w:r>
            <w:r w:rsidR="00DE7278">
              <w:rPr>
                <w:noProof/>
                <w:webHidden/>
              </w:rPr>
              <w:fldChar w:fldCharType="end"/>
            </w:r>
          </w:hyperlink>
        </w:p>
        <w:p w14:paraId="65BB0333" w14:textId="77777777" w:rsidR="00DE7278" w:rsidRDefault="00B5492B">
          <w:pPr>
            <w:pStyle w:val="TOC2"/>
            <w:rPr>
              <w:lang w:eastAsia="en-AU"/>
            </w:rPr>
          </w:pPr>
          <w:hyperlink w:anchor="_Toc460430480" w:history="1">
            <w:r w:rsidR="00DE7278" w:rsidRPr="00636BCE">
              <w:rPr>
                <w:rStyle w:val="Hyperlink"/>
              </w:rPr>
              <w:t>2.1</w:t>
            </w:r>
            <w:r w:rsidR="00DE7278">
              <w:rPr>
                <w:lang w:eastAsia="en-AU"/>
              </w:rPr>
              <w:tab/>
            </w:r>
            <w:r w:rsidR="00DE7278" w:rsidRPr="00636BCE">
              <w:rPr>
                <w:rStyle w:val="Hyperlink"/>
              </w:rPr>
              <w:t>Defining the market</w:t>
            </w:r>
            <w:r w:rsidR="00DE7278">
              <w:rPr>
                <w:webHidden/>
              </w:rPr>
              <w:tab/>
            </w:r>
            <w:r w:rsidR="00DE7278">
              <w:rPr>
                <w:webHidden/>
              </w:rPr>
              <w:fldChar w:fldCharType="begin"/>
            </w:r>
            <w:r w:rsidR="00DE7278">
              <w:rPr>
                <w:webHidden/>
              </w:rPr>
              <w:instrText xml:space="preserve"> PAGEREF _Toc460430480 \h </w:instrText>
            </w:r>
            <w:r w:rsidR="00DE7278">
              <w:rPr>
                <w:webHidden/>
              </w:rPr>
            </w:r>
            <w:r w:rsidR="00DE7278">
              <w:rPr>
                <w:webHidden/>
              </w:rPr>
              <w:fldChar w:fldCharType="separate"/>
            </w:r>
            <w:r w:rsidR="00225A03">
              <w:rPr>
                <w:webHidden/>
              </w:rPr>
              <w:t>12</w:t>
            </w:r>
            <w:r w:rsidR="00DE7278">
              <w:rPr>
                <w:webHidden/>
              </w:rPr>
              <w:fldChar w:fldCharType="end"/>
            </w:r>
          </w:hyperlink>
        </w:p>
        <w:p w14:paraId="5276A327" w14:textId="77777777" w:rsidR="00DE7278" w:rsidRDefault="00B5492B">
          <w:pPr>
            <w:pStyle w:val="TOC2"/>
            <w:rPr>
              <w:lang w:eastAsia="en-AU"/>
            </w:rPr>
          </w:pPr>
          <w:hyperlink w:anchor="_Toc460430481" w:history="1">
            <w:r w:rsidR="00DE7278" w:rsidRPr="00636BCE">
              <w:rPr>
                <w:rStyle w:val="Hyperlink"/>
              </w:rPr>
              <w:t>2.2</w:t>
            </w:r>
            <w:r w:rsidR="00DE7278">
              <w:rPr>
                <w:lang w:eastAsia="en-AU"/>
              </w:rPr>
              <w:tab/>
            </w:r>
            <w:r w:rsidR="00DE7278" w:rsidRPr="00636BCE">
              <w:rPr>
                <w:rStyle w:val="Hyperlink"/>
              </w:rPr>
              <w:t>Trends in global demand</w:t>
            </w:r>
            <w:r w:rsidR="00DE7278">
              <w:rPr>
                <w:webHidden/>
              </w:rPr>
              <w:tab/>
            </w:r>
            <w:r w:rsidR="00DE7278">
              <w:rPr>
                <w:webHidden/>
              </w:rPr>
              <w:fldChar w:fldCharType="begin"/>
            </w:r>
            <w:r w:rsidR="00DE7278">
              <w:rPr>
                <w:webHidden/>
              </w:rPr>
              <w:instrText xml:space="preserve"> PAGEREF _Toc460430481 \h </w:instrText>
            </w:r>
            <w:r w:rsidR="00DE7278">
              <w:rPr>
                <w:webHidden/>
              </w:rPr>
            </w:r>
            <w:r w:rsidR="00DE7278">
              <w:rPr>
                <w:webHidden/>
              </w:rPr>
              <w:fldChar w:fldCharType="separate"/>
            </w:r>
            <w:r w:rsidR="00225A03">
              <w:rPr>
                <w:webHidden/>
              </w:rPr>
              <w:t>13</w:t>
            </w:r>
            <w:r w:rsidR="00DE7278">
              <w:rPr>
                <w:webHidden/>
              </w:rPr>
              <w:fldChar w:fldCharType="end"/>
            </w:r>
          </w:hyperlink>
        </w:p>
        <w:p w14:paraId="2C5DF107" w14:textId="77777777" w:rsidR="00DE7278" w:rsidRDefault="00B5492B">
          <w:pPr>
            <w:pStyle w:val="TOC2"/>
            <w:rPr>
              <w:lang w:eastAsia="en-AU"/>
            </w:rPr>
          </w:pPr>
          <w:hyperlink w:anchor="_Toc460430482" w:history="1">
            <w:r w:rsidR="00DE7278" w:rsidRPr="00636BCE">
              <w:rPr>
                <w:rStyle w:val="Hyperlink"/>
              </w:rPr>
              <w:t>2.3</w:t>
            </w:r>
            <w:r w:rsidR="00DE7278">
              <w:rPr>
                <w:lang w:eastAsia="en-AU"/>
              </w:rPr>
              <w:tab/>
            </w:r>
            <w:r w:rsidR="00DE7278" w:rsidRPr="00636BCE">
              <w:rPr>
                <w:rStyle w:val="Hyperlink"/>
              </w:rPr>
              <w:t>Trends in global production</w:t>
            </w:r>
            <w:r w:rsidR="00DE7278">
              <w:rPr>
                <w:webHidden/>
              </w:rPr>
              <w:tab/>
            </w:r>
            <w:r w:rsidR="00DE7278">
              <w:rPr>
                <w:webHidden/>
              </w:rPr>
              <w:fldChar w:fldCharType="begin"/>
            </w:r>
            <w:r w:rsidR="00DE7278">
              <w:rPr>
                <w:webHidden/>
              </w:rPr>
              <w:instrText xml:space="preserve"> PAGEREF _Toc460430482 \h </w:instrText>
            </w:r>
            <w:r w:rsidR="00DE7278">
              <w:rPr>
                <w:webHidden/>
              </w:rPr>
            </w:r>
            <w:r w:rsidR="00DE7278">
              <w:rPr>
                <w:webHidden/>
              </w:rPr>
              <w:fldChar w:fldCharType="separate"/>
            </w:r>
            <w:r w:rsidR="00225A03">
              <w:rPr>
                <w:webHidden/>
              </w:rPr>
              <w:t>19</w:t>
            </w:r>
            <w:r w:rsidR="00DE7278">
              <w:rPr>
                <w:webHidden/>
              </w:rPr>
              <w:fldChar w:fldCharType="end"/>
            </w:r>
          </w:hyperlink>
        </w:p>
        <w:p w14:paraId="2AF45590" w14:textId="77777777" w:rsidR="00DE7278" w:rsidRDefault="00B5492B">
          <w:pPr>
            <w:pStyle w:val="TOC2"/>
            <w:rPr>
              <w:lang w:eastAsia="en-AU"/>
            </w:rPr>
          </w:pPr>
          <w:hyperlink w:anchor="_Toc460430483" w:history="1">
            <w:r w:rsidR="00DE7278" w:rsidRPr="00636BCE">
              <w:rPr>
                <w:rStyle w:val="Hyperlink"/>
              </w:rPr>
              <w:t>2.4</w:t>
            </w:r>
            <w:r w:rsidR="00DE7278">
              <w:rPr>
                <w:lang w:eastAsia="en-AU"/>
              </w:rPr>
              <w:tab/>
            </w:r>
            <w:r w:rsidR="00DE7278" w:rsidRPr="00636BCE">
              <w:rPr>
                <w:rStyle w:val="Hyperlink"/>
              </w:rPr>
              <w:t>Market outcomes</w:t>
            </w:r>
            <w:r w:rsidR="00DE7278">
              <w:rPr>
                <w:webHidden/>
              </w:rPr>
              <w:tab/>
            </w:r>
            <w:r w:rsidR="00DE7278">
              <w:rPr>
                <w:webHidden/>
              </w:rPr>
              <w:fldChar w:fldCharType="begin"/>
            </w:r>
            <w:r w:rsidR="00DE7278">
              <w:rPr>
                <w:webHidden/>
              </w:rPr>
              <w:instrText xml:space="preserve"> PAGEREF _Toc460430483 \h </w:instrText>
            </w:r>
            <w:r w:rsidR="00DE7278">
              <w:rPr>
                <w:webHidden/>
              </w:rPr>
            </w:r>
            <w:r w:rsidR="00DE7278">
              <w:rPr>
                <w:webHidden/>
              </w:rPr>
              <w:fldChar w:fldCharType="separate"/>
            </w:r>
            <w:r w:rsidR="00225A03">
              <w:rPr>
                <w:webHidden/>
              </w:rPr>
              <w:t>28</w:t>
            </w:r>
            <w:r w:rsidR="00DE7278">
              <w:rPr>
                <w:webHidden/>
              </w:rPr>
              <w:fldChar w:fldCharType="end"/>
            </w:r>
          </w:hyperlink>
        </w:p>
        <w:p w14:paraId="7A833BBE" w14:textId="77777777" w:rsidR="00DE7278" w:rsidRDefault="00B5492B">
          <w:pPr>
            <w:pStyle w:val="TOC2"/>
            <w:rPr>
              <w:lang w:eastAsia="en-AU"/>
            </w:rPr>
          </w:pPr>
          <w:hyperlink w:anchor="_Toc460430484" w:history="1">
            <w:r w:rsidR="00DE7278" w:rsidRPr="00636BCE">
              <w:rPr>
                <w:rStyle w:val="Hyperlink"/>
              </w:rPr>
              <w:t>2.5</w:t>
            </w:r>
            <w:r w:rsidR="00DE7278">
              <w:rPr>
                <w:lang w:eastAsia="en-AU"/>
              </w:rPr>
              <w:tab/>
            </w:r>
            <w:r w:rsidR="00DE7278" w:rsidRPr="00636BCE">
              <w:rPr>
                <w:rStyle w:val="Hyperlink"/>
              </w:rPr>
              <w:t>Conclusion</w:t>
            </w:r>
            <w:r w:rsidR="00DE7278">
              <w:rPr>
                <w:webHidden/>
              </w:rPr>
              <w:tab/>
            </w:r>
            <w:r w:rsidR="00DE7278">
              <w:rPr>
                <w:webHidden/>
              </w:rPr>
              <w:fldChar w:fldCharType="begin"/>
            </w:r>
            <w:r w:rsidR="00DE7278">
              <w:rPr>
                <w:webHidden/>
              </w:rPr>
              <w:instrText xml:space="preserve"> PAGEREF _Toc460430484 \h </w:instrText>
            </w:r>
            <w:r w:rsidR="00DE7278">
              <w:rPr>
                <w:webHidden/>
              </w:rPr>
            </w:r>
            <w:r w:rsidR="00DE7278">
              <w:rPr>
                <w:webHidden/>
              </w:rPr>
              <w:fldChar w:fldCharType="separate"/>
            </w:r>
            <w:r w:rsidR="00225A03">
              <w:rPr>
                <w:webHidden/>
              </w:rPr>
              <w:t>33</w:t>
            </w:r>
            <w:r w:rsidR="00DE7278">
              <w:rPr>
                <w:webHidden/>
              </w:rPr>
              <w:fldChar w:fldCharType="end"/>
            </w:r>
          </w:hyperlink>
        </w:p>
        <w:p w14:paraId="1797DE57" w14:textId="77777777" w:rsidR="00DE7278" w:rsidRDefault="00B5492B">
          <w:pPr>
            <w:pStyle w:val="TOC1"/>
            <w:rPr>
              <w:noProof/>
              <w:lang w:eastAsia="en-AU"/>
            </w:rPr>
          </w:pPr>
          <w:hyperlink w:anchor="_Toc460430485" w:history="1">
            <w:r w:rsidR="00DE7278" w:rsidRPr="00636BCE">
              <w:rPr>
                <w:rStyle w:val="Hyperlink"/>
                <w:noProof/>
              </w:rPr>
              <w:t>3</w:t>
            </w:r>
            <w:r w:rsidR="00DE7278">
              <w:rPr>
                <w:noProof/>
                <w:lang w:eastAsia="en-AU"/>
              </w:rPr>
              <w:tab/>
            </w:r>
            <w:r w:rsidR="00DE7278" w:rsidRPr="00636BCE">
              <w:rPr>
                <w:rStyle w:val="Hyperlink"/>
                <w:noProof/>
              </w:rPr>
              <w:t>Market-distorting government interventions and trading practices in steel and aluminium markets</w:t>
            </w:r>
            <w:r w:rsidR="00DE7278">
              <w:rPr>
                <w:noProof/>
                <w:webHidden/>
              </w:rPr>
              <w:tab/>
            </w:r>
            <w:r w:rsidR="00DE7278">
              <w:rPr>
                <w:noProof/>
                <w:webHidden/>
              </w:rPr>
              <w:fldChar w:fldCharType="begin"/>
            </w:r>
            <w:r w:rsidR="00DE7278">
              <w:rPr>
                <w:noProof/>
                <w:webHidden/>
              </w:rPr>
              <w:instrText xml:space="preserve"> PAGEREF _Toc460430485 \h </w:instrText>
            </w:r>
            <w:r w:rsidR="00DE7278">
              <w:rPr>
                <w:noProof/>
                <w:webHidden/>
              </w:rPr>
            </w:r>
            <w:r w:rsidR="00DE7278">
              <w:rPr>
                <w:noProof/>
                <w:webHidden/>
              </w:rPr>
              <w:fldChar w:fldCharType="separate"/>
            </w:r>
            <w:r w:rsidR="00225A03">
              <w:rPr>
                <w:noProof/>
                <w:webHidden/>
              </w:rPr>
              <w:t>35</w:t>
            </w:r>
            <w:r w:rsidR="00DE7278">
              <w:rPr>
                <w:noProof/>
                <w:webHidden/>
              </w:rPr>
              <w:fldChar w:fldCharType="end"/>
            </w:r>
          </w:hyperlink>
        </w:p>
        <w:p w14:paraId="38395BE4" w14:textId="77777777" w:rsidR="00DE7278" w:rsidRDefault="00B5492B">
          <w:pPr>
            <w:pStyle w:val="TOC2"/>
            <w:rPr>
              <w:lang w:eastAsia="en-AU"/>
            </w:rPr>
          </w:pPr>
          <w:hyperlink w:anchor="_Toc460430486" w:history="1">
            <w:r w:rsidR="00DE7278" w:rsidRPr="00636BCE">
              <w:rPr>
                <w:rStyle w:val="Hyperlink"/>
              </w:rPr>
              <w:t>3.1</w:t>
            </w:r>
            <w:r w:rsidR="00DE7278">
              <w:rPr>
                <w:lang w:eastAsia="en-AU"/>
              </w:rPr>
              <w:tab/>
            </w:r>
            <w:r w:rsidR="00DE7278" w:rsidRPr="00636BCE">
              <w:rPr>
                <w:rStyle w:val="Hyperlink"/>
              </w:rPr>
              <w:t>OECD analysis of the causes of global overcapacity</w:t>
            </w:r>
            <w:r w:rsidR="00DE7278">
              <w:rPr>
                <w:webHidden/>
              </w:rPr>
              <w:tab/>
            </w:r>
            <w:r w:rsidR="00DE7278">
              <w:rPr>
                <w:webHidden/>
              </w:rPr>
              <w:fldChar w:fldCharType="begin"/>
            </w:r>
            <w:r w:rsidR="00DE7278">
              <w:rPr>
                <w:webHidden/>
              </w:rPr>
              <w:instrText xml:space="preserve"> PAGEREF _Toc460430486 \h </w:instrText>
            </w:r>
            <w:r w:rsidR="00DE7278">
              <w:rPr>
                <w:webHidden/>
              </w:rPr>
            </w:r>
            <w:r w:rsidR="00DE7278">
              <w:rPr>
                <w:webHidden/>
              </w:rPr>
              <w:fldChar w:fldCharType="separate"/>
            </w:r>
            <w:r w:rsidR="00225A03">
              <w:rPr>
                <w:webHidden/>
              </w:rPr>
              <w:t>36</w:t>
            </w:r>
            <w:r w:rsidR="00DE7278">
              <w:rPr>
                <w:webHidden/>
              </w:rPr>
              <w:fldChar w:fldCharType="end"/>
            </w:r>
          </w:hyperlink>
        </w:p>
        <w:p w14:paraId="0B86FAB8" w14:textId="77777777" w:rsidR="00DE7278" w:rsidRDefault="00B5492B">
          <w:pPr>
            <w:pStyle w:val="TOC2"/>
            <w:rPr>
              <w:lang w:eastAsia="en-AU"/>
            </w:rPr>
          </w:pPr>
          <w:hyperlink w:anchor="_Toc460430487" w:history="1">
            <w:r w:rsidR="00DE7278" w:rsidRPr="00636BCE">
              <w:rPr>
                <w:rStyle w:val="Hyperlink"/>
              </w:rPr>
              <w:t>3.2</w:t>
            </w:r>
            <w:r w:rsidR="00DE7278">
              <w:rPr>
                <w:lang w:eastAsia="en-AU"/>
              </w:rPr>
              <w:tab/>
            </w:r>
            <w:r w:rsidR="00DE7278" w:rsidRPr="00636BCE">
              <w:rPr>
                <w:rStyle w:val="Hyperlink"/>
              </w:rPr>
              <w:t>History of government interventions in steel and aluminium markets</w:t>
            </w:r>
            <w:r w:rsidR="00DE7278">
              <w:rPr>
                <w:webHidden/>
              </w:rPr>
              <w:tab/>
            </w:r>
            <w:r w:rsidR="00DE7278">
              <w:rPr>
                <w:webHidden/>
              </w:rPr>
              <w:fldChar w:fldCharType="begin"/>
            </w:r>
            <w:r w:rsidR="00DE7278">
              <w:rPr>
                <w:webHidden/>
              </w:rPr>
              <w:instrText xml:space="preserve"> PAGEREF _Toc460430487 \h </w:instrText>
            </w:r>
            <w:r w:rsidR="00DE7278">
              <w:rPr>
                <w:webHidden/>
              </w:rPr>
            </w:r>
            <w:r w:rsidR="00DE7278">
              <w:rPr>
                <w:webHidden/>
              </w:rPr>
              <w:fldChar w:fldCharType="separate"/>
            </w:r>
            <w:r w:rsidR="00225A03">
              <w:rPr>
                <w:webHidden/>
              </w:rPr>
              <w:t>39</w:t>
            </w:r>
            <w:r w:rsidR="00DE7278">
              <w:rPr>
                <w:webHidden/>
              </w:rPr>
              <w:fldChar w:fldCharType="end"/>
            </w:r>
          </w:hyperlink>
        </w:p>
        <w:p w14:paraId="544D23DC" w14:textId="77777777" w:rsidR="00DE7278" w:rsidRDefault="00B5492B">
          <w:pPr>
            <w:pStyle w:val="TOC2"/>
            <w:rPr>
              <w:lang w:eastAsia="en-AU"/>
            </w:rPr>
          </w:pPr>
          <w:hyperlink w:anchor="_Toc460430488" w:history="1">
            <w:r w:rsidR="00DE7278" w:rsidRPr="00636BCE">
              <w:rPr>
                <w:rStyle w:val="Hyperlink"/>
              </w:rPr>
              <w:t>3.3</w:t>
            </w:r>
            <w:r w:rsidR="00DE7278">
              <w:rPr>
                <w:lang w:eastAsia="en-AU"/>
              </w:rPr>
              <w:tab/>
            </w:r>
            <w:r w:rsidR="00DE7278" w:rsidRPr="00636BCE">
              <w:rPr>
                <w:rStyle w:val="Hyperlink"/>
              </w:rPr>
              <w:t>Asian government interventions in steel and aluminium markets</w:t>
            </w:r>
            <w:r w:rsidR="00DE7278">
              <w:rPr>
                <w:webHidden/>
              </w:rPr>
              <w:tab/>
            </w:r>
            <w:r w:rsidR="00DE7278">
              <w:rPr>
                <w:webHidden/>
              </w:rPr>
              <w:fldChar w:fldCharType="begin"/>
            </w:r>
            <w:r w:rsidR="00DE7278">
              <w:rPr>
                <w:webHidden/>
              </w:rPr>
              <w:instrText xml:space="preserve"> PAGEREF _Toc460430488 \h </w:instrText>
            </w:r>
            <w:r w:rsidR="00DE7278">
              <w:rPr>
                <w:webHidden/>
              </w:rPr>
            </w:r>
            <w:r w:rsidR="00DE7278">
              <w:rPr>
                <w:webHidden/>
              </w:rPr>
              <w:fldChar w:fldCharType="separate"/>
            </w:r>
            <w:r w:rsidR="00225A03">
              <w:rPr>
                <w:webHidden/>
              </w:rPr>
              <w:t>43</w:t>
            </w:r>
            <w:r w:rsidR="00DE7278">
              <w:rPr>
                <w:webHidden/>
              </w:rPr>
              <w:fldChar w:fldCharType="end"/>
            </w:r>
          </w:hyperlink>
        </w:p>
        <w:p w14:paraId="2E657F8C" w14:textId="77777777" w:rsidR="00DE7278" w:rsidRDefault="00B5492B">
          <w:pPr>
            <w:pStyle w:val="TOC2"/>
            <w:rPr>
              <w:lang w:eastAsia="en-AU"/>
            </w:rPr>
          </w:pPr>
          <w:hyperlink w:anchor="_Toc460430489" w:history="1">
            <w:r w:rsidR="00DE7278" w:rsidRPr="00636BCE">
              <w:rPr>
                <w:rStyle w:val="Hyperlink"/>
              </w:rPr>
              <w:t>3.4</w:t>
            </w:r>
            <w:r w:rsidR="00DE7278">
              <w:rPr>
                <w:lang w:eastAsia="en-AU"/>
              </w:rPr>
              <w:tab/>
            </w:r>
            <w:r w:rsidR="00DE7278" w:rsidRPr="00636BCE">
              <w:rPr>
                <w:rStyle w:val="Hyperlink"/>
              </w:rPr>
              <w:t>Steel industry: Chinese government interventions</w:t>
            </w:r>
            <w:r w:rsidR="00DE7278">
              <w:rPr>
                <w:webHidden/>
              </w:rPr>
              <w:tab/>
            </w:r>
            <w:r w:rsidR="00DE7278">
              <w:rPr>
                <w:webHidden/>
              </w:rPr>
              <w:fldChar w:fldCharType="begin"/>
            </w:r>
            <w:r w:rsidR="00DE7278">
              <w:rPr>
                <w:webHidden/>
              </w:rPr>
              <w:instrText xml:space="preserve"> PAGEREF _Toc460430489 \h </w:instrText>
            </w:r>
            <w:r w:rsidR="00DE7278">
              <w:rPr>
                <w:webHidden/>
              </w:rPr>
            </w:r>
            <w:r w:rsidR="00DE7278">
              <w:rPr>
                <w:webHidden/>
              </w:rPr>
              <w:fldChar w:fldCharType="separate"/>
            </w:r>
            <w:r w:rsidR="00225A03">
              <w:rPr>
                <w:webHidden/>
              </w:rPr>
              <w:t>44</w:t>
            </w:r>
            <w:r w:rsidR="00DE7278">
              <w:rPr>
                <w:webHidden/>
              </w:rPr>
              <w:fldChar w:fldCharType="end"/>
            </w:r>
          </w:hyperlink>
        </w:p>
        <w:p w14:paraId="06DAE26C" w14:textId="77777777" w:rsidR="00DE7278" w:rsidRDefault="00B5492B">
          <w:pPr>
            <w:pStyle w:val="TOC2"/>
            <w:rPr>
              <w:lang w:eastAsia="en-AU"/>
            </w:rPr>
          </w:pPr>
          <w:hyperlink w:anchor="_Toc460430490" w:history="1">
            <w:r w:rsidR="00DE7278" w:rsidRPr="00636BCE">
              <w:rPr>
                <w:rStyle w:val="Hyperlink"/>
              </w:rPr>
              <w:t>3.5</w:t>
            </w:r>
            <w:r w:rsidR="00DE7278">
              <w:rPr>
                <w:lang w:eastAsia="en-AU"/>
              </w:rPr>
              <w:tab/>
            </w:r>
            <w:r w:rsidR="00DE7278" w:rsidRPr="00636BCE">
              <w:rPr>
                <w:rStyle w:val="Hyperlink"/>
              </w:rPr>
              <w:t>Other Asian steel markets: government interventions</w:t>
            </w:r>
            <w:r w:rsidR="00DE7278">
              <w:rPr>
                <w:webHidden/>
              </w:rPr>
              <w:tab/>
            </w:r>
            <w:r w:rsidR="00DE7278">
              <w:rPr>
                <w:webHidden/>
              </w:rPr>
              <w:fldChar w:fldCharType="begin"/>
            </w:r>
            <w:r w:rsidR="00DE7278">
              <w:rPr>
                <w:webHidden/>
              </w:rPr>
              <w:instrText xml:space="preserve"> PAGEREF _Toc460430490 \h </w:instrText>
            </w:r>
            <w:r w:rsidR="00DE7278">
              <w:rPr>
                <w:webHidden/>
              </w:rPr>
            </w:r>
            <w:r w:rsidR="00DE7278">
              <w:rPr>
                <w:webHidden/>
              </w:rPr>
              <w:fldChar w:fldCharType="separate"/>
            </w:r>
            <w:r w:rsidR="00225A03">
              <w:rPr>
                <w:webHidden/>
              </w:rPr>
              <w:t>49</w:t>
            </w:r>
            <w:r w:rsidR="00DE7278">
              <w:rPr>
                <w:webHidden/>
              </w:rPr>
              <w:fldChar w:fldCharType="end"/>
            </w:r>
          </w:hyperlink>
        </w:p>
        <w:p w14:paraId="162D046E" w14:textId="77777777" w:rsidR="00DE7278" w:rsidRDefault="00B5492B">
          <w:pPr>
            <w:pStyle w:val="TOC2"/>
            <w:rPr>
              <w:lang w:eastAsia="en-AU"/>
            </w:rPr>
          </w:pPr>
          <w:hyperlink w:anchor="_Toc460430491" w:history="1">
            <w:r w:rsidR="00DE7278" w:rsidRPr="00636BCE">
              <w:rPr>
                <w:rStyle w:val="Hyperlink"/>
              </w:rPr>
              <w:t>3.6</w:t>
            </w:r>
            <w:r w:rsidR="00DE7278">
              <w:rPr>
                <w:lang w:eastAsia="en-AU"/>
              </w:rPr>
              <w:tab/>
            </w:r>
            <w:r w:rsidR="00DE7278" w:rsidRPr="00636BCE">
              <w:rPr>
                <w:rStyle w:val="Hyperlink"/>
              </w:rPr>
              <w:t>Aluminium industry: Chinese government interventions</w:t>
            </w:r>
            <w:r w:rsidR="00DE7278">
              <w:rPr>
                <w:webHidden/>
              </w:rPr>
              <w:tab/>
            </w:r>
            <w:r w:rsidR="00DE7278">
              <w:rPr>
                <w:webHidden/>
              </w:rPr>
              <w:fldChar w:fldCharType="begin"/>
            </w:r>
            <w:r w:rsidR="00DE7278">
              <w:rPr>
                <w:webHidden/>
              </w:rPr>
              <w:instrText xml:space="preserve"> PAGEREF _Toc460430491 \h </w:instrText>
            </w:r>
            <w:r w:rsidR="00DE7278">
              <w:rPr>
                <w:webHidden/>
              </w:rPr>
            </w:r>
            <w:r w:rsidR="00DE7278">
              <w:rPr>
                <w:webHidden/>
              </w:rPr>
              <w:fldChar w:fldCharType="separate"/>
            </w:r>
            <w:r w:rsidR="00225A03">
              <w:rPr>
                <w:webHidden/>
              </w:rPr>
              <w:t>54</w:t>
            </w:r>
            <w:r w:rsidR="00DE7278">
              <w:rPr>
                <w:webHidden/>
              </w:rPr>
              <w:fldChar w:fldCharType="end"/>
            </w:r>
          </w:hyperlink>
        </w:p>
        <w:p w14:paraId="580FB678" w14:textId="77777777" w:rsidR="00DE7278" w:rsidRDefault="00B5492B">
          <w:pPr>
            <w:pStyle w:val="TOC2"/>
            <w:rPr>
              <w:lang w:eastAsia="en-AU"/>
            </w:rPr>
          </w:pPr>
          <w:hyperlink w:anchor="_Toc460430492" w:history="1">
            <w:r w:rsidR="00DE7278" w:rsidRPr="00636BCE">
              <w:rPr>
                <w:rStyle w:val="Hyperlink"/>
              </w:rPr>
              <w:t>3.7</w:t>
            </w:r>
            <w:r w:rsidR="00DE7278">
              <w:rPr>
                <w:lang w:eastAsia="en-AU"/>
              </w:rPr>
              <w:tab/>
            </w:r>
            <w:r w:rsidR="00DE7278" w:rsidRPr="00636BCE">
              <w:rPr>
                <w:rStyle w:val="Hyperlink"/>
              </w:rPr>
              <w:t>Other Asian aluminium markets: government interventions</w:t>
            </w:r>
            <w:r w:rsidR="00DE7278">
              <w:rPr>
                <w:webHidden/>
              </w:rPr>
              <w:tab/>
            </w:r>
            <w:r w:rsidR="00DE7278">
              <w:rPr>
                <w:webHidden/>
              </w:rPr>
              <w:fldChar w:fldCharType="begin"/>
            </w:r>
            <w:r w:rsidR="00DE7278">
              <w:rPr>
                <w:webHidden/>
              </w:rPr>
              <w:instrText xml:space="preserve"> PAGEREF _Toc460430492 \h </w:instrText>
            </w:r>
            <w:r w:rsidR="00DE7278">
              <w:rPr>
                <w:webHidden/>
              </w:rPr>
            </w:r>
            <w:r w:rsidR="00DE7278">
              <w:rPr>
                <w:webHidden/>
              </w:rPr>
              <w:fldChar w:fldCharType="separate"/>
            </w:r>
            <w:r w:rsidR="00225A03">
              <w:rPr>
                <w:webHidden/>
              </w:rPr>
              <w:t>56</w:t>
            </w:r>
            <w:r w:rsidR="00DE7278">
              <w:rPr>
                <w:webHidden/>
              </w:rPr>
              <w:fldChar w:fldCharType="end"/>
            </w:r>
          </w:hyperlink>
        </w:p>
        <w:p w14:paraId="6DD7F082" w14:textId="77777777" w:rsidR="00DE7278" w:rsidRDefault="00B5492B">
          <w:pPr>
            <w:pStyle w:val="TOC2"/>
            <w:rPr>
              <w:lang w:eastAsia="en-AU"/>
            </w:rPr>
          </w:pPr>
          <w:hyperlink w:anchor="_Toc460430493" w:history="1">
            <w:r w:rsidR="00DE7278" w:rsidRPr="00636BCE">
              <w:rPr>
                <w:rStyle w:val="Hyperlink"/>
              </w:rPr>
              <w:t>3.8</w:t>
            </w:r>
            <w:r w:rsidR="00DE7278">
              <w:rPr>
                <w:lang w:eastAsia="en-AU"/>
              </w:rPr>
              <w:tab/>
            </w:r>
            <w:r w:rsidR="00DE7278" w:rsidRPr="00636BCE">
              <w:rPr>
                <w:rStyle w:val="Hyperlink"/>
              </w:rPr>
              <w:t>Conclusion</w:t>
            </w:r>
            <w:r w:rsidR="00DE7278">
              <w:rPr>
                <w:webHidden/>
              </w:rPr>
              <w:tab/>
            </w:r>
            <w:r w:rsidR="00DE7278">
              <w:rPr>
                <w:webHidden/>
              </w:rPr>
              <w:fldChar w:fldCharType="begin"/>
            </w:r>
            <w:r w:rsidR="00DE7278">
              <w:rPr>
                <w:webHidden/>
              </w:rPr>
              <w:instrText xml:space="preserve"> PAGEREF _Toc460430493 \h </w:instrText>
            </w:r>
            <w:r w:rsidR="00DE7278">
              <w:rPr>
                <w:webHidden/>
              </w:rPr>
            </w:r>
            <w:r w:rsidR="00DE7278">
              <w:rPr>
                <w:webHidden/>
              </w:rPr>
              <w:fldChar w:fldCharType="separate"/>
            </w:r>
            <w:r w:rsidR="00225A03">
              <w:rPr>
                <w:webHidden/>
              </w:rPr>
              <w:t>57</w:t>
            </w:r>
            <w:r w:rsidR="00DE7278">
              <w:rPr>
                <w:webHidden/>
              </w:rPr>
              <w:fldChar w:fldCharType="end"/>
            </w:r>
          </w:hyperlink>
        </w:p>
        <w:p w14:paraId="1032A00B" w14:textId="77777777" w:rsidR="00DE7278" w:rsidRDefault="00B5492B">
          <w:pPr>
            <w:pStyle w:val="TOC1"/>
            <w:rPr>
              <w:noProof/>
              <w:lang w:eastAsia="en-AU"/>
            </w:rPr>
          </w:pPr>
          <w:hyperlink w:anchor="_Toc460430494" w:history="1">
            <w:r w:rsidR="00DE7278" w:rsidRPr="00636BCE">
              <w:rPr>
                <w:rStyle w:val="Hyperlink"/>
                <w:noProof/>
              </w:rPr>
              <w:t>4</w:t>
            </w:r>
            <w:r w:rsidR="00DE7278">
              <w:rPr>
                <w:noProof/>
                <w:lang w:eastAsia="en-AU"/>
              </w:rPr>
              <w:tab/>
            </w:r>
            <w:r w:rsidR="00DE7278" w:rsidRPr="00636BCE">
              <w:rPr>
                <w:rStyle w:val="Hyperlink"/>
                <w:noProof/>
              </w:rPr>
              <w:t>Australian steel and aluminium markets and the economic impacts of dumping and subsidisation</w:t>
            </w:r>
            <w:r w:rsidR="00DE7278">
              <w:rPr>
                <w:noProof/>
                <w:webHidden/>
              </w:rPr>
              <w:tab/>
            </w:r>
            <w:r w:rsidR="00DE7278">
              <w:rPr>
                <w:noProof/>
                <w:webHidden/>
              </w:rPr>
              <w:fldChar w:fldCharType="begin"/>
            </w:r>
            <w:r w:rsidR="00DE7278">
              <w:rPr>
                <w:noProof/>
                <w:webHidden/>
              </w:rPr>
              <w:instrText xml:space="preserve"> PAGEREF _Toc460430494 \h </w:instrText>
            </w:r>
            <w:r w:rsidR="00DE7278">
              <w:rPr>
                <w:noProof/>
                <w:webHidden/>
              </w:rPr>
            </w:r>
            <w:r w:rsidR="00DE7278">
              <w:rPr>
                <w:noProof/>
                <w:webHidden/>
              </w:rPr>
              <w:fldChar w:fldCharType="separate"/>
            </w:r>
            <w:r w:rsidR="00225A03">
              <w:rPr>
                <w:noProof/>
                <w:webHidden/>
              </w:rPr>
              <w:t>59</w:t>
            </w:r>
            <w:r w:rsidR="00DE7278">
              <w:rPr>
                <w:noProof/>
                <w:webHidden/>
              </w:rPr>
              <w:fldChar w:fldCharType="end"/>
            </w:r>
          </w:hyperlink>
        </w:p>
        <w:p w14:paraId="0132805F" w14:textId="77777777" w:rsidR="00DE7278" w:rsidRDefault="00B5492B">
          <w:pPr>
            <w:pStyle w:val="TOC2"/>
            <w:rPr>
              <w:lang w:eastAsia="en-AU"/>
            </w:rPr>
          </w:pPr>
          <w:hyperlink w:anchor="_Toc460430495" w:history="1">
            <w:r w:rsidR="00DE7278" w:rsidRPr="00636BCE">
              <w:rPr>
                <w:rStyle w:val="Hyperlink"/>
              </w:rPr>
              <w:t>4.1</w:t>
            </w:r>
            <w:r w:rsidR="00DE7278">
              <w:rPr>
                <w:lang w:eastAsia="en-AU"/>
              </w:rPr>
              <w:tab/>
            </w:r>
            <w:r w:rsidR="00DE7278" w:rsidRPr="00636BCE">
              <w:rPr>
                <w:rStyle w:val="Hyperlink"/>
              </w:rPr>
              <w:t>Market conditions in the Australian steel and aluminium industries</w:t>
            </w:r>
            <w:r w:rsidR="00DE7278">
              <w:rPr>
                <w:webHidden/>
              </w:rPr>
              <w:tab/>
            </w:r>
            <w:r w:rsidR="00DE7278">
              <w:rPr>
                <w:webHidden/>
              </w:rPr>
              <w:fldChar w:fldCharType="begin"/>
            </w:r>
            <w:r w:rsidR="00DE7278">
              <w:rPr>
                <w:webHidden/>
              </w:rPr>
              <w:instrText xml:space="preserve"> PAGEREF _Toc460430495 \h </w:instrText>
            </w:r>
            <w:r w:rsidR="00DE7278">
              <w:rPr>
                <w:webHidden/>
              </w:rPr>
            </w:r>
            <w:r w:rsidR="00DE7278">
              <w:rPr>
                <w:webHidden/>
              </w:rPr>
              <w:fldChar w:fldCharType="separate"/>
            </w:r>
            <w:r w:rsidR="00225A03">
              <w:rPr>
                <w:webHidden/>
              </w:rPr>
              <w:t>59</w:t>
            </w:r>
            <w:r w:rsidR="00DE7278">
              <w:rPr>
                <w:webHidden/>
              </w:rPr>
              <w:fldChar w:fldCharType="end"/>
            </w:r>
          </w:hyperlink>
        </w:p>
        <w:p w14:paraId="09735CBC" w14:textId="77777777" w:rsidR="00DE7278" w:rsidRDefault="00B5492B">
          <w:pPr>
            <w:pStyle w:val="TOC2"/>
            <w:rPr>
              <w:lang w:eastAsia="en-AU"/>
            </w:rPr>
          </w:pPr>
          <w:hyperlink w:anchor="_Toc460430496" w:history="1">
            <w:r w:rsidR="00DE7278" w:rsidRPr="00636BCE">
              <w:rPr>
                <w:rStyle w:val="Hyperlink"/>
              </w:rPr>
              <w:t>4.2</w:t>
            </w:r>
            <w:r w:rsidR="00DE7278">
              <w:rPr>
                <w:lang w:eastAsia="en-AU"/>
              </w:rPr>
              <w:tab/>
            </w:r>
            <w:r w:rsidR="00DE7278" w:rsidRPr="00636BCE">
              <w:rPr>
                <w:rStyle w:val="Hyperlink"/>
              </w:rPr>
              <w:t>Australian industry initiatives to improve competitiveness</w:t>
            </w:r>
            <w:r w:rsidR="00DE7278">
              <w:rPr>
                <w:webHidden/>
              </w:rPr>
              <w:tab/>
            </w:r>
            <w:r w:rsidR="00DE7278">
              <w:rPr>
                <w:webHidden/>
              </w:rPr>
              <w:fldChar w:fldCharType="begin"/>
            </w:r>
            <w:r w:rsidR="00DE7278">
              <w:rPr>
                <w:webHidden/>
              </w:rPr>
              <w:instrText xml:space="preserve"> PAGEREF _Toc460430496 \h </w:instrText>
            </w:r>
            <w:r w:rsidR="00DE7278">
              <w:rPr>
                <w:webHidden/>
              </w:rPr>
            </w:r>
            <w:r w:rsidR="00DE7278">
              <w:rPr>
                <w:webHidden/>
              </w:rPr>
              <w:fldChar w:fldCharType="separate"/>
            </w:r>
            <w:r w:rsidR="00225A03">
              <w:rPr>
                <w:webHidden/>
              </w:rPr>
              <w:t>61</w:t>
            </w:r>
            <w:r w:rsidR="00DE7278">
              <w:rPr>
                <w:webHidden/>
              </w:rPr>
              <w:fldChar w:fldCharType="end"/>
            </w:r>
          </w:hyperlink>
        </w:p>
        <w:p w14:paraId="29B94FD2" w14:textId="77777777" w:rsidR="00DE7278" w:rsidRDefault="00B5492B">
          <w:pPr>
            <w:pStyle w:val="TOC2"/>
            <w:rPr>
              <w:lang w:eastAsia="en-AU"/>
            </w:rPr>
          </w:pPr>
          <w:hyperlink w:anchor="_Toc460430497" w:history="1">
            <w:r w:rsidR="00DE7278" w:rsidRPr="00636BCE">
              <w:rPr>
                <w:rStyle w:val="Hyperlink"/>
              </w:rPr>
              <w:t>4.3</w:t>
            </w:r>
            <w:r w:rsidR="00DE7278">
              <w:rPr>
                <w:lang w:eastAsia="en-AU"/>
              </w:rPr>
              <w:tab/>
            </w:r>
            <w:r w:rsidR="00DE7278" w:rsidRPr="00636BCE">
              <w:rPr>
                <w:rStyle w:val="Hyperlink"/>
              </w:rPr>
              <w:t>Policy reforms to strengthen Australian industries’ competitiveness</w:t>
            </w:r>
            <w:r w:rsidR="00DE7278">
              <w:rPr>
                <w:webHidden/>
              </w:rPr>
              <w:tab/>
            </w:r>
            <w:r w:rsidR="00DE7278">
              <w:rPr>
                <w:webHidden/>
              </w:rPr>
              <w:fldChar w:fldCharType="begin"/>
            </w:r>
            <w:r w:rsidR="00DE7278">
              <w:rPr>
                <w:webHidden/>
              </w:rPr>
              <w:instrText xml:space="preserve"> PAGEREF _Toc460430497 \h </w:instrText>
            </w:r>
            <w:r w:rsidR="00DE7278">
              <w:rPr>
                <w:webHidden/>
              </w:rPr>
            </w:r>
            <w:r w:rsidR="00DE7278">
              <w:rPr>
                <w:webHidden/>
              </w:rPr>
              <w:fldChar w:fldCharType="separate"/>
            </w:r>
            <w:r w:rsidR="00225A03">
              <w:rPr>
                <w:webHidden/>
              </w:rPr>
              <w:t>63</w:t>
            </w:r>
            <w:r w:rsidR="00DE7278">
              <w:rPr>
                <w:webHidden/>
              </w:rPr>
              <w:fldChar w:fldCharType="end"/>
            </w:r>
          </w:hyperlink>
        </w:p>
        <w:p w14:paraId="4538011F" w14:textId="77777777" w:rsidR="00DE7278" w:rsidRDefault="00B5492B">
          <w:pPr>
            <w:pStyle w:val="TOC2"/>
            <w:rPr>
              <w:lang w:eastAsia="en-AU"/>
            </w:rPr>
          </w:pPr>
          <w:hyperlink w:anchor="_Toc460430498" w:history="1">
            <w:r w:rsidR="00DE7278" w:rsidRPr="00636BCE">
              <w:rPr>
                <w:rStyle w:val="Hyperlink"/>
              </w:rPr>
              <w:t>4.4</w:t>
            </w:r>
            <w:r w:rsidR="00DE7278">
              <w:rPr>
                <w:lang w:eastAsia="en-AU"/>
              </w:rPr>
              <w:tab/>
            </w:r>
            <w:r w:rsidR="00DE7278" w:rsidRPr="00636BCE">
              <w:rPr>
                <w:rStyle w:val="Hyperlink"/>
              </w:rPr>
              <w:t>Economic impacts of dumping and subsidisation on Australian industry</w:t>
            </w:r>
            <w:r w:rsidR="00DE7278">
              <w:rPr>
                <w:webHidden/>
              </w:rPr>
              <w:tab/>
            </w:r>
            <w:r w:rsidR="00DE7278">
              <w:rPr>
                <w:webHidden/>
              </w:rPr>
              <w:fldChar w:fldCharType="begin"/>
            </w:r>
            <w:r w:rsidR="00DE7278">
              <w:rPr>
                <w:webHidden/>
              </w:rPr>
              <w:instrText xml:space="preserve"> PAGEREF _Toc460430498 \h </w:instrText>
            </w:r>
            <w:r w:rsidR="00DE7278">
              <w:rPr>
                <w:webHidden/>
              </w:rPr>
            </w:r>
            <w:r w:rsidR="00DE7278">
              <w:rPr>
                <w:webHidden/>
              </w:rPr>
              <w:fldChar w:fldCharType="separate"/>
            </w:r>
            <w:r w:rsidR="00225A03">
              <w:rPr>
                <w:webHidden/>
              </w:rPr>
              <w:t>65</w:t>
            </w:r>
            <w:r w:rsidR="00DE7278">
              <w:rPr>
                <w:webHidden/>
              </w:rPr>
              <w:fldChar w:fldCharType="end"/>
            </w:r>
          </w:hyperlink>
        </w:p>
        <w:p w14:paraId="108FCB95" w14:textId="77777777" w:rsidR="00DE7278" w:rsidRDefault="00B5492B">
          <w:pPr>
            <w:pStyle w:val="TOC2"/>
            <w:rPr>
              <w:lang w:eastAsia="en-AU"/>
            </w:rPr>
          </w:pPr>
          <w:hyperlink w:anchor="_Toc460430499" w:history="1">
            <w:r w:rsidR="00DE7278" w:rsidRPr="00636BCE">
              <w:rPr>
                <w:rStyle w:val="Hyperlink"/>
              </w:rPr>
              <w:t>4.5</w:t>
            </w:r>
            <w:r w:rsidR="00DE7278">
              <w:rPr>
                <w:lang w:eastAsia="en-AU"/>
              </w:rPr>
              <w:tab/>
            </w:r>
            <w:r w:rsidR="00DE7278" w:rsidRPr="00636BCE">
              <w:rPr>
                <w:rStyle w:val="Hyperlink"/>
              </w:rPr>
              <w:t>Regional impacts of dumping and subsidisation</w:t>
            </w:r>
            <w:r w:rsidR="00DE7278">
              <w:rPr>
                <w:webHidden/>
              </w:rPr>
              <w:tab/>
            </w:r>
            <w:r w:rsidR="00DE7278">
              <w:rPr>
                <w:webHidden/>
              </w:rPr>
              <w:fldChar w:fldCharType="begin"/>
            </w:r>
            <w:r w:rsidR="00DE7278">
              <w:rPr>
                <w:webHidden/>
              </w:rPr>
              <w:instrText xml:space="preserve"> PAGEREF _Toc460430499 \h </w:instrText>
            </w:r>
            <w:r w:rsidR="00DE7278">
              <w:rPr>
                <w:webHidden/>
              </w:rPr>
            </w:r>
            <w:r w:rsidR="00DE7278">
              <w:rPr>
                <w:webHidden/>
              </w:rPr>
              <w:fldChar w:fldCharType="separate"/>
            </w:r>
            <w:r w:rsidR="00225A03">
              <w:rPr>
                <w:webHidden/>
              </w:rPr>
              <w:t>72</w:t>
            </w:r>
            <w:r w:rsidR="00DE7278">
              <w:rPr>
                <w:webHidden/>
              </w:rPr>
              <w:fldChar w:fldCharType="end"/>
            </w:r>
          </w:hyperlink>
        </w:p>
        <w:p w14:paraId="7781CFAB" w14:textId="77777777" w:rsidR="00DE7278" w:rsidRDefault="00B5492B">
          <w:pPr>
            <w:pStyle w:val="TOC1"/>
            <w:rPr>
              <w:noProof/>
              <w:lang w:eastAsia="en-AU"/>
            </w:rPr>
          </w:pPr>
          <w:hyperlink w:anchor="_Toc460430500" w:history="1">
            <w:r w:rsidR="00DE7278" w:rsidRPr="00636BCE">
              <w:rPr>
                <w:rStyle w:val="Hyperlink"/>
                <w:noProof/>
              </w:rPr>
              <w:t>5</w:t>
            </w:r>
            <w:r w:rsidR="00DE7278">
              <w:rPr>
                <w:noProof/>
                <w:lang w:eastAsia="en-AU"/>
              </w:rPr>
              <w:tab/>
            </w:r>
            <w:r w:rsidR="00DE7278" w:rsidRPr="00636BCE">
              <w:rPr>
                <w:rStyle w:val="Hyperlink"/>
                <w:noProof/>
              </w:rPr>
              <w:t>Current trade remedies – international and Australian trends</w:t>
            </w:r>
            <w:r w:rsidR="00DE7278">
              <w:rPr>
                <w:noProof/>
                <w:webHidden/>
              </w:rPr>
              <w:tab/>
            </w:r>
            <w:r w:rsidR="00DE7278">
              <w:rPr>
                <w:noProof/>
                <w:webHidden/>
              </w:rPr>
              <w:fldChar w:fldCharType="begin"/>
            </w:r>
            <w:r w:rsidR="00DE7278">
              <w:rPr>
                <w:noProof/>
                <w:webHidden/>
              </w:rPr>
              <w:instrText xml:space="preserve"> PAGEREF _Toc460430500 \h </w:instrText>
            </w:r>
            <w:r w:rsidR="00DE7278">
              <w:rPr>
                <w:noProof/>
                <w:webHidden/>
              </w:rPr>
            </w:r>
            <w:r w:rsidR="00DE7278">
              <w:rPr>
                <w:noProof/>
                <w:webHidden/>
              </w:rPr>
              <w:fldChar w:fldCharType="separate"/>
            </w:r>
            <w:r w:rsidR="00225A03">
              <w:rPr>
                <w:noProof/>
                <w:webHidden/>
              </w:rPr>
              <w:t>75</w:t>
            </w:r>
            <w:r w:rsidR="00DE7278">
              <w:rPr>
                <w:noProof/>
                <w:webHidden/>
              </w:rPr>
              <w:fldChar w:fldCharType="end"/>
            </w:r>
          </w:hyperlink>
        </w:p>
        <w:p w14:paraId="4A08CA55" w14:textId="77777777" w:rsidR="00DE7278" w:rsidRDefault="00B5492B">
          <w:pPr>
            <w:pStyle w:val="TOC2"/>
            <w:rPr>
              <w:lang w:eastAsia="en-AU"/>
            </w:rPr>
          </w:pPr>
          <w:hyperlink w:anchor="_Toc460430501" w:history="1">
            <w:r w:rsidR="00DE7278" w:rsidRPr="00636BCE">
              <w:rPr>
                <w:rStyle w:val="Hyperlink"/>
              </w:rPr>
              <w:t>5.1</w:t>
            </w:r>
            <w:r w:rsidR="00DE7278">
              <w:rPr>
                <w:lang w:eastAsia="en-AU"/>
              </w:rPr>
              <w:tab/>
            </w:r>
            <w:r w:rsidR="00DE7278" w:rsidRPr="00636BCE">
              <w:rPr>
                <w:rStyle w:val="Hyperlink"/>
              </w:rPr>
              <w:t>Overview</w:t>
            </w:r>
            <w:r w:rsidR="00DE7278">
              <w:rPr>
                <w:webHidden/>
              </w:rPr>
              <w:tab/>
            </w:r>
            <w:r w:rsidR="00DE7278">
              <w:rPr>
                <w:webHidden/>
              </w:rPr>
              <w:fldChar w:fldCharType="begin"/>
            </w:r>
            <w:r w:rsidR="00DE7278">
              <w:rPr>
                <w:webHidden/>
              </w:rPr>
              <w:instrText xml:space="preserve"> PAGEREF _Toc460430501 \h </w:instrText>
            </w:r>
            <w:r w:rsidR="00DE7278">
              <w:rPr>
                <w:webHidden/>
              </w:rPr>
            </w:r>
            <w:r w:rsidR="00DE7278">
              <w:rPr>
                <w:webHidden/>
              </w:rPr>
              <w:fldChar w:fldCharType="separate"/>
            </w:r>
            <w:r w:rsidR="00225A03">
              <w:rPr>
                <w:webHidden/>
              </w:rPr>
              <w:t>75</w:t>
            </w:r>
            <w:r w:rsidR="00DE7278">
              <w:rPr>
                <w:webHidden/>
              </w:rPr>
              <w:fldChar w:fldCharType="end"/>
            </w:r>
          </w:hyperlink>
        </w:p>
        <w:p w14:paraId="4E46F86B" w14:textId="77777777" w:rsidR="00DE7278" w:rsidRDefault="00B5492B">
          <w:pPr>
            <w:pStyle w:val="TOC2"/>
            <w:rPr>
              <w:lang w:eastAsia="en-AU"/>
            </w:rPr>
          </w:pPr>
          <w:hyperlink w:anchor="_Toc460430502" w:history="1">
            <w:r w:rsidR="00DE7278" w:rsidRPr="00636BCE">
              <w:rPr>
                <w:rStyle w:val="Hyperlink"/>
              </w:rPr>
              <w:t>5.2</w:t>
            </w:r>
            <w:r w:rsidR="00DE7278">
              <w:rPr>
                <w:lang w:eastAsia="en-AU"/>
              </w:rPr>
              <w:tab/>
            </w:r>
            <w:r w:rsidR="00DE7278" w:rsidRPr="00636BCE">
              <w:rPr>
                <w:rStyle w:val="Hyperlink"/>
              </w:rPr>
              <w:t>International trends in trade remedy investigations and measures</w:t>
            </w:r>
            <w:r w:rsidR="00DE7278">
              <w:rPr>
                <w:webHidden/>
              </w:rPr>
              <w:tab/>
            </w:r>
            <w:r w:rsidR="00DE7278">
              <w:rPr>
                <w:webHidden/>
              </w:rPr>
              <w:fldChar w:fldCharType="begin"/>
            </w:r>
            <w:r w:rsidR="00DE7278">
              <w:rPr>
                <w:webHidden/>
              </w:rPr>
              <w:instrText xml:space="preserve"> PAGEREF _Toc460430502 \h </w:instrText>
            </w:r>
            <w:r w:rsidR="00DE7278">
              <w:rPr>
                <w:webHidden/>
              </w:rPr>
            </w:r>
            <w:r w:rsidR="00DE7278">
              <w:rPr>
                <w:webHidden/>
              </w:rPr>
              <w:fldChar w:fldCharType="separate"/>
            </w:r>
            <w:r w:rsidR="00225A03">
              <w:rPr>
                <w:webHidden/>
              </w:rPr>
              <w:t>76</w:t>
            </w:r>
            <w:r w:rsidR="00DE7278">
              <w:rPr>
                <w:webHidden/>
              </w:rPr>
              <w:fldChar w:fldCharType="end"/>
            </w:r>
          </w:hyperlink>
        </w:p>
        <w:p w14:paraId="13B4FD09" w14:textId="77777777" w:rsidR="00DE7278" w:rsidRDefault="00B5492B">
          <w:pPr>
            <w:pStyle w:val="TOC2"/>
            <w:rPr>
              <w:lang w:eastAsia="en-AU"/>
            </w:rPr>
          </w:pPr>
          <w:hyperlink w:anchor="_Toc460430503" w:history="1">
            <w:r w:rsidR="00DE7278" w:rsidRPr="00636BCE">
              <w:rPr>
                <w:rStyle w:val="Hyperlink"/>
              </w:rPr>
              <w:t>5.3</w:t>
            </w:r>
            <w:r w:rsidR="00DE7278">
              <w:rPr>
                <w:lang w:eastAsia="en-AU"/>
              </w:rPr>
              <w:tab/>
            </w:r>
            <w:r w:rsidR="00DE7278" w:rsidRPr="00636BCE">
              <w:rPr>
                <w:rStyle w:val="Hyperlink"/>
              </w:rPr>
              <w:t>Australian trends in trade remedy investigations and measures</w:t>
            </w:r>
            <w:r w:rsidR="00DE7278">
              <w:rPr>
                <w:webHidden/>
              </w:rPr>
              <w:tab/>
            </w:r>
            <w:r w:rsidR="00DE7278">
              <w:rPr>
                <w:webHidden/>
              </w:rPr>
              <w:fldChar w:fldCharType="begin"/>
            </w:r>
            <w:r w:rsidR="00DE7278">
              <w:rPr>
                <w:webHidden/>
              </w:rPr>
              <w:instrText xml:space="preserve"> PAGEREF _Toc460430503 \h </w:instrText>
            </w:r>
            <w:r w:rsidR="00DE7278">
              <w:rPr>
                <w:webHidden/>
              </w:rPr>
            </w:r>
            <w:r w:rsidR="00DE7278">
              <w:rPr>
                <w:webHidden/>
              </w:rPr>
              <w:fldChar w:fldCharType="separate"/>
            </w:r>
            <w:r w:rsidR="00225A03">
              <w:rPr>
                <w:webHidden/>
              </w:rPr>
              <w:t>80</w:t>
            </w:r>
            <w:r w:rsidR="00DE7278">
              <w:rPr>
                <w:webHidden/>
              </w:rPr>
              <w:fldChar w:fldCharType="end"/>
            </w:r>
          </w:hyperlink>
        </w:p>
        <w:p w14:paraId="215C05C8" w14:textId="77777777" w:rsidR="00DE7278" w:rsidRDefault="00B5492B">
          <w:pPr>
            <w:pStyle w:val="TOC1"/>
            <w:rPr>
              <w:noProof/>
              <w:lang w:eastAsia="en-AU"/>
            </w:rPr>
          </w:pPr>
          <w:hyperlink w:anchor="_Toc460430504" w:history="1">
            <w:r w:rsidR="00DE7278" w:rsidRPr="00636BCE">
              <w:rPr>
                <w:rStyle w:val="Hyperlink"/>
                <w:noProof/>
              </w:rPr>
              <w:t>6</w:t>
            </w:r>
            <w:r w:rsidR="00DE7278">
              <w:rPr>
                <w:noProof/>
                <w:lang w:eastAsia="en-AU"/>
              </w:rPr>
              <w:tab/>
            </w:r>
            <w:r w:rsidR="00DE7278" w:rsidRPr="00636BCE">
              <w:rPr>
                <w:rStyle w:val="Hyperlink"/>
                <w:noProof/>
              </w:rPr>
              <w:t>Effectiveness of measures</w:t>
            </w:r>
            <w:r w:rsidR="00DE7278">
              <w:rPr>
                <w:noProof/>
                <w:webHidden/>
              </w:rPr>
              <w:tab/>
            </w:r>
            <w:r w:rsidR="00DE7278">
              <w:rPr>
                <w:noProof/>
                <w:webHidden/>
              </w:rPr>
              <w:fldChar w:fldCharType="begin"/>
            </w:r>
            <w:r w:rsidR="00DE7278">
              <w:rPr>
                <w:noProof/>
                <w:webHidden/>
              </w:rPr>
              <w:instrText xml:space="preserve"> PAGEREF _Toc460430504 \h </w:instrText>
            </w:r>
            <w:r w:rsidR="00DE7278">
              <w:rPr>
                <w:noProof/>
                <w:webHidden/>
              </w:rPr>
            </w:r>
            <w:r w:rsidR="00DE7278">
              <w:rPr>
                <w:noProof/>
                <w:webHidden/>
              </w:rPr>
              <w:fldChar w:fldCharType="separate"/>
            </w:r>
            <w:r w:rsidR="00225A03">
              <w:rPr>
                <w:noProof/>
                <w:webHidden/>
              </w:rPr>
              <w:t>85</w:t>
            </w:r>
            <w:r w:rsidR="00DE7278">
              <w:rPr>
                <w:noProof/>
                <w:webHidden/>
              </w:rPr>
              <w:fldChar w:fldCharType="end"/>
            </w:r>
          </w:hyperlink>
        </w:p>
        <w:p w14:paraId="62569662" w14:textId="77777777" w:rsidR="00DE7278" w:rsidRDefault="00B5492B">
          <w:pPr>
            <w:pStyle w:val="TOC2"/>
            <w:rPr>
              <w:lang w:eastAsia="en-AU"/>
            </w:rPr>
          </w:pPr>
          <w:hyperlink w:anchor="_Toc460430505" w:history="1">
            <w:r w:rsidR="00DE7278" w:rsidRPr="00636BCE">
              <w:rPr>
                <w:rStyle w:val="Hyperlink"/>
              </w:rPr>
              <w:t>6.1</w:t>
            </w:r>
            <w:r w:rsidR="00DE7278">
              <w:rPr>
                <w:lang w:eastAsia="en-AU"/>
              </w:rPr>
              <w:tab/>
            </w:r>
            <w:r w:rsidR="00DE7278" w:rsidRPr="00636BCE">
              <w:rPr>
                <w:rStyle w:val="Hyperlink"/>
              </w:rPr>
              <w:t>What is an effective trade remedy?</w:t>
            </w:r>
            <w:r w:rsidR="00DE7278">
              <w:rPr>
                <w:webHidden/>
              </w:rPr>
              <w:tab/>
            </w:r>
            <w:r w:rsidR="00DE7278">
              <w:rPr>
                <w:webHidden/>
              </w:rPr>
              <w:fldChar w:fldCharType="begin"/>
            </w:r>
            <w:r w:rsidR="00DE7278">
              <w:rPr>
                <w:webHidden/>
              </w:rPr>
              <w:instrText xml:space="preserve"> PAGEREF _Toc460430505 \h </w:instrText>
            </w:r>
            <w:r w:rsidR="00DE7278">
              <w:rPr>
                <w:webHidden/>
              </w:rPr>
            </w:r>
            <w:r w:rsidR="00DE7278">
              <w:rPr>
                <w:webHidden/>
              </w:rPr>
              <w:fldChar w:fldCharType="separate"/>
            </w:r>
            <w:r w:rsidR="00225A03">
              <w:rPr>
                <w:webHidden/>
              </w:rPr>
              <w:t>85</w:t>
            </w:r>
            <w:r w:rsidR="00DE7278">
              <w:rPr>
                <w:webHidden/>
              </w:rPr>
              <w:fldChar w:fldCharType="end"/>
            </w:r>
          </w:hyperlink>
        </w:p>
        <w:p w14:paraId="2ED40771" w14:textId="77777777" w:rsidR="00DE7278" w:rsidRDefault="00B5492B">
          <w:pPr>
            <w:pStyle w:val="TOC2"/>
            <w:rPr>
              <w:lang w:eastAsia="en-AU"/>
            </w:rPr>
          </w:pPr>
          <w:hyperlink w:anchor="_Toc460430506" w:history="1">
            <w:r w:rsidR="00DE7278" w:rsidRPr="00636BCE">
              <w:rPr>
                <w:rStyle w:val="Hyperlink"/>
              </w:rPr>
              <w:t>6.2</w:t>
            </w:r>
            <w:r w:rsidR="00DE7278">
              <w:rPr>
                <w:lang w:eastAsia="en-AU"/>
              </w:rPr>
              <w:tab/>
            </w:r>
            <w:r w:rsidR="00DE7278" w:rsidRPr="00636BCE">
              <w:rPr>
                <w:rStyle w:val="Hyperlink"/>
              </w:rPr>
              <w:t>Activities that may reduce the effectiveness of trade remedies</w:t>
            </w:r>
            <w:r w:rsidR="00DE7278">
              <w:rPr>
                <w:webHidden/>
              </w:rPr>
              <w:tab/>
            </w:r>
            <w:r w:rsidR="00DE7278">
              <w:rPr>
                <w:webHidden/>
              </w:rPr>
              <w:fldChar w:fldCharType="begin"/>
            </w:r>
            <w:r w:rsidR="00DE7278">
              <w:rPr>
                <w:webHidden/>
              </w:rPr>
              <w:instrText xml:space="preserve"> PAGEREF _Toc460430506 \h </w:instrText>
            </w:r>
            <w:r w:rsidR="00DE7278">
              <w:rPr>
                <w:webHidden/>
              </w:rPr>
            </w:r>
            <w:r w:rsidR="00DE7278">
              <w:rPr>
                <w:webHidden/>
              </w:rPr>
              <w:fldChar w:fldCharType="separate"/>
            </w:r>
            <w:r w:rsidR="00225A03">
              <w:rPr>
                <w:webHidden/>
              </w:rPr>
              <w:t>85</w:t>
            </w:r>
            <w:r w:rsidR="00DE7278">
              <w:rPr>
                <w:webHidden/>
              </w:rPr>
              <w:fldChar w:fldCharType="end"/>
            </w:r>
          </w:hyperlink>
        </w:p>
        <w:p w14:paraId="172E4BBA" w14:textId="77777777" w:rsidR="00DE7278" w:rsidRDefault="00B5492B">
          <w:pPr>
            <w:pStyle w:val="TOC2"/>
            <w:rPr>
              <w:lang w:eastAsia="en-AU"/>
            </w:rPr>
          </w:pPr>
          <w:hyperlink w:anchor="_Toc460430507" w:history="1">
            <w:r w:rsidR="00DE7278" w:rsidRPr="00636BCE">
              <w:rPr>
                <w:rStyle w:val="Hyperlink"/>
              </w:rPr>
              <w:t>6.3</w:t>
            </w:r>
            <w:r w:rsidR="00DE7278">
              <w:rPr>
                <w:lang w:eastAsia="en-AU"/>
              </w:rPr>
              <w:tab/>
            </w:r>
            <w:r w:rsidR="00DE7278" w:rsidRPr="00636BCE">
              <w:rPr>
                <w:rStyle w:val="Hyperlink"/>
              </w:rPr>
              <w:t>Assessment of impact of measures on exporter and importer behaviour</w:t>
            </w:r>
            <w:r w:rsidR="00DE7278">
              <w:rPr>
                <w:webHidden/>
              </w:rPr>
              <w:tab/>
            </w:r>
            <w:r w:rsidR="00DE7278">
              <w:rPr>
                <w:webHidden/>
              </w:rPr>
              <w:fldChar w:fldCharType="begin"/>
            </w:r>
            <w:r w:rsidR="00DE7278">
              <w:rPr>
                <w:webHidden/>
              </w:rPr>
              <w:instrText xml:space="preserve"> PAGEREF _Toc460430507 \h </w:instrText>
            </w:r>
            <w:r w:rsidR="00DE7278">
              <w:rPr>
                <w:webHidden/>
              </w:rPr>
            </w:r>
            <w:r w:rsidR="00DE7278">
              <w:rPr>
                <w:webHidden/>
              </w:rPr>
              <w:fldChar w:fldCharType="separate"/>
            </w:r>
            <w:r w:rsidR="00225A03">
              <w:rPr>
                <w:webHidden/>
              </w:rPr>
              <w:t>89</w:t>
            </w:r>
            <w:r w:rsidR="00DE7278">
              <w:rPr>
                <w:webHidden/>
              </w:rPr>
              <w:fldChar w:fldCharType="end"/>
            </w:r>
          </w:hyperlink>
        </w:p>
        <w:p w14:paraId="661BD198" w14:textId="77777777" w:rsidR="00DE7278" w:rsidRDefault="00B5492B">
          <w:pPr>
            <w:pStyle w:val="TOC2"/>
            <w:rPr>
              <w:lang w:eastAsia="en-AU"/>
            </w:rPr>
          </w:pPr>
          <w:hyperlink w:anchor="_Toc460430508" w:history="1">
            <w:r w:rsidR="00DE7278" w:rsidRPr="00636BCE">
              <w:rPr>
                <w:rStyle w:val="Hyperlink"/>
              </w:rPr>
              <w:t>6.4</w:t>
            </w:r>
            <w:r w:rsidR="00DE7278">
              <w:rPr>
                <w:lang w:eastAsia="en-AU"/>
              </w:rPr>
              <w:tab/>
            </w:r>
            <w:r w:rsidR="00DE7278" w:rsidRPr="00636BCE">
              <w:rPr>
                <w:rStyle w:val="Hyperlink"/>
              </w:rPr>
              <w:t>Assessment of impact of measures on Australian industry sales volumes and prices</w:t>
            </w:r>
            <w:r w:rsidR="00DE7278">
              <w:rPr>
                <w:webHidden/>
              </w:rPr>
              <w:tab/>
            </w:r>
            <w:r w:rsidR="00DE7278">
              <w:rPr>
                <w:webHidden/>
              </w:rPr>
              <w:fldChar w:fldCharType="begin"/>
            </w:r>
            <w:r w:rsidR="00DE7278">
              <w:rPr>
                <w:webHidden/>
              </w:rPr>
              <w:instrText xml:space="preserve"> PAGEREF _Toc460430508 \h </w:instrText>
            </w:r>
            <w:r w:rsidR="00DE7278">
              <w:rPr>
                <w:webHidden/>
              </w:rPr>
            </w:r>
            <w:r w:rsidR="00DE7278">
              <w:rPr>
                <w:webHidden/>
              </w:rPr>
              <w:fldChar w:fldCharType="separate"/>
            </w:r>
            <w:r w:rsidR="00225A03">
              <w:rPr>
                <w:webHidden/>
              </w:rPr>
              <w:t>92</w:t>
            </w:r>
            <w:r w:rsidR="00DE7278">
              <w:rPr>
                <w:webHidden/>
              </w:rPr>
              <w:fldChar w:fldCharType="end"/>
            </w:r>
          </w:hyperlink>
        </w:p>
        <w:p w14:paraId="5444A8CE" w14:textId="77777777" w:rsidR="00DE7278" w:rsidRDefault="00B5492B">
          <w:pPr>
            <w:pStyle w:val="TOC1"/>
            <w:rPr>
              <w:noProof/>
              <w:lang w:eastAsia="en-AU"/>
            </w:rPr>
          </w:pPr>
          <w:hyperlink w:anchor="_Toc460430509" w:history="1">
            <w:r w:rsidR="00DE7278" w:rsidRPr="00636BCE">
              <w:rPr>
                <w:rStyle w:val="Hyperlink"/>
                <w:noProof/>
              </w:rPr>
              <w:t>Attachment 1: Overview of Australia’s trade remedy system</w:t>
            </w:r>
            <w:r w:rsidR="00DE7278">
              <w:rPr>
                <w:noProof/>
                <w:webHidden/>
              </w:rPr>
              <w:tab/>
            </w:r>
            <w:r w:rsidR="00DE7278">
              <w:rPr>
                <w:noProof/>
                <w:webHidden/>
              </w:rPr>
              <w:fldChar w:fldCharType="begin"/>
            </w:r>
            <w:r w:rsidR="00DE7278">
              <w:rPr>
                <w:noProof/>
                <w:webHidden/>
              </w:rPr>
              <w:instrText xml:space="preserve"> PAGEREF _Toc460430509 \h </w:instrText>
            </w:r>
            <w:r w:rsidR="00DE7278">
              <w:rPr>
                <w:noProof/>
                <w:webHidden/>
              </w:rPr>
            </w:r>
            <w:r w:rsidR="00DE7278">
              <w:rPr>
                <w:noProof/>
                <w:webHidden/>
              </w:rPr>
              <w:fldChar w:fldCharType="separate"/>
            </w:r>
            <w:r w:rsidR="00225A03">
              <w:rPr>
                <w:noProof/>
                <w:webHidden/>
              </w:rPr>
              <w:t>101</w:t>
            </w:r>
            <w:r w:rsidR="00DE7278">
              <w:rPr>
                <w:noProof/>
                <w:webHidden/>
              </w:rPr>
              <w:fldChar w:fldCharType="end"/>
            </w:r>
          </w:hyperlink>
        </w:p>
        <w:p w14:paraId="203CAEB8" w14:textId="5F2329A5" w:rsidR="001A41AE" w:rsidRDefault="001A41AE">
          <w:r>
            <w:rPr>
              <w:rFonts w:eastAsiaTheme="minorEastAsia"/>
              <w:lang w:val="en-AU" w:eastAsia="ja-JP"/>
            </w:rPr>
            <w:fldChar w:fldCharType="end"/>
          </w:r>
        </w:p>
      </w:sdtContent>
    </w:sdt>
    <w:p w14:paraId="34FC3F76" w14:textId="3A057C34" w:rsidR="00380F11" w:rsidRPr="00380F11" w:rsidRDefault="00380F11" w:rsidP="00B03273">
      <w:pPr>
        <w:keepNext/>
        <w:keepLines/>
        <w:spacing w:before="480" w:line="276" w:lineRule="auto"/>
        <w:outlineLvl w:val="0"/>
        <w:rPr>
          <w:rFonts w:ascii="Arial" w:eastAsia="MS PGothic" w:hAnsi="Arial" w:cs="Times New Roman"/>
          <w:b/>
          <w:bCs/>
          <w:color w:val="181F38"/>
          <w:sz w:val="28"/>
          <w:szCs w:val="28"/>
          <w:lang w:val="en-AU"/>
        </w:rPr>
      </w:pPr>
    </w:p>
    <w:p w14:paraId="4C1B7226" w14:textId="77777777" w:rsidR="00380F11" w:rsidRDefault="00380F11">
      <w:pPr>
        <w:spacing w:after="200" w:line="276" w:lineRule="auto"/>
        <w:sectPr w:rsidR="00380F11" w:rsidSect="00C54F71">
          <w:headerReference w:type="default" r:id="rId9"/>
          <w:footerReference w:type="default" r:id="rId10"/>
          <w:pgSz w:w="11906" w:h="16838"/>
          <w:pgMar w:top="1440" w:right="1440" w:bottom="1440" w:left="1440" w:header="708" w:footer="708" w:gutter="0"/>
          <w:cols w:space="708"/>
          <w:docGrid w:linePitch="360"/>
        </w:sectPr>
      </w:pPr>
    </w:p>
    <w:p w14:paraId="53F7054E" w14:textId="77777777" w:rsidR="00E40AAD" w:rsidRPr="007436A2" w:rsidRDefault="007436A2" w:rsidP="007436A2">
      <w:pPr>
        <w:spacing w:after="200" w:line="276" w:lineRule="auto"/>
        <w:rPr>
          <w:rFonts w:asciiTheme="majorHAnsi" w:hAnsiTheme="majorHAnsi"/>
          <w:b/>
          <w:color w:val="548DD4" w:themeColor="text2" w:themeTint="99"/>
          <w:sz w:val="28"/>
          <w:szCs w:val="28"/>
        </w:rPr>
      </w:pPr>
      <w:r w:rsidRPr="007436A2">
        <w:rPr>
          <w:rFonts w:asciiTheme="majorHAnsi" w:hAnsiTheme="majorHAnsi"/>
          <w:b/>
          <w:color w:val="548DD4" w:themeColor="text2" w:themeTint="99"/>
          <w:sz w:val="28"/>
          <w:szCs w:val="28"/>
        </w:rPr>
        <w:t>Abbreviations</w:t>
      </w:r>
    </w:p>
    <w:tbl>
      <w:tblPr>
        <w:tblStyle w:val="TableGrid2"/>
        <w:tblW w:w="0" w:type="auto"/>
        <w:tblLook w:val="04A0" w:firstRow="1" w:lastRow="0" w:firstColumn="1" w:lastColumn="0" w:noHBand="0" w:noVBand="1"/>
      </w:tblPr>
      <w:tblGrid>
        <w:gridCol w:w="2071"/>
        <w:gridCol w:w="6945"/>
      </w:tblGrid>
      <w:tr w:rsidR="000768A9" w:rsidRPr="00CA2191" w14:paraId="4E356A33" w14:textId="77777777" w:rsidTr="00CB2583">
        <w:tc>
          <w:tcPr>
            <w:tcW w:w="2071" w:type="dxa"/>
          </w:tcPr>
          <w:p w14:paraId="46935196" w14:textId="77777777" w:rsidR="000768A9" w:rsidRDefault="000768A9" w:rsidP="005F20E4">
            <w:r>
              <w:t>$</w:t>
            </w:r>
          </w:p>
        </w:tc>
        <w:tc>
          <w:tcPr>
            <w:tcW w:w="6945" w:type="dxa"/>
          </w:tcPr>
          <w:p w14:paraId="1CADAF93" w14:textId="77777777" w:rsidR="000768A9" w:rsidRPr="000768A9" w:rsidRDefault="000768A9" w:rsidP="005F20E4">
            <w:r>
              <w:t>Australian dollars</w:t>
            </w:r>
          </w:p>
        </w:tc>
      </w:tr>
      <w:tr w:rsidR="0015322B" w:rsidRPr="00CA2191" w14:paraId="1D30F5B8" w14:textId="77777777" w:rsidTr="00CB2583">
        <w:tc>
          <w:tcPr>
            <w:tcW w:w="2071" w:type="dxa"/>
          </w:tcPr>
          <w:p w14:paraId="72381186" w14:textId="521A3F02" w:rsidR="0015322B" w:rsidRPr="005F20E4" w:rsidRDefault="0015322B" w:rsidP="0015322B">
            <w:r>
              <w:t>ABF</w:t>
            </w:r>
          </w:p>
        </w:tc>
        <w:tc>
          <w:tcPr>
            <w:tcW w:w="6945" w:type="dxa"/>
          </w:tcPr>
          <w:p w14:paraId="6C052A34" w14:textId="53F022AA" w:rsidR="0015322B" w:rsidRPr="000768A9" w:rsidRDefault="0015322B" w:rsidP="0015322B">
            <w:pPr>
              <w:rPr>
                <w:i/>
              </w:rPr>
            </w:pPr>
            <w:r>
              <w:t>Australian Border Force</w:t>
            </w:r>
          </w:p>
        </w:tc>
      </w:tr>
      <w:tr w:rsidR="0015322B" w:rsidRPr="00CA2191" w14:paraId="0E69E7DA" w14:textId="77777777" w:rsidTr="00CB2583">
        <w:tc>
          <w:tcPr>
            <w:tcW w:w="2071" w:type="dxa"/>
          </w:tcPr>
          <w:p w14:paraId="7A4F4BD0" w14:textId="408F3492" w:rsidR="0015322B" w:rsidRDefault="0015322B" w:rsidP="0015322B">
            <w:r>
              <w:t>the Act</w:t>
            </w:r>
          </w:p>
        </w:tc>
        <w:tc>
          <w:tcPr>
            <w:tcW w:w="6945" w:type="dxa"/>
          </w:tcPr>
          <w:p w14:paraId="4F1C5EB3" w14:textId="50E0A971" w:rsidR="0015322B" w:rsidRPr="00733D29" w:rsidRDefault="0015322B" w:rsidP="0015322B">
            <w:r w:rsidRPr="000768A9">
              <w:rPr>
                <w:i/>
              </w:rPr>
              <w:t>Customs Act 1901</w:t>
            </w:r>
          </w:p>
        </w:tc>
      </w:tr>
      <w:tr w:rsidR="0015322B" w:rsidRPr="00CA2191" w14:paraId="618BBF91" w14:textId="77777777" w:rsidTr="00CB2583">
        <w:tc>
          <w:tcPr>
            <w:tcW w:w="2071" w:type="dxa"/>
          </w:tcPr>
          <w:p w14:paraId="263CC58E" w14:textId="55D13D2D" w:rsidR="0015322B" w:rsidRDefault="0015322B" w:rsidP="0015322B">
            <w:r>
              <w:t>ABS</w:t>
            </w:r>
          </w:p>
        </w:tc>
        <w:tc>
          <w:tcPr>
            <w:tcW w:w="6945" w:type="dxa"/>
          </w:tcPr>
          <w:p w14:paraId="0473979B" w14:textId="372B4A96" w:rsidR="0015322B" w:rsidRDefault="0015322B" w:rsidP="0015322B">
            <w:r w:rsidRPr="00545318">
              <w:t>Australian Bureau of Statistics</w:t>
            </w:r>
          </w:p>
        </w:tc>
      </w:tr>
      <w:tr w:rsidR="0015322B" w:rsidRPr="00CA2191" w14:paraId="1B6D82B7" w14:textId="77777777" w:rsidTr="00CB2583">
        <w:tc>
          <w:tcPr>
            <w:tcW w:w="2071" w:type="dxa"/>
          </w:tcPr>
          <w:p w14:paraId="0FF03C1D" w14:textId="77777777" w:rsidR="0015322B" w:rsidRPr="005F20E4" w:rsidRDefault="0015322B" w:rsidP="0015322B">
            <w:r w:rsidRPr="005F20E4">
              <w:t>ADA</w:t>
            </w:r>
          </w:p>
        </w:tc>
        <w:tc>
          <w:tcPr>
            <w:tcW w:w="6945" w:type="dxa"/>
          </w:tcPr>
          <w:p w14:paraId="0E3ED491" w14:textId="77777777" w:rsidR="0015322B" w:rsidRPr="005F20E4" w:rsidRDefault="0015322B" w:rsidP="0015322B">
            <w:r w:rsidRPr="005F20E4">
              <w:t>Anti-Dumping Agreement</w:t>
            </w:r>
          </w:p>
        </w:tc>
      </w:tr>
      <w:tr w:rsidR="0015322B" w:rsidRPr="00CA2191" w14:paraId="23852B2D" w14:textId="77777777" w:rsidTr="00CB2583">
        <w:tc>
          <w:tcPr>
            <w:tcW w:w="2071" w:type="dxa"/>
          </w:tcPr>
          <w:p w14:paraId="533C5742" w14:textId="77777777" w:rsidR="0015322B" w:rsidRPr="005F20E4" w:rsidRDefault="0015322B" w:rsidP="0015322B">
            <w:r>
              <w:t>ADIS</w:t>
            </w:r>
          </w:p>
        </w:tc>
        <w:tc>
          <w:tcPr>
            <w:tcW w:w="6945" w:type="dxa"/>
          </w:tcPr>
          <w:p w14:paraId="4CEC6255" w14:textId="77777777" w:rsidR="0015322B" w:rsidRPr="005F20E4" w:rsidRDefault="0015322B" w:rsidP="0015322B">
            <w:r w:rsidRPr="005F20E4">
              <w:t>Anti-Dumping</w:t>
            </w:r>
            <w:r>
              <w:t xml:space="preserve"> Information Service (a function within the Commission)</w:t>
            </w:r>
          </w:p>
        </w:tc>
      </w:tr>
      <w:tr w:rsidR="0015322B" w:rsidRPr="00CA2191" w14:paraId="05226867" w14:textId="77777777" w:rsidTr="00CB2583">
        <w:tc>
          <w:tcPr>
            <w:tcW w:w="2071" w:type="dxa"/>
          </w:tcPr>
          <w:p w14:paraId="0B2C00DC" w14:textId="75B8811C" w:rsidR="0015322B" w:rsidRDefault="0015322B" w:rsidP="0015322B">
            <w:r>
              <w:t>AHECC</w:t>
            </w:r>
          </w:p>
        </w:tc>
        <w:tc>
          <w:tcPr>
            <w:tcW w:w="6945" w:type="dxa"/>
          </w:tcPr>
          <w:p w14:paraId="3229B570" w14:textId="03FA0832" w:rsidR="0015322B" w:rsidRPr="005F20E4" w:rsidRDefault="0015322B" w:rsidP="0015322B">
            <w:r w:rsidRPr="00545318">
              <w:t>Australian Harmoni</w:t>
            </w:r>
            <w:r>
              <w:t>s</w:t>
            </w:r>
            <w:r w:rsidRPr="00545318">
              <w:t xml:space="preserve">ed </w:t>
            </w:r>
            <w:r>
              <w:t>Export Commodity Classification</w:t>
            </w:r>
          </w:p>
        </w:tc>
      </w:tr>
      <w:tr w:rsidR="0015322B" w:rsidRPr="00CA2191" w14:paraId="696FC030" w14:textId="77777777" w:rsidTr="00CB2583">
        <w:tc>
          <w:tcPr>
            <w:tcW w:w="2071" w:type="dxa"/>
          </w:tcPr>
          <w:p w14:paraId="46D61E16" w14:textId="77777777" w:rsidR="0015322B" w:rsidRPr="00CA2191" w:rsidRDefault="0015322B" w:rsidP="0015322B">
            <w:r w:rsidRPr="00CA2191">
              <w:t>AIP</w:t>
            </w:r>
          </w:p>
        </w:tc>
        <w:tc>
          <w:tcPr>
            <w:tcW w:w="6945" w:type="dxa"/>
          </w:tcPr>
          <w:p w14:paraId="1F4D0970" w14:textId="77777777" w:rsidR="0015322B" w:rsidRPr="00CA2191" w:rsidRDefault="0015322B" w:rsidP="0015322B">
            <w:r w:rsidRPr="00CA2191">
              <w:t>Australian Industry Participation</w:t>
            </w:r>
          </w:p>
        </w:tc>
      </w:tr>
      <w:tr w:rsidR="0015322B" w:rsidRPr="00CA2191" w14:paraId="2CBA851B" w14:textId="77777777" w:rsidTr="00CB2583">
        <w:tc>
          <w:tcPr>
            <w:tcW w:w="2071" w:type="dxa"/>
          </w:tcPr>
          <w:p w14:paraId="0D238A3C" w14:textId="48133E14" w:rsidR="0015322B" w:rsidRPr="00CA2191" w:rsidRDefault="0015322B" w:rsidP="0015322B">
            <w:r w:rsidRPr="00545318">
              <w:t>ANZS</w:t>
            </w:r>
            <w:r>
              <w:t>IC</w:t>
            </w:r>
          </w:p>
        </w:tc>
        <w:tc>
          <w:tcPr>
            <w:tcW w:w="6945" w:type="dxa"/>
          </w:tcPr>
          <w:p w14:paraId="277ACA95" w14:textId="561015D1" w:rsidR="0015322B" w:rsidRPr="00CA2191" w:rsidRDefault="0015322B" w:rsidP="0015322B">
            <w:r w:rsidRPr="00545318">
              <w:t>Australian and New Zealand Sta</w:t>
            </w:r>
            <w:r>
              <w:t>ndard Industrial Classification</w:t>
            </w:r>
          </w:p>
        </w:tc>
      </w:tr>
      <w:tr w:rsidR="0015322B" w:rsidRPr="00CA2191" w14:paraId="3702BEC9" w14:textId="77777777" w:rsidTr="00CB2583">
        <w:tc>
          <w:tcPr>
            <w:tcW w:w="2071" w:type="dxa"/>
          </w:tcPr>
          <w:p w14:paraId="7F2CDB9B" w14:textId="77777777" w:rsidR="0015322B" w:rsidRPr="00CA2191" w:rsidRDefault="0015322B" w:rsidP="0015322B">
            <w:r>
              <w:t>ASX</w:t>
            </w:r>
          </w:p>
        </w:tc>
        <w:tc>
          <w:tcPr>
            <w:tcW w:w="6945" w:type="dxa"/>
          </w:tcPr>
          <w:p w14:paraId="76F1D845" w14:textId="77777777" w:rsidR="0015322B" w:rsidRPr="00CA2191" w:rsidRDefault="0015322B" w:rsidP="0015322B">
            <w:r>
              <w:t>Australian Stock Exchange</w:t>
            </w:r>
          </w:p>
        </w:tc>
      </w:tr>
      <w:tr w:rsidR="0015322B" w:rsidRPr="00CA2191" w14:paraId="45B9AD61" w14:textId="77777777" w:rsidTr="00CB2583">
        <w:tc>
          <w:tcPr>
            <w:tcW w:w="2071" w:type="dxa"/>
          </w:tcPr>
          <w:p w14:paraId="7F5DF843" w14:textId="77777777" w:rsidR="0015322B" w:rsidRPr="00CA2191" w:rsidRDefault="0015322B" w:rsidP="0015322B">
            <w:r>
              <w:t>AUD</w:t>
            </w:r>
          </w:p>
        </w:tc>
        <w:tc>
          <w:tcPr>
            <w:tcW w:w="6945" w:type="dxa"/>
          </w:tcPr>
          <w:p w14:paraId="530A1AF9" w14:textId="77777777" w:rsidR="0015322B" w:rsidRPr="00CA2191" w:rsidRDefault="0015322B" w:rsidP="0015322B">
            <w:r>
              <w:t>Australian dollar</w:t>
            </w:r>
          </w:p>
        </w:tc>
      </w:tr>
      <w:tr w:rsidR="0015322B" w:rsidRPr="00CA2191" w14:paraId="07841765" w14:textId="77777777" w:rsidTr="00CB2583">
        <w:tc>
          <w:tcPr>
            <w:tcW w:w="2071" w:type="dxa"/>
          </w:tcPr>
          <w:p w14:paraId="7F3D43CB" w14:textId="77777777" w:rsidR="0015322B" w:rsidRPr="00CA2191" w:rsidRDefault="0015322B" w:rsidP="0015322B">
            <w:r>
              <w:t>the Commission</w:t>
            </w:r>
          </w:p>
        </w:tc>
        <w:tc>
          <w:tcPr>
            <w:tcW w:w="6945" w:type="dxa"/>
          </w:tcPr>
          <w:p w14:paraId="6C5EAF9D" w14:textId="77777777" w:rsidR="0015322B" w:rsidRPr="00CA2191" w:rsidRDefault="0015322B" w:rsidP="0015322B">
            <w:r>
              <w:t>Anti-Dumping Commission</w:t>
            </w:r>
          </w:p>
        </w:tc>
      </w:tr>
      <w:tr w:rsidR="0015322B" w:rsidRPr="00CA2191" w14:paraId="1D7AE8FB" w14:textId="77777777" w:rsidTr="00CB2583">
        <w:tc>
          <w:tcPr>
            <w:tcW w:w="2071" w:type="dxa"/>
          </w:tcPr>
          <w:p w14:paraId="71822CD2" w14:textId="71798A33" w:rsidR="0015322B" w:rsidRDefault="0015322B" w:rsidP="0015322B">
            <w:r>
              <w:t>the Commissioner</w:t>
            </w:r>
          </w:p>
        </w:tc>
        <w:tc>
          <w:tcPr>
            <w:tcW w:w="6945" w:type="dxa"/>
          </w:tcPr>
          <w:p w14:paraId="29FE57CC" w14:textId="77777777" w:rsidR="0015322B" w:rsidRDefault="0015322B" w:rsidP="0015322B">
            <w:r>
              <w:t>Commissioner of the Anti-Dumping Commission</w:t>
            </w:r>
          </w:p>
        </w:tc>
      </w:tr>
      <w:tr w:rsidR="0015322B" w:rsidRPr="00CA2191" w14:paraId="7E0DE53C" w14:textId="77777777" w:rsidTr="00CB2583">
        <w:tc>
          <w:tcPr>
            <w:tcW w:w="2071" w:type="dxa"/>
          </w:tcPr>
          <w:p w14:paraId="0F489DAF" w14:textId="77777777" w:rsidR="0015322B" w:rsidRPr="005F20E4" w:rsidRDefault="0015322B" w:rsidP="0015322B">
            <w:r w:rsidRPr="005F20E4">
              <w:t>DIBP</w:t>
            </w:r>
          </w:p>
        </w:tc>
        <w:tc>
          <w:tcPr>
            <w:tcW w:w="6945" w:type="dxa"/>
          </w:tcPr>
          <w:p w14:paraId="6FD5F466" w14:textId="77777777" w:rsidR="0015322B" w:rsidRPr="005F20E4" w:rsidRDefault="0015322B" w:rsidP="0015322B">
            <w:r w:rsidRPr="005F20E4">
              <w:t>Department of Immigration and Border Protection</w:t>
            </w:r>
          </w:p>
        </w:tc>
      </w:tr>
      <w:tr w:rsidR="0015322B" w:rsidRPr="00CA2191" w14:paraId="7251C823" w14:textId="77777777" w:rsidTr="00CB2583">
        <w:tc>
          <w:tcPr>
            <w:tcW w:w="2071" w:type="dxa"/>
          </w:tcPr>
          <w:p w14:paraId="76203C7C" w14:textId="77777777" w:rsidR="0015322B" w:rsidRPr="005F20E4" w:rsidRDefault="0015322B" w:rsidP="0015322B">
            <w:r>
              <w:t>EU</w:t>
            </w:r>
          </w:p>
        </w:tc>
        <w:tc>
          <w:tcPr>
            <w:tcW w:w="6945" w:type="dxa"/>
          </w:tcPr>
          <w:p w14:paraId="4DBD4D78" w14:textId="77777777" w:rsidR="0015322B" w:rsidRPr="005F20E4" w:rsidRDefault="0015322B" w:rsidP="0015322B">
            <w:r>
              <w:t>European Union</w:t>
            </w:r>
          </w:p>
        </w:tc>
      </w:tr>
      <w:tr w:rsidR="0015322B" w:rsidRPr="00CA2191" w14:paraId="3F856A7A" w14:textId="77777777" w:rsidTr="00CB2583">
        <w:tc>
          <w:tcPr>
            <w:tcW w:w="2071" w:type="dxa"/>
          </w:tcPr>
          <w:p w14:paraId="4677D4DC" w14:textId="77777777" w:rsidR="0015322B" w:rsidRPr="00CA2191" w:rsidRDefault="0015322B" w:rsidP="0015322B">
            <w:r w:rsidRPr="00CA2191">
              <w:t>FTA</w:t>
            </w:r>
          </w:p>
        </w:tc>
        <w:tc>
          <w:tcPr>
            <w:tcW w:w="6945" w:type="dxa"/>
          </w:tcPr>
          <w:p w14:paraId="7E2DD65B" w14:textId="77777777" w:rsidR="0015322B" w:rsidRPr="00CA2191" w:rsidRDefault="0015322B" w:rsidP="0015322B">
            <w:r w:rsidRPr="00CA2191">
              <w:t>Free trade agreement</w:t>
            </w:r>
          </w:p>
        </w:tc>
      </w:tr>
      <w:tr w:rsidR="0015322B" w:rsidRPr="00CA2191" w14:paraId="0834D6C9" w14:textId="77777777" w:rsidTr="00CB2583">
        <w:tc>
          <w:tcPr>
            <w:tcW w:w="2071" w:type="dxa"/>
          </w:tcPr>
          <w:p w14:paraId="7C52A940" w14:textId="77777777" w:rsidR="0015322B" w:rsidRPr="00CA2191" w:rsidRDefault="0015322B" w:rsidP="0015322B">
            <w:r w:rsidRPr="00CA2191">
              <w:t>GDP</w:t>
            </w:r>
          </w:p>
        </w:tc>
        <w:tc>
          <w:tcPr>
            <w:tcW w:w="6945" w:type="dxa"/>
          </w:tcPr>
          <w:p w14:paraId="0A3401C7" w14:textId="77777777" w:rsidR="0015322B" w:rsidRPr="00CA2191" w:rsidRDefault="0015322B" w:rsidP="0015322B">
            <w:r w:rsidRPr="00CA2191">
              <w:t xml:space="preserve">gross domestic product </w:t>
            </w:r>
          </w:p>
        </w:tc>
      </w:tr>
      <w:tr w:rsidR="0015322B" w:rsidRPr="00CA2191" w14:paraId="650C7114" w14:textId="77777777" w:rsidTr="00CB2583">
        <w:tc>
          <w:tcPr>
            <w:tcW w:w="2071" w:type="dxa"/>
          </w:tcPr>
          <w:p w14:paraId="6E2085EE" w14:textId="77777777" w:rsidR="0015322B" w:rsidRPr="00CA2191" w:rsidRDefault="0015322B" w:rsidP="0015322B">
            <w:r>
              <w:t>GFC</w:t>
            </w:r>
          </w:p>
        </w:tc>
        <w:tc>
          <w:tcPr>
            <w:tcW w:w="6945" w:type="dxa"/>
          </w:tcPr>
          <w:p w14:paraId="70BEDC0A" w14:textId="77777777" w:rsidR="0015322B" w:rsidRPr="00CA2191" w:rsidRDefault="0015322B" w:rsidP="0015322B">
            <w:r>
              <w:t>Global Financial Crisis</w:t>
            </w:r>
          </w:p>
        </w:tc>
      </w:tr>
      <w:tr w:rsidR="0015322B" w:rsidRPr="00CA2191" w14:paraId="4230DEDD" w14:textId="77777777" w:rsidTr="00CB2583">
        <w:tc>
          <w:tcPr>
            <w:tcW w:w="2071" w:type="dxa"/>
          </w:tcPr>
          <w:p w14:paraId="295AF970" w14:textId="77777777" w:rsidR="0015322B" w:rsidRPr="00CA2191" w:rsidRDefault="0015322B" w:rsidP="0015322B">
            <w:r w:rsidRPr="00CA2191">
              <w:t>GNP</w:t>
            </w:r>
          </w:p>
        </w:tc>
        <w:tc>
          <w:tcPr>
            <w:tcW w:w="6945" w:type="dxa"/>
          </w:tcPr>
          <w:p w14:paraId="22200A1E" w14:textId="77777777" w:rsidR="0015322B" w:rsidRPr="00CA2191" w:rsidRDefault="0015322B" w:rsidP="0015322B">
            <w:r w:rsidRPr="00CA2191">
              <w:t>gross national product</w:t>
            </w:r>
          </w:p>
        </w:tc>
      </w:tr>
      <w:tr w:rsidR="0015322B" w:rsidRPr="00CA2191" w14:paraId="1FE83DDD" w14:textId="77777777" w:rsidTr="00CB2583">
        <w:tc>
          <w:tcPr>
            <w:tcW w:w="2071" w:type="dxa"/>
          </w:tcPr>
          <w:p w14:paraId="67E2A670" w14:textId="77777777" w:rsidR="0015322B" w:rsidRPr="00CA2191" w:rsidRDefault="0015322B" w:rsidP="0015322B">
            <w:r>
              <w:t>GST</w:t>
            </w:r>
          </w:p>
        </w:tc>
        <w:tc>
          <w:tcPr>
            <w:tcW w:w="6945" w:type="dxa"/>
          </w:tcPr>
          <w:p w14:paraId="7D1814F0" w14:textId="77777777" w:rsidR="0015322B" w:rsidRPr="00CA2191" w:rsidRDefault="0015322B" w:rsidP="0015322B">
            <w:r>
              <w:t>goods and services tax</w:t>
            </w:r>
          </w:p>
        </w:tc>
      </w:tr>
      <w:tr w:rsidR="0015322B" w:rsidRPr="00CA2191" w14:paraId="03740DFE" w14:textId="77777777" w:rsidTr="00CB2583">
        <w:tc>
          <w:tcPr>
            <w:tcW w:w="2071" w:type="dxa"/>
          </w:tcPr>
          <w:p w14:paraId="37C0196C" w14:textId="1B57EE07" w:rsidR="0015322B" w:rsidRDefault="0015322B" w:rsidP="0015322B">
            <w:r>
              <w:t>IGVA</w:t>
            </w:r>
          </w:p>
        </w:tc>
        <w:tc>
          <w:tcPr>
            <w:tcW w:w="6945" w:type="dxa"/>
          </w:tcPr>
          <w:p w14:paraId="5F9C1F92" w14:textId="72E0FAB8" w:rsidR="0015322B" w:rsidRPr="00545318" w:rsidRDefault="0015322B" w:rsidP="0015322B">
            <w:r>
              <w:t>Industry Gross Value Add</w:t>
            </w:r>
          </w:p>
        </w:tc>
      </w:tr>
      <w:tr w:rsidR="0015322B" w:rsidRPr="00CA2191" w14:paraId="133D5615" w14:textId="77777777" w:rsidTr="00CB2583">
        <w:tc>
          <w:tcPr>
            <w:tcW w:w="2071" w:type="dxa"/>
          </w:tcPr>
          <w:p w14:paraId="03035143" w14:textId="331C31DB" w:rsidR="0015322B" w:rsidRDefault="0015322B" w:rsidP="0015322B">
            <w:r>
              <w:t>ITRF</w:t>
            </w:r>
          </w:p>
        </w:tc>
        <w:tc>
          <w:tcPr>
            <w:tcW w:w="6945" w:type="dxa"/>
          </w:tcPr>
          <w:p w14:paraId="315133CF" w14:textId="30739F84" w:rsidR="0015322B" w:rsidRDefault="0015322B" w:rsidP="0015322B">
            <w:r w:rsidRPr="00545318">
              <w:t>International Trade Remedies Forum</w:t>
            </w:r>
          </w:p>
        </w:tc>
      </w:tr>
      <w:tr w:rsidR="0015322B" w:rsidRPr="00CA2191" w14:paraId="745EDB3E" w14:textId="77777777" w:rsidTr="00CB2583">
        <w:tc>
          <w:tcPr>
            <w:tcW w:w="2071" w:type="dxa"/>
          </w:tcPr>
          <w:p w14:paraId="2B9A18BC" w14:textId="77777777" w:rsidR="0015322B" w:rsidRDefault="0015322B" w:rsidP="0015322B">
            <w:r>
              <w:t>LME</w:t>
            </w:r>
          </w:p>
        </w:tc>
        <w:tc>
          <w:tcPr>
            <w:tcW w:w="6945" w:type="dxa"/>
          </w:tcPr>
          <w:p w14:paraId="51B3A8C8" w14:textId="77777777" w:rsidR="0015322B" w:rsidRDefault="0015322B" w:rsidP="0015322B">
            <w:r>
              <w:t>London Metals Exchange</w:t>
            </w:r>
          </w:p>
        </w:tc>
      </w:tr>
      <w:tr w:rsidR="0015322B" w:rsidRPr="00CA2191" w14:paraId="0E765B24" w14:textId="77777777" w:rsidTr="00CB2583">
        <w:tc>
          <w:tcPr>
            <w:tcW w:w="2071" w:type="dxa"/>
          </w:tcPr>
          <w:p w14:paraId="3551165D" w14:textId="5509F5C2" w:rsidR="0015322B" w:rsidRDefault="0015322B" w:rsidP="0015322B">
            <w:r>
              <w:t>the Minister</w:t>
            </w:r>
          </w:p>
        </w:tc>
        <w:tc>
          <w:tcPr>
            <w:tcW w:w="6945" w:type="dxa"/>
          </w:tcPr>
          <w:p w14:paraId="02D3B293" w14:textId="7A260750" w:rsidR="0015322B" w:rsidRDefault="0015322B" w:rsidP="0015322B">
            <w:r>
              <w:t>the Minister for Industry, Innovation and Science</w:t>
            </w:r>
          </w:p>
        </w:tc>
      </w:tr>
      <w:tr w:rsidR="0015322B" w:rsidRPr="00CA2191" w14:paraId="11789F72" w14:textId="77777777" w:rsidTr="00CB2583">
        <w:tc>
          <w:tcPr>
            <w:tcW w:w="2071" w:type="dxa"/>
          </w:tcPr>
          <w:p w14:paraId="688E76AE" w14:textId="4A2319E4" w:rsidR="0015322B" w:rsidRDefault="0015322B" w:rsidP="0015322B">
            <w:r>
              <w:t>mt</w:t>
            </w:r>
          </w:p>
        </w:tc>
        <w:tc>
          <w:tcPr>
            <w:tcW w:w="6945" w:type="dxa"/>
          </w:tcPr>
          <w:p w14:paraId="3C6BDFE1" w14:textId="3FA517CB" w:rsidR="0015322B" w:rsidRDefault="0015322B" w:rsidP="0015322B">
            <w:r>
              <w:t>million tons</w:t>
            </w:r>
          </w:p>
        </w:tc>
      </w:tr>
      <w:tr w:rsidR="0015322B" w:rsidRPr="00CA2191" w14:paraId="721D9D7F" w14:textId="77777777" w:rsidTr="00CB2583">
        <w:tc>
          <w:tcPr>
            <w:tcW w:w="2071" w:type="dxa"/>
          </w:tcPr>
          <w:p w14:paraId="2571BA15" w14:textId="37E7E74B" w:rsidR="0015322B" w:rsidRDefault="0015322B" w:rsidP="0015322B">
            <w:r>
              <w:t>mtpa</w:t>
            </w:r>
          </w:p>
        </w:tc>
        <w:tc>
          <w:tcPr>
            <w:tcW w:w="6945" w:type="dxa"/>
          </w:tcPr>
          <w:p w14:paraId="16FC8F99" w14:textId="17BC9EC6" w:rsidR="0015322B" w:rsidRDefault="0015322B" w:rsidP="0015322B">
            <w:r>
              <w:t>million tons per annum</w:t>
            </w:r>
          </w:p>
        </w:tc>
      </w:tr>
      <w:tr w:rsidR="0015322B" w:rsidRPr="00CA2191" w14:paraId="24B46066" w14:textId="77777777" w:rsidTr="00CB2583">
        <w:tc>
          <w:tcPr>
            <w:tcW w:w="2071" w:type="dxa"/>
          </w:tcPr>
          <w:p w14:paraId="055912F2" w14:textId="77777777" w:rsidR="0015322B" w:rsidRPr="005F20E4" w:rsidRDefault="0015322B" w:rsidP="0015322B">
            <w:r w:rsidRPr="005F20E4">
              <w:t>NIP</w:t>
            </w:r>
          </w:p>
        </w:tc>
        <w:tc>
          <w:tcPr>
            <w:tcW w:w="6945" w:type="dxa"/>
          </w:tcPr>
          <w:p w14:paraId="45388789" w14:textId="77777777" w:rsidR="0015322B" w:rsidRPr="005F20E4" w:rsidRDefault="0015322B" w:rsidP="0015322B">
            <w:r>
              <w:t>n</w:t>
            </w:r>
            <w:r w:rsidRPr="005F20E4">
              <w:t xml:space="preserve">on-injurious </w:t>
            </w:r>
            <w:r>
              <w:t>p</w:t>
            </w:r>
            <w:r w:rsidRPr="005F20E4">
              <w:t>rice</w:t>
            </w:r>
          </w:p>
        </w:tc>
      </w:tr>
      <w:tr w:rsidR="0015322B" w:rsidRPr="00CA2191" w14:paraId="0B761219" w14:textId="77777777" w:rsidTr="00CB2583">
        <w:tc>
          <w:tcPr>
            <w:tcW w:w="2071" w:type="dxa"/>
          </w:tcPr>
          <w:p w14:paraId="09ABCFAB" w14:textId="17FBFD7F" w:rsidR="0015322B" w:rsidRPr="005F20E4" w:rsidRDefault="0015322B" w:rsidP="0015322B">
            <w:r>
              <w:t>OECD</w:t>
            </w:r>
          </w:p>
        </w:tc>
        <w:tc>
          <w:tcPr>
            <w:tcW w:w="6945" w:type="dxa"/>
          </w:tcPr>
          <w:p w14:paraId="1F4A9656" w14:textId="4913CF14" w:rsidR="0015322B" w:rsidRDefault="0015322B" w:rsidP="0015322B">
            <w:r w:rsidRPr="00545318">
              <w:t>Organisation for Econom</w:t>
            </w:r>
            <w:r>
              <w:t>ic Development and Co-operation</w:t>
            </w:r>
          </w:p>
        </w:tc>
      </w:tr>
      <w:tr w:rsidR="0015322B" w:rsidRPr="00CA2191" w14:paraId="3D8A2999" w14:textId="77777777" w:rsidTr="00CB2583">
        <w:tc>
          <w:tcPr>
            <w:tcW w:w="2071" w:type="dxa"/>
          </w:tcPr>
          <w:p w14:paraId="36E2E36D" w14:textId="77777777" w:rsidR="0015322B" w:rsidRPr="005F20E4" w:rsidRDefault="0015322B" w:rsidP="0015322B">
            <w:r>
              <w:t>PAD</w:t>
            </w:r>
          </w:p>
        </w:tc>
        <w:tc>
          <w:tcPr>
            <w:tcW w:w="6945" w:type="dxa"/>
          </w:tcPr>
          <w:p w14:paraId="393B932E" w14:textId="77777777" w:rsidR="0015322B" w:rsidRDefault="0015322B" w:rsidP="0015322B">
            <w:r>
              <w:t>Preliminary Affirmative Determination</w:t>
            </w:r>
          </w:p>
        </w:tc>
      </w:tr>
      <w:tr w:rsidR="0015322B" w:rsidRPr="00CA2191" w14:paraId="38860A61" w14:textId="77777777" w:rsidTr="00CB2583">
        <w:tc>
          <w:tcPr>
            <w:tcW w:w="2071" w:type="dxa"/>
          </w:tcPr>
          <w:p w14:paraId="786A9CE8" w14:textId="01223C99" w:rsidR="0015322B" w:rsidRPr="00CA2191" w:rsidRDefault="0015322B" w:rsidP="0015322B">
            <w:r>
              <w:t>R&amp;D</w:t>
            </w:r>
          </w:p>
        </w:tc>
        <w:tc>
          <w:tcPr>
            <w:tcW w:w="6945" w:type="dxa"/>
          </w:tcPr>
          <w:p w14:paraId="2D1277AE" w14:textId="197B67AA" w:rsidR="0015322B" w:rsidRPr="00CA2191" w:rsidRDefault="0015322B" w:rsidP="0015322B">
            <w:r>
              <w:t>research and development</w:t>
            </w:r>
          </w:p>
        </w:tc>
      </w:tr>
      <w:tr w:rsidR="0015322B" w:rsidRPr="00CA2191" w14:paraId="50B725BB" w14:textId="77777777" w:rsidTr="00CB2583">
        <w:tc>
          <w:tcPr>
            <w:tcW w:w="2071" w:type="dxa"/>
          </w:tcPr>
          <w:p w14:paraId="3888BC6A" w14:textId="1D49357C" w:rsidR="0015322B" w:rsidRPr="00CA2191" w:rsidRDefault="0015322B" w:rsidP="0015322B">
            <w:r w:rsidRPr="00CA2191">
              <w:t>RET</w:t>
            </w:r>
          </w:p>
        </w:tc>
        <w:tc>
          <w:tcPr>
            <w:tcW w:w="6945" w:type="dxa"/>
          </w:tcPr>
          <w:p w14:paraId="70B0FBC2" w14:textId="1C959B35" w:rsidR="0015322B" w:rsidRPr="00CA2191" w:rsidRDefault="0015322B" w:rsidP="0015322B">
            <w:r w:rsidRPr="00CA2191">
              <w:t>Renewable Energy Target</w:t>
            </w:r>
          </w:p>
        </w:tc>
      </w:tr>
      <w:tr w:rsidR="0015322B" w:rsidRPr="00CA2191" w14:paraId="781F4459" w14:textId="77777777" w:rsidTr="00CB2583">
        <w:tc>
          <w:tcPr>
            <w:tcW w:w="2071" w:type="dxa"/>
          </w:tcPr>
          <w:p w14:paraId="3F4B1630" w14:textId="77777777" w:rsidR="0015322B" w:rsidRDefault="0015322B" w:rsidP="0015322B">
            <w:r>
              <w:t>RMB</w:t>
            </w:r>
          </w:p>
        </w:tc>
        <w:tc>
          <w:tcPr>
            <w:tcW w:w="6945" w:type="dxa"/>
          </w:tcPr>
          <w:p w14:paraId="3E9F1617" w14:textId="77777777" w:rsidR="0015322B" w:rsidRDefault="0015322B" w:rsidP="0015322B">
            <w:r>
              <w:t>Chinese renminbi</w:t>
            </w:r>
          </w:p>
        </w:tc>
      </w:tr>
      <w:tr w:rsidR="0015322B" w:rsidRPr="00CA2191" w14:paraId="1EB64EC3" w14:textId="77777777" w:rsidTr="00CB2583">
        <w:tc>
          <w:tcPr>
            <w:tcW w:w="2071" w:type="dxa"/>
          </w:tcPr>
          <w:p w14:paraId="628DFBEC" w14:textId="77777777" w:rsidR="0015322B" w:rsidRDefault="0015322B" w:rsidP="0015322B">
            <w:r>
              <w:t>RUB</w:t>
            </w:r>
          </w:p>
        </w:tc>
        <w:tc>
          <w:tcPr>
            <w:tcW w:w="6945" w:type="dxa"/>
          </w:tcPr>
          <w:p w14:paraId="7C0674A8" w14:textId="77777777" w:rsidR="0015322B" w:rsidRDefault="0015322B" w:rsidP="0015322B">
            <w:r>
              <w:t>Russian rouble</w:t>
            </w:r>
          </w:p>
        </w:tc>
      </w:tr>
      <w:tr w:rsidR="0015322B" w:rsidRPr="00CA2191" w14:paraId="135E2EDD" w14:textId="77777777" w:rsidTr="00CB2583">
        <w:tc>
          <w:tcPr>
            <w:tcW w:w="2071" w:type="dxa"/>
          </w:tcPr>
          <w:p w14:paraId="52F860E3" w14:textId="77777777" w:rsidR="0015322B" w:rsidRPr="00CA2191" w:rsidRDefault="0015322B" w:rsidP="0015322B">
            <w:pPr>
              <w:rPr>
                <w:rFonts w:cs="Times New Roman"/>
                <w:color w:val="000000"/>
              </w:rPr>
            </w:pPr>
            <w:r w:rsidRPr="00CA2191">
              <w:rPr>
                <w:rFonts w:cs="Times New Roman"/>
                <w:color w:val="000000"/>
              </w:rPr>
              <w:t>SMEs</w:t>
            </w:r>
          </w:p>
        </w:tc>
        <w:tc>
          <w:tcPr>
            <w:tcW w:w="6945" w:type="dxa"/>
          </w:tcPr>
          <w:p w14:paraId="1DA9BA56" w14:textId="77777777" w:rsidR="0015322B" w:rsidRPr="00CA2191" w:rsidRDefault="0015322B" w:rsidP="0015322B">
            <w:pPr>
              <w:rPr>
                <w:rFonts w:cs="Times New Roman"/>
                <w:i/>
                <w:iCs/>
                <w:color w:val="000000"/>
              </w:rPr>
            </w:pPr>
            <w:r w:rsidRPr="00CA2191">
              <w:rPr>
                <w:rFonts w:cs="Times New Roman"/>
                <w:color w:val="000000"/>
              </w:rPr>
              <w:t>small and medium enterprises</w:t>
            </w:r>
          </w:p>
        </w:tc>
      </w:tr>
      <w:tr w:rsidR="0015322B" w:rsidRPr="00CA2191" w14:paraId="04ED77D3" w14:textId="77777777" w:rsidTr="00CB2583">
        <w:tc>
          <w:tcPr>
            <w:tcW w:w="2071" w:type="dxa"/>
          </w:tcPr>
          <w:p w14:paraId="1F38A1EA" w14:textId="77777777" w:rsidR="0015322B" w:rsidRPr="00CA2191" w:rsidRDefault="0015322B" w:rsidP="0015322B">
            <w:r w:rsidRPr="00CA2191">
              <w:rPr>
                <w:rFonts w:cs="Times New Roman"/>
                <w:color w:val="000000"/>
              </w:rPr>
              <w:t>STP Act</w:t>
            </w:r>
          </w:p>
        </w:tc>
        <w:tc>
          <w:tcPr>
            <w:tcW w:w="6945" w:type="dxa"/>
          </w:tcPr>
          <w:p w14:paraId="5AA84860" w14:textId="77777777" w:rsidR="0015322B" w:rsidRPr="00CA2191" w:rsidRDefault="0015322B" w:rsidP="0015322B">
            <w:r w:rsidRPr="00CA2191">
              <w:rPr>
                <w:rFonts w:cs="Times New Roman"/>
                <w:i/>
                <w:iCs/>
                <w:color w:val="000000"/>
              </w:rPr>
              <w:t xml:space="preserve">Steel Transformation Plan Act 2011 </w:t>
            </w:r>
          </w:p>
        </w:tc>
      </w:tr>
      <w:tr w:rsidR="0015322B" w:rsidRPr="00CA2191" w14:paraId="45580EE1" w14:textId="77777777" w:rsidTr="00CB2583">
        <w:tc>
          <w:tcPr>
            <w:tcW w:w="2071" w:type="dxa"/>
          </w:tcPr>
          <w:p w14:paraId="251A912D" w14:textId="77777777" w:rsidR="0015322B" w:rsidRPr="00CA2191" w:rsidRDefault="0015322B" w:rsidP="0015322B">
            <w:pPr>
              <w:rPr>
                <w:rFonts w:cs="Times New Roman"/>
                <w:color w:val="000000"/>
              </w:rPr>
            </w:pPr>
            <w:r>
              <w:rPr>
                <w:rFonts w:cs="Times New Roman"/>
                <w:color w:val="000000"/>
              </w:rPr>
              <w:t>VAT</w:t>
            </w:r>
          </w:p>
        </w:tc>
        <w:tc>
          <w:tcPr>
            <w:tcW w:w="6945" w:type="dxa"/>
          </w:tcPr>
          <w:p w14:paraId="074035AE" w14:textId="77777777" w:rsidR="0015322B" w:rsidRPr="00772E24" w:rsidRDefault="0015322B" w:rsidP="0015322B">
            <w:pPr>
              <w:rPr>
                <w:rFonts w:cs="Times New Roman"/>
                <w:iCs/>
                <w:color w:val="000000"/>
              </w:rPr>
            </w:pPr>
            <w:r>
              <w:rPr>
                <w:rFonts w:cs="Times New Roman"/>
                <w:iCs/>
                <w:color w:val="000000"/>
              </w:rPr>
              <w:t>v</w:t>
            </w:r>
            <w:r w:rsidRPr="00772E24">
              <w:rPr>
                <w:rFonts w:cs="Times New Roman"/>
                <w:iCs/>
                <w:color w:val="000000"/>
              </w:rPr>
              <w:t>alue added tax</w:t>
            </w:r>
          </w:p>
        </w:tc>
      </w:tr>
      <w:tr w:rsidR="0015322B" w:rsidRPr="00CA2191" w14:paraId="4994F581" w14:textId="77777777" w:rsidTr="00CB2583">
        <w:tc>
          <w:tcPr>
            <w:tcW w:w="2071" w:type="dxa"/>
          </w:tcPr>
          <w:p w14:paraId="5E3FB031" w14:textId="77777777" w:rsidR="0015322B" w:rsidRPr="00CA2191" w:rsidRDefault="0015322B" w:rsidP="0015322B">
            <w:r w:rsidRPr="00CA2191">
              <w:t>WTO</w:t>
            </w:r>
          </w:p>
        </w:tc>
        <w:tc>
          <w:tcPr>
            <w:tcW w:w="6945" w:type="dxa"/>
          </w:tcPr>
          <w:p w14:paraId="4C573B91" w14:textId="77777777" w:rsidR="0015322B" w:rsidRPr="00CA2191" w:rsidRDefault="0015322B" w:rsidP="0015322B">
            <w:r w:rsidRPr="00CA2191">
              <w:t>World Trade Organi</w:t>
            </w:r>
            <w:r>
              <w:t>z</w:t>
            </w:r>
            <w:r w:rsidRPr="00CA2191">
              <w:t>ation</w:t>
            </w:r>
          </w:p>
        </w:tc>
      </w:tr>
      <w:tr w:rsidR="0015322B" w:rsidRPr="00CA2191" w14:paraId="5DE2D769" w14:textId="77777777" w:rsidTr="00CB2583">
        <w:tc>
          <w:tcPr>
            <w:tcW w:w="2071" w:type="dxa"/>
          </w:tcPr>
          <w:p w14:paraId="729B28CE" w14:textId="77777777" w:rsidR="0015322B" w:rsidRPr="00CA2191" w:rsidRDefault="0015322B" w:rsidP="0015322B">
            <w:r>
              <w:t>US</w:t>
            </w:r>
          </w:p>
        </w:tc>
        <w:tc>
          <w:tcPr>
            <w:tcW w:w="6945" w:type="dxa"/>
          </w:tcPr>
          <w:p w14:paraId="457969F6" w14:textId="77777777" w:rsidR="0015322B" w:rsidRPr="00CA2191" w:rsidRDefault="0015322B" w:rsidP="0015322B">
            <w:r w:rsidRPr="00F21B9A">
              <w:t>United States</w:t>
            </w:r>
          </w:p>
        </w:tc>
      </w:tr>
      <w:tr w:rsidR="0015322B" w:rsidRPr="00CA2191" w14:paraId="103FE3A9" w14:textId="77777777" w:rsidTr="00CB2583">
        <w:tc>
          <w:tcPr>
            <w:tcW w:w="2071" w:type="dxa"/>
          </w:tcPr>
          <w:p w14:paraId="626EB733" w14:textId="77777777" w:rsidR="0015322B" w:rsidRPr="00CA2191" w:rsidRDefault="0015322B" w:rsidP="0015322B">
            <w:r>
              <w:t>USD</w:t>
            </w:r>
          </w:p>
        </w:tc>
        <w:tc>
          <w:tcPr>
            <w:tcW w:w="6945" w:type="dxa"/>
          </w:tcPr>
          <w:p w14:paraId="4C771A7C" w14:textId="77777777" w:rsidR="0015322B" w:rsidRPr="00CA2191" w:rsidRDefault="0015322B" w:rsidP="0015322B">
            <w:r>
              <w:t>United States dollar</w:t>
            </w:r>
          </w:p>
        </w:tc>
      </w:tr>
    </w:tbl>
    <w:p w14:paraId="7E0D9159" w14:textId="77777777" w:rsidR="005F20E4" w:rsidRPr="005F20E4" w:rsidRDefault="005F20E4" w:rsidP="005F20E4">
      <w:pPr>
        <w:spacing w:after="200" w:line="276" w:lineRule="auto"/>
        <w:rPr>
          <w:rFonts w:eastAsiaTheme="majorEastAsia" w:cstheme="majorBidi"/>
          <w:bCs/>
          <w:sz w:val="26"/>
          <w:szCs w:val="26"/>
        </w:rPr>
      </w:pPr>
    </w:p>
    <w:p w14:paraId="698E040E" w14:textId="77777777" w:rsidR="007436A2" w:rsidRDefault="00E40AAD">
      <w:pPr>
        <w:spacing w:after="200" w:line="276" w:lineRule="auto"/>
        <w:sectPr w:rsidR="007436A2" w:rsidSect="00C54F71">
          <w:pgSz w:w="11906" w:h="16838"/>
          <w:pgMar w:top="1440" w:right="1440" w:bottom="1440" w:left="1440" w:header="708" w:footer="708" w:gutter="0"/>
          <w:cols w:space="708"/>
          <w:docGrid w:linePitch="360"/>
        </w:sectPr>
      </w:pPr>
      <w:r>
        <w:br w:type="page"/>
      </w:r>
    </w:p>
    <w:p w14:paraId="083E8FB1" w14:textId="77777777" w:rsidR="00380F11" w:rsidRPr="00545318" w:rsidRDefault="007436A2">
      <w:pPr>
        <w:spacing w:after="200" w:line="276" w:lineRule="auto"/>
        <w:rPr>
          <w:rFonts w:asciiTheme="majorHAnsi" w:hAnsiTheme="majorHAnsi"/>
          <w:b/>
          <w:color w:val="548DD4" w:themeColor="text2" w:themeTint="99"/>
          <w:sz w:val="28"/>
          <w:szCs w:val="28"/>
        </w:rPr>
      </w:pPr>
      <w:r w:rsidRPr="00545318">
        <w:rPr>
          <w:rFonts w:asciiTheme="majorHAnsi" w:hAnsiTheme="majorHAnsi"/>
          <w:b/>
          <w:color w:val="548DD4" w:themeColor="text2" w:themeTint="99"/>
          <w:sz w:val="28"/>
          <w:szCs w:val="28"/>
        </w:rPr>
        <w:t>Executive summary</w:t>
      </w:r>
    </w:p>
    <w:p w14:paraId="631B1D6A" w14:textId="77777777" w:rsidR="00BE015F" w:rsidRPr="00545318" w:rsidRDefault="002A0D3F" w:rsidP="002A0D3F">
      <w:pPr>
        <w:pStyle w:val="PlainParagraph"/>
        <w:rPr>
          <w:rFonts w:asciiTheme="minorHAnsi" w:hAnsiTheme="minorHAnsi"/>
        </w:rPr>
      </w:pPr>
      <w:r w:rsidRPr="00545318">
        <w:rPr>
          <w:rFonts w:asciiTheme="minorHAnsi" w:hAnsiTheme="minorHAnsi"/>
        </w:rPr>
        <w:t xml:space="preserve">Global steel and aluminium markets are cyclical in nature, reflecting the impacts of economic business cycles on demand and the impacts of the capital-intensive, long-lived and sunk nature of production assets on supply. The global steel industry, for example, has experienced a cyclical downturn </w:t>
      </w:r>
      <w:r w:rsidR="000263C4" w:rsidRPr="00545318">
        <w:rPr>
          <w:rFonts w:asciiTheme="minorHAnsi" w:hAnsiTheme="minorHAnsi"/>
        </w:rPr>
        <w:t xml:space="preserve">at least once </w:t>
      </w:r>
      <w:r w:rsidRPr="00545318">
        <w:rPr>
          <w:rFonts w:asciiTheme="minorHAnsi" w:hAnsiTheme="minorHAnsi"/>
        </w:rPr>
        <w:t>every decade since the 1970s</w:t>
      </w:r>
      <w:r w:rsidR="00BE015F" w:rsidRPr="00545318">
        <w:rPr>
          <w:rFonts w:asciiTheme="minorHAnsi" w:hAnsiTheme="minorHAnsi"/>
        </w:rPr>
        <w:t>.</w:t>
      </w:r>
    </w:p>
    <w:p w14:paraId="22445A7B" w14:textId="77777777" w:rsidR="002A0D3F" w:rsidRPr="00545318" w:rsidRDefault="002A0D3F" w:rsidP="002A0D3F">
      <w:pPr>
        <w:pStyle w:val="PlainParagraph"/>
        <w:rPr>
          <w:rFonts w:asciiTheme="minorHAnsi" w:hAnsiTheme="minorHAnsi"/>
        </w:rPr>
      </w:pPr>
      <w:r w:rsidRPr="00545318">
        <w:rPr>
          <w:rFonts w:asciiTheme="minorHAnsi" w:hAnsiTheme="minorHAnsi"/>
        </w:rPr>
        <w:t xml:space="preserve">The Organisation for Economic Development and Co-operation (OECD) has identified ongoing excess capacity as one of the most significant challenges currently facing the global steel industry. </w:t>
      </w:r>
      <w:r w:rsidRPr="00545318">
        <w:rPr>
          <w:rFonts w:asciiTheme="minorHAnsi" w:hAnsiTheme="minorHAnsi"/>
          <w:lang w:val="en-US"/>
        </w:rPr>
        <w:t xml:space="preserve">The </w:t>
      </w:r>
      <w:r w:rsidR="00353788" w:rsidRPr="00545318">
        <w:rPr>
          <w:rFonts w:asciiTheme="minorHAnsi" w:hAnsiTheme="minorHAnsi"/>
          <w:lang w:val="en-US"/>
        </w:rPr>
        <w:t>large</w:t>
      </w:r>
      <w:r w:rsidRPr="00545318">
        <w:rPr>
          <w:rFonts w:asciiTheme="minorHAnsi" w:hAnsiTheme="minorHAnsi"/>
          <w:lang w:val="en-US"/>
        </w:rPr>
        <w:t xml:space="preserve"> gap between global steelmaking capacity and demand has led to deterioration in the financial situation of steelmakers around the world, and raised concerns about the longer-term economic viability and efficiency of the industry.</w:t>
      </w:r>
    </w:p>
    <w:p w14:paraId="7413C61B" w14:textId="0DE19FC4" w:rsidR="005355AE" w:rsidRPr="00545318" w:rsidRDefault="005355AE" w:rsidP="005355AE">
      <w:pPr>
        <w:pStyle w:val="PlainParagraph"/>
        <w:rPr>
          <w:rFonts w:asciiTheme="minorHAnsi" w:hAnsiTheme="minorHAnsi"/>
          <w:lang w:val="en-US"/>
        </w:rPr>
      </w:pPr>
      <w:r w:rsidRPr="00545318">
        <w:rPr>
          <w:rFonts w:asciiTheme="minorHAnsi" w:hAnsiTheme="minorHAnsi"/>
        </w:rPr>
        <w:t xml:space="preserve">The OECD has found that </w:t>
      </w:r>
      <w:r w:rsidRPr="00545318">
        <w:rPr>
          <w:rFonts w:asciiTheme="minorHAnsi" w:hAnsiTheme="minorHAnsi"/>
          <w:lang w:val="en-US"/>
        </w:rPr>
        <w:t>excess capacity has been exacerbated in certain regions by structural factors reflecting government interventions, notably government subsidies for the creation of new capacity</w:t>
      </w:r>
      <w:r w:rsidR="006A5047">
        <w:rPr>
          <w:rFonts w:asciiTheme="minorHAnsi" w:hAnsiTheme="minorHAnsi"/>
          <w:lang w:val="en-US"/>
        </w:rPr>
        <w:t>,</w:t>
      </w:r>
      <w:r w:rsidRPr="00545318">
        <w:rPr>
          <w:rFonts w:asciiTheme="minorHAnsi" w:hAnsiTheme="minorHAnsi"/>
          <w:lang w:val="en-US"/>
        </w:rPr>
        <w:t xml:space="preserve"> and continued approvals for new steel facilities.</w:t>
      </w:r>
    </w:p>
    <w:p w14:paraId="189959EC" w14:textId="77777777" w:rsidR="002A0D3F" w:rsidRPr="00545318" w:rsidRDefault="002A0D3F" w:rsidP="002A0D3F">
      <w:pPr>
        <w:pStyle w:val="PlainParagraph"/>
        <w:rPr>
          <w:rFonts w:asciiTheme="minorHAnsi" w:hAnsiTheme="minorHAnsi"/>
          <w:lang w:val="en-US"/>
        </w:rPr>
      </w:pPr>
      <w:r w:rsidRPr="00545318">
        <w:rPr>
          <w:rFonts w:asciiTheme="minorHAnsi" w:hAnsiTheme="minorHAnsi"/>
          <w:lang w:val="en-US"/>
        </w:rPr>
        <w:t>The situation is similar in the aluminium industry, where government financial support for large aluminium stockpiles has delayed the required supply response to lower demand.</w:t>
      </w:r>
    </w:p>
    <w:p w14:paraId="4E1B7785" w14:textId="77777777" w:rsidR="002A0D3F" w:rsidRPr="00545318" w:rsidRDefault="002A0D3F" w:rsidP="002A0D3F">
      <w:pPr>
        <w:pStyle w:val="PlainParagraph"/>
        <w:rPr>
          <w:rFonts w:asciiTheme="minorHAnsi" w:hAnsiTheme="minorHAnsi"/>
          <w:lang w:val="en-US"/>
        </w:rPr>
      </w:pPr>
      <w:r w:rsidRPr="00545318">
        <w:rPr>
          <w:rFonts w:asciiTheme="minorHAnsi" w:hAnsiTheme="minorHAnsi"/>
          <w:lang w:val="en-US"/>
        </w:rPr>
        <w:t>The</w:t>
      </w:r>
      <w:r w:rsidR="00624FDF" w:rsidRPr="00545318">
        <w:rPr>
          <w:rFonts w:asciiTheme="minorHAnsi" w:hAnsiTheme="minorHAnsi"/>
          <w:lang w:val="en-US"/>
        </w:rPr>
        <w:t xml:space="preserve"> Anti-Dumping</w:t>
      </w:r>
      <w:r w:rsidRPr="00545318">
        <w:rPr>
          <w:rFonts w:asciiTheme="minorHAnsi" w:hAnsiTheme="minorHAnsi"/>
          <w:lang w:val="en-US"/>
        </w:rPr>
        <w:t xml:space="preserve"> Commission’s </w:t>
      </w:r>
      <w:r w:rsidR="00624FDF" w:rsidRPr="00545318">
        <w:rPr>
          <w:rFonts w:asciiTheme="minorHAnsi" w:hAnsiTheme="minorHAnsi"/>
          <w:lang w:val="en-US"/>
        </w:rPr>
        <w:t xml:space="preserve">(the Commission’s) </w:t>
      </w:r>
      <w:r w:rsidRPr="00545318">
        <w:rPr>
          <w:rFonts w:asciiTheme="minorHAnsi" w:hAnsiTheme="minorHAnsi"/>
          <w:lang w:val="en-US"/>
        </w:rPr>
        <w:t>analysis has found evidence of market interventions and trade restrictions that influence market behaviours and decision-making by producers in Asian steel and aluminium markets in ways that diverge from competitive market behaviours and normal commercial decisions.</w:t>
      </w:r>
    </w:p>
    <w:p w14:paraId="0EC4F96B" w14:textId="77777777" w:rsidR="002A0D3F" w:rsidRPr="00545318" w:rsidRDefault="002A0D3F" w:rsidP="002A0D3F">
      <w:pPr>
        <w:pStyle w:val="PlainParagraph"/>
        <w:rPr>
          <w:rFonts w:asciiTheme="minorHAnsi" w:hAnsiTheme="minorHAnsi"/>
          <w:lang w:val="en-US"/>
        </w:rPr>
      </w:pPr>
      <w:r w:rsidRPr="00545318">
        <w:rPr>
          <w:rFonts w:asciiTheme="minorHAnsi" w:hAnsiTheme="minorHAnsi"/>
          <w:lang w:val="en-US"/>
        </w:rPr>
        <w:t>Asian governments are not unusual in intervening in steel and aluminium markets. Many countries, including the United States, European countries, and Australia, have policies to promote the growth, viability, productivity performance and competitiveness of these industries.</w:t>
      </w:r>
    </w:p>
    <w:p w14:paraId="35A13804" w14:textId="77777777" w:rsidR="002A0D3F" w:rsidRPr="00545318" w:rsidRDefault="002A0D3F" w:rsidP="002A0D3F">
      <w:pPr>
        <w:pStyle w:val="PlainParagraph"/>
        <w:rPr>
          <w:rFonts w:asciiTheme="minorHAnsi" w:hAnsiTheme="minorHAnsi"/>
          <w:lang w:val="en-US"/>
        </w:rPr>
      </w:pPr>
      <w:r w:rsidRPr="00545318">
        <w:rPr>
          <w:rFonts w:asciiTheme="minorHAnsi" w:hAnsiTheme="minorHAnsi"/>
          <w:lang w:val="en-US"/>
        </w:rPr>
        <w:t>However, the nature and extent of Asian government interventions, and the relative magnitude of Chinese production, has meant that these interventions have been major contributing factors—but not the only contributors—to sustained global overcapacity, ongoing excess production, and depressed world prices.</w:t>
      </w:r>
    </w:p>
    <w:p w14:paraId="04EEC97F" w14:textId="77777777" w:rsidR="002A0D3F" w:rsidRPr="00545318" w:rsidRDefault="002A0D3F" w:rsidP="002A0D3F">
      <w:pPr>
        <w:pStyle w:val="PlainParagraph"/>
        <w:rPr>
          <w:rFonts w:asciiTheme="minorHAnsi" w:hAnsiTheme="minorHAnsi"/>
          <w:lang w:val="en-US"/>
        </w:rPr>
      </w:pPr>
      <w:r w:rsidRPr="00545318">
        <w:rPr>
          <w:rFonts w:asciiTheme="minorHAnsi" w:hAnsiTheme="minorHAnsi"/>
          <w:lang w:val="en-US"/>
        </w:rPr>
        <w:t>In advocating government actions to address market distortions that underpin sustained global overcapacity, the OECD has highlighted that ‘excess capacity in one region can displace production in other regions, thus harming producers in those markets’, including through ‘unfair trade practices such as dumping’.</w:t>
      </w:r>
    </w:p>
    <w:p w14:paraId="57B4D105" w14:textId="77777777" w:rsidR="00BE015F" w:rsidRPr="00545318" w:rsidRDefault="002A0D3F" w:rsidP="002A0D3F">
      <w:pPr>
        <w:pStyle w:val="PlainParagraph"/>
        <w:rPr>
          <w:rFonts w:asciiTheme="minorHAnsi" w:hAnsiTheme="minorHAnsi"/>
          <w:lang w:val="en-US"/>
        </w:rPr>
      </w:pPr>
      <w:r w:rsidRPr="00545318">
        <w:rPr>
          <w:rFonts w:asciiTheme="minorHAnsi" w:hAnsiTheme="minorHAnsi"/>
          <w:lang w:val="en-US"/>
        </w:rPr>
        <w:t xml:space="preserve">The increasing use of trade remedies in all regions around the world has the potential to further displace production, and increase the injury caused by dumping and subsidisation to domestic industries in jurisdictions with less effective trade remedies systems. It is important therefore that the Australian trade remedies system is </w:t>
      </w:r>
      <w:r w:rsidR="00044362" w:rsidRPr="00545318">
        <w:rPr>
          <w:rFonts w:asciiTheme="minorHAnsi" w:hAnsiTheme="minorHAnsi"/>
          <w:lang w:val="en-US"/>
        </w:rPr>
        <w:t xml:space="preserve">as </w:t>
      </w:r>
      <w:r w:rsidRPr="00545318">
        <w:rPr>
          <w:rFonts w:asciiTheme="minorHAnsi" w:hAnsiTheme="minorHAnsi"/>
          <w:lang w:val="en-US"/>
        </w:rPr>
        <w:t xml:space="preserve">effective and efficient </w:t>
      </w:r>
      <w:r w:rsidR="00044362" w:rsidRPr="00545318">
        <w:rPr>
          <w:rFonts w:asciiTheme="minorHAnsi" w:hAnsiTheme="minorHAnsi"/>
          <w:lang w:val="en-US"/>
        </w:rPr>
        <w:t xml:space="preserve">as possible </w:t>
      </w:r>
      <w:r w:rsidRPr="00545318">
        <w:rPr>
          <w:rFonts w:asciiTheme="minorHAnsi" w:hAnsiTheme="minorHAnsi"/>
          <w:lang w:val="en-US"/>
        </w:rPr>
        <w:t>to ensure that Australian industries can compete on a level playing field</w:t>
      </w:r>
      <w:r w:rsidR="00BE015F" w:rsidRPr="00545318">
        <w:rPr>
          <w:rFonts w:asciiTheme="minorHAnsi" w:hAnsiTheme="minorHAnsi"/>
          <w:lang w:val="en-US"/>
        </w:rPr>
        <w:t>.</w:t>
      </w:r>
    </w:p>
    <w:p w14:paraId="4EC39C62" w14:textId="77777777" w:rsidR="00D6050F" w:rsidRPr="00545318" w:rsidRDefault="00D6050F" w:rsidP="002A0D3F">
      <w:pPr>
        <w:pStyle w:val="PlainParagraph"/>
        <w:rPr>
          <w:rFonts w:asciiTheme="minorHAnsi" w:hAnsiTheme="minorHAnsi"/>
          <w:lang w:val="en-US"/>
        </w:rPr>
      </w:pPr>
      <w:r w:rsidRPr="00545318">
        <w:rPr>
          <w:rFonts w:asciiTheme="minorHAnsi" w:hAnsiTheme="minorHAnsi"/>
          <w:lang w:val="en-US"/>
        </w:rPr>
        <w:t xml:space="preserve">However, this does not mean that the system does, or should, have the effect of shielding Australian industries from vigorous competition. Strong competitive pressures give industries incentives to continually improve their productivity performance and strive to best meet their customers’ needs. In administering Australia’s trade remedies system, the Commission’s operational policies and practices aim to create a level playing field </w:t>
      </w:r>
      <w:r w:rsidR="00044362" w:rsidRPr="00545318">
        <w:rPr>
          <w:rFonts w:asciiTheme="minorHAnsi" w:hAnsiTheme="minorHAnsi"/>
          <w:lang w:val="en-US"/>
        </w:rPr>
        <w:t>by remedying the injury to</w:t>
      </w:r>
      <w:r w:rsidRPr="00545318">
        <w:rPr>
          <w:rFonts w:asciiTheme="minorHAnsi" w:hAnsiTheme="minorHAnsi"/>
          <w:lang w:val="en-US"/>
        </w:rPr>
        <w:t xml:space="preserve"> Australian industries from the unfair trad</w:t>
      </w:r>
      <w:r w:rsidR="00044362" w:rsidRPr="00545318">
        <w:rPr>
          <w:rFonts w:asciiTheme="minorHAnsi" w:hAnsiTheme="minorHAnsi"/>
          <w:lang w:val="en-US"/>
        </w:rPr>
        <w:t>e</w:t>
      </w:r>
      <w:r w:rsidRPr="00545318">
        <w:rPr>
          <w:rFonts w:asciiTheme="minorHAnsi" w:hAnsiTheme="minorHAnsi"/>
          <w:lang w:val="en-US"/>
        </w:rPr>
        <w:t xml:space="preserve"> practices of dumping and subsidisation.</w:t>
      </w:r>
    </w:p>
    <w:p w14:paraId="41534733" w14:textId="77777777" w:rsidR="002A0D3F" w:rsidRPr="00545318" w:rsidRDefault="002A0D3F" w:rsidP="002A0D3F">
      <w:pPr>
        <w:pStyle w:val="PlainParagraph"/>
        <w:rPr>
          <w:rFonts w:asciiTheme="minorHAnsi" w:hAnsiTheme="minorHAnsi"/>
        </w:rPr>
      </w:pPr>
      <w:r w:rsidRPr="00545318">
        <w:rPr>
          <w:rFonts w:asciiTheme="minorHAnsi" w:hAnsiTheme="minorHAnsi"/>
          <w:lang w:val="en-US"/>
        </w:rPr>
        <w:t>A strong and effective anti-dumping system support</w:t>
      </w:r>
      <w:r w:rsidR="00D6050F" w:rsidRPr="00545318">
        <w:rPr>
          <w:rFonts w:asciiTheme="minorHAnsi" w:hAnsiTheme="minorHAnsi"/>
          <w:lang w:val="en-US"/>
        </w:rPr>
        <w:t>s</w:t>
      </w:r>
      <w:r w:rsidRPr="00545318">
        <w:rPr>
          <w:rFonts w:asciiTheme="minorHAnsi" w:hAnsiTheme="minorHAnsi"/>
          <w:lang w:val="en-US"/>
        </w:rPr>
        <w:t xml:space="preserve"> other government policy measures implemented to strengthen the competitiveness of Australia’s steel and aluminium industries and to support their adjustment to changed market conditions.</w:t>
      </w:r>
    </w:p>
    <w:p w14:paraId="32DF4313" w14:textId="1B87004D" w:rsidR="002A0D3F" w:rsidRPr="00545318" w:rsidRDefault="00044362" w:rsidP="002A0D3F">
      <w:pPr>
        <w:pStyle w:val="PlainParagraph"/>
        <w:rPr>
          <w:rFonts w:asciiTheme="minorHAnsi" w:hAnsiTheme="minorHAnsi"/>
        </w:rPr>
      </w:pPr>
      <w:r w:rsidRPr="00545318">
        <w:rPr>
          <w:rFonts w:asciiTheme="minorHAnsi" w:hAnsiTheme="minorHAnsi"/>
          <w:lang w:val="en-US"/>
        </w:rPr>
        <w:t xml:space="preserve">While Australia’s anti-dumping system is generally effective in addressing proven cases of dumping and subsidisation, the Commission is committed to a process of continuous improvement to ensure that its administration of the system remains fit for purpose and reflects international best practice. </w:t>
      </w:r>
      <w:r w:rsidR="002A0D3F" w:rsidRPr="00545318">
        <w:rPr>
          <w:rFonts w:asciiTheme="minorHAnsi" w:hAnsiTheme="minorHAnsi"/>
        </w:rPr>
        <w:t xml:space="preserve">The Commission </w:t>
      </w:r>
      <w:r w:rsidRPr="00545318">
        <w:rPr>
          <w:rFonts w:asciiTheme="minorHAnsi" w:hAnsiTheme="minorHAnsi"/>
        </w:rPr>
        <w:t xml:space="preserve">will continue to consult with Australian industry and other stakeholders to identify ways in which it can </w:t>
      </w:r>
      <w:r w:rsidR="002A0D3F" w:rsidRPr="00545318">
        <w:rPr>
          <w:rFonts w:asciiTheme="minorHAnsi" w:hAnsiTheme="minorHAnsi"/>
        </w:rPr>
        <w:t>improve the efficiency of the Commission’s investigations and anti-circumvention inquiries</w:t>
      </w:r>
      <w:r w:rsidR="00044CD6" w:rsidRPr="00545318">
        <w:rPr>
          <w:rFonts w:asciiTheme="minorHAnsi" w:hAnsiTheme="minorHAnsi"/>
        </w:rPr>
        <w:t xml:space="preserve"> and the effectiveness of measures</w:t>
      </w:r>
      <w:r w:rsidR="002A0D3F" w:rsidRPr="00545318">
        <w:rPr>
          <w:rFonts w:asciiTheme="minorHAnsi" w:hAnsiTheme="minorHAnsi"/>
        </w:rPr>
        <w:t>.</w:t>
      </w:r>
    </w:p>
    <w:p w14:paraId="3A1CF7AF" w14:textId="77777777" w:rsidR="00DE2F57" w:rsidRPr="00545318" w:rsidRDefault="00DE2F57" w:rsidP="002A0D3F">
      <w:pPr>
        <w:pStyle w:val="PlainParagraph"/>
        <w:rPr>
          <w:rFonts w:asciiTheme="minorHAnsi" w:hAnsiTheme="minorHAnsi"/>
        </w:rPr>
      </w:pPr>
      <w:r w:rsidRPr="00545318">
        <w:rPr>
          <w:rFonts w:asciiTheme="minorHAnsi" w:hAnsiTheme="minorHAnsi"/>
        </w:rPr>
        <w:t>The Commission will also continue to work with other government agencies, particularly the Department of Immigration and Border Protection, to ensure a strong whole-of-government approach to implementing trade remedies, including compliance.</w:t>
      </w:r>
    </w:p>
    <w:p w14:paraId="114AC968" w14:textId="77777777" w:rsidR="00D6050F" w:rsidRPr="00545318" w:rsidRDefault="00D6050F">
      <w:pPr>
        <w:spacing w:after="200" w:line="276" w:lineRule="auto"/>
      </w:pPr>
    </w:p>
    <w:p w14:paraId="7D1D5B71" w14:textId="77777777" w:rsidR="007436A2" w:rsidRPr="00545318" w:rsidRDefault="007436A2">
      <w:pPr>
        <w:spacing w:after="200" w:line="276" w:lineRule="auto"/>
        <w:sectPr w:rsidR="007436A2" w:rsidRPr="00545318" w:rsidSect="00C54F71">
          <w:pgSz w:w="11906" w:h="16838"/>
          <w:pgMar w:top="1440" w:right="1440" w:bottom="1440" w:left="1440" w:header="708" w:footer="708" w:gutter="0"/>
          <w:cols w:space="708"/>
          <w:docGrid w:linePitch="360"/>
        </w:sectPr>
      </w:pPr>
    </w:p>
    <w:p w14:paraId="6A49F4E3" w14:textId="77777777" w:rsidR="000161FD" w:rsidRPr="00545318" w:rsidRDefault="000161FD" w:rsidP="00380F11">
      <w:pPr>
        <w:pStyle w:val="Heading1"/>
      </w:pPr>
      <w:bookmarkStart w:id="1" w:name="_Toc458674142"/>
      <w:bookmarkStart w:id="2" w:name="_Toc460430472"/>
      <w:r w:rsidRPr="00545318">
        <w:t>Purpose of this inquiry and key findings</w:t>
      </w:r>
      <w:bookmarkEnd w:id="1"/>
      <w:bookmarkEnd w:id="2"/>
    </w:p>
    <w:p w14:paraId="3244859A" w14:textId="77777777" w:rsidR="000161FD" w:rsidRPr="00545318" w:rsidRDefault="000161FD" w:rsidP="000161FD"/>
    <w:bookmarkStart w:id="3" w:name="_Toc458674143"/>
    <w:bookmarkStart w:id="4" w:name="_Toc460430473"/>
    <w:p w14:paraId="09C63652" w14:textId="77777777" w:rsidR="000161FD" w:rsidRPr="00545318" w:rsidRDefault="00D820A9" w:rsidP="000161FD">
      <w:pPr>
        <w:pStyle w:val="Heading2"/>
      </w:pPr>
      <w:r w:rsidRPr="00545318">
        <w:rPr>
          <w:noProof/>
          <w:lang w:val="en-AU" w:eastAsia="en-AU"/>
        </w:rPr>
        <mc:AlternateContent>
          <mc:Choice Requires="wps">
            <w:drawing>
              <wp:anchor distT="0" distB="0" distL="114300" distR="114300" simplePos="0" relativeHeight="251676672" behindDoc="0" locked="0" layoutInCell="1" allowOverlap="1" wp14:anchorId="2DCBC79C" wp14:editId="7DB56EBB">
                <wp:simplePos x="0" y="0"/>
                <wp:positionH relativeFrom="column">
                  <wp:posOffset>0</wp:posOffset>
                </wp:positionH>
                <wp:positionV relativeFrom="paragraph">
                  <wp:posOffset>0</wp:posOffset>
                </wp:positionV>
                <wp:extent cx="1828800" cy="1828800"/>
                <wp:effectExtent l="0" t="0" r="15240" b="13970"/>
                <wp:wrapSquare wrapText="bothSides"/>
                <wp:docPr id="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122CDE04" w14:textId="77777777" w:rsidR="009241EC" w:rsidRDefault="009241EC" w:rsidP="00D820A9">
                            <w:pPr>
                              <w:shd w:val="clear" w:color="auto" w:fill="DAEEF3" w:themeFill="accent5" w:themeFillTint="33"/>
                              <w:spacing w:after="120"/>
                              <w:rPr>
                                <w:b/>
                              </w:rPr>
                            </w:pPr>
                            <w:r>
                              <w:rPr>
                                <w:b/>
                              </w:rPr>
                              <w:t>Key points</w:t>
                            </w:r>
                          </w:p>
                          <w:p w14:paraId="5E4DF3D4" w14:textId="3E1A9A2C"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 xml:space="preserve">The Anti-Dumping Commission has prepared this report to assist the Commissioner of the Anti-Dumping Commission (the Commissioner) in preparing his response to a request by the Minister for Industry, Innovation and Science and the Assistant Minister for Industry, Innovation and Science for an economic analysis of Asian steel and aluminium markets and the implications for the administration of Australia’s anti-dumping system. </w:t>
                            </w:r>
                          </w:p>
                          <w:p w14:paraId="6F8FE494" w14:textId="2C380978" w:rsidR="009241EC" w:rsidRPr="00545318" w:rsidRDefault="009241EC" w:rsidP="00F176D8">
                            <w:pPr>
                              <w:pStyle w:val="ListParagraph"/>
                              <w:numPr>
                                <w:ilvl w:val="0"/>
                                <w:numId w:val="2"/>
                              </w:numPr>
                              <w:shd w:val="clear" w:color="auto" w:fill="DAEEF3" w:themeFill="accent5" w:themeFillTint="33"/>
                              <w:spacing w:after="120"/>
                              <w:contextualSpacing w:val="0"/>
                            </w:pPr>
                            <w:r w:rsidRPr="00545318">
                              <w:t xml:space="preserve">This report is an update of the market analysis undertaken by the Commission in early 2016 in response to a request by the Commissioner. </w:t>
                            </w:r>
                          </w:p>
                          <w:p w14:paraId="7E40F66D" w14:textId="77777777"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 xml:space="preserve">The Commission has identified evidence of government interventions and trade restrictions that influence market behaviours and decision-making by producers in Asian steel and aluminium markets in ways that diverge from competitive market behaviours and commercial decisions. </w:t>
                            </w:r>
                          </w:p>
                          <w:p w14:paraId="1D3AACC2" w14:textId="77777777"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The Commission’s analysis supports a finding that the impacts of economically inefficient market interventions in Asia have amplified, and are likely to have extended the duration of, the current cyclical global downturn and the resulting difficult operating conditions faced by the Australian steel and aluminium industries.</w:t>
                            </w:r>
                          </w:p>
                          <w:p w14:paraId="6F025D60" w14:textId="77777777"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Such interventions have the potential to cause material injury to the Australian industries through dumping and subsidisation. It is important therefore that the Australian trade remedies system is as effective and efficient as possible to ensure that Australian industries can compete on a level playing field.</w:t>
                            </w:r>
                          </w:p>
                          <w:p w14:paraId="48C50FFB" w14:textId="25CEB5C0"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While Australia’s anti-dumping system is generally effective in addressing proven cases of dumping and subsidisation, the Commission is committed to a process of continuous improvement to ensure that its administration of the system remains fit for purpose and reflects international best practice. The Commission will continue to consult with Australian industry and other stakeholders to identify ways in which it can improve the efficiency of the Commission’s investigations and anti-circumvention inquiries and the effectiveness of measures.</w:t>
                            </w:r>
                          </w:p>
                          <w:p w14:paraId="1F87577E" w14:textId="426D0B2F"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The Commission will also continue to work with other government agencies, particularly the Department of Immigration and Border Protection</w:t>
                            </w:r>
                            <w:r>
                              <w:t xml:space="preserve"> (DIBP)</w:t>
                            </w:r>
                            <w:r w:rsidRPr="00545318">
                              <w:t>, to ensure a strong whole-of-government approach to implementing trade remedies, including compliance.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CBC79C" id="Text Box 23" o:spid="_x0000_s1027" type="#_x0000_t202" style="position:absolute;left:0;text-align:left;margin-left:0;margin-top:0;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" fillcolor="#daeef3 [664]" strokeweight=".5pt">
                <v:textbox style="mso-fit-shape-to-text:t">
                  <w:txbxContent>
                    <w:p w14:paraId="122CDE04" w14:textId="77777777" w:rsidR="009241EC" w:rsidRDefault="009241EC" w:rsidP="00D820A9">
                      <w:pPr>
                        <w:shd w:val="clear" w:color="auto" w:fill="DAEEF3" w:themeFill="accent5" w:themeFillTint="33"/>
                        <w:spacing w:after="120"/>
                        <w:rPr>
                          <w:b/>
                        </w:rPr>
                      </w:pPr>
                      <w:r>
                        <w:rPr>
                          <w:b/>
                        </w:rPr>
                        <w:t>Key points</w:t>
                      </w:r>
                    </w:p>
                    <w:p w14:paraId="5E4DF3D4" w14:textId="3E1A9A2C"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 xml:space="preserve">The Anti-Dumping Commission has prepared this report to assist the Commissioner of the Anti-Dumping Commission (the Commissioner) in preparing his response to a request by the Minister for Industry, Innovation and Science and the Assistant Minister for Industry, Innovation and Science for an economic analysis of Asian steel and aluminium markets and the implications for the administration of Australia’s anti-dumping system. </w:t>
                      </w:r>
                    </w:p>
                    <w:p w14:paraId="6F8FE494" w14:textId="2C380978" w:rsidR="009241EC" w:rsidRPr="00545318" w:rsidRDefault="009241EC" w:rsidP="00F176D8">
                      <w:pPr>
                        <w:pStyle w:val="ListParagraph"/>
                        <w:numPr>
                          <w:ilvl w:val="0"/>
                          <w:numId w:val="2"/>
                        </w:numPr>
                        <w:shd w:val="clear" w:color="auto" w:fill="DAEEF3" w:themeFill="accent5" w:themeFillTint="33"/>
                        <w:spacing w:after="120"/>
                        <w:contextualSpacing w:val="0"/>
                      </w:pPr>
                      <w:r w:rsidRPr="00545318">
                        <w:t xml:space="preserve">This report is an update of the market analysis undertaken by the Commission in early 2016 in response to a request by the Commissioner. </w:t>
                      </w:r>
                    </w:p>
                    <w:p w14:paraId="7E40F66D" w14:textId="77777777"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 xml:space="preserve">The Commission has identified evidence of government interventions and trade restrictions that influence market behaviours and decision-making by producers in Asian steel and aluminium markets in ways that diverge from competitive market behaviours and commercial decisions. </w:t>
                      </w:r>
                    </w:p>
                    <w:p w14:paraId="1D3AACC2" w14:textId="77777777" w:rsidR="009241EC" w:rsidRPr="00545318" w:rsidRDefault="009241EC" w:rsidP="00D820A9">
                      <w:pPr>
                        <w:pStyle w:val="ListParagraph"/>
                        <w:numPr>
                          <w:ilvl w:val="0"/>
                          <w:numId w:val="2"/>
                        </w:numPr>
                        <w:shd w:val="clear" w:color="auto" w:fill="DAEEF3" w:themeFill="accent5" w:themeFillTint="33"/>
                        <w:spacing w:after="120"/>
                        <w:contextualSpacing w:val="0"/>
                      </w:pPr>
                      <w:r w:rsidRPr="00545318">
                        <w:t>The Commission’s analysis supports a finding that the impacts of economically inefficient market interventions in Asia have amplified, and are likely to have extended the duration of, the current cyclical global downturn and the resulting difficult operating conditions faced by the Australian steel and aluminium industries.</w:t>
                      </w:r>
                    </w:p>
                    <w:p w14:paraId="6F025D60" w14:textId="77777777"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Such interventions have the potential to cause material injury to the Australian industries through dumping and subsidisation. It is important therefore that the Australian trade remedies system is as effective and efficient as possible to ensure that Australian industries can compete on a level playing field.</w:t>
                      </w:r>
                    </w:p>
                    <w:p w14:paraId="48C50FFB" w14:textId="25CEB5C0"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While Australia’s anti-dumping system is generally effective in addressing proven cases of dumping and subsidisation, the Commission is committed to a process of continuous improvement to ensure that its administration of the system remains fit for purpose and reflects international best practice. The Commission will continue to consult with Australian industry and other stakeholders to identify ways in which it can improve the efficiency of the Commission’s investigations and anti-circumvention inquiries and the effectiveness of measures.</w:t>
                      </w:r>
                    </w:p>
                    <w:p w14:paraId="1F87577E" w14:textId="426D0B2F" w:rsidR="009241EC" w:rsidRPr="00545318" w:rsidRDefault="009241EC" w:rsidP="00FD0308">
                      <w:pPr>
                        <w:pStyle w:val="ListParagraph"/>
                        <w:numPr>
                          <w:ilvl w:val="0"/>
                          <w:numId w:val="2"/>
                        </w:numPr>
                        <w:shd w:val="clear" w:color="auto" w:fill="DAEEF3" w:themeFill="accent5" w:themeFillTint="33"/>
                        <w:spacing w:after="120"/>
                        <w:contextualSpacing w:val="0"/>
                      </w:pPr>
                      <w:r w:rsidRPr="00545318">
                        <w:t>The Commission will also continue to work with other government agencies, particularly the Department of Immigration and Border Protection</w:t>
                      </w:r>
                      <w:r>
                        <w:t xml:space="preserve"> (DIBP)</w:t>
                      </w:r>
                      <w:r w:rsidRPr="00545318">
                        <w:t>, to ensure a strong whole-of-government approach to implementing trade remedies, including compliance.</w:t>
                      </w:r>
                    </w:p>
                  </w:txbxContent>
                </v:textbox>
                <w10:wrap type="square"/>
              </v:shape>
            </w:pict>
          </mc:Fallback>
        </mc:AlternateContent>
      </w:r>
      <w:r w:rsidR="000161FD" w:rsidRPr="00545318">
        <w:t xml:space="preserve">The </w:t>
      </w:r>
      <w:r w:rsidR="00FD0308" w:rsidRPr="00545318">
        <w:t>Commission’s purpose in preparing</w:t>
      </w:r>
      <w:r w:rsidR="000161FD" w:rsidRPr="00545318">
        <w:t xml:space="preserve"> this </w:t>
      </w:r>
      <w:r w:rsidR="00FD0308" w:rsidRPr="00545318">
        <w:t xml:space="preserve">market </w:t>
      </w:r>
      <w:r w:rsidR="000161FD" w:rsidRPr="00545318">
        <w:t>analysis</w:t>
      </w:r>
      <w:bookmarkEnd w:id="3"/>
      <w:bookmarkEnd w:id="4"/>
    </w:p>
    <w:p w14:paraId="141EA54F" w14:textId="77777777" w:rsidR="003F3481" w:rsidRPr="00545318" w:rsidRDefault="000161FD" w:rsidP="000161FD">
      <w:pPr>
        <w:spacing w:before="120" w:after="120"/>
      </w:pPr>
      <w:r w:rsidRPr="00545318">
        <w:t xml:space="preserve">On 17 February 2016, the </w:t>
      </w:r>
      <w:r w:rsidR="00FD0308" w:rsidRPr="00545318">
        <w:t xml:space="preserve">then </w:t>
      </w:r>
      <w:r w:rsidRPr="00545318">
        <w:t xml:space="preserve">Minister for Industry, Innovation and Science wrote to the Commissioner of the Anti-Dumping Commission and asked him to undertake an economic analysis of Asian steel and aluminium markets and the impact of global overcapacity and market distortions on the growth and viability of the Australian steel and aluminium sector. </w:t>
      </w:r>
      <w:r w:rsidR="003F3481" w:rsidRPr="00545318">
        <w:t>The Minister asked that the Commissioner’s analysis be conducted through the Anti-Dumping Information Service (ADIS) within the Commission, with assistance from other areas in the Minister’s department.</w:t>
      </w:r>
    </w:p>
    <w:p w14:paraId="76B8800B" w14:textId="2C025525" w:rsidR="00FD0308" w:rsidRPr="00545318" w:rsidRDefault="000161FD" w:rsidP="00374264">
      <w:pPr>
        <w:spacing w:before="120" w:after="120"/>
      </w:pPr>
      <w:r w:rsidRPr="00545318">
        <w:t>The Commissioner was asked to provide a brief to the Minister by 4 April 2016</w:t>
      </w:r>
      <w:r w:rsidR="00FD0308" w:rsidRPr="00545318">
        <w:t xml:space="preserve"> that identified </w:t>
      </w:r>
      <w:r w:rsidRPr="00545318">
        <w:t>trends in dumping and circumvention behavio</w:t>
      </w:r>
      <w:r w:rsidR="005038AE" w:rsidRPr="00545318">
        <w:t>u</w:t>
      </w:r>
      <w:r w:rsidRPr="00545318">
        <w:t>r in steel and aluminium markets</w:t>
      </w:r>
      <w:r w:rsidR="00FD0308" w:rsidRPr="00545318">
        <w:t xml:space="preserve">, and options for </w:t>
      </w:r>
      <w:r w:rsidRPr="00545318">
        <w:t>improv</w:t>
      </w:r>
      <w:r w:rsidR="00FD0308" w:rsidRPr="00545318">
        <w:t xml:space="preserve">ing </w:t>
      </w:r>
      <w:r w:rsidRPr="00545318">
        <w:t>the efficiency of investigations of potential dumping and circumvention and</w:t>
      </w:r>
      <w:r w:rsidR="00FD0308" w:rsidRPr="00545318">
        <w:t xml:space="preserve"> effectiveness of the form of measures.</w:t>
      </w:r>
      <w:r w:rsidR="005609C8" w:rsidRPr="00545318">
        <w:t xml:space="preserve"> </w:t>
      </w:r>
      <w:r w:rsidR="00FD0308" w:rsidRPr="00545318">
        <w:t xml:space="preserve">On 4 April 2016, the Commissioner provided a report to the then Minister </w:t>
      </w:r>
      <w:r w:rsidR="005609C8" w:rsidRPr="00545318">
        <w:t>in response to his request.</w:t>
      </w:r>
      <w:r w:rsidR="00FD0308" w:rsidRPr="00545318">
        <w:t xml:space="preserve"> </w:t>
      </w:r>
    </w:p>
    <w:p w14:paraId="0E8F25D6" w14:textId="77777777" w:rsidR="00044CD6" w:rsidRPr="00545318" w:rsidRDefault="005609C8" w:rsidP="00374264">
      <w:pPr>
        <w:spacing w:before="120" w:after="120"/>
      </w:pPr>
      <w:r w:rsidRPr="00545318">
        <w:t xml:space="preserve">On 2 August 2016, the </w:t>
      </w:r>
      <w:r w:rsidR="004B53A9" w:rsidRPr="00545318">
        <w:t xml:space="preserve">Minister for Industry, Innovation and Science, the Hon. Greg Hunt MP, and the </w:t>
      </w:r>
      <w:r w:rsidRPr="00545318">
        <w:t>Assistant Minister for Industry, Innovation and Science, the Hon. Craig Laundy MP, asked the Commissioner to prepare a new report on global steel and aluminium markets, taking into account recent developments in th</w:t>
      </w:r>
      <w:r w:rsidR="004044BA" w:rsidRPr="00545318">
        <w:t>o</w:t>
      </w:r>
      <w:r w:rsidRPr="00545318">
        <w:t>se markets. The Minister</w:t>
      </w:r>
      <w:r w:rsidR="004B53A9" w:rsidRPr="00545318">
        <w:t>s</w:t>
      </w:r>
      <w:r w:rsidRPr="00545318">
        <w:t xml:space="preserve"> directed that the report should inform </w:t>
      </w:r>
      <w:r w:rsidR="004B53A9" w:rsidRPr="00545318">
        <w:t>them</w:t>
      </w:r>
      <w:r w:rsidRPr="00545318">
        <w:t xml:space="preserve"> about the current state of steel and aluminium markets, particularly in Asia, and recent</w:t>
      </w:r>
      <w:r w:rsidR="007F5549" w:rsidRPr="00545318">
        <w:t xml:space="preserve"> high-level</w:t>
      </w:r>
      <w:r w:rsidRPr="00545318">
        <w:t xml:space="preserve"> international discussions and </w:t>
      </w:r>
      <w:r w:rsidR="007F5549" w:rsidRPr="00545318">
        <w:t>analyses of</w:t>
      </w:r>
      <w:r w:rsidRPr="00545318">
        <w:t xml:space="preserve"> trading conditions in th</w:t>
      </w:r>
      <w:r w:rsidR="00044CD6" w:rsidRPr="00545318">
        <w:t>o</w:t>
      </w:r>
      <w:r w:rsidRPr="00545318">
        <w:t xml:space="preserve">se markets. </w:t>
      </w:r>
    </w:p>
    <w:p w14:paraId="1F15169E" w14:textId="43A52214" w:rsidR="005609C8" w:rsidRPr="00545318" w:rsidRDefault="005609C8" w:rsidP="00374264">
      <w:pPr>
        <w:spacing w:before="120" w:after="120"/>
      </w:pPr>
      <w:r w:rsidRPr="00545318">
        <w:t>The Minister</w:t>
      </w:r>
      <w:r w:rsidR="004B53A9" w:rsidRPr="00545318">
        <w:t>s</w:t>
      </w:r>
      <w:r w:rsidRPr="00545318">
        <w:t xml:space="preserve"> asked that the Commissioner brief </w:t>
      </w:r>
      <w:r w:rsidR="004B53A9" w:rsidRPr="00545318">
        <w:t>them</w:t>
      </w:r>
      <w:r w:rsidRPr="00545318">
        <w:t xml:space="preserve"> on implications for the administration of Australia’s anti-dumping system, using the information and evidence presented in the report as well as the Commissioner’s own </w:t>
      </w:r>
      <w:r w:rsidR="007F5549" w:rsidRPr="00545318">
        <w:t xml:space="preserve">expertise and </w:t>
      </w:r>
      <w:r w:rsidRPr="00545318">
        <w:t xml:space="preserve">experience in administering the system. </w:t>
      </w:r>
      <w:r w:rsidR="007F5549" w:rsidRPr="00545318">
        <w:t>The Minister</w:t>
      </w:r>
      <w:r w:rsidR="004B53A9" w:rsidRPr="00545318">
        <w:t>s</w:t>
      </w:r>
      <w:r w:rsidR="007F5549" w:rsidRPr="00545318">
        <w:t xml:space="preserve"> asked that the Commissioner </w:t>
      </w:r>
      <w:r w:rsidR="00044CD6" w:rsidRPr="00545318">
        <w:t>complete</w:t>
      </w:r>
      <w:r w:rsidR="007F5549" w:rsidRPr="00545318">
        <w:t xml:space="preserve"> the report by 31 August 2016.</w:t>
      </w:r>
    </w:p>
    <w:p w14:paraId="07115F2D" w14:textId="54983330" w:rsidR="00374264" w:rsidRPr="00545318" w:rsidRDefault="00374264" w:rsidP="00374264">
      <w:pPr>
        <w:spacing w:before="120" w:after="120"/>
      </w:pPr>
      <w:r w:rsidRPr="00545318">
        <w:t>The Commissioner directed the Commission to prepare this report to assist him in preparing his response to the Ministers</w:t>
      </w:r>
      <w:r w:rsidR="004B53A9" w:rsidRPr="00545318">
        <w:t>’</w:t>
      </w:r>
      <w:r w:rsidRPr="00545318">
        <w:t xml:space="preserve"> request.</w:t>
      </w:r>
      <w:r w:rsidR="00044CD6" w:rsidRPr="00545318">
        <w:t xml:space="preserve"> In preparing this report, the Commission has updated its analysis of steel and aluminium markets prepared for the Commissioner in early 2016. </w:t>
      </w:r>
    </w:p>
    <w:p w14:paraId="407D0888" w14:textId="77777777" w:rsidR="007C0CAC" w:rsidRPr="00545318" w:rsidRDefault="007C0CAC" w:rsidP="000161FD">
      <w:pPr>
        <w:pStyle w:val="Heading2"/>
      </w:pPr>
      <w:bookmarkStart w:id="5" w:name="_Toc458674144"/>
      <w:bookmarkStart w:id="6" w:name="_Toc460430474"/>
      <w:r w:rsidRPr="00545318">
        <w:t>Government’s policy context</w:t>
      </w:r>
      <w:bookmarkEnd w:id="5"/>
      <w:bookmarkEnd w:id="6"/>
    </w:p>
    <w:p w14:paraId="17BD1250" w14:textId="7A1518C1" w:rsidR="002740DD" w:rsidRPr="00545318" w:rsidRDefault="003D532B" w:rsidP="007C0CAC">
      <w:pPr>
        <w:spacing w:before="120" w:after="120"/>
      </w:pPr>
      <w:r w:rsidRPr="00545318">
        <w:t xml:space="preserve">Australia’s trade remedies system operates within the context of the government’s </w:t>
      </w:r>
      <w:r w:rsidR="000F2257" w:rsidRPr="00545318">
        <w:t xml:space="preserve">overall economic strategy to </w:t>
      </w:r>
      <w:r w:rsidR="004044BA" w:rsidRPr="00545318">
        <w:t>promote</w:t>
      </w:r>
      <w:r w:rsidR="000F2257" w:rsidRPr="00545318">
        <w:t xml:space="preserve"> business growth, employment and global competitiveness. The </w:t>
      </w:r>
      <w:r w:rsidR="00015153" w:rsidRPr="00545318">
        <w:t>g</w:t>
      </w:r>
      <w:r w:rsidR="000F2257" w:rsidRPr="00545318">
        <w:t xml:space="preserve">overnment’s National Innovation and Science Agenda </w:t>
      </w:r>
      <w:r w:rsidR="00044CD6" w:rsidRPr="00545318">
        <w:t>and</w:t>
      </w:r>
      <w:r w:rsidR="00015153" w:rsidRPr="00545318">
        <w:t xml:space="preserve"> </w:t>
      </w:r>
      <w:r w:rsidR="000F2257" w:rsidRPr="00545318">
        <w:t xml:space="preserve">Industry Innovation and Competitiveness Agenda </w:t>
      </w:r>
      <w:r w:rsidRPr="00545318">
        <w:t>support the implementation of the government’s o</w:t>
      </w:r>
      <w:r w:rsidR="007C0CAC" w:rsidRPr="00545318">
        <w:t xml:space="preserve">bjectives </w:t>
      </w:r>
      <w:r w:rsidRPr="00545318">
        <w:t>of transitioning businesses to areas of competitive advantage and facilitating innovation and growth.</w:t>
      </w:r>
      <w:r w:rsidR="007C0CAC" w:rsidRPr="00545318">
        <w:t xml:space="preserve"> </w:t>
      </w:r>
    </w:p>
    <w:p w14:paraId="4B7456C9" w14:textId="77777777" w:rsidR="002740DD" w:rsidRPr="00545318" w:rsidRDefault="003D532B" w:rsidP="007C0CAC">
      <w:pPr>
        <w:spacing w:before="120" w:after="120"/>
      </w:pPr>
      <w:r w:rsidRPr="00545318">
        <w:t>The</w:t>
      </w:r>
      <w:r w:rsidR="00015153" w:rsidRPr="00545318">
        <w:t>se</w:t>
      </w:r>
      <w:r w:rsidRPr="00545318">
        <w:t xml:space="preserve"> Agendas</w:t>
      </w:r>
      <w:r w:rsidR="00015153" w:rsidRPr="00545318">
        <w:t xml:space="preserve"> are</w:t>
      </w:r>
      <w:r w:rsidRPr="00545318">
        <w:t xml:space="preserve"> implemented through a whole of government approach which ensures </w:t>
      </w:r>
      <w:r w:rsidR="002740DD" w:rsidRPr="00545318">
        <w:t xml:space="preserve">coordination of policies </w:t>
      </w:r>
      <w:r w:rsidRPr="00545318">
        <w:t>to achiev</w:t>
      </w:r>
      <w:r w:rsidR="002740DD" w:rsidRPr="00545318">
        <w:t>e</w:t>
      </w:r>
      <w:r w:rsidRPr="00545318">
        <w:t xml:space="preserve"> the government’s objectives. </w:t>
      </w:r>
    </w:p>
    <w:p w14:paraId="4932410C" w14:textId="77777777" w:rsidR="007C0CAC" w:rsidRPr="00545318" w:rsidRDefault="002740DD" w:rsidP="007C0CAC">
      <w:pPr>
        <w:spacing w:before="120" w:after="120"/>
      </w:pPr>
      <w:r w:rsidRPr="00545318">
        <w:t>Industry policy has an important role in contributing to the</w:t>
      </w:r>
      <w:r w:rsidR="003257F1" w:rsidRPr="00545318">
        <w:t>se</w:t>
      </w:r>
      <w:r w:rsidRPr="00545318">
        <w:t xml:space="preserve"> Agenda</w:t>
      </w:r>
      <w:r w:rsidR="003257F1" w:rsidRPr="00545318">
        <w:t>s</w:t>
      </w:r>
      <w:r w:rsidRPr="00545318">
        <w:t xml:space="preserve"> by enabling g</w:t>
      </w:r>
      <w:r w:rsidR="003D532B" w:rsidRPr="00545318">
        <w:t xml:space="preserve">rowth and </w:t>
      </w:r>
      <w:r w:rsidR="007C0CAC" w:rsidRPr="00545318">
        <w:t>productivity</w:t>
      </w:r>
      <w:r w:rsidR="003D532B" w:rsidRPr="00545318">
        <w:t xml:space="preserve"> for globally</w:t>
      </w:r>
      <w:r w:rsidR="007C0CAC" w:rsidRPr="00545318">
        <w:t xml:space="preserve"> competitive</w:t>
      </w:r>
      <w:r w:rsidR="003D532B" w:rsidRPr="00545318">
        <w:t xml:space="preserve"> industries</w:t>
      </w:r>
      <w:r w:rsidRPr="00545318">
        <w:t xml:space="preserve"> through a range of policy actions. </w:t>
      </w:r>
    </w:p>
    <w:p w14:paraId="27F65602" w14:textId="77777777" w:rsidR="007C0CAC" w:rsidRPr="00545318" w:rsidRDefault="007C0CAC" w:rsidP="007C0CAC">
      <w:pPr>
        <w:spacing w:before="120" w:after="120"/>
      </w:pPr>
      <w:r w:rsidRPr="00545318">
        <w:t>T</w:t>
      </w:r>
      <w:r w:rsidR="002740DD" w:rsidRPr="00545318">
        <w:t>he government’s policy actions in support of t</w:t>
      </w:r>
      <w:r w:rsidRPr="00545318">
        <w:t>rade liberalisation</w:t>
      </w:r>
      <w:r w:rsidR="002740DD" w:rsidRPr="00545318">
        <w:t xml:space="preserve"> and more </w:t>
      </w:r>
      <w:r w:rsidRPr="00545318">
        <w:t xml:space="preserve">open </w:t>
      </w:r>
      <w:r w:rsidR="002740DD" w:rsidRPr="00545318">
        <w:t xml:space="preserve">global </w:t>
      </w:r>
      <w:r w:rsidRPr="00545318">
        <w:t xml:space="preserve">markets, </w:t>
      </w:r>
      <w:r w:rsidR="002740DD" w:rsidRPr="00545318">
        <w:t>such as through free trade agreement</w:t>
      </w:r>
      <w:r w:rsidRPr="00545318">
        <w:t>s</w:t>
      </w:r>
      <w:r w:rsidR="002740DD" w:rsidRPr="00545318">
        <w:t xml:space="preserve"> with Australia’s trading partners, also play a key role in supporting the government’s Agenda</w:t>
      </w:r>
      <w:r w:rsidR="003257F1" w:rsidRPr="00545318">
        <w:t>s</w:t>
      </w:r>
      <w:r w:rsidR="002740DD" w:rsidRPr="00545318">
        <w:t xml:space="preserve">. </w:t>
      </w:r>
    </w:p>
    <w:p w14:paraId="304E4CBD" w14:textId="77777777" w:rsidR="003D532B" w:rsidRPr="00545318" w:rsidRDefault="003D532B" w:rsidP="002740DD">
      <w:pPr>
        <w:spacing w:before="120" w:after="120"/>
      </w:pPr>
      <w:r w:rsidRPr="00545318">
        <w:t xml:space="preserve">Australia’s trade remedies </w:t>
      </w:r>
      <w:r w:rsidR="00277CF1" w:rsidRPr="00545318">
        <w:t>system</w:t>
      </w:r>
      <w:r w:rsidRPr="00545318">
        <w:t xml:space="preserve"> operates within the framework established by </w:t>
      </w:r>
      <w:r w:rsidR="003257F1" w:rsidRPr="00545318">
        <w:t xml:space="preserve">the </w:t>
      </w:r>
      <w:r w:rsidR="00277CF1" w:rsidRPr="00545318">
        <w:t>World Trade Organi</w:t>
      </w:r>
      <w:r w:rsidR="006D5AD8" w:rsidRPr="00545318">
        <w:t>z</w:t>
      </w:r>
      <w:r w:rsidR="00277CF1" w:rsidRPr="00545318">
        <w:t>ation (</w:t>
      </w:r>
      <w:r w:rsidRPr="00545318">
        <w:t>WTO</w:t>
      </w:r>
      <w:r w:rsidR="00277CF1" w:rsidRPr="00545318">
        <w:t>)</w:t>
      </w:r>
      <w:r w:rsidR="003257F1" w:rsidRPr="00545318">
        <w:t>. This framework</w:t>
      </w:r>
      <w:r w:rsidRPr="00545318">
        <w:t xml:space="preserve"> forms an integral element of a free and open global trading system. Most developed countries and many developing countries also operate trade remedies regimes.</w:t>
      </w:r>
    </w:p>
    <w:p w14:paraId="09C849F1" w14:textId="77777777" w:rsidR="00261C49" w:rsidRPr="00545318" w:rsidRDefault="00277CF1" w:rsidP="002740DD">
      <w:pPr>
        <w:spacing w:before="120" w:after="120"/>
      </w:pPr>
      <w:r w:rsidRPr="00545318">
        <w:t xml:space="preserve">The purpose of </w:t>
      </w:r>
      <w:r w:rsidR="003D532B" w:rsidRPr="00545318">
        <w:t xml:space="preserve">Australia’s trade remedies </w:t>
      </w:r>
      <w:r w:rsidRPr="00545318">
        <w:t>system is to</w:t>
      </w:r>
      <w:r w:rsidR="003D532B" w:rsidRPr="00545318">
        <w:t xml:space="preserve"> </w:t>
      </w:r>
      <w:r w:rsidR="006D5AD8" w:rsidRPr="00545318">
        <w:t xml:space="preserve">remedy </w:t>
      </w:r>
      <w:r w:rsidR="003257F1" w:rsidRPr="00545318">
        <w:t>material</w:t>
      </w:r>
      <w:r w:rsidR="006D5AD8" w:rsidRPr="00545318">
        <w:t xml:space="preserve"> injury caused to Australian industries by dumped and subsidised imports and </w:t>
      </w:r>
      <w:r w:rsidRPr="00545318">
        <w:t>give</w:t>
      </w:r>
      <w:r w:rsidR="003D532B" w:rsidRPr="00545318">
        <w:t xml:space="preserve"> Australian industr</w:t>
      </w:r>
      <w:r w:rsidRPr="00545318">
        <w:t>ies the opportunity</w:t>
      </w:r>
      <w:r w:rsidR="003D532B" w:rsidRPr="00545318">
        <w:t xml:space="preserve"> </w:t>
      </w:r>
      <w:r w:rsidRPr="00545318">
        <w:t xml:space="preserve">to </w:t>
      </w:r>
      <w:r w:rsidR="003D532B" w:rsidRPr="00545318">
        <w:t>compete with imports on a level playing field.</w:t>
      </w:r>
      <w:r w:rsidRPr="00545318">
        <w:t xml:space="preserve"> </w:t>
      </w:r>
      <w:r w:rsidR="004A6AD6" w:rsidRPr="00545318">
        <w:t>This does not mean that the system does, or should, have the effect of shielding Australian industries from vigorous competition. Strong competitive pressures give industries incentives to continually improve their productivity performance and strive to best meet their customers’ needs.</w:t>
      </w:r>
      <w:r w:rsidR="00044CD6" w:rsidRPr="00545318">
        <w:t xml:space="preserve"> </w:t>
      </w:r>
    </w:p>
    <w:p w14:paraId="46E2C979" w14:textId="2B3662FD" w:rsidR="004A6AD6" w:rsidRPr="00545318" w:rsidRDefault="00044CD6" w:rsidP="002740DD">
      <w:pPr>
        <w:spacing w:before="120" w:after="120"/>
      </w:pPr>
      <w:r w:rsidRPr="00545318">
        <w:t xml:space="preserve">The system includes a number of checks and balances to ensure that trade remedies are limited to remedying the material injury caused by </w:t>
      </w:r>
      <w:r w:rsidR="008C46C7" w:rsidRPr="00545318">
        <w:t>dump</w:t>
      </w:r>
      <w:r w:rsidR="005E46FE" w:rsidRPr="00545318">
        <w:t>ed</w:t>
      </w:r>
      <w:r w:rsidR="008C46C7" w:rsidRPr="00545318">
        <w:t xml:space="preserve"> and subsidis</w:t>
      </w:r>
      <w:r w:rsidR="005E46FE" w:rsidRPr="00545318">
        <w:t>ed imports</w:t>
      </w:r>
      <w:r w:rsidR="00261C49" w:rsidRPr="00545318">
        <w:t>.</w:t>
      </w:r>
      <w:r w:rsidR="008C46C7" w:rsidRPr="00545318">
        <w:t xml:space="preserve"> </w:t>
      </w:r>
      <w:r w:rsidR="005B55FE" w:rsidRPr="00545318">
        <w:t>These include e</w:t>
      </w:r>
      <w:r w:rsidR="009E1255" w:rsidRPr="00545318">
        <w:t>nsuring that the</w:t>
      </w:r>
      <w:r w:rsidR="008C46C7" w:rsidRPr="00545318">
        <w:t xml:space="preserve"> </w:t>
      </w:r>
      <w:r w:rsidR="00261C49" w:rsidRPr="00545318">
        <w:t xml:space="preserve">Commission’s operational policies and practices are consistent with </w:t>
      </w:r>
      <w:r w:rsidR="009E1255" w:rsidRPr="00545318">
        <w:t>the WTO framework.</w:t>
      </w:r>
    </w:p>
    <w:p w14:paraId="0558067F" w14:textId="77777777" w:rsidR="000161FD" w:rsidRPr="00545318" w:rsidRDefault="000161FD" w:rsidP="000161FD">
      <w:pPr>
        <w:pStyle w:val="Heading2"/>
      </w:pPr>
      <w:bookmarkStart w:id="7" w:name="_Toc458674145"/>
      <w:bookmarkStart w:id="8" w:name="_Toc460430475"/>
      <w:r w:rsidRPr="00545318">
        <w:t>Key findings</w:t>
      </w:r>
      <w:bookmarkEnd w:id="7"/>
      <w:bookmarkEnd w:id="8"/>
      <w:r w:rsidRPr="00545318">
        <w:t xml:space="preserve"> </w:t>
      </w:r>
    </w:p>
    <w:p w14:paraId="1CFDD9F4" w14:textId="77777777" w:rsidR="006434A9" w:rsidRPr="00545318" w:rsidRDefault="000161FD" w:rsidP="000161FD">
      <w:pPr>
        <w:spacing w:before="120" w:after="120"/>
      </w:pPr>
      <w:r w:rsidRPr="00545318">
        <w:t>The Commission’s analysis has found evidence of</w:t>
      </w:r>
      <w:r w:rsidR="007C0CAC" w:rsidRPr="00545318">
        <w:t xml:space="preserve"> </w:t>
      </w:r>
      <w:r w:rsidR="00B439C8" w:rsidRPr="00545318">
        <w:t>market</w:t>
      </w:r>
      <w:r w:rsidR="007C0CAC" w:rsidRPr="00545318">
        <w:t xml:space="preserve"> </w:t>
      </w:r>
      <w:r w:rsidR="007826AC" w:rsidRPr="00545318">
        <w:t>interventions</w:t>
      </w:r>
      <w:r w:rsidR="006D5AD8" w:rsidRPr="00545318">
        <w:t xml:space="preserve"> and trade restrictions</w:t>
      </w:r>
      <w:r w:rsidR="007C0CAC" w:rsidRPr="00545318">
        <w:t xml:space="preserve"> that influence market behaviours and decision-making by </w:t>
      </w:r>
      <w:r w:rsidRPr="00545318">
        <w:t xml:space="preserve">Asian steel and aluminium </w:t>
      </w:r>
      <w:r w:rsidR="003F3481" w:rsidRPr="00545318">
        <w:t>producers</w:t>
      </w:r>
      <w:r w:rsidR="007C0CAC" w:rsidRPr="00545318">
        <w:t xml:space="preserve"> in ways that diverge from competitive market behaviours and </w:t>
      </w:r>
      <w:r w:rsidR="00B439C8" w:rsidRPr="00545318">
        <w:t xml:space="preserve">normal </w:t>
      </w:r>
      <w:r w:rsidR="007C0CAC" w:rsidRPr="00545318">
        <w:t>commercial decisions</w:t>
      </w:r>
      <w:r w:rsidR="00667847" w:rsidRPr="00545318">
        <w:t xml:space="preserve"> (</w:t>
      </w:r>
      <w:r w:rsidR="0021659E" w:rsidRPr="00545318">
        <w:t>set out in</w:t>
      </w:r>
      <w:r w:rsidR="00667847" w:rsidRPr="00545318">
        <w:t xml:space="preserve"> chapter 3 of this report)</w:t>
      </w:r>
      <w:r w:rsidRPr="00545318">
        <w:t xml:space="preserve">. </w:t>
      </w:r>
    </w:p>
    <w:p w14:paraId="519F38BC" w14:textId="2A36290C" w:rsidR="006434A9" w:rsidRPr="00545318" w:rsidRDefault="006434A9" w:rsidP="000161FD">
      <w:pPr>
        <w:spacing w:before="120" w:after="120"/>
      </w:pPr>
      <w:r w:rsidRPr="00545318">
        <w:t>Asian governments are not unusual in intervening in steel and aluminium markets. Many countries</w:t>
      </w:r>
      <w:r w:rsidR="003F3481" w:rsidRPr="00545318">
        <w:t>—</w:t>
      </w:r>
      <w:r w:rsidRPr="00545318">
        <w:t>including</w:t>
      </w:r>
      <w:r w:rsidR="003F3481" w:rsidRPr="00545318">
        <w:t xml:space="preserve"> </w:t>
      </w:r>
      <w:r w:rsidRPr="00545318">
        <w:t>the United States, European countries</w:t>
      </w:r>
      <w:r w:rsidR="00667847" w:rsidRPr="00545318">
        <w:t>,</w:t>
      </w:r>
      <w:r w:rsidRPr="00545318">
        <w:t xml:space="preserve"> </w:t>
      </w:r>
      <w:r w:rsidR="00667847" w:rsidRPr="00545318">
        <w:t>Russia, India</w:t>
      </w:r>
      <w:r w:rsidR="003F3481" w:rsidRPr="00545318">
        <w:t>,</w:t>
      </w:r>
      <w:r w:rsidR="00667847" w:rsidRPr="00545318">
        <w:t xml:space="preserve"> Brazil</w:t>
      </w:r>
      <w:r w:rsidRPr="00545318">
        <w:t xml:space="preserve">, </w:t>
      </w:r>
      <w:r w:rsidR="003F3481" w:rsidRPr="00545318">
        <w:t>and Australia—</w:t>
      </w:r>
      <w:r w:rsidRPr="00545318">
        <w:t>have</w:t>
      </w:r>
      <w:r w:rsidR="003F3481" w:rsidRPr="00545318">
        <w:t xml:space="preserve"> </w:t>
      </w:r>
      <w:r w:rsidRPr="00545318">
        <w:t xml:space="preserve">policies to promote the </w:t>
      </w:r>
      <w:r w:rsidR="001469AD" w:rsidRPr="00545318">
        <w:t xml:space="preserve">growth, viability, </w:t>
      </w:r>
      <w:r w:rsidRPr="00545318">
        <w:t>productivity performance and competitiveness of the</w:t>
      </w:r>
      <w:r w:rsidR="005355AE" w:rsidRPr="00545318">
        <w:t>ir domestic</w:t>
      </w:r>
      <w:r w:rsidRPr="00545318">
        <w:t xml:space="preserve"> industries. Policy responses to the structural adjustment required to address global overcapacity</w:t>
      </w:r>
      <w:r w:rsidR="00F7733D" w:rsidRPr="00545318">
        <w:t>, and to pursue environmental objectives,</w:t>
      </w:r>
      <w:r w:rsidRPr="00545318">
        <w:t xml:space="preserve"> </w:t>
      </w:r>
      <w:r w:rsidR="00F7733D" w:rsidRPr="00545318">
        <w:t>are increasingly being implemented in many</w:t>
      </w:r>
      <w:r w:rsidRPr="00545318">
        <w:t xml:space="preserve"> countries</w:t>
      </w:r>
      <w:r w:rsidR="00F7733D" w:rsidRPr="00545318">
        <w:t>.</w:t>
      </w:r>
    </w:p>
    <w:p w14:paraId="64506EFE" w14:textId="77777777" w:rsidR="000161FD" w:rsidRPr="00545318" w:rsidRDefault="006434A9" w:rsidP="000161FD">
      <w:pPr>
        <w:spacing w:before="120" w:after="120"/>
      </w:pPr>
      <w:r w:rsidRPr="00545318">
        <w:t xml:space="preserve">However, the nature and extent of </w:t>
      </w:r>
      <w:r w:rsidR="008264DF" w:rsidRPr="00545318">
        <w:t>Asian</w:t>
      </w:r>
      <w:r w:rsidR="00137125" w:rsidRPr="00545318">
        <w:t xml:space="preserve"> government </w:t>
      </w:r>
      <w:r w:rsidR="008264DF" w:rsidRPr="00545318">
        <w:t>interventions</w:t>
      </w:r>
      <w:r w:rsidR="00137125" w:rsidRPr="00545318">
        <w:t>,</w:t>
      </w:r>
      <w:r w:rsidR="008264DF" w:rsidRPr="00545318">
        <w:t xml:space="preserve"> </w:t>
      </w:r>
      <w:r w:rsidRPr="00545318">
        <w:t>and the relative magnitude of Chinese production</w:t>
      </w:r>
      <w:r w:rsidR="00137125" w:rsidRPr="00545318">
        <w:t>,</w:t>
      </w:r>
      <w:r w:rsidRPr="00545318">
        <w:t xml:space="preserve"> has meant that </w:t>
      </w:r>
      <w:r w:rsidR="00137125" w:rsidRPr="00545318">
        <w:t>these</w:t>
      </w:r>
      <w:r w:rsidRPr="00545318">
        <w:t xml:space="preserve"> interventions have been major contributing factors</w:t>
      </w:r>
      <w:r w:rsidR="001469AD" w:rsidRPr="00545318">
        <w:t xml:space="preserve">—but </w:t>
      </w:r>
      <w:r w:rsidR="00137125" w:rsidRPr="00545318">
        <w:t>not the only contributors</w:t>
      </w:r>
      <w:r w:rsidR="001469AD" w:rsidRPr="00545318">
        <w:t>—</w:t>
      </w:r>
      <w:r w:rsidRPr="00545318">
        <w:t>to</w:t>
      </w:r>
      <w:r w:rsidR="001469AD" w:rsidRPr="00545318">
        <w:t xml:space="preserve"> </w:t>
      </w:r>
      <w:r w:rsidRPr="00545318">
        <w:t>sustained global overcapacity, ongoing excess production, the build-up of large stockpiles (especially alumin</w:t>
      </w:r>
      <w:r w:rsidR="005038AE" w:rsidRPr="00545318">
        <w:t>i</w:t>
      </w:r>
      <w:r w:rsidRPr="00545318">
        <w:t xml:space="preserve">um), and depressed world prices. </w:t>
      </w:r>
      <w:r w:rsidR="000161FD" w:rsidRPr="00545318">
        <w:t xml:space="preserve">The </w:t>
      </w:r>
      <w:r w:rsidR="00137125" w:rsidRPr="00545318">
        <w:t>main forms of</w:t>
      </w:r>
      <w:r w:rsidR="000161FD" w:rsidRPr="00545318">
        <w:t xml:space="preserve"> assistance to </w:t>
      </w:r>
      <w:r w:rsidR="00327064" w:rsidRPr="00545318">
        <w:t>Asian</w:t>
      </w:r>
      <w:r w:rsidR="00137125" w:rsidRPr="00545318">
        <w:t xml:space="preserve"> steel and aluminium industries</w:t>
      </w:r>
      <w:r w:rsidR="000161FD" w:rsidRPr="00545318">
        <w:t xml:space="preserve"> </w:t>
      </w:r>
      <w:r w:rsidR="00137125" w:rsidRPr="00545318">
        <w:t xml:space="preserve">have </w:t>
      </w:r>
      <w:r w:rsidR="000161FD" w:rsidRPr="00545318">
        <w:t>includ</w:t>
      </w:r>
      <w:r w:rsidR="00137125" w:rsidRPr="00545318">
        <w:t>ed</w:t>
      </w:r>
      <w:r w:rsidR="000161FD" w:rsidRPr="00545318">
        <w:t>:</w:t>
      </w:r>
    </w:p>
    <w:p w14:paraId="7CBEF949" w14:textId="77777777" w:rsidR="000161FD" w:rsidRPr="00545318" w:rsidRDefault="000161FD"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 xml:space="preserve">subsidisation of the costs of inputs used in making steel and aluminium products, such as </w:t>
      </w:r>
      <w:r w:rsidR="0082041A" w:rsidRPr="00545318">
        <w:rPr>
          <w:rFonts w:eastAsia="Calibri"/>
          <w:szCs w:val="24"/>
        </w:rPr>
        <w:t xml:space="preserve">raw materials, </w:t>
      </w:r>
      <w:r w:rsidRPr="00545318">
        <w:rPr>
          <w:rFonts w:eastAsia="Calibri"/>
          <w:szCs w:val="24"/>
        </w:rPr>
        <w:t xml:space="preserve">power, </w:t>
      </w:r>
      <w:r w:rsidR="0082041A" w:rsidRPr="00545318">
        <w:rPr>
          <w:rFonts w:eastAsia="Calibri"/>
          <w:szCs w:val="24"/>
        </w:rPr>
        <w:t xml:space="preserve">and </w:t>
      </w:r>
      <w:r w:rsidRPr="00545318">
        <w:rPr>
          <w:rFonts w:eastAsia="Calibri"/>
          <w:szCs w:val="24"/>
        </w:rPr>
        <w:t xml:space="preserve">land </w:t>
      </w:r>
    </w:p>
    <w:p w14:paraId="456E5EC1" w14:textId="77777777" w:rsidR="000161FD" w:rsidRPr="00545318" w:rsidRDefault="000161FD"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 xml:space="preserve">tax rebates </w:t>
      </w:r>
      <w:r w:rsidR="0082041A" w:rsidRPr="00545318">
        <w:rPr>
          <w:rFonts w:eastAsia="Calibri"/>
          <w:szCs w:val="24"/>
        </w:rPr>
        <w:t>and export taxation arrangements</w:t>
      </w:r>
    </w:p>
    <w:p w14:paraId="3635E80F" w14:textId="77777777" w:rsidR="000161FD" w:rsidRPr="00545318" w:rsidRDefault="000161FD"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sustained support for loss-making state</w:t>
      </w:r>
      <w:r w:rsidR="0082041A" w:rsidRPr="00545318">
        <w:rPr>
          <w:rFonts w:eastAsia="Calibri"/>
          <w:szCs w:val="24"/>
        </w:rPr>
        <w:t>-</w:t>
      </w:r>
      <w:r w:rsidRPr="00545318">
        <w:rPr>
          <w:rFonts w:eastAsia="Calibri"/>
          <w:szCs w:val="24"/>
        </w:rPr>
        <w:t xml:space="preserve">owned enterprises </w:t>
      </w:r>
    </w:p>
    <w:p w14:paraId="4D144809" w14:textId="77777777" w:rsidR="000161FD" w:rsidRPr="00545318" w:rsidRDefault="000161FD"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cheap finance for investment</w:t>
      </w:r>
      <w:r w:rsidR="0082041A" w:rsidRPr="00545318">
        <w:rPr>
          <w:rFonts w:eastAsia="Calibri"/>
          <w:szCs w:val="24"/>
        </w:rPr>
        <w:t>s</w:t>
      </w:r>
      <w:r w:rsidRPr="00545318">
        <w:rPr>
          <w:rFonts w:eastAsia="Calibri"/>
          <w:szCs w:val="24"/>
        </w:rPr>
        <w:t xml:space="preserve"> in steel furnaces and aluminium smelters</w:t>
      </w:r>
    </w:p>
    <w:p w14:paraId="1E1C7124" w14:textId="77777777" w:rsidR="000161FD" w:rsidRPr="00545318" w:rsidRDefault="000161FD" w:rsidP="00EA7443">
      <w:pPr>
        <w:pStyle w:val="ListParagraph"/>
        <w:numPr>
          <w:ilvl w:val="0"/>
          <w:numId w:val="3"/>
        </w:numPr>
        <w:spacing w:before="120" w:after="120"/>
        <w:ind w:left="714" w:hanging="357"/>
        <w:contextualSpacing w:val="0"/>
      </w:pPr>
      <w:r w:rsidRPr="00545318">
        <w:rPr>
          <w:rFonts w:eastAsia="Calibri"/>
          <w:szCs w:val="24"/>
        </w:rPr>
        <w:t xml:space="preserve">financial support to maintain large stockpiles, especially </w:t>
      </w:r>
      <w:r w:rsidR="005A2683" w:rsidRPr="00545318">
        <w:rPr>
          <w:rFonts w:eastAsia="Calibri"/>
          <w:szCs w:val="24"/>
        </w:rPr>
        <w:t>of</w:t>
      </w:r>
      <w:r w:rsidRPr="00545318">
        <w:rPr>
          <w:rFonts w:eastAsia="Calibri"/>
          <w:szCs w:val="24"/>
        </w:rPr>
        <w:t xml:space="preserve"> aluminium</w:t>
      </w:r>
      <w:r w:rsidR="0082041A" w:rsidRPr="00545318">
        <w:rPr>
          <w:rFonts w:eastAsia="Calibri"/>
          <w:szCs w:val="24"/>
        </w:rPr>
        <w:t>.</w:t>
      </w:r>
      <w:r w:rsidRPr="00545318">
        <w:rPr>
          <w:rFonts w:eastAsia="Calibri"/>
          <w:szCs w:val="24"/>
        </w:rPr>
        <w:t xml:space="preserve"> </w:t>
      </w:r>
    </w:p>
    <w:p w14:paraId="442D2CD2" w14:textId="77777777" w:rsidR="000161FD" w:rsidRPr="00545318" w:rsidRDefault="00494809" w:rsidP="000161FD">
      <w:pPr>
        <w:spacing w:before="120" w:after="120"/>
      </w:pPr>
      <w:r w:rsidRPr="00545318">
        <w:t xml:space="preserve">While </w:t>
      </w:r>
      <w:r w:rsidR="007C45AD" w:rsidRPr="00545318">
        <w:t xml:space="preserve">Asian governments </w:t>
      </w:r>
      <w:r w:rsidRPr="00545318">
        <w:t xml:space="preserve">have </w:t>
      </w:r>
      <w:r w:rsidR="00F67ABE" w:rsidRPr="00545318">
        <w:t>announced</w:t>
      </w:r>
      <w:r w:rsidRPr="00545318">
        <w:t xml:space="preserve"> </w:t>
      </w:r>
      <w:r w:rsidR="007C45AD" w:rsidRPr="00545318">
        <w:t xml:space="preserve">policies to reduce overcapacity </w:t>
      </w:r>
      <w:r w:rsidR="00011906" w:rsidRPr="00545318">
        <w:t>and rationalise</w:t>
      </w:r>
      <w:r w:rsidR="007C45AD" w:rsidRPr="00545318">
        <w:t xml:space="preserve"> the</w:t>
      </w:r>
      <w:r w:rsidRPr="00545318">
        <w:t>ir</w:t>
      </w:r>
      <w:r w:rsidR="007C45AD" w:rsidRPr="00545318">
        <w:t xml:space="preserve"> steel </w:t>
      </w:r>
      <w:r w:rsidRPr="00545318">
        <w:t xml:space="preserve">and aluminium </w:t>
      </w:r>
      <w:r w:rsidR="007C45AD" w:rsidRPr="00545318">
        <w:t>industr</w:t>
      </w:r>
      <w:r w:rsidRPr="00545318">
        <w:t>ies,</w:t>
      </w:r>
      <w:r w:rsidR="007C45AD" w:rsidRPr="00545318">
        <w:t xml:space="preserve"> </w:t>
      </w:r>
      <w:r w:rsidRPr="00545318">
        <w:t xml:space="preserve">a number of factors suggest that </w:t>
      </w:r>
      <w:r w:rsidR="007C45AD" w:rsidRPr="00545318">
        <w:t xml:space="preserve">the process of structural adjustment is likely to </w:t>
      </w:r>
      <w:r w:rsidRPr="00545318">
        <w:t>be</w:t>
      </w:r>
      <w:r w:rsidR="007C45AD" w:rsidRPr="00545318">
        <w:t xml:space="preserve"> prolonged.</w:t>
      </w:r>
      <w:r w:rsidRPr="00545318">
        <w:t xml:space="preserve"> For example, the Chinese Government’s desire for a ‘soft landing’ for the economy </w:t>
      </w:r>
      <w:r w:rsidR="00CE2E7D" w:rsidRPr="00545318">
        <w:t>has resulted in the continuation of policies that have contributed to overcapacity, excess production and large stockpiles.</w:t>
      </w:r>
      <w:r w:rsidRPr="00545318">
        <w:t xml:space="preserve"> </w:t>
      </w:r>
    </w:p>
    <w:p w14:paraId="141D5DB7" w14:textId="0FE8BA33" w:rsidR="000161FD" w:rsidRPr="00545318" w:rsidRDefault="000161FD" w:rsidP="000161FD">
      <w:pPr>
        <w:spacing w:before="120" w:after="120"/>
      </w:pPr>
      <w:r w:rsidRPr="00545318">
        <w:t xml:space="preserve">The Commission has found evidence of significant negative impacts on </w:t>
      </w:r>
      <w:r w:rsidR="00667847" w:rsidRPr="00545318">
        <w:t>global and</w:t>
      </w:r>
      <w:r w:rsidRPr="00545318">
        <w:t xml:space="preserve"> Australian steel and aluminium industries</w:t>
      </w:r>
      <w:r w:rsidR="00667847" w:rsidRPr="00545318">
        <w:t xml:space="preserve"> (described in chapter 2 of this report)</w:t>
      </w:r>
      <w:r w:rsidRPr="00545318">
        <w:t xml:space="preserve"> from </w:t>
      </w:r>
      <w:r w:rsidR="005054A3" w:rsidRPr="00545318">
        <w:t xml:space="preserve">economically inefficient </w:t>
      </w:r>
      <w:r w:rsidRPr="00545318">
        <w:t xml:space="preserve">market </w:t>
      </w:r>
      <w:r w:rsidR="0082041A" w:rsidRPr="00545318">
        <w:t>interventions</w:t>
      </w:r>
      <w:r w:rsidR="001469AD" w:rsidRPr="00545318">
        <w:t xml:space="preserve"> in Asia and other regions</w:t>
      </w:r>
      <w:r w:rsidRPr="00545318">
        <w:t>:</w:t>
      </w:r>
    </w:p>
    <w:p w14:paraId="45A0FEC3" w14:textId="77777777" w:rsidR="000161FD" w:rsidRPr="00545318" w:rsidRDefault="000161FD"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 xml:space="preserve">Due to continuing </w:t>
      </w:r>
      <w:r w:rsidR="005054A3" w:rsidRPr="00545318">
        <w:rPr>
          <w:rFonts w:eastAsia="Calibri"/>
          <w:szCs w:val="24"/>
        </w:rPr>
        <w:t>global</w:t>
      </w:r>
      <w:r w:rsidRPr="00545318">
        <w:rPr>
          <w:rFonts w:eastAsia="Calibri"/>
          <w:szCs w:val="24"/>
        </w:rPr>
        <w:t xml:space="preserve"> over-production of steel and aluminium products, the required supply response to a slowdown in global demand for these products has not occurred. The ongoing significant global over-supply has depressed steel and aluminium prices, resulting in </w:t>
      </w:r>
      <w:r w:rsidR="00E140F5" w:rsidRPr="00545318">
        <w:rPr>
          <w:rFonts w:eastAsia="Calibri"/>
          <w:szCs w:val="24"/>
        </w:rPr>
        <w:t xml:space="preserve">prolonged </w:t>
      </w:r>
      <w:r w:rsidRPr="00545318">
        <w:rPr>
          <w:rFonts w:eastAsia="Calibri"/>
          <w:szCs w:val="24"/>
        </w:rPr>
        <w:t>difficult trading conditions for steel and aluminium producers</w:t>
      </w:r>
      <w:r w:rsidR="00E140F5" w:rsidRPr="00545318">
        <w:rPr>
          <w:rFonts w:eastAsia="Calibri"/>
          <w:szCs w:val="24"/>
        </w:rPr>
        <w:t xml:space="preserve"> </w:t>
      </w:r>
      <w:r w:rsidR="005054A3" w:rsidRPr="00545318">
        <w:rPr>
          <w:rFonts w:eastAsia="Calibri"/>
          <w:szCs w:val="24"/>
        </w:rPr>
        <w:t>generally, including in Australia</w:t>
      </w:r>
      <w:r w:rsidRPr="00545318">
        <w:rPr>
          <w:rFonts w:eastAsia="Calibri"/>
          <w:szCs w:val="24"/>
        </w:rPr>
        <w:t xml:space="preserve">. </w:t>
      </w:r>
    </w:p>
    <w:p w14:paraId="4C5A4B0B" w14:textId="77777777" w:rsidR="000161FD" w:rsidRPr="00545318" w:rsidRDefault="007517B4"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Investments</w:t>
      </w:r>
      <w:r w:rsidR="000161FD" w:rsidRPr="00545318">
        <w:rPr>
          <w:rFonts w:eastAsia="Calibri"/>
          <w:szCs w:val="24"/>
        </w:rPr>
        <w:t xml:space="preserve"> in new </w:t>
      </w:r>
      <w:r w:rsidRPr="00545318">
        <w:rPr>
          <w:rFonts w:eastAsia="Calibri"/>
          <w:szCs w:val="24"/>
        </w:rPr>
        <w:t xml:space="preserve">Asian </w:t>
      </w:r>
      <w:r w:rsidR="000161FD" w:rsidRPr="00545318">
        <w:rPr>
          <w:rFonts w:eastAsia="Calibri"/>
          <w:szCs w:val="24"/>
        </w:rPr>
        <w:t>steel and alumin</w:t>
      </w:r>
      <w:r w:rsidR="005038AE" w:rsidRPr="00545318">
        <w:rPr>
          <w:rFonts w:eastAsia="Calibri"/>
          <w:szCs w:val="24"/>
        </w:rPr>
        <w:t>i</w:t>
      </w:r>
      <w:r w:rsidR="000161FD" w:rsidRPr="00545318">
        <w:rPr>
          <w:rFonts w:eastAsia="Calibri"/>
          <w:szCs w:val="24"/>
        </w:rPr>
        <w:t xml:space="preserve">um production facilities </w:t>
      </w:r>
      <w:r w:rsidRPr="00545318">
        <w:rPr>
          <w:rFonts w:eastAsia="Calibri"/>
          <w:szCs w:val="24"/>
        </w:rPr>
        <w:t xml:space="preserve">has </w:t>
      </w:r>
      <w:r w:rsidR="000161FD" w:rsidRPr="00545318">
        <w:rPr>
          <w:rFonts w:eastAsia="Calibri"/>
          <w:szCs w:val="24"/>
        </w:rPr>
        <w:t xml:space="preserve">continued </w:t>
      </w:r>
      <w:r w:rsidRPr="00545318">
        <w:rPr>
          <w:rFonts w:eastAsia="Calibri"/>
          <w:szCs w:val="24"/>
        </w:rPr>
        <w:t>but the planned closure of</w:t>
      </w:r>
      <w:r w:rsidR="000161FD" w:rsidRPr="00545318">
        <w:rPr>
          <w:rFonts w:eastAsia="Calibri"/>
          <w:szCs w:val="24"/>
        </w:rPr>
        <w:t xml:space="preserve"> inefficient high-cost production facilities </w:t>
      </w:r>
      <w:r w:rsidRPr="00545318">
        <w:rPr>
          <w:rFonts w:eastAsia="Calibri"/>
          <w:szCs w:val="24"/>
        </w:rPr>
        <w:t>has not yet occurred</w:t>
      </w:r>
      <w:r w:rsidR="000161FD" w:rsidRPr="00545318">
        <w:rPr>
          <w:rFonts w:eastAsia="Calibri"/>
          <w:szCs w:val="24"/>
        </w:rPr>
        <w:t xml:space="preserve">. </w:t>
      </w:r>
      <w:r w:rsidRPr="00545318">
        <w:rPr>
          <w:rFonts w:eastAsia="Calibri"/>
          <w:szCs w:val="24"/>
        </w:rPr>
        <w:t>Net</w:t>
      </w:r>
      <w:r w:rsidR="000161FD" w:rsidRPr="00545318">
        <w:rPr>
          <w:rFonts w:eastAsia="Calibri"/>
          <w:szCs w:val="24"/>
        </w:rPr>
        <w:t xml:space="preserve"> </w:t>
      </w:r>
      <w:r w:rsidRPr="00545318">
        <w:rPr>
          <w:rFonts w:eastAsia="Calibri"/>
          <w:szCs w:val="24"/>
        </w:rPr>
        <w:t xml:space="preserve">investments in increasing production </w:t>
      </w:r>
      <w:r w:rsidR="000161FD" w:rsidRPr="00545318">
        <w:rPr>
          <w:rFonts w:eastAsia="Calibri"/>
          <w:szCs w:val="24"/>
        </w:rPr>
        <w:t>have prolonged the current global supply glut by delaying the normal supply response to lower demand.</w:t>
      </w:r>
    </w:p>
    <w:p w14:paraId="3EFDB46C" w14:textId="77777777" w:rsidR="000161FD" w:rsidRPr="00545318" w:rsidRDefault="007517B4" w:rsidP="00EA7443">
      <w:pPr>
        <w:pStyle w:val="ListParagraph"/>
        <w:numPr>
          <w:ilvl w:val="0"/>
          <w:numId w:val="3"/>
        </w:numPr>
        <w:spacing w:before="120" w:after="120"/>
        <w:ind w:left="714" w:hanging="357"/>
        <w:contextualSpacing w:val="0"/>
        <w:rPr>
          <w:rFonts w:eastAsia="Calibri"/>
          <w:szCs w:val="24"/>
        </w:rPr>
      </w:pPr>
      <w:r w:rsidRPr="00545318">
        <w:rPr>
          <w:rFonts w:eastAsia="Calibri"/>
          <w:szCs w:val="24"/>
        </w:rPr>
        <w:t>Asian g</w:t>
      </w:r>
      <w:r w:rsidR="000161FD" w:rsidRPr="00545318">
        <w:rPr>
          <w:rFonts w:eastAsia="Calibri"/>
          <w:szCs w:val="24"/>
        </w:rPr>
        <w:t xml:space="preserve">overnment subsidisation of input costs and support for loss-making </w:t>
      </w:r>
      <w:r w:rsidR="0082041A" w:rsidRPr="00545318">
        <w:rPr>
          <w:rFonts w:eastAsia="Calibri"/>
          <w:szCs w:val="24"/>
        </w:rPr>
        <w:t>state-owned enterprises</w:t>
      </w:r>
      <w:r w:rsidR="000161FD" w:rsidRPr="00545318">
        <w:rPr>
          <w:rFonts w:eastAsia="Calibri"/>
          <w:szCs w:val="24"/>
        </w:rPr>
        <w:t xml:space="preserve"> has resulted in unsustainably low export prices. The Australian industry cannot compete on a level playing field with dumped and subsidised Asian exports. </w:t>
      </w:r>
    </w:p>
    <w:p w14:paraId="25FF5B64" w14:textId="77777777" w:rsidR="000161FD" w:rsidRPr="00545318" w:rsidRDefault="000161FD" w:rsidP="000161FD">
      <w:pPr>
        <w:spacing w:before="120" w:after="120"/>
      </w:pPr>
      <w:r w:rsidRPr="00545318">
        <w:t xml:space="preserve">The Commission </w:t>
      </w:r>
      <w:r w:rsidR="0082041A" w:rsidRPr="00545318">
        <w:t xml:space="preserve">recognises </w:t>
      </w:r>
      <w:r w:rsidRPr="00545318">
        <w:t xml:space="preserve">the cyclical nature of supply and demand in global steel and aluminium industries. </w:t>
      </w:r>
      <w:r w:rsidR="0082041A" w:rsidRPr="00545318">
        <w:t>It is not government policy that</w:t>
      </w:r>
      <w:r w:rsidRPr="00545318">
        <w:t xml:space="preserve"> trade remedies </w:t>
      </w:r>
      <w:r w:rsidR="0082041A" w:rsidRPr="00545318">
        <w:t>should</w:t>
      </w:r>
      <w:r w:rsidRPr="00545318">
        <w:t xml:space="preserve"> insulate Australian industries from cyclical downturns or from vigorous competition. </w:t>
      </w:r>
    </w:p>
    <w:p w14:paraId="5061E218" w14:textId="552DA5AB" w:rsidR="000161FD" w:rsidRPr="00545318" w:rsidRDefault="000161FD" w:rsidP="000161FD">
      <w:pPr>
        <w:spacing w:before="120" w:after="120"/>
      </w:pPr>
      <w:r w:rsidRPr="00545318">
        <w:t xml:space="preserve">In undertaking this analysis, the Commission observed a range of actions being taken by the </w:t>
      </w:r>
      <w:r w:rsidR="00E140F5" w:rsidRPr="00545318">
        <w:t xml:space="preserve">Australian </w:t>
      </w:r>
      <w:r w:rsidRPr="00545318">
        <w:t xml:space="preserve">steel and aluminium </w:t>
      </w:r>
      <w:r w:rsidR="006E0505" w:rsidRPr="00545318">
        <w:t>producers</w:t>
      </w:r>
      <w:r w:rsidRPr="00545318">
        <w:t xml:space="preserve"> to reduce costs and improve their competitiveness (such as by developing innovative, value-added products and expanding their export markets). </w:t>
      </w:r>
      <w:r w:rsidR="00185B54" w:rsidRPr="00545318">
        <w:t>Such</w:t>
      </w:r>
      <w:r w:rsidRPr="00545318">
        <w:t xml:space="preserve"> actions </w:t>
      </w:r>
      <w:r w:rsidR="00667847" w:rsidRPr="00545318">
        <w:t xml:space="preserve">(which are discussed in chapter 4 of this report) </w:t>
      </w:r>
      <w:r w:rsidR="0082041A" w:rsidRPr="00545318">
        <w:t xml:space="preserve">are expected to </w:t>
      </w:r>
      <w:r w:rsidRPr="00545318">
        <w:t>assist the Australian industries weather the current cyclical downturn, as well as improv</w:t>
      </w:r>
      <w:r w:rsidR="0082041A" w:rsidRPr="00545318">
        <w:t>e</w:t>
      </w:r>
      <w:r w:rsidRPr="00545318">
        <w:t xml:space="preserve"> their ongoing ability to respond to competitive pressures</w:t>
      </w:r>
      <w:r w:rsidR="00E140F5" w:rsidRPr="00545318">
        <w:t xml:space="preserve"> including those resulting </w:t>
      </w:r>
      <w:r w:rsidRPr="00545318">
        <w:t xml:space="preserve">from the emergence of China as a major global steel producer. </w:t>
      </w:r>
    </w:p>
    <w:p w14:paraId="562B9998" w14:textId="77777777" w:rsidR="00F574EB" w:rsidRPr="00545318" w:rsidRDefault="0082041A" w:rsidP="000161FD">
      <w:pPr>
        <w:spacing w:before="120" w:after="120"/>
      </w:pPr>
      <w:r w:rsidRPr="00545318">
        <w:t>T</w:t>
      </w:r>
      <w:r w:rsidR="000161FD" w:rsidRPr="00545318">
        <w:t>he Commission</w:t>
      </w:r>
      <w:r w:rsidRPr="00545318">
        <w:t>’s</w:t>
      </w:r>
      <w:r w:rsidR="000161FD" w:rsidRPr="00545318">
        <w:t xml:space="preserve"> </w:t>
      </w:r>
      <w:r w:rsidRPr="00545318">
        <w:t xml:space="preserve">analysis supports a finding </w:t>
      </w:r>
      <w:r w:rsidR="000161FD" w:rsidRPr="00545318">
        <w:t xml:space="preserve">that </w:t>
      </w:r>
      <w:r w:rsidR="00011906" w:rsidRPr="00545318">
        <w:t>economically inefficient market interventions in Asia and other regions</w:t>
      </w:r>
      <w:r w:rsidR="000161FD" w:rsidRPr="00545318">
        <w:t xml:space="preserve"> have amplified, and are likely to have extended the duration of, the very difficult operating </w:t>
      </w:r>
      <w:r w:rsidR="00E140F5" w:rsidRPr="00545318">
        <w:t>conditions</w:t>
      </w:r>
      <w:r w:rsidR="000161FD" w:rsidRPr="00545318">
        <w:t xml:space="preserve"> faced by the Australian industries as a result of the current cyclical global downturn. </w:t>
      </w:r>
      <w:r w:rsidR="00F574EB" w:rsidRPr="00545318">
        <w:t>This finding is supported by analysis by the Organisation for Economic Co</w:t>
      </w:r>
      <w:r w:rsidR="00667847" w:rsidRPr="00545318">
        <w:noBreakHyphen/>
      </w:r>
      <w:r w:rsidR="00F574EB" w:rsidRPr="00545318">
        <w:t>operation and Development (OECD), which has highlighted that:</w:t>
      </w:r>
    </w:p>
    <w:p w14:paraId="61B0451E" w14:textId="77777777" w:rsidR="00145041" w:rsidRPr="00545318" w:rsidRDefault="00F574EB" w:rsidP="00F574EB">
      <w:pPr>
        <w:spacing w:before="120" w:after="120"/>
        <w:ind w:left="720"/>
        <w:rPr>
          <w:sz w:val="20"/>
          <w:szCs w:val="20"/>
        </w:rPr>
      </w:pPr>
      <w:r w:rsidRPr="00545318">
        <w:rPr>
          <w:sz w:val="20"/>
          <w:szCs w:val="20"/>
        </w:rPr>
        <w:t>governments influencing commercial decisions in the steel sector—whether for economic development purposes or to meet other policy objectives—can lead to inappropriate investment decisions and increase the challenges facing the global steel sector, particularly when they contradict market signals.</w:t>
      </w:r>
      <w:r w:rsidRPr="00545318">
        <w:rPr>
          <w:rStyle w:val="FootnoteReference"/>
          <w:sz w:val="20"/>
          <w:szCs w:val="20"/>
        </w:rPr>
        <w:footnoteReference w:id="1"/>
      </w:r>
    </w:p>
    <w:p w14:paraId="42587520" w14:textId="77777777" w:rsidR="000161FD" w:rsidRPr="00545318" w:rsidRDefault="000161FD" w:rsidP="000161FD">
      <w:pPr>
        <w:spacing w:before="120" w:after="120"/>
      </w:pPr>
      <w:r w:rsidRPr="00545318">
        <w:t xml:space="preserve">In the absence of trade remedies, the Australian steel and aluminium industries would be faced not just with the challenges of responding to changing market circumstances but with the </w:t>
      </w:r>
      <w:r w:rsidR="00422D70" w:rsidRPr="00545318">
        <w:t>adverse impacts of these market interventions</w:t>
      </w:r>
      <w:r w:rsidRPr="00545318">
        <w:t xml:space="preserve">. </w:t>
      </w:r>
    </w:p>
    <w:p w14:paraId="569235AC" w14:textId="77777777" w:rsidR="000161FD" w:rsidRPr="00545318" w:rsidRDefault="004044BA" w:rsidP="00374264">
      <w:pPr>
        <w:pStyle w:val="Heading2"/>
      </w:pPr>
      <w:bookmarkStart w:id="9" w:name="_Toc458674146"/>
      <w:bookmarkStart w:id="10" w:name="_Toc460430476"/>
      <w:r w:rsidRPr="00545318">
        <w:t>Implications for the administration of</w:t>
      </w:r>
      <w:r w:rsidR="000161FD" w:rsidRPr="00545318">
        <w:t xml:space="preserve"> Australia’s anti-dumping system</w:t>
      </w:r>
      <w:bookmarkEnd w:id="9"/>
      <w:bookmarkEnd w:id="10"/>
      <w:r w:rsidR="000161FD" w:rsidRPr="00545318">
        <w:t xml:space="preserve"> </w:t>
      </w:r>
    </w:p>
    <w:p w14:paraId="4221FAA6" w14:textId="77777777" w:rsidR="00667847" w:rsidRPr="00545318" w:rsidRDefault="009E5895" w:rsidP="00E241A4">
      <w:pPr>
        <w:spacing w:before="120" w:after="120"/>
      </w:pPr>
      <w:r w:rsidRPr="00545318">
        <w:t xml:space="preserve">As demonstrated in </w:t>
      </w:r>
      <w:r w:rsidR="00667847" w:rsidRPr="00545318">
        <w:t xml:space="preserve">chapter 3 of </w:t>
      </w:r>
      <w:r w:rsidRPr="00545318">
        <w:t>this report, economically inefficient market interventions in Asia and other regions have exacerbated</w:t>
      </w:r>
      <w:r w:rsidR="00327F12" w:rsidRPr="00545318">
        <w:t xml:space="preserve"> the current difficult trading conditions for Australia’s steel and aluminium industries </w:t>
      </w:r>
      <w:r w:rsidRPr="00545318">
        <w:t xml:space="preserve">beyond those resulting from a normal cyclical downturn in those industries. </w:t>
      </w:r>
    </w:p>
    <w:p w14:paraId="2C99931D" w14:textId="77777777" w:rsidR="00667847" w:rsidRPr="00545318" w:rsidRDefault="00E241A4" w:rsidP="00E241A4">
      <w:pPr>
        <w:spacing w:before="120" w:after="120"/>
      </w:pPr>
      <w:r w:rsidRPr="00545318">
        <w:t xml:space="preserve">In </w:t>
      </w:r>
      <w:r w:rsidR="00667847" w:rsidRPr="00545318">
        <w:t>advocating</w:t>
      </w:r>
      <w:r w:rsidRPr="00545318">
        <w:t xml:space="preserve"> government</w:t>
      </w:r>
      <w:r w:rsidR="00667847" w:rsidRPr="00545318">
        <w:t xml:space="preserve"> actions</w:t>
      </w:r>
      <w:r w:rsidRPr="00545318">
        <w:t xml:space="preserve"> to address market distortions that underpin sustained global overcapacity, the OECD has </w:t>
      </w:r>
      <w:r w:rsidR="00667847" w:rsidRPr="00545318">
        <w:t>highlighted</w:t>
      </w:r>
      <w:r w:rsidRPr="00545318">
        <w:t xml:space="preserve"> that ‘excess capacity in one region can displace production in other regions, thus harming producers in those markets’, including through ‘unfair trade practices such as dumping’.</w:t>
      </w:r>
      <w:r w:rsidRPr="00545318">
        <w:rPr>
          <w:rStyle w:val="FootnoteReference"/>
        </w:rPr>
        <w:footnoteReference w:id="2"/>
      </w:r>
      <w:r w:rsidR="00667847" w:rsidRPr="00545318">
        <w:t xml:space="preserve"> </w:t>
      </w:r>
    </w:p>
    <w:p w14:paraId="1AAD8D17" w14:textId="77777777" w:rsidR="001604D9" w:rsidRPr="00545318" w:rsidRDefault="00667847" w:rsidP="00E241A4">
      <w:pPr>
        <w:spacing w:before="120" w:after="120"/>
      </w:pPr>
      <w:r w:rsidRPr="00545318">
        <w:t>The increasing use of trade remedies around the globe (outlined in chapter 5 of this report) ha</w:t>
      </w:r>
      <w:r w:rsidR="00944E4A" w:rsidRPr="00545318">
        <w:t>s</w:t>
      </w:r>
      <w:r w:rsidRPr="00545318">
        <w:t xml:space="preserve"> the potential to further displace production, and increase the injury caused by dumping and subsidisation to domestic industries in jurisdictions with less effective trade remed</w:t>
      </w:r>
      <w:r w:rsidR="001604D9" w:rsidRPr="00545318">
        <w:t>ies</w:t>
      </w:r>
      <w:r w:rsidRPr="00545318">
        <w:t xml:space="preserve"> systems. </w:t>
      </w:r>
      <w:r w:rsidR="001604D9" w:rsidRPr="00545318">
        <w:t xml:space="preserve">It is important therefore that the Australian trade remedies system is as effective and efficient as possible to ensure that Australian industries can compete on a level playing field. </w:t>
      </w:r>
    </w:p>
    <w:p w14:paraId="0F0A5EC2" w14:textId="77777777" w:rsidR="00E241A4" w:rsidRPr="00545318" w:rsidRDefault="001604D9" w:rsidP="00E241A4">
      <w:pPr>
        <w:spacing w:before="120" w:after="120"/>
      </w:pPr>
      <w:r w:rsidRPr="00545318">
        <w:t xml:space="preserve">The Commission has assessed the effectiveness of Australian anti-dumping and countervailing duties, using available data and taking into account information provided by stakeholders (see chapter 6 of this report). While Australia’s anti-dumping system is generally effective in addressing proven cases of dumping and subsidisation, the Commission </w:t>
      </w:r>
      <w:r w:rsidR="004044BA" w:rsidRPr="00545318">
        <w:t xml:space="preserve">is committed to a process of continuous improvement in its operational policies and practices. The Commission will work with stakeholders through various consultation mechanisms, including the International Trade Remedies Forum (ITRF), the Regulators Performance Framework, and regular meetings and other </w:t>
      </w:r>
      <w:r w:rsidR="00DE2F57" w:rsidRPr="00545318">
        <w:t>forms of engagement</w:t>
      </w:r>
      <w:r w:rsidR="004044BA" w:rsidRPr="00545318">
        <w:t xml:space="preserve">, to </w:t>
      </w:r>
      <w:r w:rsidR="00DE2F57" w:rsidRPr="00545318">
        <w:t>identify</w:t>
      </w:r>
      <w:r w:rsidR="004044BA" w:rsidRPr="00545318">
        <w:t xml:space="preserve"> </w:t>
      </w:r>
      <w:r w:rsidR="00DE2F57" w:rsidRPr="00545318">
        <w:t>options</w:t>
      </w:r>
      <w:r w:rsidR="004044BA" w:rsidRPr="00545318">
        <w:t xml:space="preserve"> for improving the efficiency and </w:t>
      </w:r>
      <w:r w:rsidR="00DE2F57" w:rsidRPr="00545318">
        <w:t>effectiveness</w:t>
      </w:r>
      <w:r w:rsidR="004044BA" w:rsidRPr="00545318">
        <w:t xml:space="preserve"> of the system.</w:t>
      </w:r>
    </w:p>
    <w:p w14:paraId="1BE2032F" w14:textId="2E100F92" w:rsidR="00DE2F57" w:rsidRPr="00545318" w:rsidRDefault="00DE2F57" w:rsidP="00E241A4">
      <w:pPr>
        <w:spacing w:before="120" w:after="120"/>
      </w:pPr>
      <w:r w:rsidRPr="00545318">
        <w:t>The Commission will also continue to work with other government agencies, particularly DIBP, to ensure a strong whole-of-government approach to implementing trade remedies, including compliance.</w:t>
      </w:r>
    </w:p>
    <w:p w14:paraId="5DBA2D8E" w14:textId="77777777" w:rsidR="000161FD" w:rsidRPr="00545318" w:rsidRDefault="000161FD" w:rsidP="002F26F4">
      <w:pPr>
        <w:pStyle w:val="Heading2"/>
      </w:pPr>
      <w:bookmarkStart w:id="11" w:name="_Toc458674147"/>
      <w:bookmarkStart w:id="12" w:name="_Toc460430477"/>
      <w:r w:rsidRPr="00545318">
        <w:t>Scope of the analysis</w:t>
      </w:r>
      <w:bookmarkEnd w:id="11"/>
      <w:bookmarkEnd w:id="12"/>
    </w:p>
    <w:p w14:paraId="4A729639" w14:textId="77777777" w:rsidR="000161FD" w:rsidRPr="00545318" w:rsidRDefault="00F748E8" w:rsidP="000161FD">
      <w:pPr>
        <w:spacing w:before="120" w:after="120"/>
      </w:pPr>
      <w:r w:rsidRPr="00545318">
        <w:t>As directed by the Commissioner, t</w:t>
      </w:r>
      <w:r w:rsidR="000161FD" w:rsidRPr="00545318">
        <w:t xml:space="preserve">he </w:t>
      </w:r>
      <w:r w:rsidR="008B134A" w:rsidRPr="00545318">
        <w:t xml:space="preserve">scope of the </w:t>
      </w:r>
      <w:r w:rsidRPr="00545318">
        <w:t>Commission’s</w:t>
      </w:r>
      <w:r w:rsidR="000161FD" w:rsidRPr="00545318">
        <w:t xml:space="preserve"> analysis </w:t>
      </w:r>
      <w:r w:rsidRPr="00545318">
        <w:t xml:space="preserve">in this report </w:t>
      </w:r>
      <w:r w:rsidR="000161FD" w:rsidRPr="00545318">
        <w:t xml:space="preserve">is limited to the Commissioner’s powers and functions under the </w:t>
      </w:r>
      <w:r w:rsidR="000161FD" w:rsidRPr="00545318">
        <w:rPr>
          <w:i/>
        </w:rPr>
        <w:t>Customs Act 1901</w:t>
      </w:r>
      <w:r w:rsidR="000161FD" w:rsidRPr="00545318">
        <w:t xml:space="preserve">. </w:t>
      </w:r>
    </w:p>
    <w:p w14:paraId="28F9E94B" w14:textId="77777777" w:rsidR="00F10419" w:rsidRPr="00545318" w:rsidRDefault="0028235F" w:rsidP="000161FD">
      <w:pPr>
        <w:spacing w:before="120" w:after="120"/>
      </w:pPr>
      <w:r w:rsidRPr="00545318">
        <w:t xml:space="preserve">As such, the Commission’s analysis </w:t>
      </w:r>
      <w:r w:rsidR="00F10419" w:rsidRPr="00545318">
        <w:t>did</w:t>
      </w:r>
      <w:r w:rsidRPr="00545318">
        <w:t xml:space="preserve"> not </w:t>
      </w:r>
      <w:r w:rsidR="00F10419" w:rsidRPr="00545318">
        <w:t>include a comprehensive</w:t>
      </w:r>
      <w:r w:rsidRPr="00545318">
        <w:t xml:space="preserve"> </w:t>
      </w:r>
      <w:r w:rsidR="00F748E8" w:rsidRPr="00545318">
        <w:t>assessment</w:t>
      </w:r>
      <w:r w:rsidR="00F10419" w:rsidRPr="00545318">
        <w:t xml:space="preserve"> of </w:t>
      </w:r>
      <w:r w:rsidRPr="00545318">
        <w:t xml:space="preserve">broader economic or market effects beyond the steel and aluminium industries. </w:t>
      </w:r>
      <w:r w:rsidR="00F10419" w:rsidRPr="00545318">
        <w:t xml:space="preserve">However, the results of indicative economic modelling undertaken by the Commission’s specialist economic consultant are </w:t>
      </w:r>
      <w:r w:rsidR="00944E4A" w:rsidRPr="00545318">
        <w:t>included in this report</w:t>
      </w:r>
      <w:r w:rsidR="00F10419" w:rsidRPr="00545318">
        <w:t xml:space="preserve"> to give some broader context.</w:t>
      </w:r>
    </w:p>
    <w:p w14:paraId="16779AE5" w14:textId="77777777" w:rsidR="002F26F4" w:rsidRPr="00545318" w:rsidRDefault="0028235F" w:rsidP="000161FD">
      <w:pPr>
        <w:spacing w:before="120" w:after="120"/>
      </w:pPr>
      <w:r w:rsidRPr="00545318">
        <w:t xml:space="preserve">In addition, </w:t>
      </w:r>
      <w:r w:rsidR="00F10419" w:rsidRPr="00545318">
        <w:t>the</w:t>
      </w:r>
      <w:r w:rsidRPr="00545318">
        <w:t xml:space="preserve"> focus</w:t>
      </w:r>
      <w:r w:rsidR="00F10419" w:rsidRPr="00545318">
        <w:t xml:space="preserve"> of the Commission’s analysis</w:t>
      </w:r>
      <w:r w:rsidRPr="00545318">
        <w:t xml:space="preserve"> is on the impacts of dumping and subsidisation on the Australian industries that are affected by these trade practices, and the effectiveness of trade remedies in addressing these impacts. Broader upstream and downstream impacts fall outside the scope of this analysis and are not therefore examined </w:t>
      </w:r>
      <w:r w:rsidR="00944E4A" w:rsidRPr="00545318">
        <w:t>in this report</w:t>
      </w:r>
      <w:r w:rsidRPr="00545318">
        <w:t>.</w:t>
      </w:r>
    </w:p>
    <w:p w14:paraId="057E02F6" w14:textId="77777777" w:rsidR="000161FD" w:rsidRPr="00545318" w:rsidRDefault="000161FD" w:rsidP="000161FD">
      <w:pPr>
        <w:pStyle w:val="Heading2"/>
      </w:pPr>
      <w:bookmarkStart w:id="13" w:name="_Toc458674148"/>
      <w:bookmarkStart w:id="14" w:name="_Toc460430478"/>
      <w:r w:rsidRPr="00545318">
        <w:t>Conduct of this analysis</w:t>
      </w:r>
      <w:bookmarkEnd w:id="13"/>
      <w:bookmarkEnd w:id="14"/>
      <w:r w:rsidRPr="00545318">
        <w:t xml:space="preserve"> </w:t>
      </w:r>
    </w:p>
    <w:p w14:paraId="4E443A95" w14:textId="578E7FF8" w:rsidR="000161FD" w:rsidRPr="00545318" w:rsidRDefault="000161FD" w:rsidP="000161FD">
      <w:pPr>
        <w:spacing w:before="120" w:after="120"/>
      </w:pPr>
      <w:r w:rsidRPr="00545318">
        <w:t>This analysis was led by the ADIS, which was established</w:t>
      </w:r>
      <w:r w:rsidR="00F57CDF" w:rsidRPr="00545318">
        <w:t xml:space="preserve"> within the Commission</w:t>
      </w:r>
      <w:r w:rsidRPr="00545318">
        <w:t xml:space="preserve"> to provide targeted economic analysis of trends and trading behaviours across markets.</w:t>
      </w:r>
      <w:r w:rsidR="00F57CDF" w:rsidRPr="00545318">
        <w:t xml:space="preserve"> ADIS analysis and market intelligence will also strengthen the evidence base for the Commissioner’s decisions and recommendations.</w:t>
      </w:r>
      <w:r w:rsidR="00BA39CF" w:rsidRPr="00545318">
        <w:t xml:space="preserve"> </w:t>
      </w:r>
      <w:r w:rsidR="00185B54" w:rsidRPr="00545318">
        <w:t>The ADIS was assisted by o</w:t>
      </w:r>
      <w:r w:rsidR="00BA39CF" w:rsidRPr="00545318">
        <w:t xml:space="preserve">ther areas of the Commission </w:t>
      </w:r>
      <w:r w:rsidR="00185B54" w:rsidRPr="00545318">
        <w:t>in preparing</w:t>
      </w:r>
      <w:r w:rsidR="00BA39CF" w:rsidRPr="00545318">
        <w:t xml:space="preserve"> this report.</w:t>
      </w:r>
    </w:p>
    <w:p w14:paraId="2A884E35" w14:textId="77777777" w:rsidR="00F57CDF" w:rsidRPr="00545318" w:rsidRDefault="00BA39CF" w:rsidP="000161FD">
      <w:pPr>
        <w:spacing w:before="120" w:after="120"/>
      </w:pPr>
      <w:r w:rsidRPr="00545318">
        <w:t>T</w:t>
      </w:r>
      <w:r w:rsidR="000161FD" w:rsidRPr="00545318">
        <w:t xml:space="preserve">he Commission has worked closely with other areas of the Department of Industry, Innovation and Science to draw on their economic, market analysis and policy expertise and knowledge of Australian, Asian and global steel and aluminium industries. The Commission used information on trade flows obtained from </w:t>
      </w:r>
      <w:r w:rsidR="00F57CDF" w:rsidRPr="00545318">
        <w:t>DIBP</w:t>
      </w:r>
      <w:r w:rsidR="000161FD" w:rsidRPr="00545318">
        <w:t xml:space="preserve">. </w:t>
      </w:r>
    </w:p>
    <w:p w14:paraId="4A2D0632" w14:textId="0CBB01D6" w:rsidR="000161FD" w:rsidRPr="00545318" w:rsidRDefault="00BE5F78" w:rsidP="000161FD">
      <w:pPr>
        <w:spacing w:before="120" w:after="120"/>
      </w:pPr>
      <w:r w:rsidRPr="00545318">
        <w:t>In this report, t</w:t>
      </w:r>
      <w:r w:rsidR="00F57CDF" w:rsidRPr="00545318">
        <w:t>he Commission</w:t>
      </w:r>
      <w:r w:rsidR="000161FD" w:rsidRPr="00545318">
        <w:t xml:space="preserve"> </w:t>
      </w:r>
      <w:r w:rsidRPr="00545318">
        <w:t xml:space="preserve">has summarised the findings of </w:t>
      </w:r>
      <w:r w:rsidR="000161FD" w:rsidRPr="00545318">
        <w:t>specialist quantitative analys</w:t>
      </w:r>
      <w:r w:rsidR="00F57CDF" w:rsidRPr="00545318">
        <w:t>i</w:t>
      </w:r>
      <w:r w:rsidR="000161FD" w:rsidRPr="00545318">
        <w:t xml:space="preserve">s </w:t>
      </w:r>
      <w:r w:rsidRPr="00545318">
        <w:t xml:space="preserve">undertaken by an economic consultant (Cadence Economics) engaged by the Commission. The consultant </w:t>
      </w:r>
      <w:r w:rsidR="00F57CDF" w:rsidRPr="00545318">
        <w:t>analyse</w:t>
      </w:r>
      <w:r w:rsidRPr="00545318">
        <w:t>d</w:t>
      </w:r>
      <w:r w:rsidR="000161FD" w:rsidRPr="00545318">
        <w:t xml:space="preserve"> </w:t>
      </w:r>
      <w:r w:rsidR="00F57CDF" w:rsidRPr="00545318">
        <w:t>the impacts of</w:t>
      </w:r>
      <w:r w:rsidR="000161FD" w:rsidRPr="00545318">
        <w:t xml:space="preserve"> </w:t>
      </w:r>
      <w:r w:rsidR="00F57CDF" w:rsidRPr="00545318">
        <w:t xml:space="preserve">government interventions in steel and aluminium </w:t>
      </w:r>
      <w:r w:rsidR="000161FD" w:rsidRPr="00545318">
        <w:t>market</w:t>
      </w:r>
      <w:r w:rsidR="00F57CDF" w:rsidRPr="00545318">
        <w:t>s</w:t>
      </w:r>
      <w:r w:rsidRPr="00545318">
        <w:t xml:space="preserve"> that</w:t>
      </w:r>
      <w:r w:rsidR="00F57CDF" w:rsidRPr="00545318">
        <w:t xml:space="preserve"> </w:t>
      </w:r>
      <w:r w:rsidRPr="00545318">
        <w:t>lead to</w:t>
      </w:r>
      <w:r w:rsidR="00F57CDF" w:rsidRPr="00545318">
        <w:t xml:space="preserve"> market behaviours t</w:t>
      </w:r>
      <w:r w:rsidRPr="00545318">
        <w:t>hat</w:t>
      </w:r>
      <w:r w:rsidR="00F57CDF" w:rsidRPr="00545318">
        <w:t xml:space="preserve"> diverge from those characterising competitive markets</w:t>
      </w:r>
      <w:r w:rsidR="000161FD" w:rsidRPr="00545318">
        <w:t xml:space="preserve">. </w:t>
      </w:r>
    </w:p>
    <w:p w14:paraId="3C5375D2" w14:textId="0746F709" w:rsidR="000161FD" w:rsidRPr="00545318" w:rsidRDefault="00BE2463" w:rsidP="000161FD">
      <w:pPr>
        <w:spacing w:before="120" w:after="120"/>
      </w:pPr>
      <w:r w:rsidRPr="00545318">
        <w:t>In February and March 2016</w:t>
      </w:r>
      <w:r w:rsidR="000161FD" w:rsidRPr="00545318">
        <w:t>, the Commission conducted targeted industry consultation</w:t>
      </w:r>
      <w:r w:rsidRPr="00545318">
        <w:t xml:space="preserve"> </w:t>
      </w:r>
      <w:r w:rsidR="000161FD" w:rsidRPr="00545318">
        <w:t xml:space="preserve">seeking information and evidence </w:t>
      </w:r>
      <w:r w:rsidRPr="00545318">
        <w:t>on</w:t>
      </w:r>
      <w:r w:rsidR="000161FD" w:rsidRPr="00545318">
        <w:t xml:space="preserve"> market behavio</w:t>
      </w:r>
      <w:r w:rsidR="005038AE" w:rsidRPr="00545318">
        <w:t>u</w:t>
      </w:r>
      <w:r w:rsidR="000161FD" w:rsidRPr="00545318">
        <w:t>r</w:t>
      </w:r>
      <w:r w:rsidR="00AD5D40" w:rsidRPr="00545318">
        <w:t>s</w:t>
      </w:r>
      <w:r w:rsidR="000161FD" w:rsidRPr="00545318">
        <w:t xml:space="preserve"> in Asian</w:t>
      </w:r>
      <w:r w:rsidR="00C715B8" w:rsidRPr="00545318">
        <w:t xml:space="preserve"> and global </w:t>
      </w:r>
      <w:r w:rsidR="000161FD" w:rsidRPr="00545318">
        <w:t xml:space="preserve">steel and aluminium markets and the impacts on the Australian steel and aluminium industries. </w:t>
      </w:r>
      <w:r w:rsidR="009C006C" w:rsidRPr="00545318">
        <w:t>The Commission also sought evidence on circumvention activities, compliance concerns, and views on potential reforms</w:t>
      </w:r>
      <w:r w:rsidR="00AD5D40" w:rsidRPr="00545318">
        <w:t xml:space="preserve"> to improve the efficiency and effectiveness of Australia’s anti-dumping system</w:t>
      </w:r>
      <w:r w:rsidR="009C006C" w:rsidRPr="00545318">
        <w:t>.</w:t>
      </w:r>
      <w:r w:rsidRPr="00545318">
        <w:t xml:space="preserve"> The Commission has used the information and evidence gained during its industry consultation, and information and evidence subsequently submitted by industry participants</w:t>
      </w:r>
      <w:r w:rsidR="00127965" w:rsidRPr="00545318">
        <w:t>,</w:t>
      </w:r>
      <w:r w:rsidRPr="00545318">
        <w:t xml:space="preserve"> </w:t>
      </w:r>
      <w:r w:rsidR="00127965" w:rsidRPr="00545318">
        <w:t>in preparing this report.</w:t>
      </w:r>
      <w:r w:rsidRPr="00545318">
        <w:t xml:space="preserve"> </w:t>
      </w:r>
    </w:p>
    <w:p w14:paraId="68DBC1F8" w14:textId="589F0C16" w:rsidR="009C006C" w:rsidRPr="00545318" w:rsidRDefault="00B726BF" w:rsidP="000161FD">
      <w:pPr>
        <w:spacing w:before="120" w:after="120"/>
      </w:pPr>
      <w:r w:rsidRPr="00545318">
        <w:t>T</w:t>
      </w:r>
      <w:r w:rsidR="009C006C" w:rsidRPr="00545318">
        <w:t xml:space="preserve">he Commission </w:t>
      </w:r>
      <w:r w:rsidR="000161FD" w:rsidRPr="00545318">
        <w:t xml:space="preserve">has </w:t>
      </w:r>
      <w:r w:rsidR="00127965" w:rsidRPr="00545318">
        <w:t xml:space="preserve">also </w:t>
      </w:r>
      <w:r w:rsidR="000161FD" w:rsidRPr="00545318">
        <w:t>taken into account relevant information and views submitted by a range of interested parties in representations to the Minister, in submissions to the Commission and other areas of the Department, through the ITRF</w:t>
      </w:r>
      <w:r w:rsidR="009C006C" w:rsidRPr="00545318">
        <w:t>, and submissions to other relevant inquiries and reviews including:</w:t>
      </w:r>
    </w:p>
    <w:p w14:paraId="51AD2846" w14:textId="77777777" w:rsidR="009C006C" w:rsidRPr="00545318" w:rsidRDefault="009C006C" w:rsidP="00EA7443">
      <w:pPr>
        <w:pStyle w:val="ListParagraph"/>
        <w:numPr>
          <w:ilvl w:val="0"/>
          <w:numId w:val="3"/>
        </w:numPr>
        <w:spacing w:before="120" w:after="120"/>
        <w:ind w:left="714" w:hanging="357"/>
        <w:contextualSpacing w:val="0"/>
      </w:pPr>
      <w:r w:rsidRPr="00545318">
        <w:t>the House of Representatives Standing Committee on Agriculture and Industry inquiry into Australia’s anti-circumvention framework in relation to anti-dumping measures</w:t>
      </w:r>
    </w:p>
    <w:p w14:paraId="7AEEF5D2" w14:textId="77777777" w:rsidR="009C006C" w:rsidRPr="00545318" w:rsidRDefault="009C006C" w:rsidP="00EA7443">
      <w:pPr>
        <w:pStyle w:val="ListParagraph"/>
        <w:numPr>
          <w:ilvl w:val="0"/>
          <w:numId w:val="3"/>
        </w:numPr>
        <w:spacing w:before="120" w:after="120"/>
        <w:ind w:left="714" w:hanging="357"/>
        <w:contextualSpacing w:val="0"/>
      </w:pPr>
      <w:r w:rsidRPr="00545318">
        <w:t>the Senate Estimates Economic References Committee</w:t>
      </w:r>
      <w:r w:rsidR="004D13D3" w:rsidRPr="00545318">
        <w:t xml:space="preserve"> inquiry</w:t>
      </w:r>
      <w:r w:rsidRPr="00545318">
        <w:t xml:space="preserve"> into the future of Australia’s steel industry</w:t>
      </w:r>
    </w:p>
    <w:p w14:paraId="3C5964D0" w14:textId="77777777" w:rsidR="009C006C" w:rsidRPr="00545318" w:rsidRDefault="009C006C" w:rsidP="00EA7443">
      <w:pPr>
        <w:pStyle w:val="ListParagraph"/>
        <w:numPr>
          <w:ilvl w:val="0"/>
          <w:numId w:val="3"/>
        </w:numPr>
        <w:spacing w:before="120" w:after="120"/>
        <w:ind w:left="714" w:hanging="357"/>
        <w:contextualSpacing w:val="0"/>
      </w:pPr>
      <w:r w:rsidRPr="00545318">
        <w:t xml:space="preserve">the Productivity Commission’s </w:t>
      </w:r>
      <w:r w:rsidR="004D13D3" w:rsidRPr="00545318">
        <w:t xml:space="preserve">2016 </w:t>
      </w:r>
      <w:r w:rsidRPr="00545318">
        <w:t xml:space="preserve">research </w:t>
      </w:r>
      <w:r w:rsidR="00AD5D40" w:rsidRPr="00545318">
        <w:t>study on</w:t>
      </w:r>
      <w:r w:rsidRPr="00545318">
        <w:t xml:space="preserve"> </w:t>
      </w:r>
      <w:r w:rsidRPr="00545318">
        <w:rPr>
          <w:i/>
        </w:rPr>
        <w:t>Developments in Anti-Dumping Arrangements</w:t>
      </w:r>
      <w:r w:rsidR="000161FD" w:rsidRPr="00545318">
        <w:t xml:space="preserve">. </w:t>
      </w:r>
    </w:p>
    <w:p w14:paraId="7DE1ACD9" w14:textId="55AAF2DC" w:rsidR="000161FD" w:rsidRPr="00545318" w:rsidRDefault="000161FD" w:rsidP="00127965">
      <w:pPr>
        <w:spacing w:before="120" w:after="120"/>
        <w:rPr>
          <w:rFonts w:asciiTheme="majorHAnsi" w:eastAsiaTheme="majorEastAsia" w:hAnsiTheme="majorHAnsi" w:cstheme="majorBidi"/>
          <w:b/>
          <w:bCs/>
          <w:color w:val="365F91" w:themeColor="accent1" w:themeShade="BF"/>
          <w:sz w:val="28"/>
          <w:szCs w:val="28"/>
        </w:rPr>
      </w:pPr>
      <w:r w:rsidRPr="00545318">
        <w:t>Information obtained during the course of the Commission’s investigations</w:t>
      </w:r>
      <w:r w:rsidR="00B726BF" w:rsidRPr="00545318">
        <w:t xml:space="preserve"> and inquiries</w:t>
      </w:r>
      <w:r w:rsidRPr="00545318">
        <w:t xml:space="preserve"> in respect of steel and aluminium products has also been taken into account where relevant to the Commission’s analysis</w:t>
      </w:r>
      <w:r w:rsidR="00BB3753" w:rsidRPr="00545318">
        <w:t xml:space="preserve"> of steel and aluminium markets</w:t>
      </w:r>
      <w:r w:rsidRPr="00545318">
        <w:t>.</w:t>
      </w:r>
      <w:r w:rsidRPr="00545318">
        <w:br w:type="page"/>
      </w:r>
    </w:p>
    <w:p w14:paraId="44E675F5" w14:textId="77777777" w:rsidR="002620C9" w:rsidRPr="00545318" w:rsidRDefault="002620C9" w:rsidP="002620C9">
      <w:pPr>
        <w:pStyle w:val="Heading1"/>
        <w:rPr>
          <w:lang w:val="en-AU"/>
        </w:rPr>
      </w:pPr>
      <w:bookmarkStart w:id="15" w:name="_Toc447555389"/>
      <w:bookmarkStart w:id="16" w:name="_Toc460430479"/>
      <w:bookmarkStart w:id="17" w:name="_Toc458674149"/>
      <w:r w:rsidRPr="00545318">
        <w:rPr>
          <w:lang w:val="en-AU"/>
        </w:rPr>
        <w:t>The global market for steel and aluminium</w:t>
      </w:r>
      <w:bookmarkEnd w:id="15"/>
      <w:bookmarkEnd w:id="16"/>
      <w:r w:rsidRPr="00545318">
        <w:rPr>
          <w:lang w:val="en-AU"/>
        </w:rPr>
        <w:t xml:space="preserve"> </w:t>
      </w:r>
    </w:p>
    <w:p w14:paraId="58480541" w14:textId="77777777" w:rsidR="002620C9" w:rsidRPr="00545318" w:rsidRDefault="002620C9" w:rsidP="002620C9"/>
    <w:p w14:paraId="5DFE72DE" w14:textId="77777777" w:rsidR="002620C9" w:rsidRPr="00545318" w:rsidRDefault="002620C9" w:rsidP="002620C9">
      <w:pPr>
        <w:pBdr>
          <w:top w:val="single" w:sz="4" w:space="1" w:color="auto"/>
          <w:left w:val="single" w:sz="4" w:space="4" w:color="auto"/>
          <w:bottom w:val="single" w:sz="4" w:space="1" w:color="auto"/>
          <w:right w:val="single" w:sz="4" w:space="4" w:color="auto"/>
        </w:pBdr>
        <w:shd w:val="clear" w:color="auto" w:fill="DAEEF3" w:themeFill="accent5" w:themeFillTint="33"/>
        <w:spacing w:after="120"/>
        <w:rPr>
          <w:b/>
        </w:rPr>
      </w:pPr>
      <w:r w:rsidRPr="00545318">
        <w:rPr>
          <w:b/>
        </w:rPr>
        <w:t>Key points</w:t>
      </w:r>
    </w:p>
    <w:p w14:paraId="058989D7"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 xml:space="preserve">Steel and aluminium markets have undergone substantial change over the past decade. In the lead up to the Global Financial Crisis (GFC), demand for steel and aluminium products reached unprecedented levels, supported by rapid investment in new infrastructure in China. </w:t>
      </w:r>
    </w:p>
    <w:p w14:paraId="0879B2C2"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 xml:space="preserve">The resulting high prices and margins for steel and aluminium products prompted large investments in increasing production capacity in steelmaking and both aluminium smelting and extrusions. In some countries, government market interventions added to commercial investment incentives and led to substantial capacity increases, including projects that are still in the pipeline. </w:t>
      </w:r>
    </w:p>
    <w:p w14:paraId="3FCB720D"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As a result of the GFC, a subsequent slowdown in global economic activity and an acceleration of China’s economic transition (from investment-led growth to being more consumption-based), demand for steel and aluminium products has slowed significantly. While global steel and aluminium production has also fallen, the slowdown has been less than for demand, resulting in excess production, lower prices and large stockpiles. Aluminium demand has recently shown signs of recovery.</w:t>
      </w:r>
    </w:p>
    <w:p w14:paraId="7AE331B0"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Excess capacity—a problem that afflicts the steel industry during every downturn in the business cycle—is a significant issue for the sector. The growing gap between global steelmaking capacity and demand has led to deterioration in the financial situation of steelmakers, and raised concerns about the longer-term economic viability and efficiency of the industry. Despite this, new investment projects continue in many parts of the world.</w:t>
      </w:r>
    </w:p>
    <w:p w14:paraId="78F62C63"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Australia’s experience has been quite similar to the rest of the world. High demand from the Australian construction and heavy manufacturing sectors resulted in higher demand for steel and aluminium in the lead up to the GFC, but this growth has slowed considerably.</w:t>
      </w:r>
    </w:p>
    <w:p w14:paraId="1711D11F" w14:textId="77777777" w:rsidR="002620C9" w:rsidRPr="00545318" w:rsidRDefault="002620C9" w:rsidP="002620C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DAEEF3" w:themeFill="accent5" w:themeFillTint="33"/>
        <w:spacing w:after="120"/>
        <w:contextualSpacing w:val="0"/>
      </w:pPr>
      <w:r w:rsidRPr="00545318">
        <w:t>The Australian industries are facing considerable competition from overseas markets. Australian producers are generally higher cost by global standards. The new global capacity that has recently been developed uses progressively more efficient production processes, and the cost of producing steel has decreased in real terms over the last decade.</w:t>
      </w:r>
    </w:p>
    <w:p w14:paraId="21904F2E" w14:textId="77777777" w:rsidR="002620C9" w:rsidRPr="00545318" w:rsidRDefault="002620C9" w:rsidP="002620C9">
      <w:pPr>
        <w:spacing w:before="120" w:after="120"/>
      </w:pPr>
      <w:r w:rsidRPr="00545318">
        <w:t xml:space="preserve">This chapter provides an overview of global developments in world crude steel and primary aluminium markets over the past decade. It examines how the drivers of global demand have changed over that period and how global supply has responded. </w:t>
      </w:r>
    </w:p>
    <w:p w14:paraId="383A650A" w14:textId="77777777" w:rsidR="002620C9" w:rsidRPr="00545318" w:rsidRDefault="002620C9" w:rsidP="002620C9">
      <w:pPr>
        <w:pStyle w:val="Heading2"/>
      </w:pPr>
      <w:bookmarkStart w:id="18" w:name="_Toc447555390"/>
      <w:bookmarkStart w:id="19" w:name="_Toc460430480"/>
      <w:r w:rsidRPr="00545318">
        <w:t>Defining the market</w:t>
      </w:r>
      <w:bookmarkEnd w:id="18"/>
      <w:bookmarkEnd w:id="19"/>
    </w:p>
    <w:p w14:paraId="3342F57E" w14:textId="77777777" w:rsidR="002620C9" w:rsidRPr="00545318" w:rsidRDefault="002620C9" w:rsidP="002620C9">
      <w:pPr>
        <w:spacing w:before="120" w:after="120"/>
      </w:pPr>
      <w:r w:rsidRPr="00545318">
        <w:t xml:space="preserve">Steel and aluminium products come in a range of forms, sometimes differing in quality, function and process. Not all of the available data is able to differentiate between these nuances. It is important to be precise about what these data limitations are and what the data are referring to. </w:t>
      </w:r>
    </w:p>
    <w:p w14:paraId="2AD0B9D7" w14:textId="49EE5DEE" w:rsidR="002620C9" w:rsidRPr="00545318" w:rsidRDefault="002620C9" w:rsidP="002620C9">
      <w:pPr>
        <w:spacing w:before="120" w:after="120"/>
      </w:pPr>
      <w:r w:rsidRPr="00545318">
        <w:t>When referring to Australian Bureau of Statistics (ABS) data for example, industry definitions are drawn from the Australian and New Zealand Standard Industrial Classification (ANZSIC) groups and classes or Australian Harmoni</w:t>
      </w:r>
      <w:r w:rsidR="009241EC">
        <w:t>s</w:t>
      </w:r>
      <w:r w:rsidRPr="00545318">
        <w:t xml:space="preserve">ed Export Commodity Classification (AHECC) groups. However, data for traded products from the World Steel Association are based around chapters 72 and 73 of the Harmonised System. </w:t>
      </w:r>
    </w:p>
    <w:p w14:paraId="2476497E" w14:textId="77777777" w:rsidR="002620C9" w:rsidRPr="00545318" w:rsidRDefault="002620C9" w:rsidP="002620C9">
      <w:pPr>
        <w:spacing w:before="120" w:after="120"/>
      </w:pPr>
      <w:r w:rsidRPr="00545318">
        <w:t>This section defines the Australian steel and aluminium manufacturing industries for the purposes of this report.</w:t>
      </w:r>
    </w:p>
    <w:p w14:paraId="68EE3F30" w14:textId="5A8F9CA0" w:rsidR="002620C9" w:rsidRPr="00545318" w:rsidRDefault="002620C9" w:rsidP="002620C9">
      <w:pPr>
        <w:spacing w:before="120" w:after="120"/>
      </w:pPr>
      <w:r w:rsidRPr="00545318">
        <w:t>Unless otherwise indicated, the Australian steel manufacturing industry only includes crude steel, which is steel in its first solid (or usable) form before being further worked. This includes the following ANZSIC classes.</w:t>
      </w:r>
    </w:p>
    <w:p w14:paraId="16FAFB2B" w14:textId="77777777" w:rsidR="002620C9" w:rsidRPr="00545318" w:rsidRDefault="002620C9" w:rsidP="002620C9">
      <w:pPr>
        <w:numPr>
          <w:ilvl w:val="0"/>
          <w:numId w:val="9"/>
        </w:numPr>
        <w:spacing w:before="120" w:after="120"/>
        <w:ind w:left="714" w:hanging="357"/>
        <w:rPr>
          <w:lang w:val="en-AU"/>
        </w:rPr>
      </w:pPr>
      <w:r w:rsidRPr="00545318">
        <w:rPr>
          <w:lang w:val="en-AU"/>
        </w:rPr>
        <w:t>Iron Smelting and Steel Manufacturing (2110)</w:t>
      </w:r>
    </w:p>
    <w:p w14:paraId="35825539" w14:textId="77777777" w:rsidR="002620C9" w:rsidRPr="00545318" w:rsidRDefault="002620C9" w:rsidP="002620C9">
      <w:pPr>
        <w:numPr>
          <w:ilvl w:val="0"/>
          <w:numId w:val="9"/>
        </w:numPr>
        <w:spacing w:before="120" w:after="120"/>
        <w:ind w:left="714" w:hanging="357"/>
        <w:rPr>
          <w:lang w:val="en-AU"/>
        </w:rPr>
      </w:pPr>
      <w:r w:rsidRPr="00545318">
        <w:rPr>
          <w:lang w:val="en-AU"/>
        </w:rPr>
        <w:t xml:space="preserve">Iron and Steel Casting (2121) </w:t>
      </w:r>
    </w:p>
    <w:p w14:paraId="640C32D0" w14:textId="77777777" w:rsidR="002620C9" w:rsidRPr="00545318" w:rsidRDefault="002620C9" w:rsidP="002620C9">
      <w:pPr>
        <w:numPr>
          <w:ilvl w:val="0"/>
          <w:numId w:val="9"/>
        </w:numPr>
        <w:spacing w:before="120" w:after="120"/>
        <w:ind w:left="714" w:hanging="357"/>
        <w:rPr>
          <w:lang w:val="en-AU"/>
        </w:rPr>
      </w:pPr>
      <w:r w:rsidRPr="00545318">
        <w:rPr>
          <w:lang w:val="en-AU"/>
        </w:rPr>
        <w:t>Steel Pipe and Tube Manufacturing (2122)</w:t>
      </w:r>
    </w:p>
    <w:p w14:paraId="43063DDD" w14:textId="77777777" w:rsidR="002620C9" w:rsidRPr="00545318" w:rsidRDefault="002620C9" w:rsidP="002620C9">
      <w:pPr>
        <w:spacing w:before="120" w:after="120"/>
      </w:pPr>
      <w:r w:rsidRPr="00545318">
        <w:t>These groups and classes were chosen because crude steel and the closely related first transformation products, such as steel alloys, galvanised steel, rolled steel and seamless steel tubes, are the main outputs of these units using unprocessed raw materials as the primary input. The next stages of the steel supply chain, on the other hand, use first-transformation steel products as their primary input to production.</w:t>
      </w:r>
    </w:p>
    <w:p w14:paraId="61801B21" w14:textId="77777777" w:rsidR="002620C9" w:rsidRPr="00545318" w:rsidRDefault="002620C9" w:rsidP="002620C9">
      <w:pPr>
        <w:spacing w:before="120" w:after="120"/>
      </w:pPr>
      <w:r w:rsidRPr="00545318">
        <w:t>The World Steel Association applies a similar definition. It defines crude steel as steel in its first solid (or usable) form. This includes ingots, semi-finished products (billets, blooms, slabs), and liquid steel for castings.</w:t>
      </w:r>
    </w:p>
    <w:p w14:paraId="0A9DA4A6" w14:textId="77777777" w:rsidR="002620C9" w:rsidRPr="00545318" w:rsidRDefault="002620C9" w:rsidP="002620C9">
      <w:pPr>
        <w:spacing w:before="120" w:after="120"/>
      </w:pPr>
      <w:r w:rsidRPr="00545318">
        <w:t>For the purpose of this report, the Australian aluminium industry only includes primary aluminium. Primary aluminium is aluminium tapped from electrolytic cells or pots during the electrolytic reduction of metallurgical alumina (aluminium oxide). It thus excludes alloying additives and recycled aluminium. The industry includes the following ANZSIC classes.</w:t>
      </w:r>
    </w:p>
    <w:p w14:paraId="5CC217BF" w14:textId="77777777" w:rsidR="002620C9" w:rsidRPr="00545318" w:rsidRDefault="002620C9" w:rsidP="002620C9">
      <w:pPr>
        <w:numPr>
          <w:ilvl w:val="0"/>
          <w:numId w:val="10"/>
        </w:numPr>
        <w:spacing w:before="120" w:after="120"/>
        <w:rPr>
          <w:lang w:val="en-AU"/>
        </w:rPr>
      </w:pPr>
      <w:r w:rsidRPr="00545318">
        <w:rPr>
          <w:lang w:val="en-AU"/>
        </w:rPr>
        <w:t>Aluminium Smelting manufacturing (2132)</w:t>
      </w:r>
    </w:p>
    <w:p w14:paraId="1D15D102" w14:textId="77777777" w:rsidR="002620C9" w:rsidRPr="00545318" w:rsidRDefault="002620C9" w:rsidP="002620C9">
      <w:pPr>
        <w:numPr>
          <w:ilvl w:val="0"/>
          <w:numId w:val="10"/>
        </w:numPr>
        <w:spacing w:before="120" w:after="120"/>
        <w:ind w:left="714" w:hanging="357"/>
        <w:rPr>
          <w:lang w:val="en-AU"/>
        </w:rPr>
      </w:pPr>
      <w:r w:rsidRPr="00545318">
        <w:rPr>
          <w:lang w:val="en-AU"/>
        </w:rPr>
        <w:t>Aluminium Rolling, Drawing, Extruding (2142)</w:t>
      </w:r>
    </w:p>
    <w:p w14:paraId="68FFEC4D" w14:textId="77777777" w:rsidR="002620C9" w:rsidRPr="00545318" w:rsidRDefault="002620C9" w:rsidP="002620C9">
      <w:pPr>
        <w:spacing w:before="120" w:after="120"/>
      </w:pPr>
      <w:r w:rsidRPr="00545318">
        <w:t>Similarly, data from the World Bureau of Metal Statistics and AME Group only includes primary aluminium.</w:t>
      </w:r>
    </w:p>
    <w:p w14:paraId="3D19371D" w14:textId="77777777" w:rsidR="002620C9" w:rsidRPr="00545318" w:rsidRDefault="002620C9" w:rsidP="002620C9">
      <w:pPr>
        <w:pStyle w:val="Heading2"/>
      </w:pPr>
      <w:bookmarkStart w:id="20" w:name="_Toc447555391"/>
      <w:bookmarkStart w:id="21" w:name="_Toc460430481"/>
      <w:r w:rsidRPr="00545318">
        <w:t>Trends in global demand</w:t>
      </w:r>
      <w:bookmarkEnd w:id="20"/>
      <w:bookmarkEnd w:id="21"/>
    </w:p>
    <w:p w14:paraId="0B643804" w14:textId="77777777" w:rsidR="002620C9" w:rsidRPr="00545318" w:rsidRDefault="002620C9" w:rsidP="002620C9">
      <w:pPr>
        <w:spacing w:before="120" w:after="120"/>
      </w:pPr>
      <w:r w:rsidRPr="00545318">
        <w:t xml:space="preserve">Steel and aluminium products are used in a wide range of activities across the economy, particularly in the construction and manufacturing sectors. In the lead up to the GFC, demand for steel and aluminium reached record levels. Steel consumption growth has been volatile since then whereas aluminium consumption growth accelerated in 2014. </w:t>
      </w:r>
    </w:p>
    <w:p w14:paraId="1EC5BB2F" w14:textId="6F04299D" w:rsidR="002620C9" w:rsidRPr="00545318" w:rsidRDefault="002620C9" w:rsidP="002620C9">
      <w:pPr>
        <w:spacing w:before="120" w:after="120"/>
      </w:pPr>
      <w:r w:rsidRPr="00545318">
        <w:t xml:space="preserve">Global steel and aluminium consumption is closely linked to economic activity. For example, steel is a key intermediate input for major infrastructure projects, construction and heavy manufacturing. As demand for these types of activities increases, so does the demand for steel. Figure 2.1 maps global economic activity against steel and aluminium consumption over the past ten years. There was strong demand in the lead up to the GFC and weak demand thereafter (apart from a temporary bounceback in 2010). Interestingly, global aluminium consumption in recent times seems to deviate from this trend, increasing to near 15 </w:t>
      </w:r>
      <w:r w:rsidR="00620A65" w:rsidRPr="00545318">
        <w:t>per cent</w:t>
      </w:r>
      <w:r w:rsidRPr="00545318">
        <w:t xml:space="preserve">, despite no corresponding increase in world GDP growth. </w:t>
      </w:r>
    </w:p>
    <w:p w14:paraId="22AAC9BA" w14:textId="1A56C6AE"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 World growth in GDP, steel consumption and aluminium consumption, 2004 to 201</w:t>
      </w:r>
      <w:r w:rsidR="009241EC">
        <w:rPr>
          <w:rFonts w:ascii="Arial" w:hAnsi="Arial"/>
          <w:bCs/>
          <w:color w:val="4F81BD" w:themeColor="accent1"/>
          <w:sz w:val="18"/>
          <w:szCs w:val="18"/>
          <w:lang w:val="en-AU"/>
        </w:rPr>
        <w:t>5</w:t>
      </w:r>
    </w:p>
    <w:p w14:paraId="0D099B45" w14:textId="77777777" w:rsidR="002620C9" w:rsidRPr="00545318" w:rsidRDefault="002620C9" w:rsidP="002620C9">
      <w:pPr>
        <w:spacing w:after="200" w:line="276" w:lineRule="auto"/>
        <w:rPr>
          <w:lang w:val="en-AU"/>
        </w:rPr>
      </w:pPr>
      <w:r w:rsidRPr="00545318">
        <w:rPr>
          <w:noProof/>
          <w:lang w:val="en-AU" w:eastAsia="en-AU"/>
        </w:rPr>
        <w:drawing>
          <wp:inline distT="0" distB="0" distL="0" distR="0" wp14:anchorId="30123533" wp14:editId="458FB9E6">
            <wp:extent cx="5740400" cy="2552369"/>
            <wp:effectExtent l="0" t="0" r="0" b="6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545318">
        <w:rPr>
          <w:noProof/>
          <w:lang w:val="en-AU" w:eastAsia="en-AU"/>
        </w:rPr>
        <w:t xml:space="preserve"> </w:t>
      </w:r>
    </w:p>
    <w:p w14:paraId="44967078" w14:textId="5289F1D0" w:rsidR="002620C9" w:rsidRPr="00545318" w:rsidRDefault="002620C9" w:rsidP="002620C9">
      <w:pPr>
        <w:keepLines/>
        <w:pBdr>
          <w:bottom w:val="single" w:sz="4" w:space="1" w:color="595A5B"/>
        </w:pBdr>
        <w:spacing w:before="6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Notes: </w:t>
      </w:r>
      <w:r w:rsidR="00CC19BB" w:rsidRPr="00545318">
        <w:rPr>
          <w:rFonts w:ascii="Arial" w:eastAsia="Times New Roman" w:hAnsi="Arial" w:cs="Arial"/>
          <w:color w:val="22789A"/>
          <w:sz w:val="16"/>
          <w:szCs w:val="20"/>
          <w:lang w:val="en-AU"/>
        </w:rPr>
        <w:t>World s</w:t>
      </w:r>
      <w:r w:rsidRPr="00545318">
        <w:rPr>
          <w:rFonts w:ascii="Arial" w:eastAsia="Times New Roman" w:hAnsi="Arial" w:cs="Arial"/>
          <w:color w:val="22789A"/>
          <w:sz w:val="16"/>
          <w:szCs w:val="20"/>
          <w:lang w:val="en-AU"/>
        </w:rPr>
        <w:t xml:space="preserve">teel consumption data </w:t>
      </w:r>
      <w:r w:rsidR="00CC19BB" w:rsidRPr="00545318">
        <w:rPr>
          <w:rFonts w:ascii="Arial" w:eastAsia="Times New Roman" w:hAnsi="Arial" w:cs="Arial"/>
          <w:color w:val="22789A"/>
          <w:sz w:val="16"/>
          <w:szCs w:val="20"/>
          <w:lang w:val="en-AU"/>
        </w:rPr>
        <w:t>un</w:t>
      </w:r>
      <w:r w:rsidRPr="00545318">
        <w:rPr>
          <w:rFonts w:ascii="Arial" w:eastAsia="Times New Roman" w:hAnsi="Arial" w:cs="Arial"/>
          <w:color w:val="22789A"/>
          <w:sz w:val="16"/>
          <w:szCs w:val="20"/>
          <w:lang w:val="en-AU"/>
        </w:rPr>
        <w:t xml:space="preserve">available </w:t>
      </w:r>
      <w:r w:rsidR="00CC19BB" w:rsidRPr="00545318">
        <w:rPr>
          <w:rFonts w:ascii="Arial" w:eastAsia="Times New Roman" w:hAnsi="Arial" w:cs="Arial"/>
          <w:color w:val="22789A"/>
          <w:sz w:val="16"/>
          <w:szCs w:val="20"/>
          <w:lang w:val="en-AU"/>
        </w:rPr>
        <w:t>for</w:t>
      </w:r>
      <w:r w:rsidRPr="00545318">
        <w:rPr>
          <w:rFonts w:ascii="Arial" w:eastAsia="Times New Roman" w:hAnsi="Arial" w:cs="Arial"/>
          <w:color w:val="22789A"/>
          <w:sz w:val="16"/>
          <w:szCs w:val="20"/>
          <w:lang w:val="en-AU"/>
        </w:rPr>
        <w:t xml:space="preserve"> 201</w:t>
      </w:r>
      <w:r w:rsidR="00CC19BB" w:rsidRPr="00545318">
        <w:rPr>
          <w:rFonts w:ascii="Arial" w:eastAsia="Times New Roman" w:hAnsi="Arial" w:cs="Arial"/>
          <w:color w:val="22789A"/>
          <w:sz w:val="16"/>
          <w:szCs w:val="20"/>
          <w:lang w:val="en-AU"/>
        </w:rPr>
        <w:t>5</w:t>
      </w:r>
      <w:r w:rsidRPr="00545318">
        <w:rPr>
          <w:rFonts w:ascii="Arial" w:eastAsia="Times New Roman" w:hAnsi="Arial" w:cs="Arial"/>
          <w:color w:val="22789A"/>
          <w:sz w:val="16"/>
          <w:szCs w:val="20"/>
          <w:lang w:val="en-AU"/>
        </w:rPr>
        <w:t>.</w:t>
      </w:r>
    </w:p>
    <w:p w14:paraId="5A659398" w14:textId="77777777" w:rsidR="002620C9" w:rsidRPr="00545318" w:rsidRDefault="002620C9" w:rsidP="002620C9">
      <w:pPr>
        <w:keepLines/>
        <w:pBdr>
          <w:bottom w:val="single" w:sz="4" w:space="1" w:color="595A5B"/>
        </w:pBdr>
        <w:spacing w:before="6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Sources: World Steel Association; World Bureau of Metal Statistics; International Monetary Fund. </w:t>
      </w:r>
    </w:p>
    <w:p w14:paraId="05DC0C8F" w14:textId="77777777" w:rsidR="002620C9" w:rsidRPr="00545318" w:rsidRDefault="002620C9" w:rsidP="002620C9">
      <w:pPr>
        <w:spacing w:before="120" w:after="120"/>
      </w:pPr>
      <w:r w:rsidRPr="00545318">
        <w:t xml:space="preserve">This section outlines how the demand for steel and aluminium products has changed over the last decade, globally and in Australia. </w:t>
      </w:r>
    </w:p>
    <w:p w14:paraId="65DA715C" w14:textId="77777777" w:rsidR="002620C9" w:rsidRPr="00545318" w:rsidRDefault="002620C9" w:rsidP="002620C9">
      <w:pPr>
        <w:pStyle w:val="Heading3"/>
        <w:spacing w:after="120"/>
      </w:pPr>
      <w:r w:rsidRPr="00545318">
        <w:t>Global steel consumption</w:t>
      </w:r>
    </w:p>
    <w:p w14:paraId="083BC518" w14:textId="0E10C387" w:rsidR="002620C9" w:rsidRPr="00545318" w:rsidRDefault="002620C9" w:rsidP="002620C9">
      <w:pPr>
        <w:spacing w:before="120" w:after="120"/>
      </w:pPr>
      <w:r w:rsidRPr="00545318">
        <w:t xml:space="preserve">Global steel consumption has increased over the past decade by nearly 50 </w:t>
      </w:r>
      <w:r w:rsidR="00620A65" w:rsidRPr="00545318">
        <w:t>per cent</w:t>
      </w:r>
      <w:r w:rsidRPr="00545318">
        <w:t xml:space="preserve"> (around 522 million tonnes). Most of the growth in the demand for steel products has come from China. In 2005</w:t>
      </w:r>
      <w:r w:rsidR="009241EC">
        <w:t>,</w:t>
      </w:r>
      <w:r w:rsidRPr="00545318">
        <w:t xml:space="preserve"> China accounted for 32 </w:t>
      </w:r>
      <w:r w:rsidR="00620A65" w:rsidRPr="00545318">
        <w:t>per cent</w:t>
      </w:r>
      <w:r w:rsidRPr="00545318">
        <w:t xml:space="preserve"> of global steel consumption; its share had increased to 45 </w:t>
      </w:r>
      <w:r w:rsidR="00620A65" w:rsidRPr="00545318">
        <w:t>per cent</w:t>
      </w:r>
      <w:r w:rsidRPr="00545318">
        <w:t xml:space="preserve"> by 2014. China’s demand has been driven by greater urbanisation and the related investment in new housing and water, energy and transport infrastructure. </w:t>
      </w:r>
    </w:p>
    <w:p w14:paraId="7804E80E" w14:textId="04EBAE14" w:rsidR="002620C9" w:rsidRPr="00545318" w:rsidRDefault="002620C9" w:rsidP="002620C9">
      <w:pPr>
        <w:spacing w:before="120" w:after="120"/>
      </w:pPr>
      <w:r w:rsidRPr="00545318">
        <w:t xml:space="preserve">Figure 2.2 illustrates that steel consumption growth has not been constrained to China, with higher steel consumption recorded in South Korea, India and Chinese Taipei. Conversely, consumption in some major developed economies including Europe, Japan and Australia declined, reflecting weak activity in both the construction and manufacturing sectors. Australia is a relatively small player in world steel markets, accounting for only 0.3 </w:t>
      </w:r>
      <w:r w:rsidR="00620A65" w:rsidRPr="00545318">
        <w:t>per cent</w:t>
      </w:r>
      <w:r w:rsidRPr="00545318">
        <w:t xml:space="preserve"> of global steel consumption in 2014.</w:t>
      </w:r>
    </w:p>
    <w:p w14:paraId="6F476615"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2.2: Selected steel consumers, 2005 to 2014</w:t>
      </w:r>
    </w:p>
    <w:p w14:paraId="21241D5B" w14:textId="77777777" w:rsidR="002620C9" w:rsidRPr="00545318" w:rsidRDefault="002620C9" w:rsidP="002620C9">
      <w:pPr>
        <w:keepNext/>
        <w:keepLines/>
        <w:rPr>
          <w:rFonts w:ascii="Arial" w:hAnsi="Arial"/>
          <w:color w:val="595A5B"/>
          <w:sz w:val="18"/>
          <w:lang w:val="en-AU"/>
        </w:rPr>
      </w:pPr>
      <w:r w:rsidRPr="00545318">
        <w:rPr>
          <w:rFonts w:ascii="Arial" w:hAnsi="Arial"/>
          <w:noProof/>
          <w:color w:val="595A5B"/>
          <w:sz w:val="18"/>
          <w:lang w:val="en-AU" w:eastAsia="en-AU"/>
        </w:rPr>
        <w:drawing>
          <wp:inline distT="0" distB="0" distL="0" distR="0" wp14:anchorId="35DB7443" wp14:editId="3F0801A9">
            <wp:extent cx="5722374" cy="2222091"/>
            <wp:effectExtent l="0" t="0" r="0" b="698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186EAED" w14:textId="77777777" w:rsidR="002620C9" w:rsidRPr="00545318" w:rsidRDefault="002620C9" w:rsidP="002620C9">
      <w:pPr>
        <w:keepLines/>
        <w:pBdr>
          <w:bottom w:val="single" w:sz="4" w:space="1" w:color="595A5B"/>
        </w:pBdr>
        <w:spacing w:before="6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World Steel Association; Department of Industry, Innovation and Science.</w:t>
      </w:r>
    </w:p>
    <w:p w14:paraId="2FEF48C9" w14:textId="77777777" w:rsidR="002620C9" w:rsidRPr="00545318" w:rsidRDefault="002620C9" w:rsidP="002620C9">
      <w:pPr>
        <w:pStyle w:val="Heading3"/>
        <w:spacing w:after="120"/>
      </w:pPr>
      <w:r w:rsidRPr="00545318">
        <w:t>Demand for steel products in Australia</w:t>
      </w:r>
    </w:p>
    <w:p w14:paraId="09C813D3" w14:textId="3429BC01" w:rsidR="002620C9" w:rsidRPr="00545318" w:rsidRDefault="002620C9" w:rsidP="002620C9">
      <w:pPr>
        <w:spacing w:before="120" w:after="120"/>
      </w:pPr>
      <w:r w:rsidRPr="00545318">
        <w:t>In Australia</w:t>
      </w:r>
      <w:r w:rsidR="009241EC">
        <w:t>,</w:t>
      </w:r>
      <w:r w:rsidRPr="00545318">
        <w:t xml:space="preserve"> almost 97 </w:t>
      </w:r>
      <w:r w:rsidR="00620A65" w:rsidRPr="00545318">
        <w:t>per cent</w:t>
      </w:r>
      <w:r w:rsidRPr="00545318">
        <w:t xml:space="preserve"> of steel products are purchased by three industries. These are:</w:t>
      </w:r>
    </w:p>
    <w:p w14:paraId="5BAD4B99" w14:textId="54D62DA7" w:rsidR="002620C9" w:rsidRPr="00545318" w:rsidRDefault="002620C9" w:rsidP="002620C9">
      <w:pPr>
        <w:numPr>
          <w:ilvl w:val="0"/>
          <w:numId w:val="4"/>
        </w:numPr>
        <w:spacing w:before="120" w:after="120"/>
        <w:rPr>
          <w:lang w:val="en-AU"/>
        </w:rPr>
      </w:pPr>
      <w:r w:rsidRPr="00545318">
        <w:rPr>
          <w:lang w:val="en-AU"/>
        </w:rPr>
        <w:t xml:space="preserve">Manufacturing (48.7 </w:t>
      </w:r>
      <w:r w:rsidR="00620A65" w:rsidRPr="00545318">
        <w:rPr>
          <w:lang w:val="en-AU"/>
        </w:rPr>
        <w:t>per cent</w:t>
      </w:r>
      <w:r w:rsidRPr="00545318">
        <w:rPr>
          <w:lang w:val="en-AU"/>
        </w:rPr>
        <w:t>)</w:t>
      </w:r>
    </w:p>
    <w:p w14:paraId="223A08C9" w14:textId="66C9D348" w:rsidR="002620C9" w:rsidRPr="00545318" w:rsidRDefault="002620C9" w:rsidP="002620C9">
      <w:pPr>
        <w:numPr>
          <w:ilvl w:val="0"/>
          <w:numId w:val="4"/>
        </w:numPr>
        <w:spacing w:before="120" w:after="120"/>
        <w:rPr>
          <w:lang w:val="en-AU"/>
        </w:rPr>
      </w:pPr>
      <w:r w:rsidRPr="00545318">
        <w:rPr>
          <w:lang w:val="en-AU"/>
        </w:rPr>
        <w:t xml:space="preserve">Construction (42.6 </w:t>
      </w:r>
      <w:r w:rsidR="00620A65" w:rsidRPr="00545318">
        <w:rPr>
          <w:lang w:val="en-AU"/>
        </w:rPr>
        <w:t>per cent</w:t>
      </w:r>
      <w:r w:rsidRPr="00545318">
        <w:rPr>
          <w:lang w:val="en-AU"/>
        </w:rPr>
        <w:t>)</w:t>
      </w:r>
    </w:p>
    <w:p w14:paraId="276FBADF" w14:textId="1C1B520E" w:rsidR="002620C9" w:rsidRPr="00545318" w:rsidRDefault="002620C9" w:rsidP="002620C9">
      <w:pPr>
        <w:numPr>
          <w:ilvl w:val="0"/>
          <w:numId w:val="4"/>
        </w:numPr>
        <w:spacing w:before="120" w:after="120"/>
        <w:ind w:left="714" w:hanging="357"/>
        <w:rPr>
          <w:lang w:val="en-AU"/>
        </w:rPr>
      </w:pPr>
      <w:r w:rsidRPr="00545318">
        <w:rPr>
          <w:lang w:val="en-AU"/>
        </w:rPr>
        <w:t xml:space="preserve">Mining (5.3 </w:t>
      </w:r>
      <w:r w:rsidR="00620A65" w:rsidRPr="00545318">
        <w:rPr>
          <w:lang w:val="en-AU"/>
        </w:rPr>
        <w:t>per cent</w:t>
      </w:r>
      <w:r w:rsidRPr="00545318">
        <w:rPr>
          <w:lang w:val="en-AU"/>
        </w:rPr>
        <w:t>)</w:t>
      </w:r>
    </w:p>
    <w:p w14:paraId="0460CB2A" w14:textId="77777777" w:rsidR="002620C9" w:rsidRPr="00545318" w:rsidRDefault="002620C9" w:rsidP="002620C9">
      <w:pPr>
        <w:spacing w:before="120" w:after="120"/>
      </w:pPr>
      <w:r w:rsidRPr="00545318">
        <w:t>Combined, these industries purchased $17.5 billion of iron and steel manufacturing inputs in 2013</w:t>
      </w:r>
      <w:r w:rsidRPr="00545318">
        <w:noBreakHyphen/>
        <w:t xml:space="preserve">14. Table 2.1 presents more information on the major consumers of steel products. </w:t>
      </w:r>
    </w:p>
    <w:p w14:paraId="105ECF0C"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Table 2.1: Top three industries purchasing iron and steel manufacturing products by value, 2013–14 </w:t>
      </w:r>
    </w:p>
    <w:tbl>
      <w:tblPr>
        <w:tblW w:w="9088" w:type="dxa"/>
        <w:tblInd w:w="108" w:type="dxa"/>
        <w:shd w:val="clear" w:color="auto" w:fill="DBE5F1" w:themeFill="accent1" w:themeFillTint="33"/>
        <w:tblLook w:val="04A0" w:firstRow="1" w:lastRow="0" w:firstColumn="1" w:lastColumn="0" w:noHBand="0" w:noVBand="1"/>
      </w:tblPr>
      <w:tblGrid>
        <w:gridCol w:w="3654"/>
        <w:gridCol w:w="1404"/>
        <w:gridCol w:w="1297"/>
        <w:gridCol w:w="1396"/>
        <w:gridCol w:w="1337"/>
      </w:tblGrid>
      <w:tr w:rsidR="002620C9" w:rsidRPr="00545318" w14:paraId="31A1B349" w14:textId="77777777" w:rsidTr="00D42129">
        <w:trPr>
          <w:trHeight w:val="250"/>
        </w:trPr>
        <w:tc>
          <w:tcPr>
            <w:tcW w:w="3654" w:type="dxa"/>
            <w:shd w:val="clear" w:color="auto" w:fill="4F81BD" w:themeFill="accent1"/>
            <w:noWrap/>
            <w:vAlign w:val="bottom"/>
            <w:hideMark/>
          </w:tcPr>
          <w:p w14:paraId="2039A919" w14:textId="7F0A2EA6"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Industry</w:t>
            </w:r>
          </w:p>
        </w:tc>
        <w:tc>
          <w:tcPr>
            <w:tcW w:w="1404" w:type="dxa"/>
            <w:shd w:val="clear" w:color="auto" w:fill="4F81BD" w:themeFill="accent1"/>
            <w:vAlign w:val="bottom"/>
            <w:hideMark/>
          </w:tcPr>
          <w:p w14:paraId="5F18DE3A" w14:textId="77777777"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Steel supply ($ millions)</w:t>
            </w:r>
          </w:p>
        </w:tc>
        <w:tc>
          <w:tcPr>
            <w:tcW w:w="1297" w:type="dxa"/>
            <w:shd w:val="clear" w:color="auto" w:fill="4F81BD" w:themeFill="accent1"/>
            <w:vAlign w:val="bottom"/>
            <w:hideMark/>
          </w:tcPr>
          <w:p w14:paraId="58122F1C" w14:textId="0E4632CA"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Share of steel input (</w:t>
            </w:r>
            <w:r w:rsidR="00620A65" w:rsidRPr="00D42129">
              <w:rPr>
                <w:rFonts w:ascii="Arial" w:hAnsi="Arial" w:cs="Arial"/>
                <w:b/>
                <w:i/>
                <w:color w:val="FFFFFF" w:themeColor="background1"/>
                <w:sz w:val="18"/>
                <w:szCs w:val="18"/>
                <w:lang w:val="en-AU"/>
              </w:rPr>
              <w:t>per cent</w:t>
            </w:r>
            <w:r w:rsidRPr="00D42129">
              <w:rPr>
                <w:rFonts w:ascii="Arial" w:hAnsi="Arial" w:cs="Arial"/>
                <w:b/>
                <w:i/>
                <w:color w:val="FFFFFF" w:themeColor="background1"/>
                <w:sz w:val="18"/>
                <w:szCs w:val="18"/>
                <w:lang w:val="en-AU"/>
              </w:rPr>
              <w:t>)</w:t>
            </w:r>
          </w:p>
        </w:tc>
        <w:tc>
          <w:tcPr>
            <w:tcW w:w="1396" w:type="dxa"/>
            <w:shd w:val="clear" w:color="auto" w:fill="4F81BD" w:themeFill="accent1"/>
            <w:vAlign w:val="bottom"/>
            <w:hideMark/>
          </w:tcPr>
          <w:p w14:paraId="4CA62F6B" w14:textId="77777777"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Import supply ($ millions)</w:t>
            </w:r>
          </w:p>
        </w:tc>
        <w:tc>
          <w:tcPr>
            <w:tcW w:w="1337" w:type="dxa"/>
            <w:shd w:val="clear" w:color="auto" w:fill="4F81BD" w:themeFill="accent1"/>
            <w:vAlign w:val="bottom"/>
            <w:hideMark/>
          </w:tcPr>
          <w:p w14:paraId="1E760B71" w14:textId="2EE95762"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 xml:space="preserve">Import share of supply </w:t>
            </w:r>
            <w:r w:rsidRPr="00D42129">
              <w:rPr>
                <w:rFonts w:ascii="Arial" w:hAnsi="Arial" w:cs="Arial"/>
                <w:b/>
                <w:i/>
                <w:color w:val="FFFFFF" w:themeColor="background1"/>
                <w:sz w:val="18"/>
                <w:szCs w:val="18"/>
                <w:lang w:val="en-AU"/>
              </w:rPr>
              <w:br/>
              <w:t>(</w:t>
            </w:r>
            <w:r w:rsidR="00620A65" w:rsidRPr="00D42129">
              <w:rPr>
                <w:rFonts w:ascii="Arial" w:hAnsi="Arial" w:cs="Arial"/>
                <w:b/>
                <w:i/>
                <w:color w:val="FFFFFF" w:themeColor="background1"/>
                <w:sz w:val="18"/>
                <w:szCs w:val="18"/>
                <w:lang w:val="en-AU"/>
              </w:rPr>
              <w:t>per cent</w:t>
            </w:r>
            <w:r w:rsidRPr="00D42129">
              <w:rPr>
                <w:rFonts w:ascii="Arial" w:hAnsi="Arial" w:cs="Arial"/>
                <w:b/>
                <w:i/>
                <w:color w:val="FFFFFF" w:themeColor="background1"/>
                <w:sz w:val="18"/>
                <w:szCs w:val="18"/>
                <w:lang w:val="en-AU"/>
              </w:rPr>
              <w:t>)</w:t>
            </w:r>
          </w:p>
        </w:tc>
      </w:tr>
      <w:tr w:rsidR="002620C9" w:rsidRPr="00545318" w14:paraId="4932631C" w14:textId="77777777" w:rsidTr="002620C9">
        <w:trPr>
          <w:trHeight w:val="250"/>
        </w:trPr>
        <w:tc>
          <w:tcPr>
            <w:tcW w:w="3654" w:type="dxa"/>
            <w:shd w:val="clear" w:color="auto" w:fill="DBE5F1" w:themeFill="accent1" w:themeFillTint="33"/>
            <w:noWrap/>
            <w:vAlign w:val="center"/>
            <w:hideMark/>
          </w:tcPr>
          <w:p w14:paraId="2367CB11" w14:textId="77777777" w:rsidR="002620C9" w:rsidRPr="00545318" w:rsidRDefault="002620C9" w:rsidP="002620C9">
            <w:pPr>
              <w:keepNext/>
              <w:keepLines/>
              <w:spacing w:before="60" w:after="60"/>
              <w:rPr>
                <w:rFonts w:ascii="Arial" w:hAnsi="Arial" w:cs="Arial"/>
                <w:i/>
                <w:color w:val="595A5B"/>
                <w:sz w:val="18"/>
                <w:szCs w:val="18"/>
                <w:lang w:val="en-AU"/>
              </w:rPr>
            </w:pPr>
            <w:r w:rsidRPr="00545318">
              <w:rPr>
                <w:rFonts w:ascii="Arial" w:hAnsi="Arial" w:cs="Arial"/>
                <w:color w:val="595A5B"/>
                <w:sz w:val="18"/>
                <w:szCs w:val="18"/>
                <w:lang w:val="en-AU"/>
              </w:rPr>
              <w:t>Manufacturing</w:t>
            </w:r>
          </w:p>
        </w:tc>
        <w:tc>
          <w:tcPr>
            <w:tcW w:w="1404" w:type="dxa"/>
            <w:shd w:val="clear" w:color="auto" w:fill="DBE5F1" w:themeFill="accent1" w:themeFillTint="33"/>
            <w:vAlign w:val="center"/>
            <w:hideMark/>
          </w:tcPr>
          <w:p w14:paraId="5FE612F5"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8,832.1</w:t>
            </w:r>
          </w:p>
        </w:tc>
        <w:tc>
          <w:tcPr>
            <w:tcW w:w="1297" w:type="dxa"/>
            <w:shd w:val="clear" w:color="auto" w:fill="DBE5F1" w:themeFill="accent1" w:themeFillTint="33"/>
            <w:vAlign w:val="center"/>
            <w:hideMark/>
          </w:tcPr>
          <w:p w14:paraId="18721B4C"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48.7</w:t>
            </w:r>
          </w:p>
        </w:tc>
        <w:tc>
          <w:tcPr>
            <w:tcW w:w="1396" w:type="dxa"/>
            <w:shd w:val="clear" w:color="auto" w:fill="DBE5F1" w:themeFill="accent1" w:themeFillTint="33"/>
            <w:vAlign w:val="center"/>
            <w:hideMark/>
          </w:tcPr>
          <w:p w14:paraId="6C8DE15D"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2,726.4</w:t>
            </w:r>
          </w:p>
        </w:tc>
        <w:tc>
          <w:tcPr>
            <w:tcW w:w="1337" w:type="dxa"/>
            <w:shd w:val="clear" w:color="auto" w:fill="DBE5F1" w:themeFill="accent1" w:themeFillTint="33"/>
            <w:vAlign w:val="center"/>
            <w:hideMark/>
          </w:tcPr>
          <w:p w14:paraId="1A0B93D0"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30.9</w:t>
            </w:r>
          </w:p>
        </w:tc>
      </w:tr>
      <w:tr w:rsidR="002620C9" w:rsidRPr="00545318" w14:paraId="14BBB374" w14:textId="77777777" w:rsidTr="002620C9">
        <w:trPr>
          <w:trHeight w:val="250"/>
        </w:trPr>
        <w:tc>
          <w:tcPr>
            <w:tcW w:w="3654" w:type="dxa"/>
            <w:shd w:val="clear" w:color="auto" w:fill="DBE5F1" w:themeFill="accent1" w:themeFillTint="33"/>
            <w:noWrap/>
            <w:vAlign w:val="center"/>
            <w:hideMark/>
          </w:tcPr>
          <w:p w14:paraId="2D110D21" w14:textId="77777777" w:rsidR="002620C9" w:rsidRPr="00545318" w:rsidRDefault="002620C9" w:rsidP="002620C9">
            <w:pPr>
              <w:keepNext/>
              <w:keepLines/>
              <w:spacing w:before="60" w:after="60"/>
              <w:rPr>
                <w:rFonts w:ascii="Arial" w:hAnsi="Arial" w:cs="Arial"/>
                <w:i/>
                <w:color w:val="595A5B"/>
                <w:sz w:val="18"/>
                <w:szCs w:val="18"/>
                <w:lang w:val="en-AU"/>
              </w:rPr>
            </w:pPr>
            <w:r w:rsidRPr="00545318">
              <w:rPr>
                <w:rFonts w:ascii="Arial" w:hAnsi="Arial" w:cs="Arial"/>
                <w:color w:val="595A5B"/>
                <w:sz w:val="18"/>
                <w:szCs w:val="18"/>
                <w:lang w:val="en-AU"/>
              </w:rPr>
              <w:t>Construction</w:t>
            </w:r>
          </w:p>
        </w:tc>
        <w:tc>
          <w:tcPr>
            <w:tcW w:w="1404" w:type="dxa"/>
            <w:shd w:val="clear" w:color="auto" w:fill="DBE5F1" w:themeFill="accent1" w:themeFillTint="33"/>
            <w:vAlign w:val="center"/>
            <w:hideMark/>
          </w:tcPr>
          <w:p w14:paraId="02316A4F"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7,722.8</w:t>
            </w:r>
          </w:p>
        </w:tc>
        <w:tc>
          <w:tcPr>
            <w:tcW w:w="1297" w:type="dxa"/>
            <w:shd w:val="clear" w:color="auto" w:fill="DBE5F1" w:themeFill="accent1" w:themeFillTint="33"/>
            <w:vAlign w:val="center"/>
            <w:hideMark/>
          </w:tcPr>
          <w:p w14:paraId="3CC7F878"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42.6</w:t>
            </w:r>
          </w:p>
        </w:tc>
        <w:tc>
          <w:tcPr>
            <w:tcW w:w="1396" w:type="dxa"/>
            <w:shd w:val="clear" w:color="auto" w:fill="DBE5F1" w:themeFill="accent1" w:themeFillTint="33"/>
            <w:vAlign w:val="center"/>
            <w:hideMark/>
          </w:tcPr>
          <w:p w14:paraId="5E93EE08"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2,701.3</w:t>
            </w:r>
          </w:p>
        </w:tc>
        <w:tc>
          <w:tcPr>
            <w:tcW w:w="1337" w:type="dxa"/>
            <w:shd w:val="clear" w:color="auto" w:fill="DBE5F1" w:themeFill="accent1" w:themeFillTint="33"/>
            <w:vAlign w:val="center"/>
            <w:hideMark/>
          </w:tcPr>
          <w:p w14:paraId="6C1FA2F6"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35.0</w:t>
            </w:r>
          </w:p>
        </w:tc>
      </w:tr>
      <w:tr w:rsidR="002620C9" w:rsidRPr="00545318" w14:paraId="034BED6B" w14:textId="77777777" w:rsidTr="002620C9">
        <w:trPr>
          <w:trHeight w:val="250"/>
        </w:trPr>
        <w:tc>
          <w:tcPr>
            <w:tcW w:w="3654" w:type="dxa"/>
            <w:shd w:val="clear" w:color="auto" w:fill="DBE5F1" w:themeFill="accent1" w:themeFillTint="33"/>
            <w:noWrap/>
            <w:vAlign w:val="center"/>
            <w:hideMark/>
          </w:tcPr>
          <w:p w14:paraId="7FE014D2" w14:textId="77777777" w:rsidR="002620C9" w:rsidRPr="00545318" w:rsidRDefault="002620C9" w:rsidP="002620C9">
            <w:pPr>
              <w:keepNext/>
              <w:keepLines/>
              <w:spacing w:before="60" w:after="60"/>
              <w:rPr>
                <w:rFonts w:ascii="Arial" w:hAnsi="Arial" w:cs="Arial"/>
                <w:i/>
                <w:color w:val="595A5B"/>
                <w:sz w:val="18"/>
                <w:szCs w:val="18"/>
                <w:lang w:val="en-AU"/>
              </w:rPr>
            </w:pPr>
            <w:r w:rsidRPr="00545318">
              <w:rPr>
                <w:rFonts w:ascii="Arial" w:hAnsi="Arial" w:cs="Arial"/>
                <w:color w:val="595A5B"/>
                <w:sz w:val="18"/>
                <w:szCs w:val="18"/>
                <w:lang w:val="en-AU"/>
              </w:rPr>
              <w:t>Mining</w:t>
            </w:r>
          </w:p>
        </w:tc>
        <w:tc>
          <w:tcPr>
            <w:tcW w:w="1404" w:type="dxa"/>
            <w:shd w:val="clear" w:color="auto" w:fill="DBE5F1" w:themeFill="accent1" w:themeFillTint="33"/>
            <w:vAlign w:val="center"/>
            <w:hideMark/>
          </w:tcPr>
          <w:p w14:paraId="528BB885"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964.8</w:t>
            </w:r>
          </w:p>
        </w:tc>
        <w:tc>
          <w:tcPr>
            <w:tcW w:w="1297" w:type="dxa"/>
            <w:shd w:val="clear" w:color="auto" w:fill="DBE5F1" w:themeFill="accent1" w:themeFillTint="33"/>
            <w:vAlign w:val="center"/>
            <w:hideMark/>
          </w:tcPr>
          <w:p w14:paraId="5532A673"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5.3</w:t>
            </w:r>
          </w:p>
        </w:tc>
        <w:tc>
          <w:tcPr>
            <w:tcW w:w="1396" w:type="dxa"/>
            <w:shd w:val="clear" w:color="auto" w:fill="DBE5F1" w:themeFill="accent1" w:themeFillTint="33"/>
            <w:vAlign w:val="center"/>
            <w:hideMark/>
          </w:tcPr>
          <w:p w14:paraId="13286558"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509.7</w:t>
            </w:r>
          </w:p>
        </w:tc>
        <w:tc>
          <w:tcPr>
            <w:tcW w:w="1337" w:type="dxa"/>
            <w:shd w:val="clear" w:color="auto" w:fill="DBE5F1" w:themeFill="accent1" w:themeFillTint="33"/>
            <w:vAlign w:val="center"/>
            <w:hideMark/>
          </w:tcPr>
          <w:p w14:paraId="0FC49319" w14:textId="77777777" w:rsidR="002620C9" w:rsidRPr="00545318" w:rsidRDefault="002620C9" w:rsidP="002620C9">
            <w:pPr>
              <w:keepNext/>
              <w:keepLines/>
              <w:spacing w:before="60" w:after="60"/>
              <w:jc w:val="right"/>
              <w:rPr>
                <w:rFonts w:ascii="Arial" w:hAnsi="Arial" w:cs="Arial"/>
                <w:i/>
                <w:color w:val="595A5B"/>
                <w:sz w:val="18"/>
                <w:szCs w:val="18"/>
                <w:lang w:val="en-AU"/>
              </w:rPr>
            </w:pPr>
            <w:r w:rsidRPr="00545318">
              <w:rPr>
                <w:rFonts w:ascii="Arial" w:hAnsi="Arial" w:cs="Arial"/>
                <w:color w:val="595A5B"/>
                <w:sz w:val="18"/>
                <w:szCs w:val="18"/>
                <w:lang w:val="en-AU"/>
              </w:rPr>
              <w:t>52.8</w:t>
            </w:r>
          </w:p>
        </w:tc>
      </w:tr>
      <w:tr w:rsidR="002620C9" w:rsidRPr="00545318" w14:paraId="77498E63" w14:textId="77777777" w:rsidTr="002620C9">
        <w:trPr>
          <w:trHeight w:val="250"/>
        </w:trPr>
        <w:tc>
          <w:tcPr>
            <w:tcW w:w="3654" w:type="dxa"/>
            <w:shd w:val="clear" w:color="auto" w:fill="DBE5F1" w:themeFill="accent1" w:themeFillTint="33"/>
            <w:noWrap/>
            <w:vAlign w:val="center"/>
            <w:hideMark/>
          </w:tcPr>
          <w:p w14:paraId="12DFD25A" w14:textId="77777777" w:rsidR="002620C9" w:rsidRPr="00545318" w:rsidRDefault="002620C9" w:rsidP="002620C9">
            <w:pPr>
              <w:keepNext/>
              <w:keepLines/>
              <w:spacing w:before="60" w:after="60"/>
              <w:rPr>
                <w:rFonts w:ascii="Arial" w:hAnsi="Arial" w:cs="Arial"/>
                <w:b/>
                <w:i/>
                <w:color w:val="595A5B"/>
                <w:sz w:val="18"/>
                <w:szCs w:val="18"/>
                <w:lang w:val="en-AU"/>
              </w:rPr>
            </w:pPr>
            <w:r w:rsidRPr="00545318">
              <w:rPr>
                <w:rFonts w:ascii="Arial" w:hAnsi="Arial" w:cs="Arial"/>
                <w:b/>
                <w:color w:val="595A5B"/>
                <w:sz w:val="18"/>
                <w:szCs w:val="18"/>
                <w:lang w:val="en-AU"/>
              </w:rPr>
              <w:t xml:space="preserve">Top three industries by value </w:t>
            </w:r>
          </w:p>
        </w:tc>
        <w:tc>
          <w:tcPr>
            <w:tcW w:w="1404" w:type="dxa"/>
            <w:shd w:val="clear" w:color="auto" w:fill="DBE5F1" w:themeFill="accent1" w:themeFillTint="33"/>
            <w:vAlign w:val="center"/>
            <w:hideMark/>
          </w:tcPr>
          <w:p w14:paraId="2F958E2E" w14:textId="77777777" w:rsidR="002620C9" w:rsidRPr="00545318" w:rsidRDefault="002620C9" w:rsidP="002620C9">
            <w:pPr>
              <w:keepNext/>
              <w:keepLines/>
              <w:spacing w:before="60" w:after="60"/>
              <w:jc w:val="right"/>
              <w:rPr>
                <w:rFonts w:ascii="Arial" w:hAnsi="Arial" w:cs="Arial"/>
                <w:b/>
                <w:i/>
                <w:color w:val="595A5B"/>
                <w:sz w:val="18"/>
                <w:szCs w:val="18"/>
                <w:lang w:val="en-AU"/>
              </w:rPr>
            </w:pPr>
            <w:r w:rsidRPr="00545318">
              <w:rPr>
                <w:rFonts w:ascii="Arial" w:hAnsi="Arial" w:cs="Arial"/>
                <w:b/>
                <w:color w:val="595A5B"/>
                <w:sz w:val="18"/>
                <w:szCs w:val="18"/>
                <w:lang w:val="en-AU"/>
              </w:rPr>
              <w:t>17,519.7</w:t>
            </w:r>
          </w:p>
        </w:tc>
        <w:tc>
          <w:tcPr>
            <w:tcW w:w="1297" w:type="dxa"/>
            <w:shd w:val="clear" w:color="auto" w:fill="DBE5F1" w:themeFill="accent1" w:themeFillTint="33"/>
            <w:vAlign w:val="center"/>
            <w:hideMark/>
          </w:tcPr>
          <w:p w14:paraId="177C5022" w14:textId="77777777" w:rsidR="002620C9" w:rsidRPr="00545318" w:rsidRDefault="002620C9" w:rsidP="002620C9">
            <w:pPr>
              <w:keepNext/>
              <w:keepLines/>
              <w:spacing w:before="60" w:after="60"/>
              <w:jc w:val="right"/>
              <w:rPr>
                <w:rFonts w:ascii="Arial" w:hAnsi="Arial" w:cs="Arial"/>
                <w:b/>
                <w:i/>
                <w:color w:val="595A5B"/>
                <w:sz w:val="18"/>
                <w:szCs w:val="18"/>
                <w:lang w:val="en-AU"/>
              </w:rPr>
            </w:pPr>
            <w:r w:rsidRPr="00545318">
              <w:rPr>
                <w:rFonts w:ascii="Arial" w:hAnsi="Arial" w:cs="Arial"/>
                <w:b/>
                <w:color w:val="595A5B"/>
                <w:sz w:val="18"/>
                <w:szCs w:val="18"/>
                <w:lang w:val="en-AU"/>
              </w:rPr>
              <w:t>96.7</w:t>
            </w:r>
          </w:p>
        </w:tc>
        <w:tc>
          <w:tcPr>
            <w:tcW w:w="1396" w:type="dxa"/>
            <w:shd w:val="clear" w:color="auto" w:fill="DBE5F1" w:themeFill="accent1" w:themeFillTint="33"/>
            <w:vAlign w:val="center"/>
            <w:hideMark/>
          </w:tcPr>
          <w:p w14:paraId="171ADE87" w14:textId="77777777" w:rsidR="002620C9" w:rsidRPr="00545318" w:rsidRDefault="002620C9" w:rsidP="002620C9">
            <w:pPr>
              <w:keepNext/>
              <w:keepLines/>
              <w:spacing w:before="60" w:after="60"/>
              <w:jc w:val="right"/>
              <w:rPr>
                <w:rFonts w:ascii="Arial" w:hAnsi="Arial" w:cs="Arial"/>
                <w:b/>
                <w:i/>
                <w:color w:val="595A5B"/>
                <w:sz w:val="18"/>
                <w:szCs w:val="18"/>
                <w:lang w:val="en-AU"/>
              </w:rPr>
            </w:pPr>
            <w:r w:rsidRPr="00545318">
              <w:rPr>
                <w:rFonts w:ascii="Arial" w:hAnsi="Arial" w:cs="Arial"/>
                <w:b/>
                <w:color w:val="595A5B"/>
                <w:sz w:val="18"/>
                <w:szCs w:val="18"/>
                <w:lang w:val="en-AU"/>
              </w:rPr>
              <w:t>5,937.4</w:t>
            </w:r>
          </w:p>
        </w:tc>
        <w:tc>
          <w:tcPr>
            <w:tcW w:w="1337" w:type="dxa"/>
            <w:shd w:val="clear" w:color="auto" w:fill="DBE5F1" w:themeFill="accent1" w:themeFillTint="33"/>
            <w:vAlign w:val="center"/>
            <w:hideMark/>
          </w:tcPr>
          <w:p w14:paraId="7CD7A107" w14:textId="77777777" w:rsidR="002620C9" w:rsidRPr="00545318" w:rsidRDefault="002620C9" w:rsidP="002620C9">
            <w:pPr>
              <w:keepNext/>
              <w:keepLines/>
              <w:spacing w:before="60" w:after="60"/>
              <w:jc w:val="right"/>
              <w:rPr>
                <w:rFonts w:ascii="Arial" w:hAnsi="Arial" w:cs="Arial"/>
                <w:b/>
                <w:i/>
                <w:color w:val="595A5B"/>
                <w:sz w:val="18"/>
                <w:szCs w:val="18"/>
                <w:lang w:val="en-AU"/>
              </w:rPr>
            </w:pPr>
            <w:r w:rsidRPr="00545318">
              <w:rPr>
                <w:rFonts w:ascii="Arial" w:hAnsi="Arial" w:cs="Arial"/>
                <w:b/>
                <w:color w:val="595A5B"/>
                <w:sz w:val="18"/>
                <w:szCs w:val="18"/>
                <w:lang w:val="en-AU"/>
              </w:rPr>
              <w:t>33.9</w:t>
            </w:r>
          </w:p>
        </w:tc>
      </w:tr>
    </w:tbl>
    <w:p w14:paraId="5BE86E1D" w14:textId="77777777" w:rsidR="002620C9" w:rsidRPr="00545318" w:rsidRDefault="002620C9" w:rsidP="002620C9">
      <w:pPr>
        <w:keepLines/>
        <w:pBdr>
          <w:bottom w:val="single" w:sz="4" w:space="1" w:color="595A5B"/>
        </w:pBdr>
        <w:spacing w:before="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Notes: Industries that have the highest demand, by value, for iron and steel manufacturing products. </w:t>
      </w:r>
    </w:p>
    <w:p w14:paraId="7ED53C00"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ABS, Australian National Accounts: Input-Output Tables, 2013-14 cat. no. 5209.0.55.001.</w:t>
      </w:r>
    </w:p>
    <w:p w14:paraId="556BDAAA" w14:textId="0A94DAE1" w:rsidR="002620C9" w:rsidRPr="00545318" w:rsidRDefault="002620C9" w:rsidP="002620C9">
      <w:pPr>
        <w:spacing w:before="120" w:after="120"/>
      </w:pPr>
      <w:r w:rsidRPr="00545318">
        <w:t xml:space="preserve">As steel is an intermediate product, the demand for steel products in Australia is driven by demand for these services. Figures 2.3 and 2.4 illustrate how these three sectors have grown over time in terms of output and employment. The Construction industry, which is the second largest consumer of steel products, has grown at 3.7 </w:t>
      </w:r>
      <w:r w:rsidR="00620A65" w:rsidRPr="00545318">
        <w:t>per cent</w:t>
      </w:r>
      <w:r w:rsidRPr="00545318">
        <w:t xml:space="preserve"> per year for the past five years in terms of Industry Value Add. Over the last decade, employment in the industry has grown from around 880,000 persons to nearly 1,080,000.</w:t>
      </w:r>
    </w:p>
    <w:p w14:paraId="25B07F9B"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w:t>
      </w:r>
      <w:r w:rsidRPr="00545318">
        <w:rPr>
          <w:rFonts w:ascii="Arial" w:hAnsi="Arial"/>
          <w:bCs/>
          <w:color w:val="4F81BD" w:themeColor="accent1"/>
          <w:sz w:val="18"/>
          <w:szCs w:val="18"/>
          <w:lang w:val="en-AU"/>
        </w:rPr>
        <w:fldChar w:fldCharType="begin"/>
      </w:r>
      <w:r w:rsidRPr="00545318">
        <w:rPr>
          <w:rFonts w:ascii="Arial" w:hAnsi="Arial"/>
          <w:bCs/>
          <w:color w:val="4F81BD" w:themeColor="accent1"/>
          <w:sz w:val="18"/>
          <w:szCs w:val="18"/>
          <w:lang w:val="en-AU"/>
        </w:rPr>
        <w:instrText xml:space="preserve"> STYLEREF 1 \s </w:instrText>
      </w:r>
      <w:r w:rsidRPr="00545318">
        <w:rPr>
          <w:rFonts w:ascii="Arial" w:hAnsi="Arial"/>
          <w:bCs/>
          <w:color w:val="4F81BD" w:themeColor="accent1"/>
          <w:sz w:val="18"/>
          <w:szCs w:val="18"/>
          <w:lang w:val="en-AU"/>
        </w:rPr>
        <w:fldChar w:fldCharType="separate"/>
      </w:r>
      <w:r w:rsidR="00225A03">
        <w:rPr>
          <w:rFonts w:ascii="Arial" w:hAnsi="Arial"/>
          <w:bCs/>
          <w:noProof/>
          <w:color w:val="4F81BD" w:themeColor="accent1"/>
          <w:sz w:val="18"/>
          <w:szCs w:val="18"/>
          <w:lang w:val="en-AU"/>
        </w:rPr>
        <w:t>2</w:t>
      </w:r>
      <w:r w:rsidRPr="00545318">
        <w:rPr>
          <w:rFonts w:ascii="Arial" w:hAnsi="Arial"/>
          <w:bCs/>
          <w:noProof/>
          <w:color w:val="4F81BD" w:themeColor="accent1"/>
          <w:sz w:val="18"/>
          <w:szCs w:val="18"/>
          <w:lang w:val="en-AU"/>
        </w:rPr>
        <w:fldChar w:fldCharType="end"/>
      </w:r>
      <w:r w:rsidRPr="00545318">
        <w:rPr>
          <w:rFonts w:ascii="Arial" w:hAnsi="Arial"/>
          <w:bCs/>
          <w:color w:val="4F81BD" w:themeColor="accent1"/>
          <w:sz w:val="18"/>
          <w:szCs w:val="18"/>
          <w:lang w:val="en-AU"/>
        </w:rPr>
        <w:t>.3: Industry Value Added for top three industries purchasing iron and steel manufacturing products, by value, 2004-05 to 2014-15</w:t>
      </w:r>
    </w:p>
    <w:tbl>
      <w:tblPr>
        <w:tblStyle w:val="OCETable5"/>
        <w:tblW w:w="0" w:type="auto"/>
        <w:tblLayout w:type="fixed"/>
        <w:tblLook w:val="04A0" w:firstRow="1" w:lastRow="0" w:firstColumn="1" w:lastColumn="0" w:noHBand="0" w:noVBand="1"/>
      </w:tblPr>
      <w:tblGrid>
        <w:gridCol w:w="9039"/>
      </w:tblGrid>
      <w:tr w:rsidR="002620C9" w:rsidRPr="00545318" w14:paraId="74354FBF" w14:textId="77777777" w:rsidTr="002620C9">
        <w:trPr>
          <w:cnfStyle w:val="100000000000" w:firstRow="1" w:lastRow="0" w:firstColumn="0" w:lastColumn="0" w:oddVBand="0" w:evenVBand="0" w:oddHBand="0" w:evenHBand="0" w:firstRowFirstColumn="0" w:firstRowLastColumn="0" w:lastRowFirstColumn="0" w:lastRowLastColumn="0"/>
        </w:trPr>
        <w:tc>
          <w:tcPr>
            <w:tcW w:w="9039" w:type="dxa"/>
            <w:shd w:val="clear" w:color="auto" w:fill="auto"/>
          </w:tcPr>
          <w:p w14:paraId="7F1C1A99" w14:textId="77777777" w:rsidR="002620C9" w:rsidRPr="00545318" w:rsidRDefault="002620C9" w:rsidP="002620C9">
            <w:pPr>
              <w:keepNext/>
              <w:keepLines/>
              <w:jc w:val="center"/>
              <w:rPr>
                <w:rFonts w:ascii="Arial" w:hAnsi="Arial"/>
                <w:color w:val="595A5B"/>
                <w:lang w:val="en-AU"/>
              </w:rPr>
            </w:pPr>
            <w:r w:rsidRPr="00545318">
              <w:rPr>
                <w:noProof/>
                <w:lang w:val="en-AU" w:eastAsia="en-AU"/>
              </w:rPr>
              <w:drawing>
                <wp:inline distT="0" distB="0" distL="0" distR="0" wp14:anchorId="313489A3" wp14:editId="4790F281">
                  <wp:extent cx="5602605" cy="3009900"/>
                  <wp:effectExtent l="0" t="0" r="17145" b="0"/>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3C414F71" w14:textId="35E6180B"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Chain volume measures.</w:t>
      </w:r>
      <w:r w:rsidR="006522D5" w:rsidRPr="00545318">
        <w:rPr>
          <w:rFonts w:ascii="Arial" w:eastAsia="Times New Roman" w:hAnsi="Arial" w:cs="Arial"/>
          <w:color w:val="22789A"/>
          <w:sz w:val="16"/>
          <w:szCs w:val="20"/>
          <w:lang w:val="en-AU"/>
        </w:rPr>
        <w:t xml:space="preserve"> Chain volume measures only vary with changes in the quantities of commodities produced or sold. Chain volume measures value quantities by using prices in a base period which is updated annually.</w:t>
      </w:r>
    </w:p>
    <w:p w14:paraId="30918209"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Sources: ABS, Australian System of National Accounts, 2014-15, cat. no. 5204.0.</w:t>
      </w:r>
    </w:p>
    <w:p w14:paraId="593660E5" w14:textId="77777777" w:rsidR="002620C9" w:rsidRPr="00545318" w:rsidRDefault="002620C9" w:rsidP="002620C9">
      <w:pPr>
        <w:keepNext/>
        <w:keepLines/>
        <w:pBdr>
          <w:top w:val="single" w:sz="2" w:space="1" w:color="595A5B"/>
        </w:pBdr>
        <w:spacing w:before="12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2.4: Employment for top three industries purchasing iron and steel manufacturing products, May 2006 to May 2016</w:t>
      </w:r>
    </w:p>
    <w:p w14:paraId="163011ED" w14:textId="77777777" w:rsidR="002620C9" w:rsidRPr="00545318" w:rsidRDefault="002620C9" w:rsidP="002620C9">
      <w:pPr>
        <w:keepNext/>
        <w:keepLines/>
        <w:jc w:val="center"/>
        <w:rPr>
          <w:rFonts w:ascii="Arial" w:hAnsi="Arial"/>
          <w:color w:val="595A5B"/>
          <w:sz w:val="18"/>
          <w:lang w:val="en-AU"/>
        </w:rPr>
      </w:pPr>
      <w:r w:rsidRPr="00545318">
        <w:rPr>
          <w:noProof/>
          <w:lang w:val="en-AU" w:eastAsia="en-AU"/>
        </w:rPr>
        <w:drawing>
          <wp:inline distT="0" distB="0" distL="0" distR="0" wp14:anchorId="1EB412DC" wp14:editId="7D444D25">
            <wp:extent cx="5667375" cy="3044825"/>
            <wp:effectExtent l="0" t="0" r="9525" b="3175"/>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D2C77AE" w14:textId="77777777"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Trend data.</w:t>
      </w:r>
    </w:p>
    <w:p w14:paraId="3DF82C19"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ABS, Labour Force, Australia, Detailed, Quarterly, May 2016, cat. no. 6291.0.55.003.</w:t>
      </w:r>
    </w:p>
    <w:p w14:paraId="3FBF1D56" w14:textId="77777777" w:rsidR="00BB4916" w:rsidRPr="00545318" w:rsidRDefault="00BB4916">
      <w:pPr>
        <w:spacing w:after="200" w:line="276" w:lineRule="auto"/>
        <w:rPr>
          <w:rFonts w:asciiTheme="majorHAnsi" w:eastAsiaTheme="majorEastAsia" w:hAnsiTheme="majorHAnsi" w:cstheme="majorBidi"/>
          <w:b/>
          <w:bCs/>
          <w:color w:val="4F81BD" w:themeColor="accent1"/>
        </w:rPr>
      </w:pPr>
      <w:r w:rsidRPr="00545318">
        <w:br w:type="page"/>
      </w:r>
    </w:p>
    <w:p w14:paraId="74C08568" w14:textId="72F1C27D" w:rsidR="002620C9" w:rsidRPr="00545318" w:rsidRDefault="002620C9" w:rsidP="002620C9">
      <w:pPr>
        <w:pStyle w:val="Heading3"/>
        <w:spacing w:after="120"/>
      </w:pPr>
      <w:r w:rsidRPr="00545318">
        <w:t>Global aluminium consumption</w:t>
      </w:r>
    </w:p>
    <w:p w14:paraId="18CAEE2E" w14:textId="77777777" w:rsidR="002620C9" w:rsidRPr="00545318" w:rsidRDefault="002620C9" w:rsidP="002620C9">
      <w:pPr>
        <w:spacing w:before="120" w:after="120"/>
      </w:pPr>
      <w:r w:rsidRPr="00545318">
        <w:t>Aluminium has a broad range of uses. It is primarily used in the manufacturing of automobiles, packaging and construction, and is also used in electrical applications, machinery and consumer durables.</w:t>
      </w:r>
    </w:p>
    <w:p w14:paraId="3C2016E1" w14:textId="36CACDFE" w:rsidR="002620C9" w:rsidRPr="00545318" w:rsidRDefault="002620C9" w:rsidP="002620C9">
      <w:pPr>
        <w:spacing w:before="120" w:after="120"/>
      </w:pPr>
      <w:r w:rsidRPr="00545318">
        <w:t xml:space="preserve">Figure 2.5 shows the growth in consumption over the past decade. Over this period total aluminium consumption increased by 23 million tonnes—a 68 </w:t>
      </w:r>
      <w:r w:rsidR="00620A65" w:rsidRPr="00545318">
        <w:t>per cent</w:t>
      </w:r>
      <w:r w:rsidRPr="00545318">
        <w:t xml:space="preserve"> increase. Most of this growth can be ascribed to China, which currently accounts for more than half of the world's consumption. Over the past decade China’s consumption more than doubled, an increase of 22 million tonnes. </w:t>
      </w:r>
    </w:p>
    <w:p w14:paraId="361A8A1C"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2.5: Selected aluminium consumers, 2006 to 2015</w:t>
      </w:r>
    </w:p>
    <w:p w14:paraId="33311BE1" w14:textId="77777777" w:rsidR="002620C9" w:rsidRPr="00545318" w:rsidRDefault="002620C9" w:rsidP="002620C9">
      <w:pPr>
        <w:keepNext/>
        <w:keepLines/>
        <w:rPr>
          <w:rFonts w:ascii="Arial" w:hAnsi="Arial"/>
          <w:color w:val="595A5B"/>
          <w:sz w:val="18"/>
          <w:lang w:val="en-AU"/>
        </w:rPr>
      </w:pPr>
    </w:p>
    <w:p w14:paraId="7E075A0E" w14:textId="77777777" w:rsidR="002620C9" w:rsidRPr="00545318" w:rsidRDefault="002620C9" w:rsidP="002620C9">
      <w:pPr>
        <w:keepNext/>
        <w:keepLines/>
        <w:rPr>
          <w:rFonts w:ascii="Arial" w:hAnsi="Arial"/>
          <w:color w:val="595A5B"/>
          <w:sz w:val="18"/>
          <w:lang w:val="en-AU"/>
        </w:rPr>
      </w:pPr>
      <w:r w:rsidRPr="00545318">
        <w:rPr>
          <w:rFonts w:ascii="Arial" w:hAnsi="Arial"/>
          <w:noProof/>
          <w:color w:val="595A5B"/>
          <w:sz w:val="18"/>
          <w:lang w:val="en-AU" w:eastAsia="en-AU"/>
        </w:rPr>
        <w:drawing>
          <wp:inline distT="0" distB="0" distL="0" distR="0" wp14:anchorId="405092BB" wp14:editId="6E19E75F">
            <wp:extent cx="5702060" cy="219973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B16CAAF" w14:textId="77777777" w:rsidR="002620C9" w:rsidRPr="00545318" w:rsidRDefault="002620C9" w:rsidP="002620C9">
      <w:pPr>
        <w:keepLines/>
        <w:pBdr>
          <w:bottom w:val="single" w:sz="4" w:space="1" w:color="595A5B"/>
        </w:pBdr>
        <w:spacing w:before="6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WBMS; Department of Industry, Innovation and Science.</w:t>
      </w:r>
    </w:p>
    <w:p w14:paraId="346AA8AA" w14:textId="77777777" w:rsidR="002620C9" w:rsidRPr="00545318" w:rsidRDefault="002620C9" w:rsidP="002620C9">
      <w:pPr>
        <w:pStyle w:val="Heading3"/>
        <w:spacing w:after="120"/>
      </w:pPr>
      <w:r w:rsidRPr="00545318">
        <w:t>Demand for aluminium in Australia</w:t>
      </w:r>
    </w:p>
    <w:p w14:paraId="7AD55CCB" w14:textId="0BC54E39" w:rsidR="002620C9" w:rsidRPr="00545318" w:rsidRDefault="002620C9" w:rsidP="002620C9">
      <w:pPr>
        <w:spacing w:before="120" w:after="120"/>
      </w:pPr>
      <w:r w:rsidRPr="00545318">
        <w:t xml:space="preserve">Similar to the steel industry, purchase of aluminium products is highly concentrated. The Manufacturing industry purchased 83.6 </w:t>
      </w:r>
      <w:r w:rsidR="00620A65" w:rsidRPr="00545318">
        <w:t>per cent</w:t>
      </w:r>
      <w:r w:rsidRPr="00545318">
        <w:t xml:space="preserve"> of aluminium products in 2013–14, followed by Construction with 7.7 </w:t>
      </w:r>
      <w:r w:rsidR="00620A65" w:rsidRPr="00545318">
        <w:t>per cent</w:t>
      </w:r>
      <w:r w:rsidRPr="00545318">
        <w:t xml:space="preserve">. Table 2.2 presents more information on the major consumers of aluminium products. </w:t>
      </w:r>
    </w:p>
    <w:p w14:paraId="6655CC2F"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Table 2.2: Top three industries purchasing aluminium products by value, 2013–14 </w:t>
      </w:r>
    </w:p>
    <w:tbl>
      <w:tblPr>
        <w:tblW w:w="4985" w:type="pct"/>
        <w:tblInd w:w="108" w:type="dxa"/>
        <w:shd w:val="clear" w:color="auto" w:fill="DBE5F1" w:themeFill="accent1" w:themeFillTint="33"/>
        <w:tblLayout w:type="fixed"/>
        <w:tblLook w:val="04A0" w:firstRow="1" w:lastRow="0" w:firstColumn="1" w:lastColumn="0" w:noHBand="0" w:noVBand="1"/>
      </w:tblPr>
      <w:tblGrid>
        <w:gridCol w:w="2909"/>
        <w:gridCol w:w="1804"/>
        <w:gridCol w:w="1559"/>
        <w:gridCol w:w="1418"/>
        <w:gridCol w:w="1310"/>
      </w:tblGrid>
      <w:tr w:rsidR="002620C9" w:rsidRPr="00545318" w14:paraId="53FC3C9D" w14:textId="77777777" w:rsidTr="00B16697">
        <w:trPr>
          <w:trHeight w:val="258"/>
        </w:trPr>
        <w:tc>
          <w:tcPr>
            <w:tcW w:w="1616" w:type="pct"/>
            <w:shd w:val="clear" w:color="auto" w:fill="4F81BD" w:themeFill="accent1"/>
            <w:noWrap/>
            <w:vAlign w:val="bottom"/>
            <w:hideMark/>
          </w:tcPr>
          <w:p w14:paraId="04870B68" w14:textId="44AC9C0E" w:rsidR="002620C9" w:rsidRPr="00D42129" w:rsidRDefault="002620C9" w:rsidP="00D42129">
            <w:pPr>
              <w:keepNext/>
              <w:spacing w:before="120" w:after="120"/>
              <w:jc w:val="center"/>
              <w:rPr>
                <w:rFonts w:ascii="Arial" w:hAnsi="Arial" w:cs="Arial"/>
                <w:b/>
                <w:i/>
                <w:color w:val="FFFFFF" w:themeColor="background1"/>
                <w:sz w:val="18"/>
                <w:szCs w:val="18"/>
                <w:lang w:val="en-AU"/>
              </w:rPr>
            </w:pPr>
            <w:r w:rsidRPr="00D42129">
              <w:rPr>
                <w:rFonts w:ascii="Arial" w:hAnsi="Arial" w:cs="Arial"/>
                <w:b/>
                <w:i/>
                <w:color w:val="FFFFFF" w:themeColor="background1"/>
                <w:sz w:val="18"/>
                <w:szCs w:val="18"/>
                <w:lang w:val="en-AU"/>
              </w:rPr>
              <w:t>Industry</w:t>
            </w:r>
          </w:p>
        </w:tc>
        <w:tc>
          <w:tcPr>
            <w:tcW w:w="1002" w:type="pct"/>
            <w:shd w:val="clear" w:color="auto" w:fill="4F81BD" w:themeFill="accent1"/>
            <w:vAlign w:val="bottom"/>
            <w:hideMark/>
          </w:tcPr>
          <w:p w14:paraId="4BCD5093" w14:textId="77777777" w:rsidR="002620C9" w:rsidRPr="00D42129" w:rsidRDefault="002620C9" w:rsidP="00D42129">
            <w:pPr>
              <w:keepNext/>
              <w:spacing w:before="120" w:after="120"/>
              <w:jc w:val="center"/>
              <w:rPr>
                <w:rFonts w:ascii="Arial" w:hAnsi="Arial" w:cs="Arial"/>
                <w:b/>
                <w:i/>
                <w:color w:val="FFFFFF"/>
                <w:sz w:val="18"/>
                <w:szCs w:val="18"/>
                <w:lang w:val="en-AU"/>
              </w:rPr>
            </w:pPr>
            <w:r w:rsidRPr="00D42129">
              <w:rPr>
                <w:rFonts w:ascii="Arial" w:hAnsi="Arial" w:cs="Arial"/>
                <w:b/>
                <w:i/>
                <w:color w:val="FFFFFF"/>
                <w:sz w:val="18"/>
                <w:szCs w:val="18"/>
                <w:lang w:val="en-AU"/>
              </w:rPr>
              <w:t>Aluminium supply ($ millions)</w:t>
            </w:r>
          </w:p>
        </w:tc>
        <w:tc>
          <w:tcPr>
            <w:tcW w:w="866" w:type="pct"/>
            <w:shd w:val="clear" w:color="auto" w:fill="4F81BD" w:themeFill="accent1"/>
            <w:vAlign w:val="bottom"/>
            <w:hideMark/>
          </w:tcPr>
          <w:p w14:paraId="1E98EF4C" w14:textId="350C4EE6" w:rsidR="002620C9" w:rsidRPr="00D42129" w:rsidRDefault="002620C9" w:rsidP="00D42129">
            <w:pPr>
              <w:keepNext/>
              <w:spacing w:before="120" w:after="120"/>
              <w:jc w:val="center"/>
              <w:rPr>
                <w:rFonts w:ascii="Arial" w:hAnsi="Arial" w:cs="Arial"/>
                <w:b/>
                <w:i/>
                <w:color w:val="FFFFFF"/>
                <w:sz w:val="18"/>
                <w:szCs w:val="18"/>
                <w:lang w:val="en-AU"/>
              </w:rPr>
            </w:pPr>
            <w:r w:rsidRPr="00D42129">
              <w:rPr>
                <w:rFonts w:ascii="Arial" w:hAnsi="Arial" w:cs="Arial"/>
                <w:b/>
                <w:i/>
                <w:color w:val="FFFFFF"/>
                <w:sz w:val="18"/>
                <w:szCs w:val="18"/>
                <w:lang w:val="en-AU"/>
              </w:rPr>
              <w:t>Share of aluminium of input (</w:t>
            </w:r>
            <w:r w:rsidR="00620A65" w:rsidRPr="00D42129">
              <w:rPr>
                <w:rFonts w:ascii="Arial" w:hAnsi="Arial" w:cs="Arial"/>
                <w:b/>
                <w:i/>
                <w:color w:val="FFFFFF"/>
                <w:sz w:val="18"/>
                <w:szCs w:val="18"/>
                <w:lang w:val="en-AU"/>
              </w:rPr>
              <w:t>per cent</w:t>
            </w:r>
            <w:r w:rsidRPr="00D42129">
              <w:rPr>
                <w:rFonts w:ascii="Arial" w:hAnsi="Arial" w:cs="Arial"/>
                <w:b/>
                <w:i/>
                <w:color w:val="FFFFFF"/>
                <w:sz w:val="18"/>
                <w:szCs w:val="18"/>
                <w:lang w:val="en-AU"/>
              </w:rPr>
              <w:t>)</w:t>
            </w:r>
          </w:p>
        </w:tc>
        <w:tc>
          <w:tcPr>
            <w:tcW w:w="788" w:type="pct"/>
            <w:shd w:val="clear" w:color="auto" w:fill="4F81BD" w:themeFill="accent1"/>
            <w:vAlign w:val="bottom"/>
            <w:hideMark/>
          </w:tcPr>
          <w:p w14:paraId="6C20EC8E" w14:textId="77777777" w:rsidR="002620C9" w:rsidRPr="00D42129" w:rsidRDefault="002620C9" w:rsidP="00D42129">
            <w:pPr>
              <w:keepNext/>
              <w:spacing w:before="120" w:after="120"/>
              <w:jc w:val="center"/>
              <w:rPr>
                <w:rFonts w:ascii="Arial" w:hAnsi="Arial" w:cs="Arial"/>
                <w:b/>
                <w:i/>
                <w:color w:val="FFFFFF"/>
                <w:sz w:val="18"/>
                <w:szCs w:val="18"/>
                <w:lang w:val="en-AU"/>
              </w:rPr>
            </w:pPr>
            <w:r w:rsidRPr="00D42129">
              <w:rPr>
                <w:rFonts w:ascii="Arial" w:hAnsi="Arial" w:cs="Arial"/>
                <w:b/>
                <w:i/>
                <w:color w:val="FFFFFF"/>
                <w:sz w:val="18"/>
                <w:szCs w:val="18"/>
                <w:lang w:val="en-AU"/>
              </w:rPr>
              <w:t>Import supply ($ millions)</w:t>
            </w:r>
          </w:p>
        </w:tc>
        <w:tc>
          <w:tcPr>
            <w:tcW w:w="728" w:type="pct"/>
            <w:shd w:val="clear" w:color="auto" w:fill="4F81BD" w:themeFill="accent1"/>
            <w:vAlign w:val="bottom"/>
            <w:hideMark/>
          </w:tcPr>
          <w:p w14:paraId="461FFB65" w14:textId="7083147F" w:rsidR="002620C9" w:rsidRPr="00D42129" w:rsidRDefault="002620C9" w:rsidP="00D42129">
            <w:pPr>
              <w:keepNext/>
              <w:spacing w:before="120" w:after="120"/>
              <w:jc w:val="center"/>
              <w:rPr>
                <w:rFonts w:ascii="Arial" w:hAnsi="Arial" w:cs="Arial"/>
                <w:b/>
                <w:i/>
                <w:color w:val="FFFFFF"/>
                <w:sz w:val="18"/>
                <w:szCs w:val="18"/>
                <w:lang w:val="en-AU"/>
              </w:rPr>
            </w:pPr>
            <w:r w:rsidRPr="00D42129">
              <w:rPr>
                <w:rFonts w:ascii="Arial" w:hAnsi="Arial" w:cs="Arial"/>
                <w:b/>
                <w:i/>
                <w:color w:val="FFFFFF"/>
                <w:sz w:val="18"/>
                <w:szCs w:val="18"/>
                <w:lang w:val="en-AU"/>
              </w:rPr>
              <w:t>Import share of supply (</w:t>
            </w:r>
            <w:r w:rsidR="00620A65" w:rsidRPr="00D42129">
              <w:rPr>
                <w:rFonts w:ascii="Arial" w:hAnsi="Arial" w:cs="Arial"/>
                <w:b/>
                <w:i/>
                <w:color w:val="FFFFFF"/>
                <w:sz w:val="18"/>
                <w:szCs w:val="18"/>
                <w:lang w:val="en-AU"/>
              </w:rPr>
              <w:t>per cent</w:t>
            </w:r>
            <w:r w:rsidRPr="00D42129">
              <w:rPr>
                <w:rFonts w:ascii="Arial" w:hAnsi="Arial" w:cs="Arial"/>
                <w:b/>
                <w:i/>
                <w:color w:val="FFFFFF"/>
                <w:sz w:val="18"/>
                <w:szCs w:val="18"/>
                <w:lang w:val="en-AU"/>
              </w:rPr>
              <w:t>)</w:t>
            </w:r>
          </w:p>
        </w:tc>
      </w:tr>
      <w:tr w:rsidR="002620C9" w:rsidRPr="00545318" w14:paraId="5EF4EBBE" w14:textId="77777777" w:rsidTr="00B16697">
        <w:trPr>
          <w:trHeight w:val="258"/>
        </w:trPr>
        <w:tc>
          <w:tcPr>
            <w:tcW w:w="1616" w:type="pct"/>
            <w:shd w:val="clear" w:color="auto" w:fill="DBE5F1" w:themeFill="accent1" w:themeFillTint="33"/>
            <w:noWrap/>
            <w:vAlign w:val="center"/>
            <w:hideMark/>
          </w:tcPr>
          <w:p w14:paraId="0EAE3498" w14:textId="77777777" w:rsidR="002620C9" w:rsidRPr="00545318" w:rsidRDefault="002620C9" w:rsidP="002620C9">
            <w:pPr>
              <w:keepNext/>
              <w:keepLines/>
              <w:spacing w:before="60" w:after="60"/>
              <w:rPr>
                <w:rFonts w:ascii="Arial" w:hAnsi="Arial" w:cs="Arial"/>
                <w:color w:val="595A5B"/>
                <w:sz w:val="18"/>
                <w:szCs w:val="18"/>
                <w:lang w:val="en-AU"/>
              </w:rPr>
            </w:pPr>
            <w:r w:rsidRPr="00545318">
              <w:rPr>
                <w:rFonts w:ascii="Arial" w:hAnsi="Arial" w:cs="Arial"/>
                <w:color w:val="595A5B"/>
                <w:sz w:val="18"/>
                <w:szCs w:val="18"/>
                <w:lang w:val="en-AU"/>
              </w:rPr>
              <w:t>Manufacturing</w:t>
            </w:r>
          </w:p>
        </w:tc>
        <w:tc>
          <w:tcPr>
            <w:tcW w:w="1002" w:type="pct"/>
            <w:shd w:val="clear" w:color="auto" w:fill="DBE5F1" w:themeFill="accent1" w:themeFillTint="33"/>
            <w:vAlign w:val="center"/>
            <w:hideMark/>
          </w:tcPr>
          <w:p w14:paraId="4C2471BA"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1,636.3</w:t>
            </w:r>
          </w:p>
        </w:tc>
        <w:tc>
          <w:tcPr>
            <w:tcW w:w="866" w:type="pct"/>
            <w:shd w:val="clear" w:color="auto" w:fill="DBE5F1" w:themeFill="accent1" w:themeFillTint="33"/>
            <w:vAlign w:val="center"/>
            <w:hideMark/>
          </w:tcPr>
          <w:p w14:paraId="2D2BC37D"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83.6</w:t>
            </w:r>
          </w:p>
        </w:tc>
        <w:tc>
          <w:tcPr>
            <w:tcW w:w="788" w:type="pct"/>
            <w:shd w:val="clear" w:color="auto" w:fill="DBE5F1" w:themeFill="accent1" w:themeFillTint="33"/>
            <w:vAlign w:val="center"/>
            <w:hideMark/>
          </w:tcPr>
          <w:p w14:paraId="02F760DD"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677.1</w:t>
            </w:r>
          </w:p>
        </w:tc>
        <w:tc>
          <w:tcPr>
            <w:tcW w:w="728" w:type="pct"/>
            <w:shd w:val="clear" w:color="auto" w:fill="DBE5F1" w:themeFill="accent1" w:themeFillTint="33"/>
            <w:vAlign w:val="center"/>
            <w:hideMark/>
          </w:tcPr>
          <w:p w14:paraId="674BB894"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41.4</w:t>
            </w:r>
          </w:p>
        </w:tc>
      </w:tr>
      <w:tr w:rsidR="002620C9" w:rsidRPr="00545318" w14:paraId="534E4416" w14:textId="77777777" w:rsidTr="00B16697">
        <w:trPr>
          <w:trHeight w:val="258"/>
        </w:trPr>
        <w:tc>
          <w:tcPr>
            <w:tcW w:w="1616" w:type="pct"/>
            <w:shd w:val="clear" w:color="auto" w:fill="DBE5F1" w:themeFill="accent1" w:themeFillTint="33"/>
            <w:noWrap/>
            <w:vAlign w:val="center"/>
            <w:hideMark/>
          </w:tcPr>
          <w:p w14:paraId="7504D108" w14:textId="77777777" w:rsidR="002620C9" w:rsidRPr="00545318" w:rsidRDefault="002620C9" w:rsidP="002620C9">
            <w:pPr>
              <w:keepNext/>
              <w:keepLines/>
              <w:spacing w:before="60" w:after="60"/>
              <w:rPr>
                <w:rFonts w:ascii="Arial" w:hAnsi="Arial" w:cs="Arial"/>
                <w:color w:val="595A5B"/>
                <w:sz w:val="18"/>
                <w:szCs w:val="18"/>
                <w:lang w:val="en-AU"/>
              </w:rPr>
            </w:pPr>
            <w:r w:rsidRPr="00545318">
              <w:rPr>
                <w:rFonts w:ascii="Arial" w:hAnsi="Arial"/>
                <w:color w:val="595A5B"/>
                <w:sz w:val="18"/>
                <w:lang w:val="en-AU"/>
              </w:rPr>
              <w:t>Construction</w:t>
            </w:r>
          </w:p>
        </w:tc>
        <w:tc>
          <w:tcPr>
            <w:tcW w:w="1002" w:type="pct"/>
            <w:shd w:val="clear" w:color="auto" w:fill="DBE5F1" w:themeFill="accent1" w:themeFillTint="33"/>
            <w:vAlign w:val="center"/>
            <w:hideMark/>
          </w:tcPr>
          <w:p w14:paraId="54D40728"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150.9</w:t>
            </w:r>
          </w:p>
        </w:tc>
        <w:tc>
          <w:tcPr>
            <w:tcW w:w="866" w:type="pct"/>
            <w:shd w:val="clear" w:color="auto" w:fill="DBE5F1" w:themeFill="accent1" w:themeFillTint="33"/>
            <w:vAlign w:val="center"/>
            <w:hideMark/>
          </w:tcPr>
          <w:p w14:paraId="65236F0F"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7.7</w:t>
            </w:r>
          </w:p>
        </w:tc>
        <w:tc>
          <w:tcPr>
            <w:tcW w:w="788" w:type="pct"/>
            <w:shd w:val="clear" w:color="auto" w:fill="DBE5F1" w:themeFill="accent1" w:themeFillTint="33"/>
            <w:vAlign w:val="center"/>
            <w:hideMark/>
          </w:tcPr>
          <w:p w14:paraId="1B687103"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98.8</w:t>
            </w:r>
          </w:p>
        </w:tc>
        <w:tc>
          <w:tcPr>
            <w:tcW w:w="728" w:type="pct"/>
            <w:shd w:val="clear" w:color="auto" w:fill="DBE5F1" w:themeFill="accent1" w:themeFillTint="33"/>
            <w:vAlign w:val="center"/>
            <w:hideMark/>
          </w:tcPr>
          <w:p w14:paraId="10C43C69"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65.5</w:t>
            </w:r>
          </w:p>
        </w:tc>
      </w:tr>
      <w:tr w:rsidR="002620C9" w:rsidRPr="00545318" w14:paraId="67447CA1" w14:textId="77777777" w:rsidTr="00B16697">
        <w:trPr>
          <w:trHeight w:val="258"/>
        </w:trPr>
        <w:tc>
          <w:tcPr>
            <w:tcW w:w="1616" w:type="pct"/>
            <w:shd w:val="clear" w:color="auto" w:fill="DBE5F1" w:themeFill="accent1" w:themeFillTint="33"/>
            <w:noWrap/>
            <w:vAlign w:val="center"/>
            <w:hideMark/>
          </w:tcPr>
          <w:p w14:paraId="7C96E5D1" w14:textId="77777777" w:rsidR="002620C9" w:rsidRPr="00545318" w:rsidRDefault="002620C9" w:rsidP="002620C9">
            <w:pPr>
              <w:keepNext/>
              <w:keepLines/>
              <w:spacing w:before="60" w:after="60"/>
              <w:rPr>
                <w:rFonts w:ascii="Arial" w:hAnsi="Arial" w:cs="Arial"/>
                <w:color w:val="595A5B"/>
                <w:sz w:val="18"/>
                <w:szCs w:val="18"/>
                <w:lang w:val="en-AU"/>
              </w:rPr>
            </w:pPr>
            <w:r w:rsidRPr="00545318">
              <w:rPr>
                <w:rFonts w:ascii="Arial" w:hAnsi="Arial" w:cs="Arial"/>
                <w:color w:val="595A5B"/>
                <w:sz w:val="18"/>
                <w:szCs w:val="18"/>
                <w:lang w:val="en-AU"/>
              </w:rPr>
              <w:t>Wholesale Trade</w:t>
            </w:r>
          </w:p>
        </w:tc>
        <w:tc>
          <w:tcPr>
            <w:tcW w:w="1002" w:type="pct"/>
            <w:shd w:val="clear" w:color="auto" w:fill="DBE5F1" w:themeFill="accent1" w:themeFillTint="33"/>
            <w:vAlign w:val="center"/>
            <w:hideMark/>
          </w:tcPr>
          <w:p w14:paraId="43FB7D5C"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74.3</w:t>
            </w:r>
          </w:p>
        </w:tc>
        <w:tc>
          <w:tcPr>
            <w:tcW w:w="866" w:type="pct"/>
            <w:shd w:val="clear" w:color="auto" w:fill="DBE5F1" w:themeFill="accent1" w:themeFillTint="33"/>
            <w:vAlign w:val="center"/>
            <w:hideMark/>
          </w:tcPr>
          <w:p w14:paraId="220504C5"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3.8</w:t>
            </w:r>
          </w:p>
        </w:tc>
        <w:tc>
          <w:tcPr>
            <w:tcW w:w="788" w:type="pct"/>
            <w:shd w:val="clear" w:color="auto" w:fill="DBE5F1" w:themeFill="accent1" w:themeFillTint="33"/>
            <w:vAlign w:val="center"/>
            <w:hideMark/>
          </w:tcPr>
          <w:p w14:paraId="3594C4F2"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5.0</w:t>
            </w:r>
          </w:p>
        </w:tc>
        <w:tc>
          <w:tcPr>
            <w:tcW w:w="728" w:type="pct"/>
            <w:shd w:val="clear" w:color="auto" w:fill="DBE5F1" w:themeFill="accent1" w:themeFillTint="33"/>
            <w:vAlign w:val="center"/>
            <w:hideMark/>
          </w:tcPr>
          <w:p w14:paraId="2754476A" w14:textId="77777777" w:rsidR="002620C9" w:rsidRPr="00545318" w:rsidRDefault="002620C9" w:rsidP="002620C9">
            <w:pPr>
              <w:keepNext/>
              <w:keepLines/>
              <w:spacing w:before="60" w:after="60"/>
              <w:jc w:val="right"/>
              <w:rPr>
                <w:rFonts w:ascii="Arial" w:hAnsi="Arial" w:cs="Arial"/>
                <w:color w:val="595A5B"/>
                <w:sz w:val="18"/>
                <w:szCs w:val="18"/>
                <w:lang w:val="en-AU"/>
              </w:rPr>
            </w:pPr>
            <w:r w:rsidRPr="00545318">
              <w:rPr>
                <w:rFonts w:ascii="Arial" w:hAnsi="Arial" w:cs="Arial"/>
                <w:color w:val="595A5B"/>
                <w:sz w:val="18"/>
                <w:szCs w:val="18"/>
                <w:lang w:val="en-AU"/>
              </w:rPr>
              <w:t>6.8</w:t>
            </w:r>
          </w:p>
        </w:tc>
      </w:tr>
      <w:tr w:rsidR="002620C9" w:rsidRPr="00545318" w14:paraId="6C2239D9" w14:textId="77777777" w:rsidTr="00B16697">
        <w:trPr>
          <w:trHeight w:val="258"/>
        </w:trPr>
        <w:tc>
          <w:tcPr>
            <w:tcW w:w="1616" w:type="pct"/>
            <w:shd w:val="clear" w:color="auto" w:fill="DBE5F1" w:themeFill="accent1" w:themeFillTint="33"/>
            <w:noWrap/>
            <w:vAlign w:val="center"/>
            <w:hideMark/>
          </w:tcPr>
          <w:p w14:paraId="496E257F" w14:textId="77777777" w:rsidR="002620C9" w:rsidRPr="00545318" w:rsidRDefault="002620C9" w:rsidP="002620C9">
            <w:pPr>
              <w:keepNext/>
              <w:keepLines/>
              <w:spacing w:before="60" w:after="60"/>
              <w:rPr>
                <w:rFonts w:ascii="Arial" w:hAnsi="Arial" w:cs="Arial"/>
                <w:b/>
                <w:color w:val="595A5B"/>
                <w:sz w:val="18"/>
                <w:szCs w:val="18"/>
                <w:lang w:val="en-AU"/>
              </w:rPr>
            </w:pPr>
            <w:r w:rsidRPr="00545318">
              <w:rPr>
                <w:rFonts w:ascii="Arial" w:hAnsi="Arial" w:cs="Arial"/>
                <w:b/>
                <w:color w:val="595A5B"/>
                <w:sz w:val="18"/>
                <w:szCs w:val="18"/>
                <w:lang w:val="en-AU"/>
              </w:rPr>
              <w:t xml:space="preserve">Top three industries by value </w:t>
            </w:r>
          </w:p>
        </w:tc>
        <w:tc>
          <w:tcPr>
            <w:tcW w:w="1002" w:type="pct"/>
            <w:shd w:val="clear" w:color="auto" w:fill="DBE5F1" w:themeFill="accent1" w:themeFillTint="33"/>
            <w:vAlign w:val="center"/>
            <w:hideMark/>
          </w:tcPr>
          <w:p w14:paraId="21A16064" w14:textId="77777777" w:rsidR="002620C9" w:rsidRPr="00545318" w:rsidRDefault="002620C9" w:rsidP="002620C9">
            <w:pPr>
              <w:keepNext/>
              <w:keepLines/>
              <w:spacing w:before="60" w:after="60"/>
              <w:jc w:val="right"/>
              <w:rPr>
                <w:rFonts w:ascii="Arial" w:hAnsi="Arial" w:cs="Arial"/>
                <w:b/>
                <w:color w:val="595A5B"/>
                <w:sz w:val="18"/>
                <w:szCs w:val="18"/>
                <w:lang w:val="en-AU"/>
              </w:rPr>
            </w:pPr>
            <w:r w:rsidRPr="00545318">
              <w:rPr>
                <w:rFonts w:ascii="Arial" w:hAnsi="Arial" w:cs="Arial"/>
                <w:b/>
                <w:color w:val="595A5B"/>
                <w:sz w:val="18"/>
                <w:szCs w:val="18"/>
                <w:lang w:val="en-AU"/>
              </w:rPr>
              <w:t>1,861.4</w:t>
            </w:r>
          </w:p>
        </w:tc>
        <w:tc>
          <w:tcPr>
            <w:tcW w:w="866" w:type="pct"/>
            <w:shd w:val="clear" w:color="auto" w:fill="DBE5F1" w:themeFill="accent1" w:themeFillTint="33"/>
            <w:vAlign w:val="center"/>
            <w:hideMark/>
          </w:tcPr>
          <w:p w14:paraId="46FB9B58" w14:textId="77777777" w:rsidR="002620C9" w:rsidRPr="00545318" w:rsidRDefault="002620C9" w:rsidP="002620C9">
            <w:pPr>
              <w:keepNext/>
              <w:keepLines/>
              <w:spacing w:before="60" w:after="60"/>
              <w:jc w:val="right"/>
              <w:rPr>
                <w:rFonts w:ascii="Arial" w:hAnsi="Arial" w:cs="Arial"/>
                <w:b/>
                <w:color w:val="595A5B"/>
                <w:sz w:val="18"/>
                <w:szCs w:val="18"/>
                <w:lang w:val="en-AU"/>
              </w:rPr>
            </w:pPr>
            <w:r w:rsidRPr="00545318">
              <w:rPr>
                <w:rFonts w:ascii="Arial" w:hAnsi="Arial" w:cs="Arial"/>
                <w:b/>
                <w:color w:val="595A5B"/>
                <w:sz w:val="18"/>
                <w:szCs w:val="18"/>
                <w:lang w:val="en-AU"/>
              </w:rPr>
              <w:t>95.1</w:t>
            </w:r>
          </w:p>
        </w:tc>
        <w:tc>
          <w:tcPr>
            <w:tcW w:w="788" w:type="pct"/>
            <w:shd w:val="clear" w:color="auto" w:fill="DBE5F1" w:themeFill="accent1" w:themeFillTint="33"/>
            <w:vAlign w:val="center"/>
            <w:hideMark/>
          </w:tcPr>
          <w:p w14:paraId="3D834F98" w14:textId="77777777" w:rsidR="002620C9" w:rsidRPr="00545318" w:rsidRDefault="002620C9" w:rsidP="002620C9">
            <w:pPr>
              <w:keepNext/>
              <w:keepLines/>
              <w:spacing w:before="60" w:after="60"/>
              <w:jc w:val="right"/>
              <w:rPr>
                <w:rFonts w:ascii="Arial" w:hAnsi="Arial" w:cs="Arial"/>
                <w:b/>
                <w:color w:val="595A5B"/>
                <w:sz w:val="18"/>
                <w:szCs w:val="18"/>
                <w:lang w:val="en-AU"/>
              </w:rPr>
            </w:pPr>
            <w:r w:rsidRPr="00545318">
              <w:rPr>
                <w:rFonts w:ascii="Arial" w:hAnsi="Arial" w:cs="Arial"/>
                <w:b/>
                <w:color w:val="595A5B"/>
                <w:sz w:val="18"/>
                <w:szCs w:val="18"/>
                <w:lang w:val="en-AU"/>
              </w:rPr>
              <w:t>781.0</w:t>
            </w:r>
          </w:p>
        </w:tc>
        <w:tc>
          <w:tcPr>
            <w:tcW w:w="728" w:type="pct"/>
            <w:shd w:val="clear" w:color="auto" w:fill="DBE5F1" w:themeFill="accent1" w:themeFillTint="33"/>
            <w:vAlign w:val="center"/>
            <w:hideMark/>
          </w:tcPr>
          <w:p w14:paraId="71913EC7" w14:textId="77777777" w:rsidR="002620C9" w:rsidRPr="00545318" w:rsidRDefault="002620C9" w:rsidP="002620C9">
            <w:pPr>
              <w:keepNext/>
              <w:keepLines/>
              <w:spacing w:before="60" w:after="60"/>
              <w:jc w:val="right"/>
              <w:rPr>
                <w:rFonts w:ascii="Arial" w:hAnsi="Arial" w:cs="Arial"/>
                <w:b/>
                <w:color w:val="595A5B"/>
                <w:sz w:val="18"/>
                <w:szCs w:val="18"/>
                <w:lang w:val="en-AU"/>
              </w:rPr>
            </w:pPr>
            <w:r w:rsidRPr="00545318">
              <w:rPr>
                <w:rFonts w:ascii="Arial" w:hAnsi="Arial" w:cs="Arial"/>
                <w:b/>
                <w:color w:val="595A5B"/>
                <w:sz w:val="18"/>
                <w:szCs w:val="18"/>
                <w:lang w:val="en-AU"/>
              </w:rPr>
              <w:t>42.0</w:t>
            </w:r>
          </w:p>
        </w:tc>
      </w:tr>
    </w:tbl>
    <w:p w14:paraId="781226D9" w14:textId="77777777"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Industries that have the highest demand, by value, for aluminium products.</w:t>
      </w:r>
    </w:p>
    <w:p w14:paraId="6B695E1F"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ABS, Australian National Accounts: Input-Output Tables, 2013-14 cat. no. 5209.0.55.001.</w:t>
      </w:r>
    </w:p>
    <w:p w14:paraId="0D926971" w14:textId="77777777" w:rsidR="00BB4916" w:rsidRPr="00545318" w:rsidRDefault="00BB4916">
      <w:pPr>
        <w:spacing w:after="200" w:line="276" w:lineRule="auto"/>
      </w:pPr>
      <w:r w:rsidRPr="00545318">
        <w:br w:type="page"/>
      </w:r>
    </w:p>
    <w:p w14:paraId="444CBEE0" w14:textId="21D543B0" w:rsidR="002620C9" w:rsidRPr="00545318" w:rsidRDefault="002620C9" w:rsidP="002620C9">
      <w:pPr>
        <w:spacing w:before="120" w:after="120"/>
      </w:pPr>
      <w:r w:rsidRPr="00545318">
        <w:t>Also like steel, aluminium is an intermediate product and the demand for aluminium products is derived from these major consuming industries. Figures 2.6 and 2.7 illustrate how these three sectors have grown over time in terms of output and employment, respectively. Overall, employment numbers have remained largely constant (increasing for Construction, decreasing for Manufacturing), the value of output produced by these industries has generally increased.</w:t>
      </w:r>
    </w:p>
    <w:p w14:paraId="4F437BB4" w14:textId="437ABB7A"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w:t>
      </w:r>
      <w:r w:rsidRPr="00545318">
        <w:rPr>
          <w:rFonts w:ascii="Arial" w:hAnsi="Arial"/>
          <w:bCs/>
          <w:color w:val="4F81BD" w:themeColor="accent1"/>
          <w:sz w:val="18"/>
          <w:szCs w:val="18"/>
          <w:lang w:val="en-AU"/>
        </w:rPr>
        <w:fldChar w:fldCharType="begin"/>
      </w:r>
      <w:r w:rsidRPr="00545318">
        <w:rPr>
          <w:rFonts w:ascii="Arial" w:hAnsi="Arial"/>
          <w:bCs/>
          <w:color w:val="4F81BD" w:themeColor="accent1"/>
          <w:sz w:val="18"/>
          <w:szCs w:val="18"/>
          <w:lang w:val="en-AU"/>
        </w:rPr>
        <w:instrText xml:space="preserve"> STYLEREF 1 \s </w:instrText>
      </w:r>
      <w:r w:rsidRPr="00545318">
        <w:rPr>
          <w:rFonts w:ascii="Arial" w:hAnsi="Arial"/>
          <w:bCs/>
          <w:color w:val="4F81BD" w:themeColor="accent1"/>
          <w:sz w:val="18"/>
          <w:szCs w:val="18"/>
          <w:lang w:val="en-AU"/>
        </w:rPr>
        <w:fldChar w:fldCharType="separate"/>
      </w:r>
      <w:r w:rsidR="00225A03">
        <w:rPr>
          <w:rFonts w:ascii="Arial" w:hAnsi="Arial"/>
          <w:bCs/>
          <w:noProof/>
          <w:color w:val="4F81BD" w:themeColor="accent1"/>
          <w:sz w:val="18"/>
          <w:szCs w:val="18"/>
          <w:lang w:val="en-AU"/>
        </w:rPr>
        <w:t>2</w:t>
      </w:r>
      <w:r w:rsidRPr="00545318">
        <w:rPr>
          <w:rFonts w:ascii="Arial" w:hAnsi="Arial"/>
          <w:bCs/>
          <w:noProof/>
          <w:color w:val="4F81BD" w:themeColor="accent1"/>
          <w:sz w:val="18"/>
          <w:szCs w:val="18"/>
          <w:lang w:val="en-AU"/>
        </w:rPr>
        <w:fldChar w:fldCharType="end"/>
      </w:r>
      <w:r w:rsidRPr="00545318">
        <w:rPr>
          <w:rFonts w:ascii="Arial" w:hAnsi="Arial"/>
          <w:bCs/>
          <w:color w:val="4F81BD" w:themeColor="accent1"/>
          <w:sz w:val="18"/>
          <w:szCs w:val="18"/>
          <w:lang w:val="en-AU"/>
        </w:rPr>
        <w:t>.6: Industry Value Add for top three industries purchasing aluminium products, by value, 2004–05 to 2014–15</w:t>
      </w:r>
    </w:p>
    <w:tbl>
      <w:tblPr>
        <w:tblStyle w:val="OCETable5"/>
        <w:tblW w:w="0" w:type="auto"/>
        <w:tblLayout w:type="fixed"/>
        <w:tblLook w:val="04A0" w:firstRow="1" w:lastRow="0" w:firstColumn="1" w:lastColumn="0" w:noHBand="0" w:noVBand="1"/>
      </w:tblPr>
      <w:tblGrid>
        <w:gridCol w:w="9180"/>
      </w:tblGrid>
      <w:tr w:rsidR="002620C9" w:rsidRPr="00545318" w14:paraId="35E8F4C0" w14:textId="77777777" w:rsidTr="002620C9">
        <w:trPr>
          <w:cnfStyle w:val="100000000000" w:firstRow="1" w:lastRow="0" w:firstColumn="0" w:lastColumn="0" w:oddVBand="0" w:evenVBand="0" w:oddHBand="0" w:evenHBand="0" w:firstRowFirstColumn="0" w:firstRowLastColumn="0" w:lastRowFirstColumn="0" w:lastRowLastColumn="0"/>
        </w:trPr>
        <w:tc>
          <w:tcPr>
            <w:tcW w:w="9180" w:type="dxa"/>
            <w:shd w:val="clear" w:color="auto" w:fill="auto"/>
          </w:tcPr>
          <w:p w14:paraId="6AED8A8B" w14:textId="77777777" w:rsidR="002620C9" w:rsidRPr="00545318" w:rsidRDefault="002620C9" w:rsidP="002620C9">
            <w:pPr>
              <w:keepNext/>
              <w:keepLines/>
              <w:jc w:val="center"/>
              <w:rPr>
                <w:rFonts w:ascii="Arial" w:hAnsi="Arial"/>
                <w:lang w:val="en-AU"/>
              </w:rPr>
            </w:pPr>
            <w:r w:rsidRPr="00545318">
              <w:rPr>
                <w:noProof/>
                <w:lang w:val="en-AU" w:eastAsia="en-AU"/>
              </w:rPr>
              <w:drawing>
                <wp:inline distT="0" distB="0" distL="0" distR="0" wp14:anchorId="72CE26BD" wp14:editId="69B10AFB">
                  <wp:extent cx="5667375" cy="3044825"/>
                  <wp:effectExtent l="0" t="0" r="9525" b="3175"/>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45024623" w14:textId="71185DEA"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Chain volume measures.</w:t>
      </w:r>
      <w:r w:rsidR="006522D5" w:rsidRPr="00545318">
        <w:rPr>
          <w:rFonts w:ascii="Arial" w:eastAsia="Times New Roman" w:hAnsi="Arial" w:cs="Arial"/>
          <w:color w:val="22789A"/>
          <w:sz w:val="16"/>
          <w:szCs w:val="20"/>
          <w:lang w:val="en-AU"/>
        </w:rPr>
        <w:t xml:space="preserve"> Chain volume measures only vary with changes in the quantities of commodities produced or sold. Chain volume measures value quantities by using prices in a base period which is updated annually.</w:t>
      </w:r>
    </w:p>
    <w:p w14:paraId="03498522"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Sources: ABS, Australian System of National Accounts, 2014-15 cat. no. 5204.0; ABS, Australian Industry, 2014–15 cat. no. 8155.</w:t>
      </w:r>
    </w:p>
    <w:p w14:paraId="368529B7"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2.7: Employment for top three industries purchasing aluminium products, May 2006 to May 2016 </w:t>
      </w:r>
    </w:p>
    <w:p w14:paraId="2D9E2C72" w14:textId="77777777" w:rsidR="002620C9" w:rsidRPr="00545318" w:rsidRDefault="002620C9" w:rsidP="002620C9">
      <w:pPr>
        <w:spacing w:after="120"/>
        <w:jc w:val="center"/>
        <w:rPr>
          <w:lang w:val="en-AU"/>
        </w:rPr>
      </w:pPr>
      <w:r w:rsidRPr="00545318">
        <w:rPr>
          <w:noProof/>
          <w:lang w:val="en-AU" w:eastAsia="en-AU"/>
        </w:rPr>
        <w:drawing>
          <wp:inline distT="0" distB="0" distL="0" distR="0" wp14:anchorId="47FF35CB" wp14:editId="24BF9B31">
            <wp:extent cx="5667375" cy="3044825"/>
            <wp:effectExtent l="0" t="0" r="9525" b="3175"/>
            <wp:docPr id="231" name="Chart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1BEF87"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ABS, Labour Force, Australia, Detailed, Quarterly, May 2016, cat. no. 6291.0.55.003.</w:t>
      </w:r>
    </w:p>
    <w:p w14:paraId="52C0C6EA" w14:textId="77777777" w:rsidR="002620C9" w:rsidRPr="00545318" w:rsidRDefault="002620C9" w:rsidP="002620C9">
      <w:pPr>
        <w:spacing w:before="120" w:after="120"/>
      </w:pPr>
      <w:r w:rsidRPr="00545318">
        <w:t>In 2015, Australia was the fourth largest exporter of aluminium in the world. The main markets for Australia’s aluminium exports include Japan, South Korea, Chinese Taipei and Thailand.</w:t>
      </w:r>
    </w:p>
    <w:p w14:paraId="489BD3AD" w14:textId="77777777" w:rsidR="002620C9" w:rsidRPr="00545318" w:rsidRDefault="002620C9" w:rsidP="002620C9">
      <w:pPr>
        <w:pStyle w:val="Heading2"/>
      </w:pPr>
      <w:bookmarkStart w:id="22" w:name="_Toc447555392"/>
      <w:bookmarkStart w:id="23" w:name="_Toc460430482"/>
      <w:r w:rsidRPr="00545318">
        <w:t>Trends in global production</w:t>
      </w:r>
      <w:bookmarkEnd w:id="22"/>
      <w:bookmarkEnd w:id="23"/>
    </w:p>
    <w:p w14:paraId="1D14776E" w14:textId="401E416A" w:rsidR="002620C9" w:rsidRPr="00545318" w:rsidRDefault="002620C9" w:rsidP="002620C9">
      <w:pPr>
        <w:spacing w:before="120" w:after="120"/>
      </w:pPr>
      <w:r w:rsidRPr="00545318">
        <w:t>Two decades ago, the world produced 752 million tonnes of steel. Most of this production took place in Europe, Japan and the United States. By 2005</w:t>
      </w:r>
      <w:r w:rsidR="009241EC">
        <w:t>,</w:t>
      </w:r>
      <w:r w:rsidRPr="00545318">
        <w:t xml:space="preserve"> production had increased by 52 </w:t>
      </w:r>
      <w:r w:rsidR="00620A65" w:rsidRPr="00545318">
        <w:t>per cent</w:t>
      </w:r>
      <w:r w:rsidRPr="00545318">
        <w:t xml:space="preserve">, and by 2015 production had increased by 122 </w:t>
      </w:r>
      <w:r w:rsidR="00620A65" w:rsidRPr="00545318">
        <w:t>per cent</w:t>
      </w:r>
      <w:r w:rsidRPr="00545318">
        <w:t xml:space="preserve">. The vast majority of this increased production occurred in China. </w:t>
      </w:r>
    </w:p>
    <w:p w14:paraId="353679CC" w14:textId="580AA33B" w:rsidR="002620C9" w:rsidRPr="00545318" w:rsidRDefault="002620C9" w:rsidP="002620C9">
      <w:pPr>
        <w:spacing w:before="120" w:after="120"/>
      </w:pPr>
      <w:r w:rsidRPr="00545318">
        <w:t>A similar story exists in the aluminium sector. Global aluminium production has increased by 170</w:t>
      </w:r>
      <w:r w:rsidR="009241EC">
        <w:t> </w:t>
      </w:r>
      <w:r w:rsidR="00620A65" w:rsidRPr="00545318">
        <w:t>per cent</w:t>
      </w:r>
      <w:r w:rsidRPr="00545318">
        <w:t xml:space="preserve"> over the past two decades—again, mostly due to an increase in Chinese production.</w:t>
      </w:r>
    </w:p>
    <w:p w14:paraId="05EB61DA" w14:textId="77777777" w:rsidR="002620C9" w:rsidRPr="00545318" w:rsidRDefault="002620C9" w:rsidP="002620C9">
      <w:pPr>
        <w:spacing w:before="120" w:after="120"/>
      </w:pPr>
      <w:r w:rsidRPr="00545318">
        <w:t xml:space="preserve">This section outlines recent developments in global steel and aluminium production, and the position of the Australian industry. </w:t>
      </w:r>
    </w:p>
    <w:p w14:paraId="32159A66" w14:textId="77777777" w:rsidR="002620C9" w:rsidRPr="00545318" w:rsidRDefault="002620C9" w:rsidP="002620C9">
      <w:pPr>
        <w:pStyle w:val="Heading3"/>
        <w:spacing w:after="120"/>
      </w:pPr>
      <w:r w:rsidRPr="00545318">
        <w:t xml:space="preserve">Global steel production </w:t>
      </w:r>
    </w:p>
    <w:p w14:paraId="01D1095C" w14:textId="6FC04C03" w:rsidR="002620C9" w:rsidRPr="00545318" w:rsidRDefault="002620C9" w:rsidP="002620C9">
      <w:pPr>
        <w:spacing w:before="120" w:after="120"/>
      </w:pPr>
      <w:r w:rsidRPr="00545318">
        <w:t>In 2015, China was the world’s largest producer of crude steel, producing 804 million tonnes or 50 </w:t>
      </w:r>
      <w:r w:rsidR="00620A65" w:rsidRPr="00545318">
        <w:t>per cent</w:t>
      </w:r>
      <w:r w:rsidRPr="00545318">
        <w:t xml:space="preserve"> of global production. The European Union represented </w:t>
      </w:r>
      <w:r w:rsidR="009241EC">
        <w:t>10</w:t>
      </w:r>
      <w:r w:rsidRPr="00545318">
        <w:t xml:space="preserve"> </w:t>
      </w:r>
      <w:r w:rsidR="00620A65" w:rsidRPr="00545318">
        <w:t>per cent</w:t>
      </w:r>
      <w:r w:rsidRPr="00545318">
        <w:t xml:space="preserve"> of global production, while Japan represented 6.5 </w:t>
      </w:r>
      <w:r w:rsidR="00620A65" w:rsidRPr="00545318">
        <w:t>per cent</w:t>
      </w:r>
      <w:r w:rsidRPr="00545318">
        <w:t xml:space="preserve"> and the United States represented 4.9 </w:t>
      </w:r>
      <w:r w:rsidR="00620A65" w:rsidRPr="00545318">
        <w:t>per cent</w:t>
      </w:r>
      <w:r w:rsidRPr="00545318">
        <w:t xml:space="preserve">. Australia produced 4.9 million tonnes of crude steel in 2015, or 0.3 </w:t>
      </w:r>
      <w:r w:rsidR="00620A65" w:rsidRPr="00545318">
        <w:t>per cent</w:t>
      </w:r>
      <w:r w:rsidRPr="00545318">
        <w:t xml:space="preserve"> of global production.</w:t>
      </w:r>
    </w:p>
    <w:p w14:paraId="4B60BAC7" w14:textId="43C42206" w:rsidR="002620C9" w:rsidRPr="00545318" w:rsidRDefault="002620C9" w:rsidP="002620C9">
      <w:pPr>
        <w:spacing w:before="120" w:after="120"/>
      </w:pPr>
      <w:r w:rsidRPr="00545318">
        <w:t xml:space="preserve">China’s steel production has grown at a rapid pace over the past decade. Between 2004 and 2014, China’s crude steel production grew at an average annual rate of 12 </w:t>
      </w:r>
      <w:r w:rsidR="00620A65" w:rsidRPr="00545318">
        <w:t>per cent</w:t>
      </w:r>
      <w:r w:rsidRPr="00545318">
        <w:t>. Prior to 2006, China was a net importer of crude steel. In 2005</w:t>
      </w:r>
      <w:r w:rsidR="009241EC">
        <w:t>,</w:t>
      </w:r>
      <w:r w:rsidRPr="00545318">
        <w:t xml:space="preserve"> Ukraine, Russia and Japan were the world’s largest net exporters of crude steel. Since then, China has become the world’s largest net exporter of crude steel. In 2014</w:t>
      </w:r>
      <w:r w:rsidR="009241EC">
        <w:t>,</w:t>
      </w:r>
      <w:r w:rsidRPr="00545318">
        <w:t xml:space="preserve"> China’s net exports of crude steel were 82 million tonnes, more than double that of the next highest, Japan, at 38 million tonnes. </w:t>
      </w:r>
    </w:p>
    <w:p w14:paraId="58EA5283" w14:textId="31BAF042" w:rsidR="002620C9" w:rsidRPr="00545318" w:rsidRDefault="002620C9" w:rsidP="002620C9">
      <w:pPr>
        <w:spacing w:before="120" w:after="120"/>
      </w:pPr>
      <w:r w:rsidRPr="00545318">
        <w:t>Consistent with the growth in global demand, the lead-up to the GFC saw significant investment in new steel production capacity. The global steel industry’s capacity to produce steel has increased rapidly since the early 2000s. Most of the growth in steel production capacity has occurred in non</w:t>
      </w:r>
      <w:r w:rsidR="009241EC">
        <w:noBreakHyphen/>
      </w:r>
      <w:r w:rsidRPr="00545318">
        <w:t>OECD economies. This growth was driven by increasing construction and manufacturing activity and the related investment in infrastructure, which is necessary for the economic development of emerging economies.</w:t>
      </w:r>
      <w:r w:rsidRPr="00545318">
        <w:rPr>
          <w:vertAlign w:val="superscript"/>
        </w:rPr>
        <w:footnoteReference w:id="3"/>
      </w:r>
      <w:r w:rsidRPr="00545318">
        <w:rPr>
          <w:vertAlign w:val="superscript"/>
        </w:rPr>
        <w:t xml:space="preserve">  </w:t>
      </w:r>
      <w:r w:rsidRPr="00545318">
        <w:t>In general, overcapacity is when production capacity exceeds demand. In 2015</w:t>
      </w:r>
      <w:r w:rsidR="009241EC">
        <w:t>,</w:t>
      </w:r>
      <w:r w:rsidRPr="00545318">
        <w:t xml:space="preserve"> non-OECD countries accounted for 80 </w:t>
      </w:r>
      <w:r w:rsidR="00620A65" w:rsidRPr="00545318">
        <w:t>per cent</w:t>
      </w:r>
      <w:r w:rsidRPr="00545318">
        <w:t xml:space="preserve"> of total production capacity, increasing from 22</w:t>
      </w:r>
      <w:r w:rsidR="009241EC">
        <w:t> </w:t>
      </w:r>
      <w:r w:rsidR="00620A65" w:rsidRPr="00545318">
        <w:t>per cent</w:t>
      </w:r>
      <w:r w:rsidRPr="00545318">
        <w:t xml:space="preserve"> in 2000 (see Figure 2.8).</w:t>
      </w:r>
    </w:p>
    <w:p w14:paraId="306C63DA"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2.8: World steel production capacity: OECD vs Non-OECD, 2000 to 2015</w:t>
      </w:r>
    </w:p>
    <w:tbl>
      <w:tblPr>
        <w:tblStyle w:val="OCETable5"/>
        <w:tblW w:w="0" w:type="auto"/>
        <w:jc w:val="center"/>
        <w:tblLayout w:type="fixed"/>
        <w:tblLook w:val="04A0" w:firstRow="1" w:lastRow="0" w:firstColumn="1" w:lastColumn="0" w:noHBand="0" w:noVBand="1"/>
      </w:tblPr>
      <w:tblGrid>
        <w:gridCol w:w="7020"/>
      </w:tblGrid>
      <w:tr w:rsidR="002620C9" w:rsidRPr="00545318" w14:paraId="20D735DA" w14:textId="77777777" w:rsidTr="002620C9">
        <w:trPr>
          <w:cnfStyle w:val="100000000000" w:firstRow="1" w:lastRow="0" w:firstColumn="0" w:lastColumn="0" w:oddVBand="0" w:evenVBand="0" w:oddHBand="0" w:evenHBand="0" w:firstRowFirstColumn="0" w:firstRowLastColumn="0" w:lastRowFirstColumn="0" w:lastRowLastColumn="0"/>
          <w:jc w:val="center"/>
        </w:trPr>
        <w:tc>
          <w:tcPr>
            <w:tcW w:w="7020" w:type="dxa"/>
            <w:shd w:val="clear" w:color="auto" w:fill="auto"/>
          </w:tcPr>
          <w:p w14:paraId="493F6A20" w14:textId="77777777" w:rsidR="002620C9" w:rsidRPr="00545318" w:rsidRDefault="002620C9" w:rsidP="002620C9">
            <w:pPr>
              <w:keepNext/>
              <w:keepLines/>
              <w:jc w:val="center"/>
              <w:rPr>
                <w:rFonts w:ascii="Arial" w:hAnsi="Arial"/>
                <w:noProof/>
                <w:color w:val="595A5B"/>
                <w:lang w:val="en-AU" w:eastAsia="en-AU"/>
              </w:rPr>
            </w:pPr>
            <w:r w:rsidRPr="00545318">
              <w:rPr>
                <w:rFonts w:ascii="Arial" w:hAnsi="Arial"/>
                <w:noProof/>
                <w:color w:val="595A5B"/>
                <w:lang w:val="en-AU" w:eastAsia="en-AU"/>
              </w:rPr>
              <w:drawing>
                <wp:inline distT="0" distB="0" distL="0" distR="0" wp14:anchorId="65B17699" wp14:editId="641FB694">
                  <wp:extent cx="4429125"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7B39B912"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OECD (2015b) - http://www.oecd.org/sti/ind/steelcapacity.htm</w:t>
      </w:r>
    </w:p>
    <w:p w14:paraId="707DCF50" w14:textId="77777777" w:rsidR="002620C9" w:rsidRPr="00545318" w:rsidRDefault="002620C9" w:rsidP="002620C9">
      <w:pPr>
        <w:spacing w:before="120" w:after="120"/>
      </w:pPr>
      <w:r w:rsidRPr="00545318">
        <w:t xml:space="preserve">As would be expected, much of the new production used more efficient production techniques. Figure 2.9 shows the shift in the industry’s cost curve over time. In real terms, the costs of producing steel are lower today than a decade ago. </w:t>
      </w:r>
    </w:p>
    <w:p w14:paraId="25871FEF"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2.9: Steel cost curve, real dollars, 2006 and 2016</w:t>
      </w:r>
    </w:p>
    <w:p w14:paraId="4BE0CEA4" w14:textId="77777777" w:rsidR="002620C9" w:rsidRPr="00545318" w:rsidRDefault="002620C9" w:rsidP="002620C9">
      <w:pPr>
        <w:keepNext/>
        <w:keepLines/>
        <w:rPr>
          <w:rFonts w:ascii="Arial" w:hAnsi="Arial"/>
          <w:color w:val="595A5B"/>
          <w:sz w:val="18"/>
          <w:lang w:val="en-AU"/>
        </w:rPr>
      </w:pPr>
      <w:r w:rsidRPr="00545318">
        <w:rPr>
          <w:rFonts w:ascii="Arial" w:hAnsi="Arial"/>
          <w:noProof/>
          <w:color w:val="595A5B"/>
          <w:sz w:val="18"/>
          <w:lang w:val="en-AU" w:eastAsia="en-AU"/>
        </w:rPr>
        <w:drawing>
          <wp:inline distT="0" distB="0" distL="0" distR="0" wp14:anchorId="2FAC344B" wp14:editId="7C5EE3A1">
            <wp:extent cx="5779698" cy="2553419"/>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A6459F9" w14:textId="77777777" w:rsidR="002620C9" w:rsidRPr="00545318" w:rsidRDefault="002620C9" w:rsidP="002620C9">
      <w:pPr>
        <w:keepLines/>
        <w:pBdr>
          <w:bottom w:val="single" w:sz="4" w:space="1" w:color="595A5B"/>
        </w:pBdr>
        <w:spacing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2016 estimate.</w:t>
      </w:r>
    </w:p>
    <w:p w14:paraId="46DC6A9E" w14:textId="77777777" w:rsidR="002620C9" w:rsidRPr="00545318" w:rsidRDefault="002620C9" w:rsidP="002620C9">
      <w:pPr>
        <w:keepLines/>
        <w:pBdr>
          <w:bottom w:val="single" w:sz="4" w:space="1" w:color="595A5B"/>
        </w:pBdr>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AME Group; Department of Industry, Innovation and Science.</w:t>
      </w:r>
    </w:p>
    <w:p w14:paraId="10F2FBFA" w14:textId="77777777" w:rsidR="002620C9" w:rsidRPr="00545318" w:rsidRDefault="002620C9" w:rsidP="002620C9">
      <w:pPr>
        <w:spacing w:before="120" w:after="120"/>
      </w:pPr>
      <w:r w:rsidRPr="00545318">
        <w:t xml:space="preserve">Figure 2.10 illustrates the variation in cost (US$ per tonne) for each steel producing country. On average, Russia is the lowest cost producer, followed by China and South Korea—although there are notable differences in the costs of production within a country. The United States and Japan are the higher cost producers on average. </w:t>
      </w:r>
    </w:p>
    <w:p w14:paraId="54B971B9" w14:textId="052829F0" w:rsidR="002620C9" w:rsidRPr="00545318" w:rsidRDefault="002620C9" w:rsidP="002620C9">
      <w:pPr>
        <w:spacing w:before="120" w:after="120"/>
      </w:pPr>
      <w:r w:rsidRPr="00545318">
        <w:t>In 2016</w:t>
      </w:r>
      <w:r w:rsidR="0055482B" w:rsidRPr="00545318">
        <w:t>,</w:t>
      </w:r>
      <w:r w:rsidRPr="00545318">
        <w:t xml:space="preserve"> the cash cost (excluding depreciation) of producing a tonne of crude steel in Australia is estimated to be 12 </w:t>
      </w:r>
      <w:r w:rsidR="00620A65" w:rsidRPr="00545318">
        <w:t>per cent</w:t>
      </w:r>
      <w:r w:rsidRPr="00545318">
        <w:t xml:space="preserve"> lower than in Japan and 21 </w:t>
      </w:r>
      <w:r w:rsidR="00620A65" w:rsidRPr="00545318">
        <w:t>per cent</w:t>
      </w:r>
      <w:r w:rsidRPr="00545318">
        <w:t xml:space="preserve"> lower than the United States. However, steel is estimated to be 4 and 16 </w:t>
      </w:r>
      <w:r w:rsidR="00620A65" w:rsidRPr="00545318">
        <w:t>per cent</w:t>
      </w:r>
      <w:r w:rsidRPr="00545318">
        <w:t xml:space="preserve"> cheaper to produce in China and Russia, respectively, than in Australia. Over the last decade the average cost has fallen at approximately the same rate for India, Australia and China. These costs have not been adjusted for any cost impacts from government interventions in steel markets.</w:t>
      </w:r>
    </w:p>
    <w:p w14:paraId="694CA01E"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2.10: Cost components for steel production, 2016</w:t>
      </w:r>
    </w:p>
    <w:p w14:paraId="3BA79DE7" w14:textId="77777777" w:rsidR="002620C9" w:rsidRPr="00545318" w:rsidRDefault="002620C9" w:rsidP="002620C9">
      <w:pPr>
        <w:keepNext/>
        <w:keepLines/>
        <w:rPr>
          <w:rFonts w:ascii="Arial" w:hAnsi="Arial"/>
          <w:color w:val="595A5B"/>
          <w:sz w:val="18"/>
          <w:lang w:val="en-AU"/>
        </w:rPr>
      </w:pPr>
      <w:r w:rsidRPr="00545318">
        <w:rPr>
          <w:noProof/>
          <w:lang w:val="en-AU" w:eastAsia="en-AU"/>
        </w:rPr>
        <w:drawing>
          <wp:inline distT="0" distB="0" distL="0" distR="0" wp14:anchorId="5F4F9524" wp14:editId="0B197773">
            <wp:extent cx="5731510" cy="2733675"/>
            <wp:effectExtent l="0" t="0" r="2540" b="0"/>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8617C30" w14:textId="77777777" w:rsidR="002620C9" w:rsidRPr="00545318" w:rsidRDefault="002620C9" w:rsidP="002620C9">
      <w:pPr>
        <w:keepLines/>
        <w:pBdr>
          <w:bottom w:val="single" w:sz="4" w:space="1" w:color="595A5B"/>
        </w:pBdr>
        <w:spacing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2016 estimate.</w:t>
      </w:r>
    </w:p>
    <w:p w14:paraId="3EE60C0A" w14:textId="77777777" w:rsidR="002620C9" w:rsidRPr="00545318" w:rsidRDefault="002620C9" w:rsidP="002620C9">
      <w:pPr>
        <w:keepLines/>
        <w:pBdr>
          <w:bottom w:val="single" w:sz="4" w:space="1" w:color="595A5B"/>
        </w:pBdr>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AME; Department of Industry, Innovation and Science.</w:t>
      </w:r>
    </w:p>
    <w:p w14:paraId="1A68A3DE" w14:textId="77777777" w:rsidR="002620C9" w:rsidRPr="00545318" w:rsidRDefault="002620C9" w:rsidP="002620C9">
      <w:pPr>
        <w:pStyle w:val="Heading3"/>
        <w:spacing w:after="120"/>
      </w:pPr>
      <w:r w:rsidRPr="00545318">
        <w:t>Australian steel production</w:t>
      </w:r>
    </w:p>
    <w:p w14:paraId="3B633305" w14:textId="77777777" w:rsidR="002620C9" w:rsidRPr="00545318" w:rsidRDefault="002620C9" w:rsidP="002620C9">
      <w:pPr>
        <w:spacing w:before="120" w:after="120"/>
      </w:pPr>
      <w:r w:rsidRPr="00545318">
        <w:t>Figure 2.11 shows Australia’s crude steel production over the last two decades. Australian crude steel output was 7.6 million tonnes in 1980, reaching a peak of 8.9 million tonnes in 1998. Australian steelworks produced 7.3 million tonnes in 2010. The volume of Australian crude steel production has fallen in recent years, to be approximately 4.9 million tonnes in 2015.</w:t>
      </w:r>
      <w:r w:rsidRPr="00545318">
        <w:rPr>
          <w:vertAlign w:val="superscript"/>
        </w:rPr>
        <w:footnoteReference w:id="4"/>
      </w:r>
      <w:r w:rsidRPr="00545318">
        <w:t xml:space="preserve"> </w:t>
      </w:r>
    </w:p>
    <w:p w14:paraId="67A92992" w14:textId="017DE02C" w:rsidR="002620C9" w:rsidRPr="00545318" w:rsidRDefault="002620C9" w:rsidP="002620C9">
      <w:pPr>
        <w:spacing w:before="120" w:after="120"/>
      </w:pPr>
      <w:r w:rsidRPr="00545318">
        <w:t xml:space="preserve">Total Australian crude steel output accounted for approximately 0.3 </w:t>
      </w:r>
      <w:r w:rsidR="00620A65" w:rsidRPr="00545318">
        <w:t>per cent</w:t>
      </w:r>
      <w:r w:rsidRPr="00545318">
        <w:t xml:space="preserve"> of world output in 2015.</w:t>
      </w:r>
    </w:p>
    <w:p w14:paraId="5FACAF50" w14:textId="0EB7C1B6" w:rsidR="002620C9" w:rsidRPr="00545318" w:rsidRDefault="002620C9" w:rsidP="002620C9">
      <w:pPr>
        <w:spacing w:before="120" w:after="120"/>
      </w:pPr>
      <w:r w:rsidRPr="00545318">
        <w:t xml:space="preserve">Industry Gross Value Add (IGVA) has been declining at an annual average rate of 5.5 </w:t>
      </w:r>
      <w:r w:rsidR="00620A65" w:rsidRPr="00545318">
        <w:t>per cent</w:t>
      </w:r>
      <w:r w:rsidRPr="00545318">
        <w:t xml:space="preserve"> for the past five years. The sector’s IGVA for 2014-15 is estimated at $5.9 billion—about 5.9 </w:t>
      </w:r>
      <w:r w:rsidR="00620A65" w:rsidRPr="00545318">
        <w:t>per cent</w:t>
      </w:r>
      <w:r w:rsidRPr="00545318">
        <w:t xml:space="preserve"> of the manufacturing sector’s output. This is down from $7.6 billion in 2009-10.</w:t>
      </w:r>
    </w:p>
    <w:p w14:paraId="7ECE71C4"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2.11: Australian crude steel production, 1995 to 2015</w:t>
      </w:r>
    </w:p>
    <w:tbl>
      <w:tblPr>
        <w:tblStyle w:val="OCETable5"/>
        <w:tblW w:w="0" w:type="auto"/>
        <w:tblLayout w:type="fixed"/>
        <w:tblLook w:val="04A0" w:firstRow="1" w:lastRow="0" w:firstColumn="1" w:lastColumn="0" w:noHBand="0" w:noVBand="1"/>
      </w:tblPr>
      <w:tblGrid>
        <w:gridCol w:w="9180"/>
      </w:tblGrid>
      <w:tr w:rsidR="002620C9" w:rsidRPr="00545318" w14:paraId="0B4FACD8" w14:textId="77777777" w:rsidTr="002620C9">
        <w:trPr>
          <w:cnfStyle w:val="100000000000" w:firstRow="1" w:lastRow="0" w:firstColumn="0" w:lastColumn="0" w:oddVBand="0" w:evenVBand="0" w:oddHBand="0" w:evenHBand="0" w:firstRowFirstColumn="0" w:firstRowLastColumn="0" w:lastRowFirstColumn="0" w:lastRowLastColumn="0"/>
          <w:trHeight w:val="4487"/>
        </w:trPr>
        <w:tc>
          <w:tcPr>
            <w:tcW w:w="9180" w:type="dxa"/>
            <w:shd w:val="clear" w:color="auto" w:fill="auto"/>
          </w:tcPr>
          <w:p w14:paraId="50EF6703" w14:textId="77777777" w:rsidR="002620C9" w:rsidRPr="00545318" w:rsidRDefault="002620C9" w:rsidP="002620C9">
            <w:pPr>
              <w:keepNext/>
              <w:keepLines/>
              <w:rPr>
                <w:rFonts w:ascii="Arial" w:hAnsi="Arial"/>
                <w:color w:val="595A5B"/>
                <w:lang w:val="en-AU"/>
              </w:rPr>
            </w:pPr>
            <w:r w:rsidRPr="00545318">
              <w:rPr>
                <w:rFonts w:ascii="Arial" w:hAnsi="Arial"/>
                <w:noProof/>
                <w:color w:val="595A5B"/>
                <w:lang w:val="en-AU" w:eastAsia="en-AU"/>
              </w:rPr>
              <w:drawing>
                <wp:inline distT="0" distB="0" distL="0" distR="0" wp14:anchorId="6B08236F" wp14:editId="32443D0E">
                  <wp:extent cx="5692877" cy="2566219"/>
                  <wp:effectExtent l="0" t="0" r="3175" b="5715"/>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0AA68A47" w14:textId="77777777" w:rsidR="002620C9" w:rsidRPr="00545318" w:rsidRDefault="002620C9" w:rsidP="002620C9">
      <w:pPr>
        <w:keepLines/>
        <w:pBdr>
          <w:bottom w:val="single" w:sz="4" w:space="1" w:color="595A5B"/>
        </w:pBdr>
        <w:spacing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Company reports</w:t>
      </w:r>
    </w:p>
    <w:p w14:paraId="321374ED" w14:textId="77777777" w:rsidR="002620C9" w:rsidRPr="00545318" w:rsidRDefault="002620C9" w:rsidP="002620C9">
      <w:pPr>
        <w:spacing w:before="120" w:after="120"/>
      </w:pPr>
      <w:r w:rsidRPr="00545318">
        <w:t xml:space="preserve">The Australian steel manufacturing industry comprises 35,000 workers, of which approximately 8,000 work for Arrium Mining and Materials (Arrium) and BlueScope Steel (BlueScope)—Australia’s only producers of crude steel. </w:t>
      </w:r>
    </w:p>
    <w:p w14:paraId="2F79653E" w14:textId="77777777" w:rsidR="002620C9" w:rsidRPr="00545318" w:rsidRDefault="002620C9" w:rsidP="002620C9">
      <w:pPr>
        <w:spacing w:before="120" w:after="120"/>
      </w:pPr>
      <w:r w:rsidRPr="00545318">
        <w:t xml:space="preserve">Arrium and BlueScope were both formerly part of the BHP Group. Arrium was spun out of BHP in 2000 and listed on the Australian Stock Exchange (ASX) originally as OneSteel. BlueScope Steel was demerged from BHP Billiton and listed on the ASX in 2002. BlueScope’s Port Kembla steelworks opened in 1928, using coal from the region’s coal fields and iron ore from South Australia. Arrium’s Whyalla steelworks opened in 1941, using iron ore from South Australia and coal from New South Wales. Both of these steelworks remain connected to downstream steel fabrication and distribution networks Australia-wide. However, the volume of steel produced at these two integrated steelworks has fallen in recent years. A summary of Arrium and BlueScope’s current production capacity is presented in Table 2.3. </w:t>
      </w:r>
    </w:p>
    <w:p w14:paraId="5F2DB764"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Table 2.3. Summary of Australia steel producers</w:t>
      </w:r>
    </w:p>
    <w:tbl>
      <w:tblPr>
        <w:tblStyle w:val="OCETable5"/>
        <w:tblW w:w="4942" w:type="pct"/>
        <w:tblInd w:w="108" w:type="dxa"/>
        <w:shd w:val="clear" w:color="auto" w:fill="DBE5F1" w:themeFill="accent1" w:themeFillTint="33"/>
        <w:tblLook w:val="04A0" w:firstRow="1" w:lastRow="0" w:firstColumn="1" w:lastColumn="0" w:noHBand="0" w:noVBand="1"/>
      </w:tblPr>
      <w:tblGrid>
        <w:gridCol w:w="2258"/>
        <w:gridCol w:w="2275"/>
        <w:gridCol w:w="3108"/>
        <w:gridCol w:w="1281"/>
      </w:tblGrid>
      <w:tr w:rsidR="002620C9" w:rsidRPr="00545318" w14:paraId="142EA76B" w14:textId="77777777" w:rsidTr="00B16697">
        <w:trPr>
          <w:cnfStyle w:val="100000000000" w:firstRow="1" w:lastRow="0" w:firstColumn="0" w:lastColumn="0" w:oddVBand="0" w:evenVBand="0" w:oddHBand="0" w:evenHBand="0" w:firstRowFirstColumn="0" w:firstRowLastColumn="0" w:lastRowFirstColumn="0" w:lastRowLastColumn="0"/>
          <w:trHeight w:val="487"/>
        </w:trPr>
        <w:tc>
          <w:tcPr>
            <w:tcW w:w="1265" w:type="pct"/>
            <w:vAlign w:val="bottom"/>
          </w:tcPr>
          <w:p w14:paraId="77E1562F" w14:textId="77777777" w:rsidR="002620C9" w:rsidRPr="00435108" w:rsidRDefault="002620C9" w:rsidP="00B16697">
            <w:pPr>
              <w:keepNext/>
              <w:spacing w:before="120" w:after="120"/>
              <w:jc w:val="center"/>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Company</w:t>
            </w:r>
          </w:p>
        </w:tc>
        <w:tc>
          <w:tcPr>
            <w:tcW w:w="1275" w:type="pct"/>
            <w:vAlign w:val="bottom"/>
          </w:tcPr>
          <w:p w14:paraId="1AB447A1" w14:textId="77777777" w:rsidR="002620C9" w:rsidRPr="00435108" w:rsidRDefault="002620C9" w:rsidP="00B16697">
            <w:pPr>
              <w:keepNext/>
              <w:spacing w:before="120" w:after="120"/>
              <w:jc w:val="center"/>
              <w:rPr>
                <w:rFonts w:ascii="Arial" w:hAnsi="Arial" w:cs="Arial"/>
                <w:b/>
                <w:bCs/>
                <w:i/>
                <w:color w:val="FFFFFF" w:themeColor="background1"/>
                <w:szCs w:val="18"/>
                <w:lang w:val="en-AU"/>
              </w:rPr>
            </w:pPr>
            <w:r w:rsidRPr="00435108">
              <w:rPr>
                <w:rFonts w:ascii="Arial" w:hAnsi="Arial" w:cs="Arial"/>
                <w:b/>
                <w:bCs/>
                <w:i/>
                <w:color w:val="FFFFFF" w:themeColor="background1"/>
                <w:szCs w:val="18"/>
                <w:lang w:val="en-AU"/>
              </w:rPr>
              <w:t>Major Product Type</w:t>
            </w:r>
          </w:p>
        </w:tc>
        <w:tc>
          <w:tcPr>
            <w:tcW w:w="1742" w:type="pct"/>
            <w:vAlign w:val="bottom"/>
          </w:tcPr>
          <w:p w14:paraId="112CBD63" w14:textId="77777777" w:rsidR="002620C9" w:rsidRPr="00435108" w:rsidRDefault="002620C9" w:rsidP="00B16697">
            <w:pPr>
              <w:keepNext/>
              <w:spacing w:before="120" w:after="120"/>
              <w:jc w:val="center"/>
              <w:rPr>
                <w:rFonts w:ascii="Arial" w:hAnsi="Arial" w:cs="Arial"/>
                <w:b/>
                <w:bCs/>
                <w:i/>
                <w:color w:val="FFFFFF" w:themeColor="background1"/>
                <w:szCs w:val="18"/>
                <w:lang w:val="en-AU"/>
              </w:rPr>
            </w:pPr>
            <w:r w:rsidRPr="00435108">
              <w:rPr>
                <w:rFonts w:ascii="Arial" w:hAnsi="Arial" w:cs="Arial"/>
                <w:b/>
                <w:bCs/>
                <w:i/>
                <w:color w:val="FFFFFF" w:themeColor="background1"/>
                <w:szCs w:val="18"/>
                <w:lang w:val="en-AU"/>
              </w:rPr>
              <w:t>Product Description</w:t>
            </w:r>
          </w:p>
        </w:tc>
        <w:tc>
          <w:tcPr>
            <w:tcW w:w="718" w:type="pct"/>
            <w:vAlign w:val="bottom"/>
          </w:tcPr>
          <w:p w14:paraId="7C6A46E5" w14:textId="77777777" w:rsidR="002620C9" w:rsidRPr="00435108" w:rsidRDefault="002620C9" w:rsidP="00B16697">
            <w:pPr>
              <w:keepNext/>
              <w:spacing w:before="120" w:after="120"/>
              <w:jc w:val="center"/>
              <w:rPr>
                <w:rFonts w:ascii="Arial" w:hAnsi="Arial" w:cs="Arial"/>
                <w:b/>
                <w:bCs/>
                <w:i/>
                <w:color w:val="FFFFFF" w:themeColor="background1"/>
                <w:szCs w:val="18"/>
                <w:lang w:val="en-AU"/>
              </w:rPr>
            </w:pPr>
            <w:r w:rsidRPr="00435108">
              <w:rPr>
                <w:rFonts w:ascii="Arial" w:hAnsi="Arial" w:cs="Arial"/>
                <w:b/>
                <w:bCs/>
                <w:i/>
                <w:color w:val="FFFFFF" w:themeColor="background1"/>
                <w:szCs w:val="18"/>
                <w:lang w:val="en-AU"/>
              </w:rPr>
              <w:t>Output Capacity</w:t>
            </w:r>
          </w:p>
        </w:tc>
      </w:tr>
      <w:tr w:rsidR="002620C9" w:rsidRPr="00545318" w14:paraId="23A486D2" w14:textId="77777777" w:rsidTr="00435108">
        <w:trPr>
          <w:trHeight w:val="492"/>
        </w:trPr>
        <w:tc>
          <w:tcPr>
            <w:tcW w:w="1265" w:type="pct"/>
          </w:tcPr>
          <w:p w14:paraId="5CD980D2" w14:textId="77777777" w:rsidR="002620C9" w:rsidRPr="00545318" w:rsidRDefault="002620C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 xml:space="preserve">Arrium </w:t>
            </w:r>
          </w:p>
        </w:tc>
        <w:tc>
          <w:tcPr>
            <w:tcW w:w="1275" w:type="pct"/>
          </w:tcPr>
          <w:p w14:paraId="1F2FE709" w14:textId="77777777" w:rsidR="002620C9" w:rsidRPr="00545318" w:rsidRDefault="002620C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Steel long products</w:t>
            </w:r>
          </w:p>
        </w:tc>
        <w:tc>
          <w:tcPr>
            <w:tcW w:w="1742" w:type="pct"/>
          </w:tcPr>
          <w:p w14:paraId="0BBF0995" w14:textId="1C4FBA86" w:rsidR="002620C9" w:rsidRPr="00545318" w:rsidRDefault="003878A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Rein</w:t>
            </w:r>
            <w:r w:rsidR="00F62E8B" w:rsidRPr="00545318">
              <w:rPr>
                <w:rFonts w:ascii="Arial" w:eastAsia="Times New Roman" w:hAnsi="Arial" w:cs="Arial"/>
                <w:color w:val="595A5B"/>
                <w:szCs w:val="18"/>
                <w:lang w:val="en-AU" w:eastAsia="en-AU"/>
              </w:rPr>
              <w:t>forcing bar and rod, structural</w:t>
            </w:r>
            <w:r w:rsidRPr="00545318">
              <w:rPr>
                <w:rFonts w:ascii="Arial" w:eastAsia="Times New Roman" w:hAnsi="Arial" w:cs="Arial"/>
                <w:color w:val="595A5B"/>
                <w:szCs w:val="18"/>
                <w:lang w:val="en-AU" w:eastAsia="en-AU"/>
              </w:rPr>
              <w:t xml:space="preserve">, merchant bar, rail </w:t>
            </w:r>
            <w:r w:rsidR="00F62E8B" w:rsidRPr="00545318">
              <w:rPr>
                <w:rFonts w:ascii="Arial" w:eastAsia="Times New Roman" w:hAnsi="Arial" w:cs="Arial"/>
                <w:color w:val="595A5B"/>
                <w:szCs w:val="18"/>
                <w:lang w:val="en-AU" w:eastAsia="en-AU"/>
              </w:rPr>
              <w:t>and wire products</w:t>
            </w:r>
            <w:r w:rsidRPr="00545318">
              <w:rPr>
                <w:rFonts w:ascii="Arial" w:eastAsia="Times New Roman" w:hAnsi="Arial" w:cs="Arial"/>
                <w:color w:val="595A5B"/>
                <w:szCs w:val="18"/>
                <w:lang w:val="en-AU" w:eastAsia="en-AU"/>
              </w:rPr>
              <w:t xml:space="preserve"> </w:t>
            </w:r>
            <w:r w:rsidR="00DE7278">
              <w:rPr>
                <w:rFonts w:ascii="Arial" w:eastAsia="Times New Roman" w:hAnsi="Arial" w:cs="Arial"/>
                <w:color w:val="595A5B"/>
                <w:szCs w:val="18"/>
                <w:lang w:val="en-AU" w:eastAsia="en-AU"/>
              </w:rPr>
              <w:t xml:space="preserve">Hot </w:t>
            </w:r>
            <w:r w:rsidR="002620C9" w:rsidRPr="00545318">
              <w:rPr>
                <w:rFonts w:ascii="Arial" w:eastAsia="Times New Roman" w:hAnsi="Arial" w:cs="Arial"/>
                <w:color w:val="595A5B"/>
                <w:szCs w:val="18"/>
                <w:lang w:val="en-AU" w:eastAsia="en-AU"/>
              </w:rPr>
              <w:t>rolled structural bars, rail and sleepers</w:t>
            </w:r>
          </w:p>
        </w:tc>
        <w:tc>
          <w:tcPr>
            <w:tcW w:w="718" w:type="pct"/>
          </w:tcPr>
          <w:p w14:paraId="3ADF4D48" w14:textId="77777777" w:rsidR="002620C9" w:rsidRPr="00545318" w:rsidRDefault="002620C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2.5 Mt</w:t>
            </w:r>
          </w:p>
        </w:tc>
      </w:tr>
      <w:tr w:rsidR="002620C9" w:rsidRPr="00545318" w14:paraId="6C6A7E88" w14:textId="77777777" w:rsidTr="00435108">
        <w:trPr>
          <w:trHeight w:val="513"/>
        </w:trPr>
        <w:tc>
          <w:tcPr>
            <w:tcW w:w="1265" w:type="pct"/>
          </w:tcPr>
          <w:p w14:paraId="79D4DA96" w14:textId="77777777" w:rsidR="002620C9" w:rsidRPr="00545318" w:rsidRDefault="002620C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 xml:space="preserve">BlueScope </w:t>
            </w:r>
          </w:p>
        </w:tc>
        <w:tc>
          <w:tcPr>
            <w:tcW w:w="1275" w:type="pct"/>
          </w:tcPr>
          <w:p w14:paraId="75D2A473" w14:textId="77777777" w:rsidR="002620C9" w:rsidRPr="00545318" w:rsidRDefault="002620C9"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Steel flat products</w:t>
            </w:r>
          </w:p>
        </w:tc>
        <w:tc>
          <w:tcPr>
            <w:tcW w:w="1742" w:type="pct"/>
          </w:tcPr>
          <w:p w14:paraId="2CFBC8A3" w14:textId="30B620C8" w:rsidR="002620C9" w:rsidRPr="00545318" w:rsidRDefault="00DE7278" w:rsidP="00435108">
            <w:pPr>
              <w:keepNext/>
              <w:keepLines/>
              <w:spacing w:before="60" w:after="60"/>
              <w:rPr>
                <w:rFonts w:ascii="Arial" w:eastAsia="Times New Roman" w:hAnsi="Arial" w:cs="Arial"/>
                <w:color w:val="595A5B"/>
                <w:szCs w:val="18"/>
                <w:lang w:val="en-AU" w:eastAsia="en-AU"/>
              </w:rPr>
            </w:pPr>
            <w:r>
              <w:rPr>
                <w:rFonts w:ascii="Arial" w:eastAsia="Times New Roman" w:hAnsi="Arial" w:cs="Arial"/>
                <w:color w:val="595A5B"/>
                <w:szCs w:val="18"/>
                <w:lang w:val="en-AU" w:eastAsia="en-AU"/>
              </w:rPr>
              <w:t xml:space="preserve">Hot </w:t>
            </w:r>
            <w:r w:rsidR="002620C9" w:rsidRPr="00545318">
              <w:rPr>
                <w:rFonts w:ascii="Arial" w:eastAsia="Times New Roman" w:hAnsi="Arial" w:cs="Arial"/>
                <w:color w:val="595A5B"/>
                <w:szCs w:val="18"/>
                <w:lang w:val="en-AU" w:eastAsia="en-AU"/>
              </w:rPr>
              <w:t>rolled coils</w:t>
            </w:r>
            <w:r w:rsidR="00F62E8B" w:rsidRPr="00545318">
              <w:rPr>
                <w:rFonts w:ascii="Arial" w:eastAsia="Times New Roman" w:hAnsi="Arial" w:cs="Arial"/>
                <w:color w:val="595A5B"/>
                <w:szCs w:val="18"/>
                <w:lang w:val="en-AU" w:eastAsia="en-AU"/>
              </w:rPr>
              <w:t>, plate, metal coated and painted steel</w:t>
            </w:r>
          </w:p>
        </w:tc>
        <w:tc>
          <w:tcPr>
            <w:tcW w:w="718" w:type="pct"/>
          </w:tcPr>
          <w:p w14:paraId="524CEE9A" w14:textId="5C7080D1" w:rsidR="002620C9" w:rsidRPr="00545318" w:rsidRDefault="00F62E8B" w:rsidP="00435108">
            <w:pPr>
              <w:keepNext/>
              <w:keepLines/>
              <w:spacing w:before="60" w:after="60"/>
              <w:rPr>
                <w:rFonts w:ascii="Arial" w:eastAsia="Times New Roman" w:hAnsi="Arial" w:cs="Arial"/>
                <w:color w:val="595A5B"/>
                <w:szCs w:val="18"/>
                <w:lang w:val="en-AU" w:eastAsia="en-AU"/>
              </w:rPr>
            </w:pPr>
            <w:r w:rsidRPr="00545318">
              <w:rPr>
                <w:rFonts w:ascii="Arial" w:eastAsia="Times New Roman" w:hAnsi="Arial" w:cs="Arial"/>
                <w:color w:val="595A5B"/>
                <w:szCs w:val="18"/>
                <w:lang w:val="en-AU" w:eastAsia="en-AU"/>
              </w:rPr>
              <w:t>2.</w:t>
            </w:r>
            <w:r w:rsidR="007E1EA1" w:rsidRPr="00545318">
              <w:rPr>
                <w:rFonts w:ascii="Arial" w:eastAsia="Times New Roman" w:hAnsi="Arial" w:cs="Arial"/>
                <w:color w:val="595A5B"/>
                <w:szCs w:val="18"/>
                <w:lang w:val="en-AU" w:eastAsia="en-AU"/>
              </w:rPr>
              <w:t>6</w:t>
            </w:r>
            <w:r w:rsidR="002620C9" w:rsidRPr="00545318">
              <w:rPr>
                <w:rFonts w:ascii="Arial" w:eastAsia="Times New Roman" w:hAnsi="Arial" w:cs="Arial"/>
                <w:color w:val="595A5B"/>
                <w:szCs w:val="18"/>
                <w:lang w:val="en-AU" w:eastAsia="en-AU"/>
              </w:rPr>
              <w:t xml:space="preserve"> Mt</w:t>
            </w:r>
          </w:p>
        </w:tc>
      </w:tr>
    </w:tbl>
    <w:p w14:paraId="4C851986" w14:textId="2ECA7862" w:rsidR="002620C9" w:rsidRPr="00545318" w:rsidRDefault="002620C9" w:rsidP="002620C9">
      <w:pPr>
        <w:keepLines/>
        <w:pBdr>
          <w:bottom w:val="single" w:sz="4" w:space="1" w:color="595A5B"/>
        </w:pBdr>
        <w:spacing w:before="6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Company </w:t>
      </w:r>
      <w:r w:rsidR="003878A9" w:rsidRPr="00545318">
        <w:rPr>
          <w:rFonts w:ascii="Arial" w:eastAsia="Times New Roman" w:hAnsi="Arial" w:cs="Arial"/>
          <w:color w:val="22789A"/>
          <w:sz w:val="16"/>
          <w:szCs w:val="20"/>
          <w:lang w:val="en-AU"/>
        </w:rPr>
        <w:t>website</w:t>
      </w:r>
      <w:r w:rsidR="00F62E8B" w:rsidRPr="00545318">
        <w:rPr>
          <w:rFonts w:ascii="Arial" w:eastAsia="Times New Roman" w:hAnsi="Arial" w:cs="Arial"/>
          <w:color w:val="22789A"/>
          <w:sz w:val="16"/>
          <w:szCs w:val="20"/>
          <w:lang w:val="en-AU"/>
        </w:rPr>
        <w:t xml:space="preserve"> </w:t>
      </w:r>
      <w:r w:rsidR="00F62E8B" w:rsidRPr="00545318">
        <w:rPr>
          <w:rStyle w:val="FootnoteReference"/>
          <w:rFonts w:ascii="Arial" w:eastAsia="Times New Roman" w:hAnsi="Arial" w:cs="Arial"/>
          <w:color w:val="22789A"/>
          <w:sz w:val="16"/>
          <w:szCs w:val="20"/>
          <w:lang w:val="en-AU"/>
        </w:rPr>
        <w:footnoteReference w:id="5"/>
      </w:r>
      <w:r w:rsidR="00F62E8B" w:rsidRPr="00545318">
        <w:rPr>
          <w:rFonts w:ascii="Arial" w:eastAsia="Times New Roman" w:hAnsi="Arial" w:cs="Arial"/>
          <w:color w:val="22789A"/>
          <w:sz w:val="16"/>
          <w:szCs w:val="20"/>
          <w:lang w:val="en-AU"/>
        </w:rPr>
        <w:t xml:space="preserve"> </w:t>
      </w:r>
      <w:r w:rsidR="00F62E8B" w:rsidRPr="00545318">
        <w:rPr>
          <w:rStyle w:val="FootnoteReference"/>
          <w:rFonts w:ascii="Arial" w:eastAsia="Times New Roman" w:hAnsi="Arial" w:cs="Arial"/>
          <w:color w:val="22789A"/>
          <w:sz w:val="16"/>
          <w:szCs w:val="20"/>
          <w:lang w:val="en-AU"/>
        </w:rPr>
        <w:footnoteReference w:id="6"/>
      </w:r>
      <w:r w:rsidR="003878A9" w:rsidRPr="00545318">
        <w:rPr>
          <w:rFonts w:ascii="Arial" w:eastAsia="Times New Roman" w:hAnsi="Arial" w:cs="Arial"/>
          <w:color w:val="22789A"/>
          <w:sz w:val="16"/>
          <w:szCs w:val="20"/>
          <w:lang w:val="en-AU"/>
        </w:rPr>
        <w:t xml:space="preserve"> (</w:t>
      </w:r>
      <w:r w:rsidRPr="00545318">
        <w:rPr>
          <w:rFonts w:ascii="Arial" w:eastAsia="Times New Roman" w:hAnsi="Arial" w:cs="Arial"/>
          <w:color w:val="22789A"/>
          <w:sz w:val="16"/>
          <w:szCs w:val="20"/>
          <w:lang w:val="en-AU"/>
        </w:rPr>
        <w:t>annual report</w:t>
      </w:r>
      <w:r w:rsidR="003878A9" w:rsidRPr="00545318">
        <w:rPr>
          <w:rFonts w:ascii="Arial" w:eastAsia="Times New Roman" w:hAnsi="Arial" w:cs="Arial"/>
          <w:color w:val="22789A"/>
          <w:sz w:val="16"/>
          <w:szCs w:val="20"/>
          <w:lang w:val="en-AU"/>
        </w:rPr>
        <w:t>)</w:t>
      </w:r>
    </w:p>
    <w:p w14:paraId="39C2E584" w14:textId="77777777" w:rsidR="00BB4916" w:rsidRPr="00545318" w:rsidRDefault="00BB4916">
      <w:pPr>
        <w:spacing w:after="200" w:line="276" w:lineRule="auto"/>
      </w:pPr>
      <w:r w:rsidRPr="00545318">
        <w:br w:type="page"/>
      </w:r>
    </w:p>
    <w:p w14:paraId="2930F5BC" w14:textId="6693EB8B" w:rsidR="002620C9" w:rsidRPr="00545318" w:rsidRDefault="002620C9" w:rsidP="002620C9">
      <w:pPr>
        <w:spacing w:before="120" w:after="120"/>
      </w:pPr>
      <w:r w:rsidRPr="00545318">
        <w:t>Outside of BlueScope and Arrium, the industry is represented by a large number of small to medium businesses. These businesses are engaged in downstream activities such as cutting and bending and are supplied by domestic crude steel producers Arrium and Blue</w:t>
      </w:r>
      <w:r w:rsidR="00504188" w:rsidRPr="00545318">
        <w:t>S</w:t>
      </w:r>
      <w:r w:rsidRPr="00545318">
        <w:t xml:space="preserve">cope, or in some cases they import their crude steel from overseas. In the iron smelting and steel sector, more than half of the firms employ less than 20 people and fewer than 20 </w:t>
      </w:r>
      <w:r w:rsidR="00620A65" w:rsidRPr="00545318">
        <w:t>per cent</w:t>
      </w:r>
      <w:r w:rsidRPr="00545318">
        <w:t xml:space="preserve"> of businesses generate over $2 million in revenue annually. In the steel pipe and tube manufacturing sector, it is estimated less than </w:t>
      </w:r>
      <w:r w:rsidR="009241EC">
        <w:t>10 </w:t>
      </w:r>
      <w:r w:rsidR="00620A65" w:rsidRPr="00545318">
        <w:t>per cent</w:t>
      </w:r>
      <w:r w:rsidRPr="00545318">
        <w:t xml:space="preserve"> of firms in the industry employ 20 staff or more.</w:t>
      </w:r>
    </w:p>
    <w:p w14:paraId="564FEEC8" w14:textId="0C90FE00" w:rsidR="002620C9" w:rsidRPr="00545318" w:rsidRDefault="002620C9" w:rsidP="002620C9">
      <w:pPr>
        <w:spacing w:before="120" w:after="120"/>
      </w:pPr>
      <w:r w:rsidRPr="00545318">
        <w:t>In the lead-up to the GFC, production and employment was relatively stable. However, since 2010 production and employment have been in steady decline. Table 2.4 shows that total (full- and part</w:t>
      </w:r>
      <w:r w:rsidR="00BB4916" w:rsidRPr="00545318">
        <w:noBreakHyphen/>
      </w:r>
      <w:r w:rsidRPr="00545318">
        <w:t xml:space="preserve">time) employment in the steel manufacturing industry was above 40,000 between 2006 and 2011. The fall in employment between 2006 and 2016 was around 28 </w:t>
      </w:r>
      <w:r w:rsidR="00620A65" w:rsidRPr="00545318">
        <w:t>per cent</w:t>
      </w:r>
      <w:r w:rsidRPr="00545318">
        <w:t>, compared with 13</w:t>
      </w:r>
      <w:r w:rsidR="009241EC">
        <w:t> </w:t>
      </w:r>
      <w:r w:rsidR="00620A65" w:rsidRPr="00545318">
        <w:t>per cent</w:t>
      </w:r>
      <w:r w:rsidRPr="00545318">
        <w:t xml:space="preserve"> for manufacturing over the decade. Steel production employment as a share of total manufacturing employment has consequently fallen since 2006.</w:t>
      </w:r>
    </w:p>
    <w:p w14:paraId="5388656B"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Table 2.4: Total steel employment (‘000), 2006-2015</w:t>
      </w:r>
    </w:p>
    <w:tbl>
      <w:tblPr>
        <w:tblStyle w:val="OCETable5"/>
        <w:tblW w:w="9134" w:type="dxa"/>
        <w:tblInd w:w="108" w:type="dxa"/>
        <w:shd w:val="clear" w:color="auto" w:fill="DBE5F1" w:themeFill="accent1" w:themeFillTint="33"/>
        <w:tblLook w:val="04A0" w:firstRow="1" w:lastRow="0" w:firstColumn="1" w:lastColumn="0" w:noHBand="0" w:noVBand="1"/>
      </w:tblPr>
      <w:tblGrid>
        <w:gridCol w:w="1357"/>
        <w:gridCol w:w="310"/>
        <w:gridCol w:w="617"/>
        <w:gridCol w:w="702"/>
        <w:gridCol w:w="702"/>
        <w:gridCol w:w="702"/>
        <w:gridCol w:w="702"/>
        <w:gridCol w:w="702"/>
        <w:gridCol w:w="702"/>
        <w:gridCol w:w="702"/>
        <w:gridCol w:w="702"/>
        <w:gridCol w:w="617"/>
        <w:gridCol w:w="617"/>
      </w:tblGrid>
      <w:tr w:rsidR="002620C9" w:rsidRPr="00545318" w14:paraId="0EDA675E" w14:textId="77777777" w:rsidTr="002620C9">
        <w:trPr>
          <w:cnfStyle w:val="100000000000" w:firstRow="1" w:lastRow="0" w:firstColumn="0" w:lastColumn="0" w:oddVBand="0" w:evenVBand="0" w:oddHBand="0" w:evenHBand="0" w:firstRowFirstColumn="0" w:firstRowLastColumn="0" w:lastRowFirstColumn="0" w:lastRowLastColumn="0"/>
          <w:trHeight w:val="303"/>
        </w:trPr>
        <w:tc>
          <w:tcPr>
            <w:tcW w:w="1357" w:type="dxa"/>
            <w:noWrap/>
            <w:hideMark/>
          </w:tcPr>
          <w:p w14:paraId="32A78FE4" w14:textId="77777777" w:rsidR="002620C9" w:rsidRPr="00435108" w:rsidRDefault="002620C9" w:rsidP="002620C9">
            <w:pPr>
              <w:keepNext/>
              <w:spacing w:before="120" w:after="120"/>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Industry</w:t>
            </w:r>
          </w:p>
        </w:tc>
        <w:tc>
          <w:tcPr>
            <w:tcW w:w="628" w:type="dxa"/>
          </w:tcPr>
          <w:p w14:paraId="6147E562" w14:textId="77777777" w:rsidR="002620C9" w:rsidRPr="00435108" w:rsidRDefault="002620C9" w:rsidP="002620C9">
            <w:pPr>
              <w:keepNext/>
              <w:spacing w:before="120" w:after="120"/>
              <w:jc w:val="right"/>
              <w:rPr>
                <w:rFonts w:ascii="Arial" w:hAnsi="Arial" w:cs="Arial"/>
                <w:b/>
                <w:i/>
                <w:color w:val="FFFFFF" w:themeColor="background1"/>
                <w:szCs w:val="18"/>
                <w:lang w:val="en-AU"/>
              </w:rPr>
            </w:pPr>
          </w:p>
        </w:tc>
        <w:tc>
          <w:tcPr>
            <w:tcW w:w="298" w:type="dxa"/>
            <w:noWrap/>
            <w:vAlign w:val="center"/>
            <w:hideMark/>
          </w:tcPr>
          <w:p w14:paraId="1E37CC5A"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2006</w:t>
            </w:r>
          </w:p>
        </w:tc>
        <w:tc>
          <w:tcPr>
            <w:tcW w:w="702" w:type="dxa"/>
            <w:noWrap/>
            <w:vAlign w:val="center"/>
            <w:hideMark/>
          </w:tcPr>
          <w:p w14:paraId="5DA753D0"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2007</w:t>
            </w:r>
          </w:p>
        </w:tc>
        <w:tc>
          <w:tcPr>
            <w:tcW w:w="702" w:type="dxa"/>
            <w:noWrap/>
            <w:vAlign w:val="center"/>
            <w:hideMark/>
          </w:tcPr>
          <w:p w14:paraId="77473876"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2008</w:t>
            </w:r>
          </w:p>
        </w:tc>
        <w:tc>
          <w:tcPr>
            <w:tcW w:w="702" w:type="dxa"/>
            <w:noWrap/>
            <w:vAlign w:val="center"/>
            <w:hideMark/>
          </w:tcPr>
          <w:p w14:paraId="024E0846"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2009</w:t>
            </w:r>
          </w:p>
        </w:tc>
        <w:tc>
          <w:tcPr>
            <w:tcW w:w="702" w:type="dxa"/>
            <w:noWrap/>
            <w:vAlign w:val="center"/>
            <w:hideMark/>
          </w:tcPr>
          <w:p w14:paraId="06A00D38"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2010</w:t>
            </w:r>
          </w:p>
        </w:tc>
        <w:tc>
          <w:tcPr>
            <w:tcW w:w="702" w:type="dxa"/>
            <w:noWrap/>
            <w:vAlign w:val="center"/>
            <w:hideMark/>
          </w:tcPr>
          <w:p w14:paraId="4527E221"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2011</w:t>
            </w:r>
          </w:p>
        </w:tc>
        <w:tc>
          <w:tcPr>
            <w:tcW w:w="702" w:type="dxa"/>
            <w:noWrap/>
            <w:vAlign w:val="center"/>
            <w:hideMark/>
          </w:tcPr>
          <w:p w14:paraId="261AF315"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2012</w:t>
            </w:r>
          </w:p>
        </w:tc>
        <w:tc>
          <w:tcPr>
            <w:tcW w:w="702" w:type="dxa"/>
            <w:noWrap/>
            <w:vAlign w:val="center"/>
            <w:hideMark/>
          </w:tcPr>
          <w:p w14:paraId="72EC34C8"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2013</w:t>
            </w:r>
          </w:p>
        </w:tc>
        <w:tc>
          <w:tcPr>
            <w:tcW w:w="702" w:type="dxa"/>
            <w:noWrap/>
            <w:vAlign w:val="center"/>
            <w:hideMark/>
          </w:tcPr>
          <w:p w14:paraId="6AB1D9C9"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2014</w:t>
            </w:r>
          </w:p>
        </w:tc>
        <w:tc>
          <w:tcPr>
            <w:tcW w:w="617" w:type="dxa"/>
            <w:noWrap/>
            <w:vAlign w:val="center"/>
            <w:hideMark/>
          </w:tcPr>
          <w:p w14:paraId="43FCDB0C"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2015</w:t>
            </w:r>
          </w:p>
        </w:tc>
        <w:tc>
          <w:tcPr>
            <w:tcW w:w="618" w:type="dxa"/>
          </w:tcPr>
          <w:p w14:paraId="566C2BD5" w14:textId="77777777" w:rsidR="002620C9" w:rsidRPr="00435108" w:rsidRDefault="002620C9" w:rsidP="002620C9">
            <w:pPr>
              <w:keepNext/>
              <w:spacing w:before="120" w:after="120"/>
              <w:jc w:val="right"/>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2016</w:t>
            </w:r>
          </w:p>
        </w:tc>
      </w:tr>
      <w:tr w:rsidR="002620C9" w:rsidRPr="00545318" w14:paraId="4568311E" w14:textId="77777777" w:rsidTr="002620C9">
        <w:trPr>
          <w:trHeight w:val="303"/>
        </w:trPr>
        <w:tc>
          <w:tcPr>
            <w:tcW w:w="1357" w:type="dxa"/>
            <w:noWrap/>
            <w:vAlign w:val="center"/>
            <w:hideMark/>
          </w:tcPr>
          <w:p w14:paraId="6BBC4495" w14:textId="77777777" w:rsidR="002620C9" w:rsidRPr="00545318" w:rsidRDefault="002620C9" w:rsidP="002620C9">
            <w:pPr>
              <w:keepNext/>
              <w:keepLines/>
              <w:spacing w:before="60" w:after="60"/>
              <w:rPr>
                <w:rFonts w:ascii="Arial" w:hAnsi="Arial" w:cs="Arial"/>
                <w:color w:val="595A5B"/>
                <w:szCs w:val="18"/>
                <w:lang w:val="en-AU"/>
              </w:rPr>
            </w:pPr>
            <w:r w:rsidRPr="00545318">
              <w:rPr>
                <w:rFonts w:ascii="Arial" w:hAnsi="Arial" w:cs="Arial"/>
                <w:color w:val="595A5B"/>
                <w:szCs w:val="18"/>
                <w:lang w:val="en-AU"/>
              </w:rPr>
              <w:t>Basic ferrous metal manufacturing</w:t>
            </w:r>
          </w:p>
        </w:tc>
        <w:tc>
          <w:tcPr>
            <w:tcW w:w="628" w:type="dxa"/>
          </w:tcPr>
          <w:p w14:paraId="309FF440" w14:textId="77777777" w:rsidR="002620C9" w:rsidRPr="00545318" w:rsidRDefault="002620C9" w:rsidP="002620C9">
            <w:pPr>
              <w:keepNext/>
              <w:keepLines/>
              <w:spacing w:before="60" w:after="60"/>
              <w:jc w:val="right"/>
              <w:rPr>
                <w:rFonts w:ascii="Arial" w:hAnsi="Arial" w:cs="Arial"/>
                <w:color w:val="595A5B"/>
                <w:szCs w:val="18"/>
                <w:lang w:val="en-AU"/>
              </w:rPr>
            </w:pPr>
          </w:p>
        </w:tc>
        <w:tc>
          <w:tcPr>
            <w:tcW w:w="298" w:type="dxa"/>
            <w:noWrap/>
            <w:hideMark/>
          </w:tcPr>
          <w:p w14:paraId="036A194A"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45.3</w:t>
            </w:r>
          </w:p>
        </w:tc>
        <w:tc>
          <w:tcPr>
            <w:tcW w:w="702" w:type="dxa"/>
            <w:noWrap/>
            <w:hideMark/>
          </w:tcPr>
          <w:p w14:paraId="1858DDCA"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43.8</w:t>
            </w:r>
          </w:p>
        </w:tc>
        <w:tc>
          <w:tcPr>
            <w:tcW w:w="702" w:type="dxa"/>
            <w:noWrap/>
            <w:hideMark/>
          </w:tcPr>
          <w:p w14:paraId="244140D0"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43.8</w:t>
            </w:r>
          </w:p>
        </w:tc>
        <w:tc>
          <w:tcPr>
            <w:tcW w:w="702" w:type="dxa"/>
            <w:noWrap/>
            <w:hideMark/>
          </w:tcPr>
          <w:p w14:paraId="76602867"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42.6</w:t>
            </w:r>
          </w:p>
        </w:tc>
        <w:tc>
          <w:tcPr>
            <w:tcW w:w="702" w:type="dxa"/>
            <w:noWrap/>
            <w:hideMark/>
          </w:tcPr>
          <w:p w14:paraId="61FAE423"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41.5</w:t>
            </w:r>
          </w:p>
        </w:tc>
        <w:tc>
          <w:tcPr>
            <w:tcW w:w="702" w:type="dxa"/>
            <w:noWrap/>
            <w:hideMark/>
          </w:tcPr>
          <w:p w14:paraId="710F0221"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43.1</w:t>
            </w:r>
          </w:p>
        </w:tc>
        <w:tc>
          <w:tcPr>
            <w:tcW w:w="702" w:type="dxa"/>
            <w:noWrap/>
            <w:hideMark/>
          </w:tcPr>
          <w:p w14:paraId="67D1B003"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39.9</w:t>
            </w:r>
          </w:p>
        </w:tc>
        <w:tc>
          <w:tcPr>
            <w:tcW w:w="702" w:type="dxa"/>
            <w:noWrap/>
            <w:hideMark/>
          </w:tcPr>
          <w:p w14:paraId="725A3F06"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33.6</w:t>
            </w:r>
          </w:p>
        </w:tc>
        <w:tc>
          <w:tcPr>
            <w:tcW w:w="702" w:type="dxa"/>
            <w:noWrap/>
            <w:hideMark/>
          </w:tcPr>
          <w:p w14:paraId="0B30C484"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38.0</w:t>
            </w:r>
          </w:p>
        </w:tc>
        <w:tc>
          <w:tcPr>
            <w:tcW w:w="617" w:type="dxa"/>
            <w:noWrap/>
            <w:hideMark/>
          </w:tcPr>
          <w:p w14:paraId="68EFAED4"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36.9</w:t>
            </w:r>
          </w:p>
        </w:tc>
        <w:tc>
          <w:tcPr>
            <w:tcW w:w="618" w:type="dxa"/>
          </w:tcPr>
          <w:p w14:paraId="4E12E1AB"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32.5</w:t>
            </w:r>
          </w:p>
        </w:tc>
      </w:tr>
      <w:tr w:rsidR="002620C9" w:rsidRPr="00545318" w14:paraId="5863DE29" w14:textId="77777777" w:rsidTr="002620C9">
        <w:trPr>
          <w:trHeight w:val="303"/>
        </w:trPr>
        <w:tc>
          <w:tcPr>
            <w:tcW w:w="1357" w:type="dxa"/>
            <w:noWrap/>
            <w:vAlign w:val="center"/>
            <w:hideMark/>
          </w:tcPr>
          <w:p w14:paraId="49311720" w14:textId="77777777" w:rsidR="002620C9" w:rsidRPr="00545318" w:rsidRDefault="002620C9" w:rsidP="002620C9">
            <w:pPr>
              <w:keepNext/>
              <w:keepLines/>
              <w:spacing w:before="60" w:after="60"/>
              <w:rPr>
                <w:rFonts w:ascii="Arial" w:hAnsi="Arial" w:cs="Arial"/>
                <w:color w:val="595A5B"/>
                <w:szCs w:val="18"/>
                <w:lang w:val="en-AU"/>
              </w:rPr>
            </w:pPr>
            <w:r w:rsidRPr="00545318">
              <w:rPr>
                <w:rFonts w:ascii="Arial" w:hAnsi="Arial" w:cs="Arial"/>
                <w:color w:val="595A5B"/>
                <w:szCs w:val="18"/>
                <w:lang w:val="en-AU"/>
              </w:rPr>
              <w:t>Basic ferrous metal product manufacturing</w:t>
            </w:r>
          </w:p>
        </w:tc>
        <w:tc>
          <w:tcPr>
            <w:tcW w:w="628" w:type="dxa"/>
          </w:tcPr>
          <w:p w14:paraId="7B510E8C" w14:textId="77777777" w:rsidR="002620C9" w:rsidRPr="00545318" w:rsidRDefault="002620C9" w:rsidP="002620C9">
            <w:pPr>
              <w:keepNext/>
              <w:keepLines/>
              <w:spacing w:before="60" w:after="60"/>
              <w:jc w:val="right"/>
              <w:rPr>
                <w:rFonts w:ascii="Arial" w:hAnsi="Arial" w:cs="Arial"/>
                <w:color w:val="595A5B"/>
                <w:szCs w:val="18"/>
                <w:lang w:val="en-AU"/>
              </w:rPr>
            </w:pPr>
          </w:p>
        </w:tc>
        <w:tc>
          <w:tcPr>
            <w:tcW w:w="298" w:type="dxa"/>
            <w:noWrap/>
            <w:hideMark/>
          </w:tcPr>
          <w:p w14:paraId="6FA80E96"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3.0</w:t>
            </w:r>
          </w:p>
        </w:tc>
        <w:tc>
          <w:tcPr>
            <w:tcW w:w="702" w:type="dxa"/>
            <w:noWrap/>
            <w:hideMark/>
          </w:tcPr>
          <w:p w14:paraId="1D4488E8"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2.5</w:t>
            </w:r>
          </w:p>
        </w:tc>
        <w:tc>
          <w:tcPr>
            <w:tcW w:w="702" w:type="dxa"/>
            <w:noWrap/>
            <w:hideMark/>
          </w:tcPr>
          <w:p w14:paraId="6944DBDC"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3.1</w:t>
            </w:r>
          </w:p>
        </w:tc>
        <w:tc>
          <w:tcPr>
            <w:tcW w:w="702" w:type="dxa"/>
            <w:noWrap/>
            <w:hideMark/>
          </w:tcPr>
          <w:p w14:paraId="11B36DE0"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4.3</w:t>
            </w:r>
          </w:p>
        </w:tc>
        <w:tc>
          <w:tcPr>
            <w:tcW w:w="702" w:type="dxa"/>
            <w:noWrap/>
            <w:hideMark/>
          </w:tcPr>
          <w:p w14:paraId="2B8AF3E2"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2.6</w:t>
            </w:r>
          </w:p>
        </w:tc>
        <w:tc>
          <w:tcPr>
            <w:tcW w:w="702" w:type="dxa"/>
            <w:noWrap/>
            <w:hideMark/>
          </w:tcPr>
          <w:p w14:paraId="0CBADFD9"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2.4</w:t>
            </w:r>
          </w:p>
        </w:tc>
        <w:tc>
          <w:tcPr>
            <w:tcW w:w="702" w:type="dxa"/>
            <w:noWrap/>
            <w:hideMark/>
          </w:tcPr>
          <w:p w14:paraId="782A4AE4"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2.4</w:t>
            </w:r>
          </w:p>
        </w:tc>
        <w:tc>
          <w:tcPr>
            <w:tcW w:w="702" w:type="dxa"/>
            <w:noWrap/>
            <w:hideMark/>
          </w:tcPr>
          <w:p w14:paraId="0987FC7A"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2.1</w:t>
            </w:r>
          </w:p>
        </w:tc>
        <w:tc>
          <w:tcPr>
            <w:tcW w:w="702" w:type="dxa"/>
            <w:noWrap/>
            <w:hideMark/>
          </w:tcPr>
          <w:p w14:paraId="40ED7A4F"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2.0</w:t>
            </w:r>
          </w:p>
        </w:tc>
        <w:tc>
          <w:tcPr>
            <w:tcW w:w="617" w:type="dxa"/>
            <w:noWrap/>
            <w:hideMark/>
          </w:tcPr>
          <w:p w14:paraId="717A060F"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2.9</w:t>
            </w:r>
          </w:p>
        </w:tc>
        <w:tc>
          <w:tcPr>
            <w:tcW w:w="618" w:type="dxa"/>
          </w:tcPr>
          <w:p w14:paraId="714753B9"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2.6</w:t>
            </w:r>
          </w:p>
        </w:tc>
      </w:tr>
      <w:tr w:rsidR="002620C9" w:rsidRPr="00545318" w14:paraId="7AF9018B" w14:textId="77777777" w:rsidTr="002620C9">
        <w:trPr>
          <w:trHeight w:val="303"/>
        </w:trPr>
        <w:tc>
          <w:tcPr>
            <w:tcW w:w="1357" w:type="dxa"/>
            <w:noWrap/>
            <w:vAlign w:val="center"/>
            <w:hideMark/>
          </w:tcPr>
          <w:p w14:paraId="0A4EB1C6" w14:textId="77777777" w:rsidR="002620C9" w:rsidRPr="00545318" w:rsidRDefault="002620C9" w:rsidP="002620C9">
            <w:pPr>
              <w:keepNext/>
              <w:keepLines/>
              <w:spacing w:before="60" w:after="60"/>
              <w:rPr>
                <w:rFonts w:ascii="Arial" w:hAnsi="Arial" w:cs="Arial"/>
                <w:b/>
                <w:color w:val="595A5B"/>
                <w:szCs w:val="18"/>
                <w:lang w:val="en-AU"/>
              </w:rPr>
            </w:pPr>
            <w:r w:rsidRPr="00545318">
              <w:rPr>
                <w:rFonts w:ascii="Arial" w:hAnsi="Arial" w:cs="Arial"/>
                <w:b/>
                <w:color w:val="595A5B"/>
                <w:szCs w:val="18"/>
                <w:lang w:val="en-AU"/>
              </w:rPr>
              <w:t xml:space="preserve">Total </w:t>
            </w:r>
          </w:p>
        </w:tc>
        <w:tc>
          <w:tcPr>
            <w:tcW w:w="628" w:type="dxa"/>
          </w:tcPr>
          <w:p w14:paraId="0806BB78" w14:textId="77777777" w:rsidR="002620C9" w:rsidRPr="00545318" w:rsidRDefault="002620C9" w:rsidP="002620C9">
            <w:pPr>
              <w:keepNext/>
              <w:keepLines/>
              <w:spacing w:before="60" w:after="60"/>
              <w:jc w:val="right"/>
              <w:rPr>
                <w:rFonts w:ascii="Arial" w:hAnsi="Arial" w:cs="Arial"/>
                <w:b/>
                <w:color w:val="595A5B"/>
                <w:szCs w:val="18"/>
                <w:lang w:val="en-AU"/>
              </w:rPr>
            </w:pPr>
          </w:p>
        </w:tc>
        <w:tc>
          <w:tcPr>
            <w:tcW w:w="298" w:type="dxa"/>
            <w:noWrap/>
            <w:hideMark/>
          </w:tcPr>
          <w:p w14:paraId="0552A976"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48.3</w:t>
            </w:r>
          </w:p>
        </w:tc>
        <w:tc>
          <w:tcPr>
            <w:tcW w:w="702" w:type="dxa"/>
            <w:noWrap/>
            <w:hideMark/>
          </w:tcPr>
          <w:p w14:paraId="4F3BD68E"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46.3</w:t>
            </w:r>
          </w:p>
        </w:tc>
        <w:tc>
          <w:tcPr>
            <w:tcW w:w="702" w:type="dxa"/>
            <w:noWrap/>
            <w:hideMark/>
          </w:tcPr>
          <w:p w14:paraId="45A2D263"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47.0</w:t>
            </w:r>
          </w:p>
        </w:tc>
        <w:tc>
          <w:tcPr>
            <w:tcW w:w="702" w:type="dxa"/>
            <w:noWrap/>
            <w:hideMark/>
          </w:tcPr>
          <w:p w14:paraId="126E00C6"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46.8</w:t>
            </w:r>
          </w:p>
        </w:tc>
        <w:tc>
          <w:tcPr>
            <w:tcW w:w="702" w:type="dxa"/>
            <w:noWrap/>
            <w:hideMark/>
          </w:tcPr>
          <w:p w14:paraId="2120797C"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44.2</w:t>
            </w:r>
          </w:p>
        </w:tc>
        <w:tc>
          <w:tcPr>
            <w:tcW w:w="702" w:type="dxa"/>
            <w:noWrap/>
            <w:hideMark/>
          </w:tcPr>
          <w:p w14:paraId="75E13D72"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45.4</w:t>
            </w:r>
          </w:p>
        </w:tc>
        <w:tc>
          <w:tcPr>
            <w:tcW w:w="702" w:type="dxa"/>
            <w:noWrap/>
            <w:hideMark/>
          </w:tcPr>
          <w:p w14:paraId="5CFF2F7B"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42.2</w:t>
            </w:r>
          </w:p>
        </w:tc>
        <w:tc>
          <w:tcPr>
            <w:tcW w:w="702" w:type="dxa"/>
            <w:noWrap/>
            <w:hideMark/>
          </w:tcPr>
          <w:p w14:paraId="44CD5F45"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35.7</w:t>
            </w:r>
          </w:p>
        </w:tc>
        <w:tc>
          <w:tcPr>
            <w:tcW w:w="702" w:type="dxa"/>
            <w:noWrap/>
            <w:hideMark/>
          </w:tcPr>
          <w:p w14:paraId="15CCAEE3"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40.1</w:t>
            </w:r>
          </w:p>
        </w:tc>
        <w:tc>
          <w:tcPr>
            <w:tcW w:w="617" w:type="dxa"/>
            <w:noWrap/>
            <w:hideMark/>
          </w:tcPr>
          <w:p w14:paraId="685E059E"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39.7</w:t>
            </w:r>
          </w:p>
        </w:tc>
        <w:tc>
          <w:tcPr>
            <w:tcW w:w="618" w:type="dxa"/>
          </w:tcPr>
          <w:p w14:paraId="7A0A5F5A"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35.0</w:t>
            </w:r>
          </w:p>
        </w:tc>
      </w:tr>
    </w:tbl>
    <w:p w14:paraId="3DBD2975" w14:textId="77777777"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Based on four quarter averages to May. Steel employment is defined as ANZSIC sub-division 21.</w:t>
      </w:r>
    </w:p>
    <w:p w14:paraId="1CEC4001" w14:textId="1699DDCC"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ABS, Labour Force, Australia, Detailed, Quarterly, May 2016, cat.no. 6291.0.55.003, EQ06.</w:t>
      </w:r>
      <w:r w:rsidR="00531FAE" w:rsidRPr="00545318">
        <w:rPr>
          <w:rStyle w:val="FootnoteReference"/>
          <w:rFonts w:ascii="Arial" w:eastAsia="Times New Roman" w:hAnsi="Arial" w:cs="Arial"/>
          <w:color w:val="22789A"/>
          <w:sz w:val="16"/>
          <w:szCs w:val="20"/>
          <w:lang w:val="en-AU"/>
        </w:rPr>
        <w:footnoteReference w:id="7"/>
      </w:r>
    </w:p>
    <w:p w14:paraId="2E601951" w14:textId="77777777" w:rsidR="002620C9" w:rsidRPr="00545318" w:rsidRDefault="002620C9" w:rsidP="002620C9">
      <w:pPr>
        <w:spacing w:before="120" w:after="120"/>
      </w:pPr>
      <w:r w:rsidRPr="00545318">
        <w:t>The Australian steel manufacturing industry has been significantly impacted by policy reforms over the past few decades. Phased reductions in imported steel tariffs and the floating of the Australian dollar have exposed steel manufacturers to direct competition from overseas markets and fluctuations in exchange rates. Further market liberalisation, including Free Trade Agreements (FTAs) with China, Japan and South Korea, have provided Australian producers with better access to important markets, increasing two-way investment and reducing import costs for Australian businesses and consumers.</w:t>
      </w:r>
    </w:p>
    <w:p w14:paraId="37B7FFAF" w14:textId="316D0983" w:rsidR="002620C9" w:rsidRPr="00545318" w:rsidRDefault="002620C9" w:rsidP="002620C9">
      <w:pPr>
        <w:spacing w:before="120" w:after="120"/>
      </w:pPr>
      <w:r w:rsidRPr="00545318">
        <w:t>Local production of steel products has generally been unable to meet local demand. Each year, around two to three million tonnes of steel are imported. In 2014</w:t>
      </w:r>
      <w:r w:rsidR="009241EC">
        <w:t>,</w:t>
      </w:r>
      <w:r w:rsidRPr="00545318">
        <w:t xml:space="preserve"> imports of steel accounted for 56 </w:t>
      </w:r>
      <w:r w:rsidR="00620A65" w:rsidRPr="00545318">
        <w:t>per cent</w:t>
      </w:r>
      <w:r w:rsidRPr="00545318">
        <w:t xml:space="preserve"> of total steel consumption, and were worth around $4.5 billion. This has been generally increasing since 2000. </w:t>
      </w:r>
    </w:p>
    <w:p w14:paraId="28D8AC73" w14:textId="39601A44" w:rsidR="002620C9" w:rsidRPr="00545318" w:rsidRDefault="002620C9" w:rsidP="002620C9">
      <w:pPr>
        <w:spacing w:before="120" w:after="120"/>
      </w:pPr>
      <w:r w:rsidRPr="00545318">
        <w:t>As shown in Figure 2.12, the supply of imports from all sources has grown significantly since 2000. Total imports continued to grow over the past decade, increasing from 2.5 million tonnes to 2.9</w:t>
      </w:r>
      <w:r w:rsidR="009241EC">
        <w:t> </w:t>
      </w:r>
      <w:r w:rsidRPr="00545318">
        <w:t>million tonnes over this period. The majority of Australia’s steel imports come from Japan (48.3</w:t>
      </w:r>
      <w:r w:rsidR="009241EC">
        <w:t> </w:t>
      </w:r>
      <w:r w:rsidR="00620A65" w:rsidRPr="00545318">
        <w:t>per cent</w:t>
      </w:r>
      <w:r w:rsidRPr="00545318">
        <w:t xml:space="preserve">), China (16.3 </w:t>
      </w:r>
      <w:r w:rsidR="00620A65" w:rsidRPr="00545318">
        <w:t>per cent</w:t>
      </w:r>
      <w:r w:rsidRPr="00545318">
        <w:t xml:space="preserve">) and Chinese Taipei (6.4 </w:t>
      </w:r>
      <w:r w:rsidR="00620A65" w:rsidRPr="00545318">
        <w:t>per cent</w:t>
      </w:r>
      <w:r w:rsidRPr="00545318">
        <w:t xml:space="preserve">). Imports from China are now significantly higher than they were in 2003. While Japan has been a major source of imports over the years, imports from Japan have spiked over the last few years. The major sources of steel imports are presented in Figure 2.12. </w:t>
      </w:r>
    </w:p>
    <w:p w14:paraId="1B5C8362"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2.12: Australian steel imports, 1988 to 2015</w:t>
      </w:r>
    </w:p>
    <w:p w14:paraId="472904A4" w14:textId="77777777" w:rsidR="002620C9" w:rsidRPr="00545318" w:rsidRDefault="002620C9" w:rsidP="002620C9">
      <w:pPr>
        <w:spacing w:after="200" w:line="276" w:lineRule="auto"/>
        <w:rPr>
          <w:lang w:val="en-AU"/>
        </w:rPr>
      </w:pPr>
      <w:r w:rsidRPr="00545318">
        <w:rPr>
          <w:noProof/>
          <w:lang w:val="en-AU" w:eastAsia="en-AU"/>
        </w:rPr>
        <w:drawing>
          <wp:inline distT="0" distB="0" distL="0" distR="0" wp14:anchorId="7EE712EE" wp14:editId="01CE344B">
            <wp:extent cx="5931673" cy="2743200"/>
            <wp:effectExtent l="0" t="0" r="0" b="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BA3F0B5" w14:textId="0FA3E24D"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Notes: Approximately 30 </w:t>
      </w:r>
      <w:r w:rsidR="00620A65" w:rsidRPr="00545318">
        <w:rPr>
          <w:rFonts w:ascii="Arial" w:eastAsia="Times New Roman" w:hAnsi="Arial" w:cs="Arial"/>
          <w:color w:val="22789A"/>
          <w:sz w:val="16"/>
          <w:szCs w:val="20"/>
          <w:lang w:val="en-AU"/>
        </w:rPr>
        <w:t>per cent</w:t>
      </w:r>
      <w:r w:rsidRPr="00545318">
        <w:rPr>
          <w:rFonts w:ascii="Arial" w:eastAsia="Times New Roman" w:hAnsi="Arial" w:cs="Arial"/>
          <w:color w:val="22789A"/>
          <w:sz w:val="16"/>
          <w:szCs w:val="20"/>
          <w:lang w:val="en-AU"/>
        </w:rPr>
        <w:t xml:space="preserve"> of Australia’s steel import volumes data is confidential (with no information on country of origin). This data has been proportionally reallocated to each country. </w:t>
      </w:r>
    </w:p>
    <w:p w14:paraId="2B55FD29"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Sources: ABS, </w:t>
      </w:r>
      <w:r w:rsidRPr="00545318">
        <w:rPr>
          <w:rFonts w:ascii="Arial" w:eastAsia="Times New Roman" w:hAnsi="Arial" w:cs="Arial"/>
          <w:color w:val="22789A"/>
          <w:sz w:val="16"/>
          <w:szCs w:val="20"/>
        </w:rPr>
        <w:t>International Trade, Australia, cat. no. 5465.0.</w:t>
      </w:r>
    </w:p>
    <w:p w14:paraId="1CDDEA95" w14:textId="77777777" w:rsidR="002620C9" w:rsidRPr="00545318" w:rsidRDefault="002620C9" w:rsidP="002620C9">
      <w:pPr>
        <w:pStyle w:val="Heading3"/>
        <w:spacing w:after="120"/>
      </w:pPr>
      <w:r w:rsidRPr="00545318">
        <w:t xml:space="preserve">Global aluminium production </w:t>
      </w:r>
    </w:p>
    <w:p w14:paraId="087D240F" w14:textId="4219F70C" w:rsidR="002620C9" w:rsidRPr="00545318" w:rsidRDefault="002620C9" w:rsidP="002620C9">
      <w:pPr>
        <w:spacing w:before="120" w:after="120"/>
      </w:pPr>
      <w:r w:rsidRPr="00545318">
        <w:t>In 2015</w:t>
      </w:r>
      <w:r w:rsidR="00504188" w:rsidRPr="00545318">
        <w:t>,</w:t>
      </w:r>
      <w:r w:rsidRPr="00545318">
        <w:t xml:space="preserve"> China was the world’s largest producer of primary aluminium (excluding recycled aluminium), producing 31 million tonnes or 55 </w:t>
      </w:r>
      <w:r w:rsidR="00620A65" w:rsidRPr="00545318">
        <w:t>per cent</w:t>
      </w:r>
      <w:r w:rsidRPr="00545318">
        <w:t xml:space="preserve"> of global production. Russia represented </w:t>
      </w:r>
      <w:r w:rsidR="009241EC">
        <w:t>7 </w:t>
      </w:r>
      <w:r w:rsidR="00620A65" w:rsidRPr="00545318">
        <w:t>per cent</w:t>
      </w:r>
      <w:r w:rsidRPr="00545318">
        <w:t xml:space="preserve"> of global production, Canada </w:t>
      </w:r>
      <w:r w:rsidR="009241EC">
        <w:t>5 p</w:t>
      </w:r>
      <w:r w:rsidR="00620A65" w:rsidRPr="00545318">
        <w:t>er cent</w:t>
      </w:r>
      <w:r w:rsidRPr="00545318">
        <w:t xml:space="preserve"> and the United Arab Emirates </w:t>
      </w:r>
      <w:r w:rsidR="009241EC">
        <w:t>4</w:t>
      </w:r>
      <w:r w:rsidRPr="00545318">
        <w:t xml:space="preserve"> </w:t>
      </w:r>
      <w:r w:rsidR="00620A65" w:rsidRPr="00545318">
        <w:t>per cent</w:t>
      </w:r>
      <w:r w:rsidRPr="00545318">
        <w:t xml:space="preserve">. Australia produced 1.65 million tonnes of aluminium in 2015, approximately </w:t>
      </w:r>
      <w:r w:rsidR="009241EC">
        <w:t>3</w:t>
      </w:r>
      <w:r w:rsidRPr="00545318">
        <w:t xml:space="preserve"> </w:t>
      </w:r>
      <w:r w:rsidR="00620A65" w:rsidRPr="00545318">
        <w:t>per cent</w:t>
      </w:r>
      <w:r w:rsidRPr="00545318">
        <w:t xml:space="preserve"> of global production. </w:t>
      </w:r>
    </w:p>
    <w:p w14:paraId="43DD0354" w14:textId="79274DA4" w:rsidR="002620C9" w:rsidRPr="00545318" w:rsidRDefault="002620C9" w:rsidP="002620C9">
      <w:pPr>
        <w:spacing w:before="120" w:after="120"/>
      </w:pPr>
      <w:r w:rsidRPr="00545318">
        <w:t>Like steel, China’s aluminium production has grown rapidly. In 2004</w:t>
      </w:r>
      <w:r w:rsidR="009241EC">
        <w:t>,</w:t>
      </w:r>
      <w:r w:rsidRPr="00545318">
        <w:t xml:space="preserve"> China produced 6.7 million tonnes of aluminium, an average annual growth rate of 16 </w:t>
      </w:r>
      <w:r w:rsidR="00620A65" w:rsidRPr="00545318">
        <w:t>per cent</w:t>
      </w:r>
      <w:r w:rsidRPr="00545318">
        <w:t xml:space="preserve"> over the decade to 2015. </w:t>
      </w:r>
    </w:p>
    <w:p w14:paraId="10D589FB" w14:textId="15C3E4CA" w:rsidR="002620C9" w:rsidRPr="00545318" w:rsidRDefault="002620C9" w:rsidP="002620C9">
      <w:pPr>
        <w:spacing w:before="120" w:after="120"/>
      </w:pPr>
      <w:r w:rsidRPr="00545318">
        <w:t>Although China is the world’s largest producer and consumer of aluminium, it is not a major exporter or importer of aluminium (although it does export value-added products such as extrusions). In 2015</w:t>
      </w:r>
      <w:r w:rsidR="00504188" w:rsidRPr="00545318">
        <w:t>,</w:t>
      </w:r>
      <w:r w:rsidRPr="00545318">
        <w:t xml:space="preserve"> Russia was the world’s largest exporter of aluminium, exporting 3.4 million tonnes, or 18</w:t>
      </w:r>
      <w:r w:rsidR="009241EC">
        <w:t> </w:t>
      </w:r>
      <w:r w:rsidR="00620A65" w:rsidRPr="00545318">
        <w:t>per cent</w:t>
      </w:r>
      <w:r w:rsidRPr="00545318">
        <w:t xml:space="preserve"> of world exports. The world’s largest importer in 2015</w:t>
      </w:r>
      <w:r w:rsidR="009C521D" w:rsidRPr="00545318">
        <w:t>,</w:t>
      </w:r>
      <w:r w:rsidRPr="00545318">
        <w:t xml:space="preserve"> was Germany, which imported 2.59</w:t>
      </w:r>
      <w:r w:rsidR="009241EC">
        <w:t> </w:t>
      </w:r>
      <w:r w:rsidRPr="00545318">
        <w:t xml:space="preserve">million tonnes, or 11 </w:t>
      </w:r>
      <w:r w:rsidR="00620A65" w:rsidRPr="00545318">
        <w:t>per cent</w:t>
      </w:r>
      <w:r w:rsidRPr="00545318">
        <w:t xml:space="preserve"> of the world’s total imports. </w:t>
      </w:r>
    </w:p>
    <w:p w14:paraId="6B1B1B34" w14:textId="170B856D" w:rsidR="002620C9" w:rsidRPr="00545318" w:rsidRDefault="002620C9" w:rsidP="002620C9">
      <w:pPr>
        <w:spacing w:before="120" w:after="120"/>
      </w:pPr>
      <w:r w:rsidRPr="00545318">
        <w:t>Figure 2.13 il</w:t>
      </w:r>
      <w:r w:rsidR="00504188" w:rsidRPr="00545318">
        <w:t>l</w:t>
      </w:r>
      <w:r w:rsidRPr="00545318">
        <w:t>ustrates the six main cost categories for primary aluminium production: alumina feed, labour, power, administration and support, consumables and others. Australia has the lowest unit cost for alumina feed, but has the highest unit cost for labour. China has the highest unit cost for power and lowest unit cost for administration and support. Aggregated unit costs for Australia, China and India are similar. It is higher than the unit cost of Indonesia and lower than the unit cost of Malaysia.</w:t>
      </w:r>
    </w:p>
    <w:p w14:paraId="09EF7C80"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2.13: Cost components for aluminium production, 2015</w:t>
      </w:r>
    </w:p>
    <w:tbl>
      <w:tblPr>
        <w:tblStyle w:val="OCETable5"/>
        <w:tblW w:w="4940" w:type="pct"/>
        <w:tblInd w:w="108" w:type="dxa"/>
        <w:tblLayout w:type="fixed"/>
        <w:tblLook w:val="04A0" w:firstRow="1" w:lastRow="0" w:firstColumn="1" w:lastColumn="0" w:noHBand="0" w:noVBand="1"/>
      </w:tblPr>
      <w:tblGrid>
        <w:gridCol w:w="8919"/>
      </w:tblGrid>
      <w:tr w:rsidR="002620C9" w:rsidRPr="00545318" w14:paraId="50FADEE8" w14:textId="77777777" w:rsidTr="002620C9">
        <w:trPr>
          <w:cnfStyle w:val="100000000000" w:firstRow="1" w:lastRow="0" w:firstColumn="0" w:lastColumn="0" w:oddVBand="0" w:evenVBand="0" w:oddHBand="0" w:evenHBand="0" w:firstRowFirstColumn="0" w:firstRowLastColumn="0" w:lastRowFirstColumn="0" w:lastRowLastColumn="0"/>
        </w:trPr>
        <w:tc>
          <w:tcPr>
            <w:tcW w:w="9131" w:type="dxa"/>
            <w:shd w:val="clear" w:color="auto" w:fill="auto"/>
          </w:tcPr>
          <w:p w14:paraId="4387EF79" w14:textId="77777777" w:rsidR="002620C9" w:rsidRPr="00545318" w:rsidRDefault="002620C9" w:rsidP="002620C9">
            <w:pPr>
              <w:keepNext/>
              <w:keepLines/>
              <w:rPr>
                <w:rFonts w:ascii="Arial" w:hAnsi="Arial"/>
                <w:color w:val="595A5B"/>
                <w:lang w:val="en-AU"/>
              </w:rPr>
            </w:pPr>
            <w:r w:rsidRPr="00545318">
              <w:rPr>
                <w:rFonts w:ascii="Arial" w:hAnsi="Arial"/>
                <w:color w:val="595A5B"/>
                <w:lang w:val="en-AU"/>
              </w:rPr>
              <w:t xml:space="preserve"> </w:t>
            </w:r>
            <w:r w:rsidRPr="00545318">
              <w:rPr>
                <w:rFonts w:ascii="Arial" w:hAnsi="Arial"/>
                <w:noProof/>
                <w:color w:val="595A5B"/>
                <w:lang w:val="en-AU" w:eastAsia="en-AU"/>
              </w:rPr>
              <w:drawing>
                <wp:inline distT="0" distB="0" distL="0" distR="0" wp14:anchorId="5EB8D039" wp14:editId="731916A3">
                  <wp:extent cx="5589767" cy="2989691"/>
                  <wp:effectExtent l="0" t="0" r="0" b="1270"/>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43463DFA"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AME; Department of Industry, Innovation and Science.</w:t>
      </w:r>
    </w:p>
    <w:p w14:paraId="78C47589" w14:textId="77777777" w:rsidR="002620C9" w:rsidRPr="00545318" w:rsidRDefault="002620C9" w:rsidP="002620C9">
      <w:pPr>
        <w:pStyle w:val="Heading3"/>
        <w:spacing w:after="120"/>
      </w:pPr>
      <w:r w:rsidRPr="00545318">
        <w:t>Australian aluminium production</w:t>
      </w:r>
    </w:p>
    <w:p w14:paraId="23DE012E" w14:textId="066865E0" w:rsidR="002620C9" w:rsidRPr="00545318" w:rsidRDefault="002620C9" w:rsidP="002620C9">
      <w:pPr>
        <w:spacing w:before="120" w:after="120"/>
      </w:pPr>
      <w:r w:rsidRPr="00545318">
        <w:t xml:space="preserve">Total Australian aluminium production accounted for around </w:t>
      </w:r>
      <w:r w:rsidR="009241EC">
        <w:t>3</w:t>
      </w:r>
      <w:r w:rsidRPr="00545318">
        <w:t xml:space="preserve"> </w:t>
      </w:r>
      <w:r w:rsidR="00620A65" w:rsidRPr="00545318">
        <w:t>per cent</w:t>
      </w:r>
      <w:r w:rsidRPr="00545318">
        <w:t xml:space="preserve"> of world output in 2015, approximately 1.65 million tonnes. The volume of Australian primary aluminium production has fallen in recent years due to the closure of two smelters and increased aluminium recycling. Australia’s aluminium production over the last two decades is reported in Figure 2.14. </w:t>
      </w:r>
    </w:p>
    <w:p w14:paraId="16E017A8"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2.14: Australian primary aluminium production, 1990 to 2015</w:t>
      </w:r>
    </w:p>
    <w:p w14:paraId="2DF8489F" w14:textId="77777777" w:rsidR="002620C9" w:rsidRPr="00545318" w:rsidRDefault="002620C9" w:rsidP="002620C9">
      <w:pPr>
        <w:spacing w:after="200" w:line="276" w:lineRule="auto"/>
        <w:rPr>
          <w:lang w:val="en-AU"/>
        </w:rPr>
      </w:pPr>
      <w:r w:rsidRPr="00545318">
        <w:rPr>
          <w:noProof/>
          <w:lang w:val="en-AU" w:eastAsia="en-AU"/>
        </w:rPr>
        <w:drawing>
          <wp:inline distT="0" distB="0" distL="0" distR="0" wp14:anchorId="24866CB1" wp14:editId="54049758">
            <wp:extent cx="5731510" cy="3291840"/>
            <wp:effectExtent l="0" t="0" r="2540" b="381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06C545"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Department of Industry, Innovation and Science.</w:t>
      </w:r>
    </w:p>
    <w:p w14:paraId="03CAA2D0" w14:textId="16693BD4" w:rsidR="002620C9" w:rsidRPr="00545318" w:rsidRDefault="002620C9" w:rsidP="002620C9">
      <w:pPr>
        <w:spacing w:before="120" w:after="120"/>
      </w:pPr>
      <w:r w:rsidRPr="00545318">
        <w:t xml:space="preserve">Aluminium’s IGVA in 2014-15 is estimated at around $600 million. The sector’s IGVA has been in decline over the last five years, falling at an average annual rate of 11.6 </w:t>
      </w:r>
      <w:r w:rsidR="00620A65" w:rsidRPr="00545318">
        <w:t>per cent</w:t>
      </w:r>
      <w:r w:rsidRPr="00545318">
        <w:t xml:space="preserve">. </w:t>
      </w:r>
    </w:p>
    <w:p w14:paraId="0FD4C8A0" w14:textId="77777777" w:rsidR="002620C9" w:rsidRPr="00545318" w:rsidRDefault="002620C9" w:rsidP="002620C9">
      <w:pPr>
        <w:spacing w:before="120" w:after="120"/>
      </w:pPr>
      <w:r w:rsidRPr="00545318">
        <w:t xml:space="preserve">The Australian aluminium sector comprises 11,000 workers. The industry’s major players are Rio Tinto Plc–Rio Tinto Limited (Rio Tinto), Alcoa of Australia (Alcoa), Capral Limited (Capral) and G James Australia Pty Ltd (G James). Each of these firms specialises in either aluminium smelting or aluminium rolling, drawing and extruding. </w:t>
      </w:r>
    </w:p>
    <w:p w14:paraId="71216B67" w14:textId="77777777" w:rsidR="002620C9" w:rsidRPr="00545318" w:rsidRDefault="002620C9" w:rsidP="002620C9">
      <w:pPr>
        <w:numPr>
          <w:ilvl w:val="0"/>
          <w:numId w:val="26"/>
        </w:numPr>
        <w:spacing w:before="120" w:after="120"/>
        <w:rPr>
          <w:lang w:val="en-AU"/>
        </w:rPr>
      </w:pPr>
      <w:r w:rsidRPr="00545318">
        <w:rPr>
          <w:b/>
          <w:i/>
          <w:lang w:val="en-AU"/>
        </w:rPr>
        <w:t>Aluminium smelting</w:t>
      </w:r>
      <w:r w:rsidRPr="00545318">
        <w:rPr>
          <w:lang w:val="en-AU"/>
        </w:rPr>
        <w:t>—Australia’s largest smelted aluminium producer is Rio Tinto. It has holdings in the Boyne smelter in Queensland, the associated Gladstone power station, the Tomago smelter in New South Wales and Bell Bay smelter in Tasmania. The importance of energy (in particular, electricity) to the Aluminium Smelting industry is highlighted by Boyne Island participants' purchase of the Gladstone power station in the early 1990s. Any electricity not required by the Boyne Island smelter is sold back into the Queensland power grid.</w:t>
      </w:r>
    </w:p>
    <w:p w14:paraId="2A2240FC" w14:textId="221F8CBB" w:rsidR="002620C9" w:rsidRPr="00545318" w:rsidRDefault="002620C9" w:rsidP="002620C9">
      <w:pPr>
        <w:spacing w:before="120" w:after="120"/>
        <w:ind w:left="720"/>
        <w:rPr>
          <w:lang w:val="en-AU"/>
        </w:rPr>
      </w:pPr>
      <w:r w:rsidRPr="00545318">
        <w:rPr>
          <w:lang w:val="en-AU"/>
        </w:rPr>
        <w:t>Alcoa is another major Australian aluminium smelter. The firm operates the Portland smelter in Victoria. The smelter is owned by Alcoa (55.0 </w:t>
      </w:r>
      <w:r w:rsidR="00620A65" w:rsidRPr="00545318">
        <w:rPr>
          <w:lang w:val="en-AU"/>
        </w:rPr>
        <w:t>per cent</w:t>
      </w:r>
      <w:r w:rsidRPr="00545318">
        <w:rPr>
          <w:lang w:val="en-AU"/>
        </w:rPr>
        <w:t>), the Chinese International Trust Investment Corporation (22.5 </w:t>
      </w:r>
      <w:r w:rsidR="00620A65" w:rsidRPr="00545318">
        <w:rPr>
          <w:lang w:val="en-AU"/>
        </w:rPr>
        <w:t>per cent</w:t>
      </w:r>
      <w:r w:rsidRPr="00545318">
        <w:rPr>
          <w:lang w:val="en-AU"/>
        </w:rPr>
        <w:t>) and the Marubeni Corporation (22.5 </w:t>
      </w:r>
      <w:r w:rsidR="00620A65" w:rsidRPr="00545318">
        <w:rPr>
          <w:lang w:val="en-AU"/>
        </w:rPr>
        <w:t>per cent</w:t>
      </w:r>
      <w:r w:rsidRPr="00545318">
        <w:rPr>
          <w:lang w:val="en-AU"/>
        </w:rPr>
        <w:t>). Smelter capacity is about 358,000 tonnes of aluminium per year, with 197,000 tonnes attributed to Alcoa. A large proportion of the aluminium produced in the Portland smelter is exported. In early 2013, Alcoa and the Victorian Government reached agreement on new contractual arrangements for electricity supplied to the Portland smelter. The Victorian Government purchases electricity and then on-sells it to Portland. This contract expires in 2016, after which Alcoa will purchase electricity at spot prices from the National Electricity Market (NEM).</w:t>
      </w:r>
    </w:p>
    <w:p w14:paraId="7F23D30B" w14:textId="77777777" w:rsidR="002620C9" w:rsidRPr="00545318" w:rsidRDefault="002620C9" w:rsidP="002620C9">
      <w:pPr>
        <w:numPr>
          <w:ilvl w:val="0"/>
          <w:numId w:val="26"/>
        </w:numPr>
        <w:spacing w:before="120" w:after="120"/>
        <w:rPr>
          <w:lang w:val="en-AU"/>
        </w:rPr>
      </w:pPr>
      <w:r w:rsidRPr="00545318">
        <w:rPr>
          <w:b/>
          <w:i/>
        </w:rPr>
        <w:t>Aluminium rolling, drawing and extruding</w:t>
      </w:r>
      <w:r w:rsidRPr="00545318">
        <w:t>—</w:t>
      </w:r>
      <w:r w:rsidRPr="00545318">
        <w:rPr>
          <w:lang w:val="en-AU"/>
        </w:rPr>
        <w:t>Capral is an Australian publicly listed company that derives the majority of its revenue from manufacturing aluminium products. Capral is the country's largest extruder and distributor of aluminium products, with five manufacturing sites across Australia. The company's manufacturing operations run eight extrusion presses from plants located in Bremer Park (Queensland), Penrith (New South Wales), Campbellfield (Victoria), Angaston (South Australia), and Canning Vale (Western Australia). Capral supplies aluminium products and systems for the architectural, residential and industrial markets. Over the past decade, the company has moved from producing a wide range of aluminium fabrications to focusing on the production of rolled and extruded products such as sheets, rods and wires.</w:t>
      </w:r>
    </w:p>
    <w:p w14:paraId="1C64427C" w14:textId="77777777" w:rsidR="002620C9" w:rsidRPr="00545318" w:rsidRDefault="002620C9" w:rsidP="002620C9">
      <w:pPr>
        <w:spacing w:before="120" w:after="120"/>
        <w:ind w:left="720"/>
        <w:rPr>
          <w:lang w:val="en-AU"/>
        </w:rPr>
      </w:pPr>
      <w:r w:rsidRPr="00545318">
        <w:rPr>
          <w:lang w:val="en-AU"/>
        </w:rPr>
        <w:t>G James is a privately owned family company and one of the largest manufacturers of building and housing peripherals in Australia. The company operates in the industry through its subsidiary company, G James Extrusion Co Pty Ltd. The subsidiary is involved in the extrusion of standard geometric, proprietary, structural and marine-certified aluminium products. Additionally, the company stocks sheet, plate, coil and tread-plate products.</w:t>
      </w:r>
    </w:p>
    <w:p w14:paraId="4D5761B1" w14:textId="01009D6A" w:rsidR="002620C9" w:rsidRPr="00545318" w:rsidRDefault="002620C9" w:rsidP="002620C9">
      <w:pPr>
        <w:spacing w:before="120" w:after="120"/>
      </w:pPr>
      <w:r w:rsidRPr="00545318">
        <w:t xml:space="preserve">Table 2.5 shows the decline in aluminium employment since 2006. Over the decade to 2016, aluminium employment has fallen by 44 </w:t>
      </w:r>
      <w:r w:rsidR="00620A65" w:rsidRPr="00545318">
        <w:t>per cent</w:t>
      </w:r>
      <w:r w:rsidRPr="00545318">
        <w:t xml:space="preserve">, compared to 13 </w:t>
      </w:r>
      <w:r w:rsidR="00620A65" w:rsidRPr="00545318">
        <w:t>per cent</w:t>
      </w:r>
      <w:r w:rsidRPr="00545318">
        <w:t xml:space="preserve"> for Manufacturing employment. In 2006</w:t>
      </w:r>
      <w:r w:rsidR="003265F5" w:rsidRPr="00545318">
        <w:t>,</w:t>
      </w:r>
      <w:r w:rsidRPr="00545318">
        <w:t xml:space="preserve"> aluminium employment accounted for 1.9 </w:t>
      </w:r>
      <w:r w:rsidR="00620A65" w:rsidRPr="00545318">
        <w:t>per cent</w:t>
      </w:r>
      <w:r w:rsidRPr="00545318">
        <w:t xml:space="preserve"> of all Manufacturing employment, and its share had declined to 1.2 </w:t>
      </w:r>
      <w:r w:rsidR="00620A65" w:rsidRPr="00545318">
        <w:t>per cent</w:t>
      </w:r>
      <w:r w:rsidRPr="00545318">
        <w:t xml:space="preserve"> in 2016. </w:t>
      </w:r>
    </w:p>
    <w:p w14:paraId="2C4BAA8E"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Table 2.5: Total aluminium employment (‘000), 2006-2015</w:t>
      </w:r>
    </w:p>
    <w:tbl>
      <w:tblPr>
        <w:tblStyle w:val="OCETable5"/>
        <w:tblW w:w="9134" w:type="dxa"/>
        <w:tblInd w:w="108" w:type="dxa"/>
        <w:shd w:val="clear" w:color="auto" w:fill="DBE5F1" w:themeFill="accent1" w:themeFillTint="33"/>
        <w:tblLayout w:type="fixed"/>
        <w:tblLook w:val="04A0" w:firstRow="1" w:lastRow="0" w:firstColumn="1" w:lastColumn="0" w:noHBand="0" w:noVBand="1"/>
      </w:tblPr>
      <w:tblGrid>
        <w:gridCol w:w="2410"/>
        <w:gridCol w:w="683"/>
        <w:gridCol w:w="605"/>
        <w:gridCol w:w="605"/>
        <w:gridCol w:w="604"/>
        <w:gridCol w:w="604"/>
        <w:gridCol w:w="603"/>
        <w:gridCol w:w="604"/>
        <w:gridCol w:w="604"/>
        <w:gridCol w:w="604"/>
        <w:gridCol w:w="604"/>
        <w:gridCol w:w="604"/>
      </w:tblGrid>
      <w:tr w:rsidR="002620C9" w:rsidRPr="00545318" w14:paraId="5D41390E" w14:textId="77777777" w:rsidTr="002620C9">
        <w:trPr>
          <w:cnfStyle w:val="100000000000" w:firstRow="1" w:lastRow="0" w:firstColumn="0" w:lastColumn="0" w:oddVBand="0" w:evenVBand="0" w:oddHBand="0" w:evenHBand="0" w:firstRowFirstColumn="0" w:firstRowLastColumn="0" w:lastRowFirstColumn="0" w:lastRowLastColumn="0"/>
          <w:trHeight w:val="370"/>
        </w:trPr>
        <w:tc>
          <w:tcPr>
            <w:tcW w:w="2410" w:type="dxa"/>
            <w:noWrap/>
            <w:hideMark/>
          </w:tcPr>
          <w:p w14:paraId="6DDAC899" w14:textId="77777777" w:rsidR="002620C9" w:rsidRPr="00435108" w:rsidRDefault="002620C9" w:rsidP="002620C9">
            <w:pPr>
              <w:keepNext/>
              <w:spacing w:before="120" w:after="120"/>
              <w:rPr>
                <w:rFonts w:ascii="Arial" w:hAnsi="Arial" w:cs="Arial"/>
                <w:b/>
                <w:i/>
                <w:color w:val="FFFFFF" w:themeColor="background1"/>
                <w:szCs w:val="18"/>
                <w:lang w:val="en-AU"/>
              </w:rPr>
            </w:pPr>
            <w:r w:rsidRPr="00435108">
              <w:rPr>
                <w:rFonts w:ascii="Arial" w:hAnsi="Arial" w:cs="Arial"/>
                <w:b/>
                <w:i/>
                <w:color w:val="FFFFFF" w:themeColor="background1"/>
                <w:szCs w:val="18"/>
                <w:lang w:val="en-AU"/>
              </w:rPr>
              <w:t>Industry</w:t>
            </w:r>
          </w:p>
        </w:tc>
        <w:tc>
          <w:tcPr>
            <w:tcW w:w="683" w:type="dxa"/>
            <w:vAlign w:val="center"/>
            <w:hideMark/>
          </w:tcPr>
          <w:p w14:paraId="7D4E8C91"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2006</w:t>
            </w:r>
          </w:p>
        </w:tc>
        <w:tc>
          <w:tcPr>
            <w:tcW w:w="605" w:type="dxa"/>
            <w:vAlign w:val="center"/>
            <w:hideMark/>
          </w:tcPr>
          <w:p w14:paraId="49738199"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2007</w:t>
            </w:r>
          </w:p>
        </w:tc>
        <w:tc>
          <w:tcPr>
            <w:tcW w:w="605" w:type="dxa"/>
            <w:vAlign w:val="center"/>
            <w:hideMark/>
          </w:tcPr>
          <w:p w14:paraId="6F3FAC36"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2008</w:t>
            </w:r>
          </w:p>
        </w:tc>
        <w:tc>
          <w:tcPr>
            <w:tcW w:w="604" w:type="dxa"/>
            <w:vAlign w:val="center"/>
            <w:hideMark/>
          </w:tcPr>
          <w:p w14:paraId="78BE8774"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2009</w:t>
            </w:r>
          </w:p>
        </w:tc>
        <w:tc>
          <w:tcPr>
            <w:tcW w:w="604" w:type="dxa"/>
            <w:vAlign w:val="center"/>
            <w:hideMark/>
          </w:tcPr>
          <w:p w14:paraId="405F6673"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2010</w:t>
            </w:r>
          </w:p>
        </w:tc>
        <w:tc>
          <w:tcPr>
            <w:tcW w:w="603" w:type="dxa"/>
            <w:vAlign w:val="center"/>
            <w:hideMark/>
          </w:tcPr>
          <w:p w14:paraId="26EA269E"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2011</w:t>
            </w:r>
          </w:p>
        </w:tc>
        <w:tc>
          <w:tcPr>
            <w:tcW w:w="604" w:type="dxa"/>
            <w:vAlign w:val="center"/>
            <w:hideMark/>
          </w:tcPr>
          <w:p w14:paraId="7FD830E5"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2012</w:t>
            </w:r>
          </w:p>
        </w:tc>
        <w:tc>
          <w:tcPr>
            <w:tcW w:w="604" w:type="dxa"/>
            <w:vAlign w:val="center"/>
            <w:hideMark/>
          </w:tcPr>
          <w:p w14:paraId="23D8B58F"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2013</w:t>
            </w:r>
          </w:p>
        </w:tc>
        <w:tc>
          <w:tcPr>
            <w:tcW w:w="604" w:type="dxa"/>
            <w:vAlign w:val="center"/>
            <w:hideMark/>
          </w:tcPr>
          <w:p w14:paraId="4BB9E5DF"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2014</w:t>
            </w:r>
          </w:p>
        </w:tc>
        <w:tc>
          <w:tcPr>
            <w:tcW w:w="604" w:type="dxa"/>
            <w:vAlign w:val="center"/>
            <w:hideMark/>
          </w:tcPr>
          <w:p w14:paraId="35B47B52" w14:textId="77777777" w:rsidR="002620C9" w:rsidRPr="00435108" w:rsidRDefault="002620C9" w:rsidP="002620C9">
            <w:pPr>
              <w:keepNext/>
              <w:spacing w:before="120" w:after="120"/>
              <w:jc w:val="right"/>
              <w:rPr>
                <w:rFonts w:ascii="Arial" w:hAnsi="Arial"/>
                <w:b/>
                <w:i/>
                <w:color w:val="FFFFFF" w:themeColor="background1"/>
                <w:sz w:val="16"/>
                <w:lang w:val="en-AU"/>
              </w:rPr>
            </w:pPr>
            <w:r w:rsidRPr="00435108">
              <w:rPr>
                <w:rFonts w:ascii="Arial" w:hAnsi="Arial"/>
                <w:b/>
                <w:i/>
                <w:color w:val="FFFFFF" w:themeColor="background1"/>
                <w:sz w:val="16"/>
                <w:lang w:val="en-AU"/>
              </w:rPr>
              <w:t>2015</w:t>
            </w:r>
          </w:p>
        </w:tc>
        <w:tc>
          <w:tcPr>
            <w:tcW w:w="604" w:type="dxa"/>
            <w:vAlign w:val="center"/>
          </w:tcPr>
          <w:p w14:paraId="67EBD46D" w14:textId="77777777" w:rsidR="002620C9" w:rsidRPr="00435108" w:rsidRDefault="002620C9" w:rsidP="002620C9">
            <w:pPr>
              <w:keepNext/>
              <w:spacing w:before="120" w:after="120"/>
              <w:jc w:val="right"/>
              <w:rPr>
                <w:rFonts w:ascii="Arial" w:hAnsi="Arial" w:cs="Arial"/>
                <w:b/>
                <w:i/>
                <w:color w:val="FFFFFF" w:themeColor="background1"/>
                <w:sz w:val="16"/>
                <w:szCs w:val="16"/>
                <w:lang w:val="en-AU"/>
              </w:rPr>
            </w:pPr>
            <w:r w:rsidRPr="00435108">
              <w:rPr>
                <w:rFonts w:ascii="Arial" w:hAnsi="Arial" w:cs="Arial"/>
                <w:b/>
                <w:i/>
                <w:color w:val="FFFFFF" w:themeColor="background1"/>
                <w:sz w:val="16"/>
                <w:szCs w:val="16"/>
                <w:lang w:val="en-AU"/>
              </w:rPr>
              <w:t>2016</w:t>
            </w:r>
          </w:p>
        </w:tc>
      </w:tr>
      <w:tr w:rsidR="002620C9" w:rsidRPr="00545318" w14:paraId="17E8F9EC" w14:textId="77777777" w:rsidTr="002620C9">
        <w:trPr>
          <w:trHeight w:val="315"/>
        </w:trPr>
        <w:tc>
          <w:tcPr>
            <w:tcW w:w="2410" w:type="dxa"/>
            <w:vAlign w:val="center"/>
            <w:hideMark/>
          </w:tcPr>
          <w:p w14:paraId="2A36B7A9" w14:textId="77777777" w:rsidR="002620C9" w:rsidRPr="00545318" w:rsidRDefault="002620C9" w:rsidP="002620C9">
            <w:pPr>
              <w:keepNext/>
              <w:keepLines/>
              <w:spacing w:before="60" w:after="60"/>
              <w:rPr>
                <w:rFonts w:ascii="Arial" w:hAnsi="Arial" w:cs="Arial"/>
                <w:color w:val="595A5B"/>
                <w:szCs w:val="18"/>
                <w:lang w:val="en-AU"/>
              </w:rPr>
            </w:pPr>
            <w:r w:rsidRPr="00545318">
              <w:rPr>
                <w:rFonts w:ascii="Arial" w:hAnsi="Arial" w:cs="Arial"/>
                <w:color w:val="595A5B"/>
                <w:szCs w:val="18"/>
                <w:lang w:val="en-AU"/>
              </w:rPr>
              <w:t>Aluminium Smelting</w:t>
            </w:r>
          </w:p>
        </w:tc>
        <w:tc>
          <w:tcPr>
            <w:tcW w:w="683" w:type="dxa"/>
            <w:hideMark/>
          </w:tcPr>
          <w:p w14:paraId="1030A59D"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12.3</w:t>
            </w:r>
          </w:p>
        </w:tc>
        <w:tc>
          <w:tcPr>
            <w:tcW w:w="605" w:type="dxa"/>
            <w:hideMark/>
          </w:tcPr>
          <w:p w14:paraId="354E3BFF"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12.6</w:t>
            </w:r>
          </w:p>
        </w:tc>
        <w:tc>
          <w:tcPr>
            <w:tcW w:w="605" w:type="dxa"/>
            <w:hideMark/>
          </w:tcPr>
          <w:p w14:paraId="156075D0"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10.5</w:t>
            </w:r>
          </w:p>
        </w:tc>
        <w:tc>
          <w:tcPr>
            <w:tcW w:w="604" w:type="dxa"/>
            <w:hideMark/>
          </w:tcPr>
          <w:p w14:paraId="30946DAD"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11.3</w:t>
            </w:r>
          </w:p>
        </w:tc>
        <w:tc>
          <w:tcPr>
            <w:tcW w:w="604" w:type="dxa"/>
            <w:hideMark/>
          </w:tcPr>
          <w:p w14:paraId="494059C4"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9.9</w:t>
            </w:r>
          </w:p>
        </w:tc>
        <w:tc>
          <w:tcPr>
            <w:tcW w:w="603" w:type="dxa"/>
            <w:hideMark/>
          </w:tcPr>
          <w:p w14:paraId="44C09ED3"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10.4</w:t>
            </w:r>
          </w:p>
        </w:tc>
        <w:tc>
          <w:tcPr>
            <w:tcW w:w="604" w:type="dxa"/>
            <w:hideMark/>
          </w:tcPr>
          <w:p w14:paraId="2C99F0B3"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11.0</w:t>
            </w:r>
          </w:p>
        </w:tc>
        <w:tc>
          <w:tcPr>
            <w:tcW w:w="604" w:type="dxa"/>
            <w:hideMark/>
          </w:tcPr>
          <w:p w14:paraId="28B3DA05"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11.0</w:t>
            </w:r>
          </w:p>
        </w:tc>
        <w:tc>
          <w:tcPr>
            <w:tcW w:w="604" w:type="dxa"/>
            <w:hideMark/>
          </w:tcPr>
          <w:p w14:paraId="16BFC73D"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9.2</w:t>
            </w:r>
          </w:p>
        </w:tc>
        <w:tc>
          <w:tcPr>
            <w:tcW w:w="604" w:type="dxa"/>
            <w:hideMark/>
          </w:tcPr>
          <w:p w14:paraId="564B2555"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7.3</w:t>
            </w:r>
          </w:p>
        </w:tc>
        <w:tc>
          <w:tcPr>
            <w:tcW w:w="604" w:type="dxa"/>
          </w:tcPr>
          <w:p w14:paraId="1BE4143C"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6.8</w:t>
            </w:r>
          </w:p>
        </w:tc>
      </w:tr>
      <w:tr w:rsidR="002620C9" w:rsidRPr="00545318" w14:paraId="277DD6C2" w14:textId="77777777" w:rsidTr="002620C9">
        <w:trPr>
          <w:trHeight w:val="315"/>
        </w:trPr>
        <w:tc>
          <w:tcPr>
            <w:tcW w:w="2410" w:type="dxa"/>
            <w:vAlign w:val="center"/>
            <w:hideMark/>
          </w:tcPr>
          <w:p w14:paraId="5FC88815" w14:textId="77777777" w:rsidR="002620C9" w:rsidRPr="00545318" w:rsidRDefault="002620C9" w:rsidP="002620C9">
            <w:pPr>
              <w:keepNext/>
              <w:keepLines/>
              <w:spacing w:before="60" w:after="60"/>
              <w:rPr>
                <w:rFonts w:ascii="Arial" w:hAnsi="Arial" w:cs="Arial"/>
                <w:color w:val="595A5B"/>
                <w:szCs w:val="18"/>
                <w:lang w:val="en-AU"/>
              </w:rPr>
            </w:pPr>
            <w:r w:rsidRPr="00545318">
              <w:rPr>
                <w:rFonts w:ascii="Arial" w:hAnsi="Arial" w:cs="Arial"/>
                <w:color w:val="595A5B"/>
                <w:szCs w:val="18"/>
                <w:lang w:val="en-AU"/>
              </w:rPr>
              <w:t>Aluminium Rolling, Drawing, Extruding</w:t>
            </w:r>
          </w:p>
        </w:tc>
        <w:tc>
          <w:tcPr>
            <w:tcW w:w="683" w:type="dxa"/>
            <w:hideMark/>
          </w:tcPr>
          <w:p w14:paraId="2B19740F"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6.6</w:t>
            </w:r>
          </w:p>
        </w:tc>
        <w:tc>
          <w:tcPr>
            <w:tcW w:w="605" w:type="dxa"/>
            <w:hideMark/>
          </w:tcPr>
          <w:p w14:paraId="0A86228B"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5.7</w:t>
            </w:r>
          </w:p>
        </w:tc>
        <w:tc>
          <w:tcPr>
            <w:tcW w:w="605" w:type="dxa"/>
            <w:hideMark/>
          </w:tcPr>
          <w:p w14:paraId="56E7DFB9"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4.9</w:t>
            </w:r>
          </w:p>
        </w:tc>
        <w:tc>
          <w:tcPr>
            <w:tcW w:w="604" w:type="dxa"/>
            <w:hideMark/>
          </w:tcPr>
          <w:p w14:paraId="187EA303"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3.1</w:t>
            </w:r>
          </w:p>
        </w:tc>
        <w:tc>
          <w:tcPr>
            <w:tcW w:w="604" w:type="dxa"/>
            <w:hideMark/>
          </w:tcPr>
          <w:p w14:paraId="4D4065A8"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4.0</w:t>
            </w:r>
          </w:p>
        </w:tc>
        <w:tc>
          <w:tcPr>
            <w:tcW w:w="603" w:type="dxa"/>
            <w:hideMark/>
          </w:tcPr>
          <w:p w14:paraId="3A88C762"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4.5</w:t>
            </w:r>
          </w:p>
        </w:tc>
        <w:tc>
          <w:tcPr>
            <w:tcW w:w="604" w:type="dxa"/>
            <w:hideMark/>
          </w:tcPr>
          <w:p w14:paraId="2C55BCEA"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4.9</w:t>
            </w:r>
          </w:p>
        </w:tc>
        <w:tc>
          <w:tcPr>
            <w:tcW w:w="604" w:type="dxa"/>
            <w:hideMark/>
          </w:tcPr>
          <w:p w14:paraId="703D2D54"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3.9</w:t>
            </w:r>
          </w:p>
        </w:tc>
        <w:tc>
          <w:tcPr>
            <w:tcW w:w="604" w:type="dxa"/>
            <w:hideMark/>
          </w:tcPr>
          <w:p w14:paraId="7600E4ED"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3.3</w:t>
            </w:r>
          </w:p>
        </w:tc>
        <w:tc>
          <w:tcPr>
            <w:tcW w:w="604" w:type="dxa"/>
            <w:hideMark/>
          </w:tcPr>
          <w:p w14:paraId="1B5B4A37"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3.8</w:t>
            </w:r>
          </w:p>
        </w:tc>
        <w:tc>
          <w:tcPr>
            <w:tcW w:w="604" w:type="dxa"/>
          </w:tcPr>
          <w:p w14:paraId="183AEC09" w14:textId="77777777" w:rsidR="002620C9" w:rsidRPr="00545318" w:rsidRDefault="002620C9" w:rsidP="002620C9">
            <w:pPr>
              <w:keepNext/>
              <w:keepLines/>
              <w:spacing w:before="60" w:after="60"/>
              <w:jc w:val="right"/>
              <w:rPr>
                <w:rFonts w:ascii="Arial" w:hAnsi="Arial" w:cs="Arial"/>
                <w:color w:val="595A5B"/>
                <w:szCs w:val="18"/>
                <w:lang w:val="en-AU"/>
              </w:rPr>
            </w:pPr>
            <w:r w:rsidRPr="00545318">
              <w:t>3.7</w:t>
            </w:r>
          </w:p>
        </w:tc>
      </w:tr>
      <w:tr w:rsidR="002620C9" w:rsidRPr="00545318" w14:paraId="3576A41F" w14:textId="77777777" w:rsidTr="002620C9">
        <w:trPr>
          <w:trHeight w:val="315"/>
        </w:trPr>
        <w:tc>
          <w:tcPr>
            <w:tcW w:w="2410" w:type="dxa"/>
            <w:vAlign w:val="center"/>
            <w:hideMark/>
          </w:tcPr>
          <w:p w14:paraId="21A4A0E0" w14:textId="77777777" w:rsidR="002620C9" w:rsidRPr="00545318" w:rsidRDefault="002620C9" w:rsidP="002620C9">
            <w:pPr>
              <w:keepNext/>
              <w:keepLines/>
              <w:spacing w:before="60" w:after="60"/>
              <w:rPr>
                <w:rFonts w:ascii="Arial" w:hAnsi="Arial" w:cs="Arial"/>
                <w:b/>
                <w:color w:val="595A5B"/>
                <w:szCs w:val="18"/>
                <w:lang w:val="en-AU"/>
              </w:rPr>
            </w:pPr>
            <w:r w:rsidRPr="00545318">
              <w:rPr>
                <w:rFonts w:ascii="Arial" w:hAnsi="Arial" w:cs="Arial"/>
                <w:b/>
                <w:color w:val="595A5B"/>
                <w:szCs w:val="18"/>
                <w:lang w:val="en-AU"/>
              </w:rPr>
              <w:t>Total aluminium</w:t>
            </w:r>
          </w:p>
        </w:tc>
        <w:tc>
          <w:tcPr>
            <w:tcW w:w="683" w:type="dxa"/>
            <w:hideMark/>
          </w:tcPr>
          <w:p w14:paraId="43BC8765"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18.9</w:t>
            </w:r>
          </w:p>
        </w:tc>
        <w:tc>
          <w:tcPr>
            <w:tcW w:w="605" w:type="dxa"/>
            <w:hideMark/>
          </w:tcPr>
          <w:p w14:paraId="32A2F540"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18.3</w:t>
            </w:r>
          </w:p>
        </w:tc>
        <w:tc>
          <w:tcPr>
            <w:tcW w:w="605" w:type="dxa"/>
            <w:hideMark/>
          </w:tcPr>
          <w:p w14:paraId="30A75DA3"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15.4</w:t>
            </w:r>
          </w:p>
        </w:tc>
        <w:tc>
          <w:tcPr>
            <w:tcW w:w="604" w:type="dxa"/>
            <w:hideMark/>
          </w:tcPr>
          <w:p w14:paraId="1FBFF156"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14.4</w:t>
            </w:r>
          </w:p>
        </w:tc>
        <w:tc>
          <w:tcPr>
            <w:tcW w:w="604" w:type="dxa"/>
            <w:hideMark/>
          </w:tcPr>
          <w:p w14:paraId="219A2FC9"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13.9</w:t>
            </w:r>
          </w:p>
        </w:tc>
        <w:tc>
          <w:tcPr>
            <w:tcW w:w="603" w:type="dxa"/>
            <w:hideMark/>
          </w:tcPr>
          <w:p w14:paraId="3327E6B2"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14.9</w:t>
            </w:r>
          </w:p>
        </w:tc>
        <w:tc>
          <w:tcPr>
            <w:tcW w:w="604" w:type="dxa"/>
            <w:hideMark/>
          </w:tcPr>
          <w:p w14:paraId="1CCA08BE"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15.9</w:t>
            </w:r>
          </w:p>
        </w:tc>
        <w:tc>
          <w:tcPr>
            <w:tcW w:w="604" w:type="dxa"/>
            <w:hideMark/>
          </w:tcPr>
          <w:p w14:paraId="0DBE1ED8"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14.9</w:t>
            </w:r>
          </w:p>
        </w:tc>
        <w:tc>
          <w:tcPr>
            <w:tcW w:w="604" w:type="dxa"/>
            <w:hideMark/>
          </w:tcPr>
          <w:p w14:paraId="51B1F253"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12.5</w:t>
            </w:r>
          </w:p>
        </w:tc>
        <w:tc>
          <w:tcPr>
            <w:tcW w:w="604" w:type="dxa"/>
            <w:hideMark/>
          </w:tcPr>
          <w:p w14:paraId="32AA3A49"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11.1</w:t>
            </w:r>
          </w:p>
        </w:tc>
        <w:tc>
          <w:tcPr>
            <w:tcW w:w="604" w:type="dxa"/>
          </w:tcPr>
          <w:p w14:paraId="478ADE15" w14:textId="77777777" w:rsidR="002620C9" w:rsidRPr="00545318" w:rsidRDefault="002620C9" w:rsidP="002620C9">
            <w:pPr>
              <w:keepNext/>
              <w:keepLines/>
              <w:spacing w:before="60" w:after="60"/>
              <w:jc w:val="right"/>
              <w:rPr>
                <w:rFonts w:ascii="Arial" w:hAnsi="Arial" w:cs="Arial"/>
                <w:b/>
                <w:color w:val="595A5B"/>
                <w:szCs w:val="18"/>
                <w:lang w:val="en-AU"/>
              </w:rPr>
            </w:pPr>
            <w:r w:rsidRPr="00545318">
              <w:t>10.6</w:t>
            </w:r>
          </w:p>
        </w:tc>
      </w:tr>
    </w:tbl>
    <w:p w14:paraId="23830098" w14:textId="77777777"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Based on four-quarter averages to May 2016. Aluminium employment was derived by applying the 2006 and 2011 Census 4-digit employment proportions to the Labour Force Survey 3-digit employment levels.</w:t>
      </w:r>
    </w:p>
    <w:p w14:paraId="73BA9E0F" w14:textId="71B45AD2"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Sources: ABS, Labour Force, Australia, Detailed, Quarterly, May 2016, cat.no. 6291.0.55.003, EQ06;</w:t>
      </w:r>
      <w:r w:rsidR="00C1479F" w:rsidRPr="00545318">
        <w:rPr>
          <w:rStyle w:val="FootnoteReference"/>
          <w:rFonts w:ascii="Arial" w:eastAsia="Times New Roman" w:hAnsi="Arial" w:cs="Arial"/>
          <w:color w:val="22789A"/>
          <w:sz w:val="16"/>
          <w:szCs w:val="20"/>
          <w:lang w:val="en-AU"/>
        </w:rPr>
        <w:footnoteReference w:id="8"/>
      </w:r>
      <w:r w:rsidRPr="00545318">
        <w:rPr>
          <w:rFonts w:ascii="Arial" w:eastAsia="Times New Roman" w:hAnsi="Arial" w:cs="Arial"/>
          <w:color w:val="22789A"/>
          <w:sz w:val="16"/>
          <w:szCs w:val="20"/>
          <w:lang w:val="en-AU"/>
        </w:rPr>
        <w:t xml:space="preserve"> ABS, 2011 Census of Population and Housing (TableBuilder extract); ABS, 2006 Census of Population and Housing (TableBuilder extract).</w:t>
      </w:r>
      <w:r w:rsidR="00E52F47" w:rsidRPr="00545318">
        <w:rPr>
          <w:rStyle w:val="FootnoteReference"/>
          <w:rFonts w:ascii="Arial" w:eastAsia="Times New Roman" w:hAnsi="Arial" w:cs="Arial"/>
          <w:color w:val="22789A"/>
          <w:sz w:val="16"/>
          <w:szCs w:val="20"/>
          <w:lang w:val="en-AU"/>
        </w:rPr>
        <w:footnoteReference w:id="9"/>
      </w:r>
      <w:r w:rsidR="00C1479F" w:rsidRPr="00545318">
        <w:rPr>
          <w:rFonts w:ascii="Arial" w:eastAsia="Times New Roman" w:hAnsi="Arial" w:cs="Arial"/>
          <w:color w:val="22789A"/>
          <w:sz w:val="16"/>
          <w:szCs w:val="20"/>
          <w:lang w:val="en-AU"/>
        </w:rPr>
        <w:t xml:space="preserve"> </w:t>
      </w:r>
    </w:p>
    <w:p w14:paraId="594E934B" w14:textId="0FFD9EEB" w:rsidR="002620C9" w:rsidRPr="00545318" w:rsidRDefault="002620C9" w:rsidP="002620C9">
      <w:pPr>
        <w:spacing w:before="120" w:after="120"/>
      </w:pPr>
      <w:r w:rsidRPr="00545318">
        <w:t xml:space="preserve">Australia is the fourth largest exporter of aluminium in the world. As a result, Australia is a relatively small importer of aluminium, importing around 56 thousand tonnes in 2015 (Figure 2.15). Imports accounted for around 20 </w:t>
      </w:r>
      <w:r w:rsidR="00620A65" w:rsidRPr="00545318">
        <w:t>per cent</w:t>
      </w:r>
      <w:r w:rsidRPr="00545318">
        <w:t xml:space="preserve"> of consumption in Australia during this period and were worth $511 million. Despite being a small importer, imports have increased markedly since 2010–11. </w:t>
      </w:r>
    </w:p>
    <w:p w14:paraId="3675892D"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2.15: Australian aluminium imports, 2006 to 2015</w:t>
      </w:r>
    </w:p>
    <w:p w14:paraId="561C5086" w14:textId="77777777" w:rsidR="002620C9" w:rsidRPr="00545318" w:rsidRDefault="002620C9" w:rsidP="002620C9">
      <w:pPr>
        <w:spacing w:after="200" w:line="276" w:lineRule="auto"/>
        <w:rPr>
          <w:lang w:val="en-AU"/>
        </w:rPr>
      </w:pPr>
      <w:r w:rsidRPr="00545318">
        <w:rPr>
          <w:noProof/>
          <w:lang w:val="en-AU" w:eastAsia="en-AU"/>
        </w:rPr>
        <w:drawing>
          <wp:inline distT="0" distB="0" distL="0" distR="0" wp14:anchorId="4F2EEB07" wp14:editId="55FB4023">
            <wp:extent cx="5731510" cy="3658235"/>
            <wp:effectExtent l="0" t="0" r="2540" b="0"/>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74A01F8"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Sources: ABS </w:t>
      </w:r>
      <w:r w:rsidRPr="00545318">
        <w:rPr>
          <w:rFonts w:ascii="Arial" w:eastAsia="Times New Roman" w:hAnsi="Arial" w:cs="Arial"/>
          <w:color w:val="22789A"/>
          <w:sz w:val="16"/>
          <w:szCs w:val="20"/>
        </w:rPr>
        <w:t>International Trade, Australia, cat. no. 5465.0.</w:t>
      </w:r>
    </w:p>
    <w:p w14:paraId="0D3A400B" w14:textId="2DF9E063" w:rsidR="002620C9" w:rsidRPr="00545318" w:rsidRDefault="002620C9" w:rsidP="002620C9">
      <w:pPr>
        <w:spacing w:before="120" w:after="120"/>
      </w:pPr>
      <w:r w:rsidRPr="00545318">
        <w:t xml:space="preserve">The majority of Australian aluminium imports come from Qatar (32 </w:t>
      </w:r>
      <w:r w:rsidR="00620A65" w:rsidRPr="00545318">
        <w:t>per cent</w:t>
      </w:r>
      <w:r w:rsidRPr="00545318">
        <w:t>), followed by China (30</w:t>
      </w:r>
      <w:r w:rsidR="00BB4916" w:rsidRPr="00545318">
        <w:t> </w:t>
      </w:r>
      <w:r w:rsidR="00620A65" w:rsidRPr="00545318">
        <w:t>per cent</w:t>
      </w:r>
      <w:r w:rsidRPr="00545318">
        <w:t xml:space="preserve">) and Bahrain (21 </w:t>
      </w:r>
      <w:r w:rsidR="00620A65" w:rsidRPr="00545318">
        <w:t>per cent</w:t>
      </w:r>
      <w:r w:rsidRPr="00545318">
        <w:t xml:space="preserve">). The supply of imports from the Middle East has grown rapidly since 2011–12, rising from 1.2 thousand to 30 thousand tonnes over this period. </w:t>
      </w:r>
    </w:p>
    <w:p w14:paraId="0EB79B46" w14:textId="77777777" w:rsidR="002620C9" w:rsidRPr="00545318" w:rsidRDefault="002620C9" w:rsidP="002620C9">
      <w:pPr>
        <w:pStyle w:val="Heading2"/>
      </w:pPr>
      <w:bookmarkStart w:id="24" w:name="_Toc447555393"/>
      <w:bookmarkStart w:id="25" w:name="_Toc460430483"/>
      <w:r w:rsidRPr="00545318">
        <w:t>Market outcomes</w:t>
      </w:r>
      <w:bookmarkEnd w:id="24"/>
      <w:bookmarkEnd w:id="25"/>
    </w:p>
    <w:p w14:paraId="34CC8587" w14:textId="77777777" w:rsidR="002620C9" w:rsidRPr="00545318" w:rsidRDefault="002620C9" w:rsidP="002620C9">
      <w:pPr>
        <w:spacing w:before="120" w:after="120"/>
      </w:pPr>
      <w:r w:rsidRPr="00545318">
        <w:t xml:space="preserve">The net effect of changes in demand and supply over the past decade have manifested in three key ways. First, global prices for both steel and aluminium have weakened since 2010. This is a consequence of weak demand, particularly for steel, and significant investments in increasing productive capacity. </w:t>
      </w:r>
    </w:p>
    <w:p w14:paraId="252B4F41" w14:textId="77777777" w:rsidR="002620C9" w:rsidRPr="00545318" w:rsidRDefault="002620C9" w:rsidP="002620C9">
      <w:pPr>
        <w:spacing w:before="120" w:after="120"/>
      </w:pPr>
      <w:r w:rsidRPr="00545318">
        <w:t>Second, margins, which are linked to global prices, describe the difference between costs of production and revenue. As expected, steel and aluminium production margins declined during the GFC, recovered during the commodity boom of 2010-2014, and have remained in general decline since.</w:t>
      </w:r>
    </w:p>
    <w:p w14:paraId="098C47D5" w14:textId="1C10A6A5" w:rsidR="002620C9" w:rsidRPr="00545318" w:rsidRDefault="002620C9" w:rsidP="002620C9">
      <w:pPr>
        <w:spacing w:before="120" w:after="120"/>
      </w:pPr>
      <w:r w:rsidRPr="00545318">
        <w:t xml:space="preserve">The third factor relates to utilisation and stockpiling. Utilisation rates—the rate at which productive capacity is employed—have fallen since the GFC, while at the same time stockpiles of steel and aluminium have grown. It is not costless to exit either the steel or aluminium markets, since both industries require significant sunk investment. Consequently, it may be more efficient </w:t>
      </w:r>
      <w:r w:rsidR="00FE3700" w:rsidRPr="00545318">
        <w:t>to slow production in the short-</w:t>
      </w:r>
      <w:r w:rsidRPr="00545318">
        <w:t xml:space="preserve">term (while maintaining capacity), especially when demand is expected to recover in the near future. </w:t>
      </w:r>
    </w:p>
    <w:p w14:paraId="65AC7A56" w14:textId="77777777" w:rsidR="002620C9" w:rsidRPr="00545318" w:rsidRDefault="002620C9" w:rsidP="002620C9">
      <w:pPr>
        <w:spacing w:before="120" w:after="120"/>
      </w:pPr>
      <w:r w:rsidRPr="00545318">
        <w:t xml:space="preserve">Each of these points is discussed in turn below. </w:t>
      </w:r>
    </w:p>
    <w:p w14:paraId="24DE2BC8" w14:textId="77777777" w:rsidR="002620C9" w:rsidRPr="00545318" w:rsidRDefault="002620C9" w:rsidP="002620C9">
      <w:pPr>
        <w:pStyle w:val="Heading3"/>
        <w:spacing w:after="120"/>
      </w:pPr>
      <w:r w:rsidRPr="00545318">
        <w:t>Prices</w:t>
      </w:r>
    </w:p>
    <w:p w14:paraId="7A4258C4" w14:textId="77777777" w:rsidR="002620C9" w:rsidRPr="00545318" w:rsidRDefault="002620C9" w:rsidP="002620C9">
      <w:pPr>
        <w:spacing w:before="120" w:after="120"/>
      </w:pPr>
      <w:r w:rsidRPr="00545318">
        <w:t xml:space="preserve">As with any market, prices are the main mechanism through which steel demand and supply are able to find balance. </w:t>
      </w:r>
    </w:p>
    <w:p w14:paraId="5E54517C" w14:textId="77777777" w:rsidR="002620C9" w:rsidRPr="00545318" w:rsidRDefault="002620C9" w:rsidP="002620C9">
      <w:pPr>
        <w:spacing w:before="120" w:after="120"/>
      </w:pPr>
      <w:r w:rsidRPr="00545318">
        <w:t xml:space="preserve">Prices for steel are presented in Figure 2.16. Steel prices rose sharply and peaked just before the GFC. This reflected the massive increase in demand for steel that resulted from the rise of the Chinese economy—it is worth noting that China’s economic rise has been an unprecedented economic event in its magnitude and impact on the global economy. Meeting this massive increase in the demand for steel required significant inputs of raw materials—a feat that was not possible in the absence of significant investments in mining infrastructure across the globe. While the mining sector caught up with this demand, this put temporary pressure on commodity prices to rise and so too the price of steel. </w:t>
      </w:r>
    </w:p>
    <w:p w14:paraId="63C6ECAB" w14:textId="242549E1" w:rsidR="002620C9" w:rsidRPr="00545318" w:rsidRDefault="002620C9" w:rsidP="002620C9">
      <w:pPr>
        <w:spacing w:before="120" w:after="120"/>
      </w:pPr>
      <w:r w:rsidRPr="00545318">
        <w:t>Following the downturn during the GFC, prices were relatively high from 2010-2014 due to continued growth in China. Since 2014, the combined effects of the significant slowdown in economic growth (including in China), weak steel demand and falling raw material prices have placed downward pressure on steel prices. For example, lower oil prices are having important effects on demand and prices for specific steel products used in the oil and gas industry. While global steel production has slowed, it has not slowed as much as steel demand. As a result, steel prices continued to decline, reaching a new low in 2015.</w:t>
      </w:r>
      <w:r w:rsidR="00CC19BB" w:rsidRPr="00545318">
        <w:t xml:space="preserve"> Steel prices increased at the start of 2016 as a result of the Chinese government’s stimulus measures, which increased infrastructure and residential construction, along with authorities reaffirming plans to reduce excess capacity in China. However, overcapacity remains a problem, and as effects from the stimulus packages wears off, the higher prices may not be sustained.</w:t>
      </w:r>
    </w:p>
    <w:p w14:paraId="6172482A" w14:textId="7F8A5163"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2.16: China steel prices, March 2007 to </w:t>
      </w:r>
      <w:r w:rsidR="0055482B" w:rsidRPr="00545318">
        <w:rPr>
          <w:rFonts w:ascii="Arial" w:hAnsi="Arial"/>
          <w:bCs/>
          <w:color w:val="4F81BD" w:themeColor="accent1"/>
          <w:sz w:val="18"/>
          <w:szCs w:val="18"/>
          <w:lang w:val="en-AU"/>
        </w:rPr>
        <w:t xml:space="preserve">July </w:t>
      </w:r>
      <w:r w:rsidRPr="00545318">
        <w:rPr>
          <w:rFonts w:ascii="Arial" w:hAnsi="Arial"/>
          <w:bCs/>
          <w:color w:val="4F81BD" w:themeColor="accent1"/>
          <w:sz w:val="18"/>
          <w:szCs w:val="18"/>
          <w:lang w:val="en-AU"/>
        </w:rPr>
        <w:t>2016</w:t>
      </w:r>
    </w:p>
    <w:tbl>
      <w:tblPr>
        <w:tblStyle w:val="OCETable5"/>
        <w:tblW w:w="0" w:type="auto"/>
        <w:tblLayout w:type="fixed"/>
        <w:tblLook w:val="04A0" w:firstRow="1" w:lastRow="0" w:firstColumn="1" w:lastColumn="0" w:noHBand="0" w:noVBand="1"/>
      </w:tblPr>
      <w:tblGrid>
        <w:gridCol w:w="9180"/>
      </w:tblGrid>
      <w:tr w:rsidR="002620C9" w:rsidRPr="00545318" w14:paraId="67B80C74" w14:textId="77777777" w:rsidTr="002620C9">
        <w:trPr>
          <w:cnfStyle w:val="100000000000" w:firstRow="1" w:lastRow="0" w:firstColumn="0" w:lastColumn="0" w:oddVBand="0" w:evenVBand="0" w:oddHBand="0" w:evenHBand="0" w:firstRowFirstColumn="0" w:firstRowLastColumn="0" w:lastRowFirstColumn="0" w:lastRowLastColumn="0"/>
        </w:trPr>
        <w:tc>
          <w:tcPr>
            <w:tcW w:w="9180" w:type="dxa"/>
            <w:shd w:val="clear" w:color="auto" w:fill="auto"/>
          </w:tcPr>
          <w:p w14:paraId="7847709C" w14:textId="77777777" w:rsidR="002620C9" w:rsidRPr="00545318" w:rsidRDefault="002620C9" w:rsidP="002620C9">
            <w:pPr>
              <w:keepNext/>
              <w:keepLines/>
              <w:jc w:val="center"/>
              <w:rPr>
                <w:rFonts w:ascii="Arial" w:hAnsi="Arial"/>
                <w:noProof/>
                <w:color w:val="595A5B"/>
                <w:lang w:val="en-AU" w:eastAsia="en-AU"/>
              </w:rPr>
            </w:pPr>
            <w:r w:rsidRPr="00545318">
              <w:rPr>
                <w:noProof/>
                <w:lang w:val="en-AU" w:eastAsia="en-AU"/>
              </w:rPr>
              <w:drawing>
                <wp:inline distT="0" distB="0" distL="0" distR="0" wp14:anchorId="22D85B54" wp14:editId="61346C79">
                  <wp:extent cx="5795159" cy="2814320"/>
                  <wp:effectExtent l="0" t="0" r="0" b="508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1AC29AAE"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Metal Bulletin; Bloomberg.</w:t>
      </w:r>
    </w:p>
    <w:p w14:paraId="36B4C533" w14:textId="6E19032F" w:rsidR="002620C9" w:rsidRPr="00545318" w:rsidRDefault="002620C9" w:rsidP="002620C9">
      <w:pPr>
        <w:spacing w:before="120" w:after="120"/>
      </w:pPr>
      <w:r w:rsidRPr="00545318">
        <w:t>After a steady increase in the lead-up to the GFC, primary aluminium prices have been in general decline since 2006 (except for a short recovery in 2010 and 2011 in the wake of the GFC). In 2015</w:t>
      </w:r>
      <w:r w:rsidR="009241EC">
        <w:t>,</w:t>
      </w:r>
      <w:r w:rsidRPr="00545318">
        <w:t xml:space="preserve"> a tonne of aluminium cost less than it did in 2000. Global aluminium prices are shown in Figure 2.17. </w:t>
      </w:r>
    </w:p>
    <w:p w14:paraId="4FFE1403"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2.17: World primary aluminium prices, 2000 to 2015 </w:t>
      </w:r>
    </w:p>
    <w:tbl>
      <w:tblPr>
        <w:tblStyle w:val="OCETable5"/>
        <w:tblW w:w="0" w:type="auto"/>
        <w:tblLayout w:type="fixed"/>
        <w:tblLook w:val="04A0" w:firstRow="1" w:lastRow="0" w:firstColumn="1" w:lastColumn="0" w:noHBand="0" w:noVBand="1"/>
      </w:tblPr>
      <w:tblGrid>
        <w:gridCol w:w="9039"/>
      </w:tblGrid>
      <w:tr w:rsidR="002620C9" w:rsidRPr="00545318" w14:paraId="411A6502" w14:textId="77777777" w:rsidTr="002620C9">
        <w:trPr>
          <w:cnfStyle w:val="100000000000" w:firstRow="1" w:lastRow="0" w:firstColumn="0" w:lastColumn="0" w:oddVBand="0" w:evenVBand="0" w:oddHBand="0" w:evenHBand="0" w:firstRowFirstColumn="0" w:firstRowLastColumn="0" w:lastRowFirstColumn="0" w:lastRowLastColumn="0"/>
        </w:trPr>
        <w:tc>
          <w:tcPr>
            <w:tcW w:w="9039" w:type="dxa"/>
            <w:shd w:val="clear" w:color="auto" w:fill="auto"/>
          </w:tcPr>
          <w:p w14:paraId="615292CD" w14:textId="77777777" w:rsidR="002620C9" w:rsidRPr="00545318" w:rsidRDefault="002620C9" w:rsidP="002620C9">
            <w:pPr>
              <w:keepNext/>
              <w:keepLines/>
              <w:jc w:val="center"/>
              <w:rPr>
                <w:rFonts w:ascii="Arial" w:hAnsi="Arial"/>
                <w:noProof/>
                <w:color w:val="595A5B"/>
                <w:lang w:val="en-AU" w:eastAsia="en-AU"/>
              </w:rPr>
            </w:pPr>
            <w:r w:rsidRPr="00545318">
              <w:rPr>
                <w:noProof/>
                <w:lang w:val="en-AU" w:eastAsia="en-AU"/>
              </w:rPr>
              <w:drawing>
                <wp:inline distT="0" distB="0" distL="0" distR="0" wp14:anchorId="33323852" wp14:editId="28A77DE1">
                  <wp:extent cx="5602605" cy="2499756"/>
                  <wp:effectExtent l="0" t="0" r="0" b="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7D6A8E7" w14:textId="77777777" w:rsidR="002620C9" w:rsidRPr="00545318" w:rsidRDefault="002620C9" w:rsidP="002620C9">
            <w:pPr>
              <w:keepNext/>
              <w:keepLines/>
              <w:jc w:val="center"/>
              <w:rPr>
                <w:rFonts w:ascii="Arial" w:hAnsi="Arial"/>
                <w:color w:val="595A5B"/>
                <w:lang w:val="en-AU"/>
              </w:rPr>
            </w:pPr>
          </w:p>
        </w:tc>
      </w:tr>
    </w:tbl>
    <w:p w14:paraId="2CA1D552"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Bloomberg.</w:t>
      </w:r>
    </w:p>
    <w:p w14:paraId="57816B3A" w14:textId="77777777" w:rsidR="002620C9" w:rsidRPr="00545318" w:rsidRDefault="002620C9" w:rsidP="002620C9">
      <w:pPr>
        <w:pStyle w:val="Heading3"/>
        <w:spacing w:after="120"/>
      </w:pPr>
      <w:r w:rsidRPr="00545318">
        <w:t>Margins</w:t>
      </w:r>
    </w:p>
    <w:p w14:paraId="1AFB7201" w14:textId="77777777" w:rsidR="002620C9" w:rsidRPr="00545318" w:rsidRDefault="002620C9" w:rsidP="002620C9">
      <w:pPr>
        <w:spacing w:before="120" w:after="120"/>
      </w:pPr>
      <w:r w:rsidRPr="00545318">
        <w:t xml:space="preserve">Weak earnings have led to a decline in the steel industry’s profitability over the last few years, with little recovery expected in the near future. </w:t>
      </w:r>
    </w:p>
    <w:p w14:paraId="23830C4C" w14:textId="77777777" w:rsidR="00BB4916" w:rsidRPr="00545318" w:rsidRDefault="00BB4916">
      <w:pPr>
        <w:spacing w:after="200" w:line="276" w:lineRule="auto"/>
      </w:pPr>
      <w:r w:rsidRPr="00545318">
        <w:br w:type="page"/>
      </w:r>
    </w:p>
    <w:p w14:paraId="3B51535A" w14:textId="509C26D9" w:rsidR="002620C9" w:rsidRPr="00545318" w:rsidRDefault="002620C9" w:rsidP="002620C9">
      <w:pPr>
        <w:spacing w:before="120" w:after="120"/>
      </w:pPr>
      <w:r w:rsidRPr="00545318">
        <w:t>Figure 2.18 presents simple margins for major steel producing nations over the period 2005-2015. These margins have been calculated using average industry cost data for each country. Margins have been in general decline since 2008. In 201</w:t>
      </w:r>
      <w:r w:rsidR="00CC19BB" w:rsidRPr="00545318">
        <w:t>6</w:t>
      </w:r>
      <w:r w:rsidR="009241EC">
        <w:t>,</w:t>
      </w:r>
      <w:r w:rsidRPr="00545318">
        <w:t xml:space="preserve"> margins in a number of countries—including Australia, China and India—</w:t>
      </w:r>
      <w:r w:rsidR="00CC19BB" w:rsidRPr="00545318">
        <w:t>remained</w:t>
      </w:r>
      <w:r w:rsidRPr="00545318">
        <w:t xml:space="preserve"> negative suggesting that the average costs of production were above average revenues. Notably, while margins in each country have declined over th</w:t>
      </w:r>
      <w:r w:rsidR="00CC19BB" w:rsidRPr="00545318">
        <w:t>e</w:t>
      </w:r>
      <w:r w:rsidRPr="00545318">
        <w:t xml:space="preserve"> period, Australia has typically operated with some of the lowest margins each year. This reflects a combination of high costs and sluggish demand. Japan, South Korea and the United States typically enjoy the highest margins.</w:t>
      </w:r>
    </w:p>
    <w:p w14:paraId="39F76602"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 Figure 2.18: Margin of steel production, per tonne of steel produced, 2005 to 2015</w:t>
      </w:r>
    </w:p>
    <w:p w14:paraId="63112B0C" w14:textId="77777777" w:rsidR="002620C9" w:rsidRPr="00545318" w:rsidRDefault="002620C9" w:rsidP="002620C9">
      <w:pPr>
        <w:keepNext/>
        <w:keepLines/>
        <w:rPr>
          <w:rFonts w:ascii="Arial" w:hAnsi="Arial"/>
          <w:color w:val="595A5B"/>
          <w:sz w:val="18"/>
          <w:lang w:val="en-AU"/>
        </w:rPr>
      </w:pPr>
      <w:r w:rsidRPr="00545318">
        <w:rPr>
          <w:noProof/>
          <w:lang w:val="en-AU" w:eastAsia="en-AU"/>
        </w:rPr>
        <w:drawing>
          <wp:inline distT="0" distB="0" distL="0" distR="0" wp14:anchorId="3C94DD48" wp14:editId="35F9E401">
            <wp:extent cx="5731510" cy="3246755"/>
            <wp:effectExtent l="0" t="0" r="2540" b="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AD60C6" w14:textId="77777777" w:rsidR="002620C9" w:rsidRPr="00545318" w:rsidRDefault="002620C9" w:rsidP="002620C9">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Notes: Production margins are total revenue per tonne minus total production costs before credit per tonne. Total production costs before credit incudes cash costs and depreciation. 2016 estimate.</w:t>
      </w:r>
    </w:p>
    <w:p w14:paraId="2A66579C"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AME Group.</w:t>
      </w:r>
    </w:p>
    <w:p w14:paraId="333BC0AF" w14:textId="227A1CF4" w:rsidR="002620C9" w:rsidRPr="00545318" w:rsidRDefault="002620C9" w:rsidP="002620C9">
      <w:pPr>
        <w:spacing w:before="120" w:after="120"/>
      </w:pPr>
      <w:r w:rsidRPr="00545318">
        <w:t>Similar to Figure 2.18, Figure 2.19 presents simple margins for major aluminium producing nations over the period 2005-2015. Again, these margins have been calculated using average industry cost data for each country. Aluminium production margins declined during the GFC and are yet to return to pre-recession levels. In 2015</w:t>
      </w:r>
      <w:r w:rsidR="009241EC">
        <w:t>,</w:t>
      </w:r>
      <w:r w:rsidRPr="00545318">
        <w:t xml:space="preserve"> the United States had the only negative margin, suggesting the average cost of production was above average revenue. However, as evident in Figure 2.19, China, Australia and India had relatively low margins in 2015. In 2015</w:t>
      </w:r>
      <w:r w:rsidR="009241EC">
        <w:t>,</w:t>
      </w:r>
      <w:r w:rsidRPr="00545318">
        <w:t xml:space="preserve"> China had the lowest positive margin of US$7.56 per tonne, after being negative in the preceding few years. Qatar and Russia typically enjoy the highest margins each year. Australia’s margins have typically fallen in the middle of the range in most years.</w:t>
      </w:r>
    </w:p>
    <w:p w14:paraId="165BB838" w14:textId="77777777" w:rsidR="002620C9" w:rsidRPr="00545318" w:rsidRDefault="002620C9" w:rsidP="002620C9">
      <w:pPr>
        <w:keepNext/>
        <w:keepLines/>
        <w:pBdr>
          <w:top w:val="single" w:sz="2" w:space="1"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2.19: Margin of aluminium production, per tonne of aluminium produced, 2005 to 2015</w:t>
      </w:r>
    </w:p>
    <w:p w14:paraId="57B6EA20" w14:textId="77777777" w:rsidR="002620C9" w:rsidRPr="00545318" w:rsidRDefault="002620C9" w:rsidP="002620C9">
      <w:pPr>
        <w:keepNext/>
        <w:keepLines/>
        <w:jc w:val="center"/>
        <w:rPr>
          <w:rFonts w:ascii="Arial" w:hAnsi="Arial"/>
          <w:color w:val="595A5B"/>
          <w:sz w:val="18"/>
          <w:lang w:val="en-AU"/>
        </w:rPr>
      </w:pPr>
      <w:r w:rsidRPr="00545318">
        <w:rPr>
          <w:rFonts w:ascii="Arial" w:hAnsi="Arial"/>
          <w:noProof/>
          <w:color w:val="595A5B"/>
          <w:sz w:val="18"/>
          <w:lang w:val="en-AU" w:eastAsia="en-AU"/>
        </w:rPr>
        <w:drawing>
          <wp:inline distT="0" distB="0" distL="0" distR="0" wp14:anchorId="4EACD3D4" wp14:editId="57474135">
            <wp:extent cx="5470497" cy="2830665"/>
            <wp:effectExtent l="0" t="0" r="0" b="8255"/>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40A6CB"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AME Group</w:t>
      </w:r>
    </w:p>
    <w:p w14:paraId="0E4B7312" w14:textId="77777777" w:rsidR="002620C9" w:rsidRPr="00545318" w:rsidRDefault="002620C9" w:rsidP="002620C9">
      <w:pPr>
        <w:pStyle w:val="Heading3"/>
        <w:spacing w:after="120"/>
      </w:pPr>
      <w:r w:rsidRPr="00545318">
        <w:t>Utilisation and inventories</w:t>
      </w:r>
    </w:p>
    <w:p w14:paraId="7F8A2B4A" w14:textId="77777777" w:rsidR="002620C9" w:rsidRPr="00545318" w:rsidRDefault="002620C9" w:rsidP="002620C9">
      <w:pPr>
        <w:spacing w:before="120" w:after="120"/>
      </w:pPr>
      <w:r w:rsidRPr="00545318">
        <w:t xml:space="preserve">Although demand for steel grew at double-digit rates over much of the past 15 years, the last few years have seen a significant easing in expansion rates and reducing utilisation rates for steel production. This reflects the slowing in Chinese economic growth, especially in 2015, and the rebalancing of the Chinese economy towards more consumption-driven growth instead of investment-driven growth. </w:t>
      </w:r>
    </w:p>
    <w:p w14:paraId="72ABA719" w14:textId="77777777" w:rsidR="002620C9" w:rsidRPr="00545318" w:rsidRDefault="002620C9" w:rsidP="002620C9">
      <w:pPr>
        <w:spacing w:before="120" w:after="120"/>
      </w:pPr>
      <w:r w:rsidRPr="00545318">
        <w:t xml:space="preserve">Overcapacity in the steel industry is a major issue that emerges every time there is a downturn in the economic cycle. The OECD has highlighted the cyclical nature of the steel industry, commenting that: </w:t>
      </w:r>
    </w:p>
    <w:p w14:paraId="3E36559B" w14:textId="77777777" w:rsidR="002620C9" w:rsidRPr="00545318" w:rsidRDefault="002620C9" w:rsidP="002620C9">
      <w:pPr>
        <w:spacing w:before="120" w:after="120"/>
        <w:ind w:left="720"/>
        <w:rPr>
          <w:sz w:val="20"/>
          <w:szCs w:val="20"/>
        </w:rPr>
      </w:pPr>
      <w:r w:rsidRPr="00545318">
        <w:rPr>
          <w:sz w:val="20"/>
          <w:szCs w:val="20"/>
        </w:rPr>
        <w:t>Several steel crises have been observed over the past several decades, with at least one crisis having occurred every decade since the 1970s. These crises have been associated with broader regional and global economic recessions.</w:t>
      </w:r>
      <w:r w:rsidRPr="00545318">
        <w:rPr>
          <w:rStyle w:val="FootnoteReference"/>
          <w:sz w:val="20"/>
          <w:szCs w:val="20"/>
        </w:rPr>
        <w:footnoteReference w:id="10"/>
      </w:r>
    </w:p>
    <w:p w14:paraId="457EE7F6" w14:textId="72EC99BF" w:rsidR="002620C9" w:rsidRPr="00545318" w:rsidRDefault="002620C9" w:rsidP="002620C9">
      <w:pPr>
        <w:spacing w:before="120" w:after="120"/>
      </w:pPr>
      <w:r w:rsidRPr="00545318">
        <w:t>In the short</w:t>
      </w:r>
      <w:r w:rsidR="0016615F" w:rsidRPr="00545318">
        <w:t>-</w:t>
      </w:r>
      <w:r w:rsidRPr="00545318">
        <w:t xml:space="preserve">run, overcapacity can be managed through high inventories and low profitability. In the long run however, this cannot be sustained and would lead to plant closures amongst the least efficient firms. </w:t>
      </w:r>
    </w:p>
    <w:p w14:paraId="30959B3D" w14:textId="77777777" w:rsidR="002620C9" w:rsidRPr="00545318" w:rsidRDefault="002620C9" w:rsidP="002620C9">
      <w:pPr>
        <w:spacing w:before="120" w:after="120"/>
      </w:pPr>
      <w:r w:rsidRPr="00545318">
        <w:t>The OECD has noted that the market’s current levels of excess capacity have been exacerbated by certain ‘government steel policies includ[ing] continued government subsidies (notably subsidies for the creation of new capacity or the maintenance of inefficient capacities) and continued approvals for new steel facilities’.</w:t>
      </w:r>
      <w:r w:rsidRPr="00545318">
        <w:rPr>
          <w:rStyle w:val="FootnoteReference"/>
        </w:rPr>
        <w:footnoteReference w:id="11"/>
      </w:r>
      <w:r w:rsidRPr="00545318">
        <w:t xml:space="preserve"> In the OECD’s view, the solution is: </w:t>
      </w:r>
    </w:p>
    <w:p w14:paraId="767148F3" w14:textId="77777777" w:rsidR="002620C9" w:rsidRPr="00545318" w:rsidRDefault="002620C9" w:rsidP="002620C9">
      <w:pPr>
        <w:spacing w:before="120" w:after="120"/>
        <w:ind w:left="720"/>
        <w:rPr>
          <w:sz w:val="20"/>
          <w:szCs w:val="20"/>
        </w:rPr>
      </w:pPr>
      <w:r w:rsidRPr="00545318">
        <w:rPr>
          <w:sz w:val="20"/>
          <w:szCs w:val="20"/>
        </w:rPr>
        <w:t>to allow market mechanisms to work properly and avoid measures that artificially support steelmaking capacity. Of particular importance for governments will be to work towards removing market distorting policies such as subsidies that promote the emergence of new capacity or delay the closure of failing companies, eliminating trade and investment barriers that slow the restructuring that is needed for the industry, allowing market-based investment decisions in the steel sector, and ensuring that new plants are subject to standards that protect the environment and uphold worker safety.</w:t>
      </w:r>
      <w:r w:rsidRPr="00545318">
        <w:rPr>
          <w:vertAlign w:val="superscript"/>
        </w:rPr>
        <w:footnoteReference w:id="12"/>
      </w:r>
      <w:r w:rsidRPr="00545318">
        <w:rPr>
          <w:sz w:val="20"/>
          <w:szCs w:val="20"/>
        </w:rPr>
        <w:t xml:space="preserve"> </w:t>
      </w:r>
    </w:p>
    <w:p w14:paraId="730891A7" w14:textId="77777777" w:rsidR="002620C9" w:rsidRPr="00545318" w:rsidRDefault="002620C9" w:rsidP="002620C9">
      <w:pPr>
        <w:spacing w:before="120" w:after="120"/>
      </w:pPr>
      <w:r w:rsidRPr="00545318">
        <w:t>Chapter 3 of this report sets out in some detail the evidence that the Commission has been able to obtain, within the time it has had available to prepare this report, on the market distorting policies and other government interventions referred to by the OECD.</w:t>
      </w:r>
    </w:p>
    <w:p w14:paraId="2AC8ABC8" w14:textId="3AB3C607" w:rsidR="002620C9" w:rsidRPr="00545318" w:rsidRDefault="002620C9" w:rsidP="002620C9">
      <w:pPr>
        <w:spacing w:before="120" w:after="120"/>
      </w:pPr>
      <w:r w:rsidRPr="00545318">
        <w:t xml:space="preserve">Figure 2.20 shows utilisation rates for Chinese and global steel production. Globally, utilisation rates progressively crept towards 85 </w:t>
      </w:r>
      <w:r w:rsidR="00620A65" w:rsidRPr="00545318">
        <w:t>per cent</w:t>
      </w:r>
      <w:r w:rsidRPr="00545318">
        <w:t xml:space="preserve"> up to 2008, but have since fallen to below 75 </w:t>
      </w:r>
      <w:r w:rsidR="00620A65" w:rsidRPr="00545318">
        <w:t>per cent</w:t>
      </w:r>
      <w:r w:rsidRPr="00545318">
        <w:t>.</w:t>
      </w:r>
      <w:r w:rsidRPr="00545318">
        <w:rPr>
          <w:rStyle w:val="FootnoteReference"/>
        </w:rPr>
        <w:footnoteReference w:id="13"/>
      </w:r>
      <w:r w:rsidRPr="00545318">
        <w:t xml:space="preserve"> Chinese utilisation rates—for which data is only available since 2006—have progressively fallen over this period. In 2014</w:t>
      </w:r>
      <w:r w:rsidR="00B46A49">
        <w:t>,</w:t>
      </w:r>
      <w:r w:rsidRPr="00545318">
        <w:t xml:space="preserve"> the Chinese utilisation rate was 65.8 </w:t>
      </w:r>
      <w:r w:rsidR="00620A65" w:rsidRPr="00545318">
        <w:t>per cent</w:t>
      </w:r>
      <w:r w:rsidRPr="00545318">
        <w:t xml:space="preserve">. </w:t>
      </w:r>
    </w:p>
    <w:p w14:paraId="6F72D1B9"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2.20: Steel production utilisation rate, 2000 to 2014</w:t>
      </w:r>
    </w:p>
    <w:tbl>
      <w:tblPr>
        <w:tblStyle w:val="OCETable5"/>
        <w:tblW w:w="0" w:type="auto"/>
        <w:jc w:val="center"/>
        <w:tblLayout w:type="fixed"/>
        <w:tblLook w:val="04A0" w:firstRow="1" w:lastRow="0" w:firstColumn="1" w:lastColumn="0" w:noHBand="0" w:noVBand="1"/>
      </w:tblPr>
      <w:tblGrid>
        <w:gridCol w:w="7020"/>
      </w:tblGrid>
      <w:tr w:rsidR="002620C9" w:rsidRPr="00545318" w14:paraId="596514D9" w14:textId="77777777" w:rsidTr="002620C9">
        <w:trPr>
          <w:cnfStyle w:val="100000000000" w:firstRow="1" w:lastRow="0" w:firstColumn="0" w:lastColumn="0" w:oddVBand="0" w:evenVBand="0" w:oddHBand="0" w:evenHBand="0" w:firstRowFirstColumn="0" w:firstRowLastColumn="0" w:lastRowFirstColumn="0" w:lastRowLastColumn="0"/>
          <w:jc w:val="center"/>
        </w:trPr>
        <w:tc>
          <w:tcPr>
            <w:tcW w:w="7020" w:type="dxa"/>
            <w:shd w:val="clear" w:color="auto" w:fill="auto"/>
          </w:tcPr>
          <w:p w14:paraId="22E49DA5" w14:textId="77777777" w:rsidR="002620C9" w:rsidRPr="00545318" w:rsidRDefault="002620C9" w:rsidP="002620C9">
            <w:pPr>
              <w:keepNext/>
              <w:keepLines/>
              <w:ind w:left="-108"/>
              <w:rPr>
                <w:rFonts w:ascii="Arial" w:hAnsi="Arial"/>
                <w:noProof/>
                <w:color w:val="595A5B"/>
                <w:lang w:val="en-AU" w:eastAsia="en-AU"/>
              </w:rPr>
            </w:pPr>
            <w:r w:rsidRPr="00545318">
              <w:rPr>
                <w:rFonts w:ascii="Arial" w:hAnsi="Arial"/>
                <w:noProof/>
                <w:color w:val="595A5B"/>
                <w:lang w:val="en-AU" w:eastAsia="en-AU"/>
              </w:rPr>
              <w:drawing>
                <wp:inline distT="0" distB="0" distL="0" distR="0" wp14:anchorId="639D7C3F" wp14:editId="2BB46F9A">
                  <wp:extent cx="4238625" cy="2595563"/>
                  <wp:effectExtent l="0" t="0" r="0" b="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7808B19" w14:textId="77777777" w:rsidR="002620C9" w:rsidRPr="00545318" w:rsidRDefault="002620C9" w:rsidP="002620C9">
            <w:pPr>
              <w:keepNext/>
              <w:keepLines/>
              <w:jc w:val="center"/>
              <w:rPr>
                <w:rFonts w:ascii="Arial" w:hAnsi="Arial"/>
                <w:color w:val="595A5B"/>
                <w:lang w:val="en-AU"/>
              </w:rPr>
            </w:pPr>
          </w:p>
        </w:tc>
      </w:tr>
    </w:tbl>
    <w:p w14:paraId="15DDAFB6" w14:textId="77777777" w:rsidR="002620C9" w:rsidRPr="00545318" w:rsidRDefault="002620C9" w:rsidP="002620C9">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OECD (25b); Li (2015); Department of Industry, Innovation and Science.</w:t>
      </w:r>
    </w:p>
    <w:p w14:paraId="74AA9BA7" w14:textId="381894C7" w:rsidR="002620C9" w:rsidRPr="00545318" w:rsidRDefault="002620C9" w:rsidP="002620C9">
      <w:pPr>
        <w:spacing w:before="120" w:after="120"/>
      </w:pPr>
      <w:r w:rsidRPr="00545318">
        <w:t>As can be seen in Figure 2.21, the movement o</w:t>
      </w:r>
      <w:r w:rsidR="00FE3700" w:rsidRPr="00545318">
        <w:t>f aluminium prices in the short-</w:t>
      </w:r>
      <w:r w:rsidRPr="00545318">
        <w:t>term is correlated with the size of inventories. In traditional commodity cycles, commodity prices tend to rise when inventories decrease and conversely drop when inventories increase. The relationship appears not to have applied for aluminium in recent years. However, other data, such as from Harbor Aluminium, shows global inventories increasing, or stabilising at a high level, in recent years.</w:t>
      </w:r>
    </w:p>
    <w:p w14:paraId="50223AE5" w14:textId="77777777" w:rsidR="002620C9" w:rsidRPr="00545318" w:rsidRDefault="002620C9" w:rsidP="002620C9">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2.21: Annual aluminium prices and stocks, 2000 to 2015</w:t>
      </w:r>
    </w:p>
    <w:tbl>
      <w:tblPr>
        <w:tblStyle w:val="OCETable5"/>
        <w:tblW w:w="0" w:type="auto"/>
        <w:tblLayout w:type="fixed"/>
        <w:tblLook w:val="04A0" w:firstRow="1" w:lastRow="0" w:firstColumn="1" w:lastColumn="0" w:noHBand="0" w:noVBand="1"/>
      </w:tblPr>
      <w:tblGrid>
        <w:gridCol w:w="9180"/>
      </w:tblGrid>
      <w:tr w:rsidR="002620C9" w:rsidRPr="00545318" w14:paraId="3FB1C1DA" w14:textId="77777777" w:rsidTr="002620C9">
        <w:trPr>
          <w:cnfStyle w:val="100000000000" w:firstRow="1" w:lastRow="0" w:firstColumn="0" w:lastColumn="0" w:oddVBand="0" w:evenVBand="0" w:oddHBand="0" w:evenHBand="0" w:firstRowFirstColumn="0" w:firstRowLastColumn="0" w:lastRowFirstColumn="0" w:lastRowLastColumn="0"/>
        </w:trPr>
        <w:tc>
          <w:tcPr>
            <w:tcW w:w="9180" w:type="dxa"/>
            <w:shd w:val="clear" w:color="auto" w:fill="auto"/>
          </w:tcPr>
          <w:p w14:paraId="4C3A4C51" w14:textId="77777777" w:rsidR="002620C9" w:rsidRPr="00545318" w:rsidRDefault="002620C9" w:rsidP="002620C9">
            <w:pPr>
              <w:keepNext/>
              <w:keepLines/>
              <w:rPr>
                <w:rFonts w:ascii="Arial" w:hAnsi="Arial"/>
                <w:noProof/>
                <w:color w:val="595A5B"/>
                <w:lang w:val="en-AU" w:eastAsia="en-AU"/>
              </w:rPr>
            </w:pPr>
            <w:r w:rsidRPr="00545318">
              <w:rPr>
                <w:noProof/>
                <w:lang w:val="en-AU" w:eastAsia="en-AU"/>
              </w:rPr>
              <w:drawing>
                <wp:inline distT="0" distB="0" distL="0" distR="0" wp14:anchorId="442A444E" wp14:editId="248B4A9D">
                  <wp:extent cx="5692140" cy="2927268"/>
                  <wp:effectExtent l="0" t="0" r="3810" b="6985"/>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38E9331" w14:textId="77777777" w:rsidR="002620C9" w:rsidRPr="00545318" w:rsidRDefault="002620C9" w:rsidP="002620C9">
            <w:pPr>
              <w:keepNext/>
              <w:keepLines/>
              <w:jc w:val="center"/>
              <w:rPr>
                <w:rFonts w:ascii="Arial" w:hAnsi="Arial"/>
                <w:color w:val="595A5B"/>
                <w:lang w:val="en-AU"/>
              </w:rPr>
            </w:pPr>
          </w:p>
        </w:tc>
      </w:tr>
    </w:tbl>
    <w:p w14:paraId="21669633" w14:textId="77777777" w:rsidR="002620C9" w:rsidRPr="00545318" w:rsidRDefault="002620C9" w:rsidP="002620C9">
      <w:pPr>
        <w:keepLines/>
        <w:pBdr>
          <w:bottom w:val="single" w:sz="4" w:space="1" w:color="595A5B"/>
        </w:pBdr>
        <w:spacing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Bloomberg and WBMS.</w:t>
      </w:r>
    </w:p>
    <w:p w14:paraId="779CD95F" w14:textId="77777777" w:rsidR="002620C9" w:rsidRPr="00545318" w:rsidRDefault="002620C9" w:rsidP="002620C9">
      <w:pPr>
        <w:pStyle w:val="Heading2"/>
        <w:rPr>
          <w:lang w:val="en-AU"/>
        </w:rPr>
      </w:pPr>
      <w:bookmarkStart w:id="26" w:name="_Toc447555394"/>
      <w:bookmarkStart w:id="27" w:name="_Toc460430484"/>
      <w:r w:rsidRPr="00545318">
        <w:rPr>
          <w:lang w:val="en-AU"/>
        </w:rPr>
        <w:t>Conclusion</w:t>
      </w:r>
      <w:bookmarkEnd w:id="26"/>
      <w:bookmarkEnd w:id="27"/>
    </w:p>
    <w:p w14:paraId="574C1037" w14:textId="0A8F1A8B" w:rsidR="002620C9" w:rsidRPr="00545318" w:rsidRDefault="002620C9" w:rsidP="002620C9">
      <w:pPr>
        <w:spacing w:before="120" w:after="120"/>
      </w:pPr>
      <w:r w:rsidRPr="00545318">
        <w:t xml:space="preserve">Both the steel and aluminium markets have undergone substantial change over the past decade. In the lead up to the GFC, demand for steel and aluminium products reached unprecedented levels, supported by rapid investment in new infrastructure in China. China’s consumption of steel grew each year by an average of ten </w:t>
      </w:r>
      <w:r w:rsidR="00620A65" w:rsidRPr="00545318">
        <w:t>per cent</w:t>
      </w:r>
      <w:r w:rsidRPr="00545318">
        <w:t xml:space="preserve"> up until 2013; aluminium consumption grew an average 18</w:t>
      </w:r>
      <w:r w:rsidR="00B46A49">
        <w:t> </w:t>
      </w:r>
      <w:r w:rsidR="00620A65" w:rsidRPr="00545318">
        <w:t>per cent</w:t>
      </w:r>
      <w:r w:rsidRPr="00545318">
        <w:t xml:space="preserve"> per year. </w:t>
      </w:r>
    </w:p>
    <w:p w14:paraId="1C16EDD1" w14:textId="345A596D" w:rsidR="002620C9" w:rsidRPr="00545318" w:rsidRDefault="002620C9" w:rsidP="002620C9">
      <w:pPr>
        <w:spacing w:before="120" w:after="120"/>
      </w:pPr>
      <w:r w:rsidRPr="00545318">
        <w:t xml:space="preserve">The increase in demand contributed to significant increases in producer margins. Between 2005 and 2008, producer margins in South Korea, the United States and Australia each more than doubled. Elsewhere margins increased by more than 50 </w:t>
      </w:r>
      <w:r w:rsidR="00620A65" w:rsidRPr="00545318">
        <w:t>per cent</w:t>
      </w:r>
      <w:r w:rsidRPr="00545318">
        <w:t xml:space="preserve">. </w:t>
      </w:r>
    </w:p>
    <w:p w14:paraId="36AE2A9E" w14:textId="0064C235" w:rsidR="002620C9" w:rsidRPr="00545318" w:rsidRDefault="002620C9" w:rsidP="002620C9">
      <w:pPr>
        <w:spacing w:before="120" w:after="120"/>
      </w:pPr>
      <w:r w:rsidRPr="00545318">
        <w:t xml:space="preserve">High demand and high margins encouraged large-scale investment in new capacity. China, a net importer of steel as late as 2006, is now the world’s largest producer, and its production has increased at an average annual rate of 12 </w:t>
      </w:r>
      <w:r w:rsidR="00620A65" w:rsidRPr="00545318">
        <w:t>per cent</w:t>
      </w:r>
      <w:r w:rsidRPr="00545318">
        <w:t xml:space="preserve">. China became the world’s largest net exporter over this period and now exports more than double that of Japan, the next largest exporter of steel. </w:t>
      </w:r>
    </w:p>
    <w:p w14:paraId="52A5B202" w14:textId="77777777" w:rsidR="002620C9" w:rsidRPr="00545318" w:rsidRDefault="002620C9" w:rsidP="002620C9">
      <w:pPr>
        <w:spacing w:before="120" w:after="120"/>
      </w:pPr>
      <w:r w:rsidRPr="00545318">
        <w:t xml:space="preserve">Similar to steel, China now produces more than half of all primary aluminium production in the world. Most of this production is for domestic consumption, with China being neither a major importer nor exporter of primary aluminium. </w:t>
      </w:r>
    </w:p>
    <w:p w14:paraId="39AAE2EC" w14:textId="77777777" w:rsidR="002620C9" w:rsidRPr="00545318" w:rsidRDefault="002620C9" w:rsidP="002620C9">
      <w:pPr>
        <w:spacing w:before="120" w:after="120"/>
      </w:pPr>
      <w:r w:rsidRPr="00545318">
        <w:t>While prices and margins would have been expected to return to more “normal” levels once global capacity caught up with demand, the GFC, a subsequent slowdown in global economic activity and an acceleration of China’s economic transition (from investment-led growth to being more consumption-based) has resulted in prices and margins falling below “normal” long-term (underlying) levels.</w:t>
      </w:r>
    </w:p>
    <w:p w14:paraId="6BD05CA9" w14:textId="4761F258" w:rsidR="002620C9" w:rsidRPr="00545318" w:rsidRDefault="002620C9" w:rsidP="002620C9">
      <w:pPr>
        <w:spacing w:before="120" w:after="120"/>
      </w:pPr>
      <w:r w:rsidRPr="00545318">
        <w:t>Prices for steel and aluminium are today around half of their pre-GFC peaks which has reduced margins and increased the financial pressure on producers. In some cases, producer margins are negative. Inventories remain at high levels and steel utilisation rates, which were as high as 85</w:t>
      </w:r>
      <w:r w:rsidR="00B46A49">
        <w:t> </w:t>
      </w:r>
      <w:r w:rsidR="00620A65" w:rsidRPr="00545318">
        <w:t>per cent</w:t>
      </w:r>
      <w:r w:rsidRPr="00545318">
        <w:t xml:space="preserve"> or more pre-GFC, are now much lower at 75 </w:t>
      </w:r>
      <w:r w:rsidR="00620A65" w:rsidRPr="00545318">
        <w:t>per cent</w:t>
      </w:r>
      <w:r w:rsidRPr="00545318">
        <w:t xml:space="preserve">. </w:t>
      </w:r>
    </w:p>
    <w:p w14:paraId="337FB2EF" w14:textId="757B7E9F" w:rsidR="002620C9" w:rsidRPr="00545318" w:rsidRDefault="002620C9" w:rsidP="002620C9">
      <w:pPr>
        <w:spacing w:before="120" w:after="120"/>
      </w:pPr>
      <w:r w:rsidRPr="00545318">
        <w:t>Excess capacity—a problem that afflicts the steel industry during every downturn in the business cycle—remains a significant issue for the sector. The growing gap between global steelmaking capacity and demand has led to a deterioration in the financial situation of steelmakers, and raised concerns about the longer-term economic viability and efficiency of the industry. Despite this, there continues to be new investment projects in many parts of the world (see chapter 3 for more detail).</w:t>
      </w:r>
    </w:p>
    <w:p w14:paraId="45005843" w14:textId="0560E811" w:rsidR="002620C9" w:rsidRPr="00545318" w:rsidRDefault="002620C9" w:rsidP="002620C9">
      <w:pPr>
        <w:spacing w:before="120" w:after="120"/>
      </w:pPr>
      <w:r w:rsidRPr="00545318">
        <w:t xml:space="preserve">Australia’s experience has been quite similar to the rest of the world. High demand from the Australian </w:t>
      </w:r>
      <w:r w:rsidR="00B46A49">
        <w:t>C</w:t>
      </w:r>
      <w:r w:rsidRPr="00545318">
        <w:t xml:space="preserve">onstruction and </w:t>
      </w:r>
      <w:r w:rsidR="00B46A49">
        <w:t>H</w:t>
      </w:r>
      <w:r w:rsidRPr="00545318">
        <w:t>eavy Manufacturing sectors resulted in higher demand for steel and aluminium in the lead up to the GFC, but this growth then slowed considerably.</w:t>
      </w:r>
    </w:p>
    <w:p w14:paraId="3946C939" w14:textId="71B38746" w:rsidR="002620C9" w:rsidRPr="00545318" w:rsidRDefault="002620C9" w:rsidP="002620C9">
      <w:pPr>
        <w:spacing w:before="120" w:after="120"/>
      </w:pPr>
      <w:r w:rsidRPr="00545318">
        <w:t xml:space="preserve">The increase in demand for steel in Australia was partly met by increased production, but more so by higher imports. Steel imports increased by about 50 </w:t>
      </w:r>
      <w:r w:rsidR="00620A65" w:rsidRPr="00545318">
        <w:t>per cent</w:t>
      </w:r>
      <w:r w:rsidRPr="00545318">
        <w:t>, while Australian production only increased marginally. Japan remains the largest source of steel imports into Australia, but imports are increasingly being sourced from other markets, China in particular. Notably, Australia did not historically import aluminium in significant quantities prior to 2011, with imports totalling less than 5,000 tonnes. Since then</w:t>
      </w:r>
      <w:r w:rsidR="00B46A49">
        <w:t>,</w:t>
      </w:r>
      <w:r w:rsidRPr="00545318">
        <w:t xml:space="preserve"> imports of aluminium have steadily increased, reaching 61,000 tonnes in 2015.</w:t>
      </w:r>
    </w:p>
    <w:p w14:paraId="6BA2631A" w14:textId="77777777" w:rsidR="002620C9" w:rsidRPr="00545318" w:rsidRDefault="002620C9" w:rsidP="002620C9">
      <w:pPr>
        <w:spacing w:before="120" w:after="120"/>
      </w:pPr>
      <w:r w:rsidRPr="00545318">
        <w:t xml:space="preserve">The Australian steel and aluminium industries are facing considerable competition from overseas producers. Australian producers are generally higher cost by global standards. The new global capacity that has recently been developed uses progressively more efficient production processes, and the cost of producing steel has decreased in real terms over the last decade. </w:t>
      </w:r>
    </w:p>
    <w:p w14:paraId="4FC0BCA7" w14:textId="45B36348" w:rsidR="0016615F" w:rsidRPr="00545318" w:rsidRDefault="002620C9" w:rsidP="002620C9">
      <w:pPr>
        <w:spacing w:before="120" w:after="120"/>
      </w:pPr>
      <w:r w:rsidRPr="00545318">
        <w:t>Global steel and aluminium markets are now in a state where capacity has well outstripped demand. The price and production responses outlined above are short-term responses that would be consistent with movements in the business cycle. However, if the imbalance between supply and demand is structural and remains over the medium to long</w:t>
      </w:r>
      <w:r w:rsidR="00FE3700" w:rsidRPr="00545318">
        <w:t>-</w:t>
      </w:r>
      <w:r w:rsidRPr="00545318">
        <w:t xml:space="preserve">term—as is expected in steel—then greater adjustments will be required and this will necessarily mean the closure of some capacity. Producers with limited operational scale and high cost producers are likely to be most vulnerable. </w:t>
      </w:r>
    </w:p>
    <w:p w14:paraId="0DF48C63" w14:textId="77777777" w:rsidR="0016615F" w:rsidRPr="00545318" w:rsidRDefault="0016615F">
      <w:pPr>
        <w:spacing w:after="200" w:line="276" w:lineRule="auto"/>
      </w:pPr>
      <w:r w:rsidRPr="00545318">
        <w:br w:type="page"/>
      </w:r>
    </w:p>
    <w:p w14:paraId="05C56AD4" w14:textId="795C21AE" w:rsidR="00DA3591" w:rsidRPr="00545318" w:rsidRDefault="00223027" w:rsidP="00DA3591">
      <w:pPr>
        <w:pStyle w:val="Heading1"/>
      </w:pPr>
      <w:bookmarkStart w:id="28" w:name="_Toc458674155"/>
      <w:bookmarkStart w:id="29" w:name="_Toc460430485"/>
      <w:bookmarkEnd w:id="17"/>
      <w:r w:rsidRPr="00545318">
        <w:t xml:space="preserve">Market-distorting government interventions and trading practices </w:t>
      </w:r>
      <w:r w:rsidR="00DA3591" w:rsidRPr="00545318">
        <w:t xml:space="preserve">in steel and aluminium </w:t>
      </w:r>
      <w:bookmarkEnd w:id="28"/>
      <w:r w:rsidRPr="00545318">
        <w:t>markets</w:t>
      </w:r>
      <w:bookmarkEnd w:id="29"/>
    </w:p>
    <w:p w14:paraId="01A00B6E" w14:textId="77777777" w:rsidR="00DA3591" w:rsidRPr="00545318" w:rsidRDefault="00DA3591" w:rsidP="00DA3591"/>
    <w:p w14:paraId="28505536" w14:textId="73578D23" w:rsidR="001A4438" w:rsidRPr="00545318" w:rsidRDefault="00D820A9" w:rsidP="003442CC">
      <w:pPr>
        <w:spacing w:before="240" w:after="120"/>
      </w:pPr>
      <w:r w:rsidRPr="00545318">
        <w:rPr>
          <w:noProof/>
          <w:lang w:val="en-AU" w:eastAsia="en-AU"/>
        </w:rPr>
        <mc:AlternateContent>
          <mc:Choice Requires="wps">
            <w:drawing>
              <wp:anchor distT="0" distB="0" distL="114300" distR="114300" simplePos="0" relativeHeight="251680768" behindDoc="0" locked="0" layoutInCell="1" allowOverlap="1" wp14:anchorId="5442151F" wp14:editId="06312799">
                <wp:simplePos x="0" y="0"/>
                <wp:positionH relativeFrom="column">
                  <wp:posOffset>0</wp:posOffset>
                </wp:positionH>
                <wp:positionV relativeFrom="paragraph">
                  <wp:posOffset>0</wp:posOffset>
                </wp:positionV>
                <wp:extent cx="1828800" cy="1828800"/>
                <wp:effectExtent l="0" t="0" r="15240" b="18415"/>
                <wp:wrapSquare wrapText="bothSides"/>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68D69043" w14:textId="77777777" w:rsidR="009241EC" w:rsidRPr="00374264" w:rsidRDefault="009241EC" w:rsidP="00D820A9">
                            <w:pPr>
                              <w:shd w:val="clear" w:color="auto" w:fill="DAEEF3" w:themeFill="accent5" w:themeFillTint="33"/>
                              <w:spacing w:after="120"/>
                              <w:rPr>
                                <w:b/>
                              </w:rPr>
                            </w:pPr>
                            <w:r w:rsidRPr="00374264">
                              <w:rPr>
                                <w:b/>
                              </w:rPr>
                              <w:t>Key points</w:t>
                            </w:r>
                          </w:p>
                          <w:p w14:paraId="0A695AEC" w14:textId="77777777" w:rsidR="009241EC" w:rsidRPr="00374264" w:rsidRDefault="009241EC" w:rsidP="00D820A9">
                            <w:pPr>
                              <w:numPr>
                                <w:ilvl w:val="0"/>
                                <w:numId w:val="2"/>
                              </w:numPr>
                              <w:shd w:val="clear" w:color="auto" w:fill="DAEEF3" w:themeFill="accent5" w:themeFillTint="33"/>
                              <w:spacing w:after="120"/>
                            </w:pPr>
                            <w:r w:rsidRPr="00473D3C">
                              <w:t xml:space="preserve">As discussed in chapter 2, global steel and aluminium industries </w:t>
                            </w:r>
                            <w:r>
                              <w:t xml:space="preserve">commonly </w:t>
                            </w:r>
                            <w:r w:rsidRPr="00473D3C">
                              <w:t xml:space="preserve">experience economic cycles </w:t>
                            </w:r>
                            <w:r>
                              <w:t>and</w:t>
                            </w:r>
                            <w:r w:rsidRPr="00473D3C">
                              <w:t xml:space="preserve"> over-shooting of production capacity</w:t>
                            </w:r>
                            <w:r>
                              <w:t xml:space="preserve"> as a result of general business cycles.</w:t>
                            </w:r>
                            <w:r w:rsidRPr="00473D3C">
                              <w:t xml:space="preserve"> </w:t>
                            </w:r>
                            <w:r>
                              <w:t>However, t</w:t>
                            </w:r>
                            <w:r w:rsidRPr="00473D3C">
                              <w:t xml:space="preserve">he Commission’s analysis supports a finding that </w:t>
                            </w:r>
                            <w:r>
                              <w:t>economically inefficient market</w:t>
                            </w:r>
                            <w:r w:rsidRPr="00473D3C">
                              <w:t xml:space="preserve"> interventions have amplified, and are likely to have extended the duration of, the current cyclical downturn.</w:t>
                            </w:r>
                          </w:p>
                          <w:p w14:paraId="06D1B786" w14:textId="43ADF6E9" w:rsidR="009241EC" w:rsidRDefault="009241EC" w:rsidP="00D820A9">
                            <w:pPr>
                              <w:numPr>
                                <w:ilvl w:val="0"/>
                                <w:numId w:val="2"/>
                              </w:numPr>
                              <w:shd w:val="clear" w:color="auto" w:fill="DAEEF3" w:themeFill="accent5" w:themeFillTint="33"/>
                              <w:spacing w:after="120"/>
                            </w:pPr>
                            <w:r>
                              <w:t>OECD analysis has found that a major</w:t>
                            </w:r>
                            <w:r w:rsidRPr="002A1A01">
                              <w:t xml:space="preserve"> factor contribut</w:t>
                            </w:r>
                            <w:r>
                              <w:t>ing</w:t>
                            </w:r>
                            <w:r w:rsidRPr="002A1A01">
                              <w:t xml:space="preserve"> to capacity imbalances in the steel industry</w:t>
                            </w:r>
                            <w:r>
                              <w:t>, in addition to</w:t>
                            </w:r>
                            <w:r w:rsidRPr="002A1A01">
                              <w:t xml:space="preserve"> market downturns</w:t>
                            </w:r>
                            <w:r>
                              <w:t xml:space="preserve">, </w:t>
                            </w:r>
                            <w:r w:rsidRPr="002A1A01">
                              <w:t>a</w:t>
                            </w:r>
                            <w:r>
                              <w:t>re</w:t>
                            </w:r>
                            <w:r w:rsidRPr="002A1A01">
                              <w:t xml:space="preserve"> </w:t>
                            </w:r>
                            <w:r>
                              <w:t xml:space="preserve">inefficient </w:t>
                            </w:r>
                            <w:r w:rsidRPr="002A1A01">
                              <w:t>government interventions and other market-distorting practices</w:t>
                            </w:r>
                            <w:r w:rsidRPr="00374264">
                              <w:t>.</w:t>
                            </w:r>
                            <w:r>
                              <w:t xml:space="preserve"> </w:t>
                            </w:r>
                          </w:p>
                          <w:p w14:paraId="367A5477" w14:textId="77777777" w:rsidR="009241EC" w:rsidRDefault="009241EC" w:rsidP="00D820A9">
                            <w:pPr>
                              <w:numPr>
                                <w:ilvl w:val="0"/>
                                <w:numId w:val="2"/>
                              </w:numPr>
                              <w:shd w:val="clear" w:color="auto" w:fill="DAEEF3" w:themeFill="accent5" w:themeFillTint="33"/>
                              <w:spacing w:after="120"/>
                            </w:pPr>
                            <w:r w:rsidRPr="00374264">
                              <w:t>Government interventions in aluminium and steel manufacturing industries have occurred, to varying degrees, at various times</w:t>
                            </w:r>
                            <w:r>
                              <w:t xml:space="preserve"> </w:t>
                            </w:r>
                            <w:r w:rsidRPr="00E13D96">
                              <w:t>in many countries</w:t>
                            </w:r>
                            <w:r>
                              <w:t>, including Australia</w:t>
                            </w:r>
                            <w:r w:rsidRPr="00374264">
                              <w:t>. Reasons for these interventions</w:t>
                            </w:r>
                            <w:r>
                              <w:t xml:space="preserve"> often </w:t>
                            </w:r>
                            <w:r w:rsidRPr="00374264">
                              <w:t>include encouraging investment, self-sufficiency and local employment opportunities. More recently, interventions have increasingly been directed at pursuing environmental objectives and structural adjustment policies.</w:t>
                            </w:r>
                          </w:p>
                          <w:p w14:paraId="0E072955" w14:textId="06E29CB5" w:rsidR="009241EC" w:rsidRDefault="009241EC" w:rsidP="00D820A9">
                            <w:pPr>
                              <w:numPr>
                                <w:ilvl w:val="0"/>
                                <w:numId w:val="2"/>
                              </w:numPr>
                              <w:shd w:val="clear" w:color="auto" w:fill="DAEEF3" w:themeFill="accent5" w:themeFillTint="33"/>
                              <w:spacing w:after="120"/>
                            </w:pPr>
                            <w:r>
                              <w:t>Asian governments are not unusual in intervening in steel and aluminium markets. However, the nature and extent of previous and, in some cases, continuing Asian government interventions, and the relative magnitude of Chinese production, has meant that these interventions have been major contributing factors—although not the only contributors—to sustained global overcapacity, ongoing excess production, the build-up of large stockpiles (especially of aluminium), and depressed world prices.</w:t>
                            </w:r>
                          </w:p>
                          <w:p w14:paraId="43C95C06" w14:textId="77777777" w:rsidR="009241EC" w:rsidRDefault="009241EC" w:rsidP="00D820A9">
                            <w:pPr>
                              <w:numPr>
                                <w:ilvl w:val="0"/>
                                <w:numId w:val="2"/>
                              </w:numPr>
                              <w:shd w:val="clear" w:color="auto" w:fill="DAEEF3" w:themeFill="accent5" w:themeFillTint="33"/>
                              <w:spacing w:after="120"/>
                            </w:pPr>
                            <w:r>
                              <w:t>Many of the policies adopted by Asian governments, particularly in China, would meet the OECD’s definition of being market distorting in that they have the effect of sustaining ongoing overcapacity by supporting the building of new capacity or keeping inefficient facilities in operation.</w:t>
                            </w:r>
                          </w:p>
                          <w:p w14:paraId="1EDC2A39" w14:textId="58A3416E" w:rsidR="009241EC" w:rsidRPr="00BD104C" w:rsidRDefault="009241EC" w:rsidP="00D820A9">
                            <w:pPr>
                              <w:numPr>
                                <w:ilvl w:val="0"/>
                                <w:numId w:val="2"/>
                              </w:numPr>
                              <w:shd w:val="clear" w:color="auto" w:fill="DAEEF3" w:themeFill="accent5" w:themeFillTint="33"/>
                              <w:spacing w:after="120"/>
                            </w:pPr>
                            <w:r>
                              <w:t>Bringing global capacity into balance with demand is unlikely to occur in the near-term, in part because government interventions continue to support new capacity investments and delay the closure of inefficient plants. The OECD considers that the outlook for the steel industry has weakened significantly and that adjustment pressures are growing. It has cautioned that government interventions that lead to more market distortions would eventually create even more severe adjustment challenges in the longer term.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42151F" id="Text Box 26" o:spid="_x0000_s1028" type="#_x0000_t202" style="position:absolute;margin-left:0;margin-top:0;width:2in;height:2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" fillcolor="#daeef3 [664]" strokeweight=".5pt">
                <v:textbox style="mso-fit-shape-to-text:t">
                  <w:txbxContent>
                    <w:p w14:paraId="68D69043" w14:textId="77777777" w:rsidR="009241EC" w:rsidRPr="00374264" w:rsidRDefault="009241EC" w:rsidP="00D820A9">
                      <w:pPr>
                        <w:shd w:val="clear" w:color="auto" w:fill="DAEEF3" w:themeFill="accent5" w:themeFillTint="33"/>
                        <w:spacing w:after="120"/>
                        <w:rPr>
                          <w:b/>
                        </w:rPr>
                      </w:pPr>
                      <w:r w:rsidRPr="00374264">
                        <w:rPr>
                          <w:b/>
                        </w:rPr>
                        <w:t>Key points</w:t>
                      </w:r>
                    </w:p>
                    <w:p w14:paraId="0A695AEC" w14:textId="77777777" w:rsidR="009241EC" w:rsidRPr="00374264" w:rsidRDefault="009241EC" w:rsidP="00D820A9">
                      <w:pPr>
                        <w:numPr>
                          <w:ilvl w:val="0"/>
                          <w:numId w:val="2"/>
                        </w:numPr>
                        <w:shd w:val="clear" w:color="auto" w:fill="DAEEF3" w:themeFill="accent5" w:themeFillTint="33"/>
                        <w:spacing w:after="120"/>
                      </w:pPr>
                      <w:r w:rsidRPr="00473D3C">
                        <w:t xml:space="preserve">As discussed in chapter 2, global steel and aluminium industries </w:t>
                      </w:r>
                      <w:r>
                        <w:t xml:space="preserve">commonly </w:t>
                      </w:r>
                      <w:r w:rsidRPr="00473D3C">
                        <w:t xml:space="preserve">experience economic cycles </w:t>
                      </w:r>
                      <w:r>
                        <w:t>and</w:t>
                      </w:r>
                      <w:r w:rsidRPr="00473D3C">
                        <w:t xml:space="preserve"> over-shooting of production capacity</w:t>
                      </w:r>
                      <w:r>
                        <w:t xml:space="preserve"> as a result of general business cycles.</w:t>
                      </w:r>
                      <w:r w:rsidRPr="00473D3C">
                        <w:t xml:space="preserve"> </w:t>
                      </w:r>
                      <w:r>
                        <w:t>However, t</w:t>
                      </w:r>
                      <w:r w:rsidRPr="00473D3C">
                        <w:t xml:space="preserve">he Commission’s analysis supports a finding that </w:t>
                      </w:r>
                      <w:r>
                        <w:t>economically inefficient market</w:t>
                      </w:r>
                      <w:r w:rsidRPr="00473D3C">
                        <w:t xml:space="preserve"> interventions have amplified, and are likely to have extended the duration of, the current cyclical downturn.</w:t>
                      </w:r>
                    </w:p>
                    <w:p w14:paraId="06D1B786" w14:textId="43ADF6E9" w:rsidR="009241EC" w:rsidRDefault="009241EC" w:rsidP="00D820A9">
                      <w:pPr>
                        <w:numPr>
                          <w:ilvl w:val="0"/>
                          <w:numId w:val="2"/>
                        </w:numPr>
                        <w:shd w:val="clear" w:color="auto" w:fill="DAEEF3" w:themeFill="accent5" w:themeFillTint="33"/>
                        <w:spacing w:after="120"/>
                      </w:pPr>
                      <w:r>
                        <w:t>OECD analysis has found that a major</w:t>
                      </w:r>
                      <w:r w:rsidRPr="002A1A01">
                        <w:t xml:space="preserve"> factor contribut</w:t>
                      </w:r>
                      <w:r>
                        <w:t>ing</w:t>
                      </w:r>
                      <w:r w:rsidRPr="002A1A01">
                        <w:t xml:space="preserve"> to capacity imbalances in the steel industry</w:t>
                      </w:r>
                      <w:r>
                        <w:t>, in addition to</w:t>
                      </w:r>
                      <w:r w:rsidRPr="002A1A01">
                        <w:t xml:space="preserve"> market downturns</w:t>
                      </w:r>
                      <w:r>
                        <w:t xml:space="preserve">, </w:t>
                      </w:r>
                      <w:r w:rsidRPr="002A1A01">
                        <w:t>a</w:t>
                      </w:r>
                      <w:r>
                        <w:t>re</w:t>
                      </w:r>
                      <w:r w:rsidRPr="002A1A01">
                        <w:t xml:space="preserve"> </w:t>
                      </w:r>
                      <w:r>
                        <w:t xml:space="preserve">inefficient </w:t>
                      </w:r>
                      <w:r w:rsidRPr="002A1A01">
                        <w:t>government interventions and other market-distorting practices</w:t>
                      </w:r>
                      <w:r w:rsidRPr="00374264">
                        <w:t>.</w:t>
                      </w:r>
                      <w:r>
                        <w:t xml:space="preserve"> </w:t>
                      </w:r>
                    </w:p>
                    <w:p w14:paraId="367A5477" w14:textId="77777777" w:rsidR="009241EC" w:rsidRDefault="009241EC" w:rsidP="00D820A9">
                      <w:pPr>
                        <w:numPr>
                          <w:ilvl w:val="0"/>
                          <w:numId w:val="2"/>
                        </w:numPr>
                        <w:shd w:val="clear" w:color="auto" w:fill="DAEEF3" w:themeFill="accent5" w:themeFillTint="33"/>
                        <w:spacing w:after="120"/>
                      </w:pPr>
                      <w:r w:rsidRPr="00374264">
                        <w:t>Government interventions in aluminium and steel manufacturing industries have occurred, to varying degrees, at various times</w:t>
                      </w:r>
                      <w:r>
                        <w:t xml:space="preserve"> </w:t>
                      </w:r>
                      <w:r w:rsidRPr="00E13D96">
                        <w:t>in many countries</w:t>
                      </w:r>
                      <w:r>
                        <w:t>, including Australia</w:t>
                      </w:r>
                      <w:r w:rsidRPr="00374264">
                        <w:t>. Reasons for these interventions</w:t>
                      </w:r>
                      <w:r>
                        <w:t xml:space="preserve"> often </w:t>
                      </w:r>
                      <w:r w:rsidRPr="00374264">
                        <w:t>include encouraging investment, self-sufficiency and local employment opportunities. More recently, interventions have increasingly been directed at pursuing environmental objectives and structural adjustment policies.</w:t>
                      </w:r>
                    </w:p>
                    <w:p w14:paraId="0E072955" w14:textId="06E29CB5" w:rsidR="009241EC" w:rsidRDefault="009241EC" w:rsidP="00D820A9">
                      <w:pPr>
                        <w:numPr>
                          <w:ilvl w:val="0"/>
                          <w:numId w:val="2"/>
                        </w:numPr>
                        <w:shd w:val="clear" w:color="auto" w:fill="DAEEF3" w:themeFill="accent5" w:themeFillTint="33"/>
                        <w:spacing w:after="120"/>
                      </w:pPr>
                      <w:r>
                        <w:t>Asian governments are not unusual in intervening in steel and aluminium markets. However, the nature and extent of previous and, in some cases, continuing Asian government interventions, and the relative magnitude of Chinese production, has meant that these interventions have been major contributing factors—although not the only contributors—to sustained global overcapacity, ongoing excess production, the build-up of large stockpiles (especially of aluminium), and depressed world prices.</w:t>
                      </w:r>
                    </w:p>
                    <w:p w14:paraId="43C95C06" w14:textId="77777777" w:rsidR="009241EC" w:rsidRDefault="009241EC" w:rsidP="00D820A9">
                      <w:pPr>
                        <w:numPr>
                          <w:ilvl w:val="0"/>
                          <w:numId w:val="2"/>
                        </w:numPr>
                        <w:shd w:val="clear" w:color="auto" w:fill="DAEEF3" w:themeFill="accent5" w:themeFillTint="33"/>
                        <w:spacing w:after="120"/>
                      </w:pPr>
                      <w:r>
                        <w:t>Many of the policies adopted by Asian governments, particularly in China, would meet the OECD’s definition of being market distorting in that they have the effect of sustaining ongoing overcapacity by supporting the building of new capacity or keeping inefficient facilities in operation.</w:t>
                      </w:r>
                    </w:p>
                    <w:p w14:paraId="1EDC2A39" w14:textId="58A3416E" w:rsidR="009241EC" w:rsidRPr="00BD104C" w:rsidRDefault="009241EC" w:rsidP="00D820A9">
                      <w:pPr>
                        <w:numPr>
                          <w:ilvl w:val="0"/>
                          <w:numId w:val="2"/>
                        </w:numPr>
                        <w:shd w:val="clear" w:color="auto" w:fill="DAEEF3" w:themeFill="accent5" w:themeFillTint="33"/>
                        <w:spacing w:after="120"/>
                      </w:pPr>
                      <w:r>
                        <w:t>Bringing global capacity into balance with demand is unlikely to occur in the near-term, in part because government interventions continue to support new capacity investments and delay the closure of inefficient plants. The OECD considers that the outlook for the steel industry has weakened significantly and that adjustment pressures are growing. It has cautioned that government interventions that lead to more market distortions would eventually create even more severe adjustment challenges in the longer term.</w:t>
                      </w:r>
                    </w:p>
                  </w:txbxContent>
                </v:textbox>
                <w10:wrap type="square"/>
              </v:shape>
            </w:pict>
          </mc:Fallback>
        </mc:AlternateContent>
      </w:r>
      <w:r w:rsidR="001A4438" w:rsidRPr="00545318">
        <w:t>In preparing this report, the Commission sought to identify and analyse a broad range of global and Asian government interventions in steel and aluminium markets. However, its analysis has been limited by the availability of the necessary data and information. The Commission’s ADIS will continue to undertake research and analysis to improve its market intelligence and understanding of market conditions and government interventions in global steel and aluminium markets.</w:t>
      </w:r>
    </w:p>
    <w:p w14:paraId="493BA9E9" w14:textId="77777777" w:rsidR="001A4438" w:rsidRPr="00545318" w:rsidRDefault="007E4F1C" w:rsidP="003442CC">
      <w:pPr>
        <w:spacing w:before="240" w:after="120"/>
      </w:pPr>
      <w:r w:rsidRPr="00545318">
        <w:t>Th</w:t>
      </w:r>
      <w:r w:rsidR="006E388E" w:rsidRPr="00545318">
        <w:t>is</w:t>
      </w:r>
      <w:r w:rsidRPr="00545318">
        <w:t xml:space="preserve"> chapter </w:t>
      </w:r>
      <w:r w:rsidR="006E388E" w:rsidRPr="00545318">
        <w:t>draws</w:t>
      </w:r>
      <w:r w:rsidRPr="00545318">
        <w:t xml:space="preserve"> on information and analysis from</w:t>
      </w:r>
      <w:r w:rsidR="001A4438" w:rsidRPr="00545318">
        <w:t xml:space="preserve"> a number of different sources:</w:t>
      </w:r>
    </w:p>
    <w:p w14:paraId="346DE2CA" w14:textId="77777777" w:rsidR="001A4438" w:rsidRPr="00545318" w:rsidRDefault="007E4F1C" w:rsidP="00BB4916">
      <w:pPr>
        <w:numPr>
          <w:ilvl w:val="0"/>
          <w:numId w:val="26"/>
        </w:numPr>
        <w:spacing w:before="120" w:after="120"/>
      </w:pPr>
      <w:r w:rsidRPr="00545318">
        <w:rPr>
          <w:lang w:val="en-AU"/>
        </w:rPr>
        <w:t>Commission</w:t>
      </w:r>
      <w:r w:rsidRPr="00545318">
        <w:t xml:space="preserve"> investigations into allegations of dumping and subsidisation of steel and aluminium products</w:t>
      </w:r>
      <w:r w:rsidRPr="00545318">
        <w:rPr>
          <w:vertAlign w:val="superscript"/>
        </w:rPr>
        <w:footnoteReference w:id="14"/>
      </w:r>
    </w:p>
    <w:p w14:paraId="6514D5E3" w14:textId="77777777" w:rsidR="001A4438" w:rsidRPr="00545318" w:rsidRDefault="007E4F1C" w:rsidP="00BB4916">
      <w:pPr>
        <w:numPr>
          <w:ilvl w:val="0"/>
          <w:numId w:val="26"/>
        </w:numPr>
        <w:spacing w:before="120" w:after="120"/>
      </w:pPr>
      <w:r w:rsidRPr="00545318">
        <w:rPr>
          <w:lang w:val="en-AU"/>
        </w:rPr>
        <w:t>information</w:t>
      </w:r>
      <w:r w:rsidRPr="00545318">
        <w:t xml:space="preserve"> and analysis </w:t>
      </w:r>
      <w:r w:rsidR="00CA3C53" w:rsidRPr="00545318">
        <w:t>by</w:t>
      </w:r>
      <w:r w:rsidRPr="00545318">
        <w:t xml:space="preserve"> the Canada Border Services Agency (CSBA)</w:t>
      </w:r>
      <w:r w:rsidRPr="00545318">
        <w:rPr>
          <w:vertAlign w:val="superscript"/>
        </w:rPr>
        <w:footnoteReference w:id="15"/>
      </w:r>
      <w:r w:rsidRPr="00545318">
        <w:t xml:space="preserve"> </w:t>
      </w:r>
      <w:r w:rsidR="00CA3C53" w:rsidRPr="00545318">
        <w:t>and the United States Department of Commerce</w:t>
      </w:r>
      <w:r w:rsidR="00CA3C53" w:rsidRPr="00545318">
        <w:rPr>
          <w:rStyle w:val="FootnoteReference"/>
        </w:rPr>
        <w:footnoteReference w:id="16"/>
      </w:r>
    </w:p>
    <w:p w14:paraId="3346EE77" w14:textId="0F5983FD" w:rsidR="001A4438" w:rsidRPr="00545318" w:rsidRDefault="007E4F1C" w:rsidP="00BB4916">
      <w:pPr>
        <w:numPr>
          <w:ilvl w:val="0"/>
          <w:numId w:val="26"/>
        </w:numPr>
        <w:spacing w:before="120" w:after="120"/>
      </w:pPr>
      <w:r w:rsidRPr="00545318">
        <w:t xml:space="preserve">reports </w:t>
      </w:r>
      <w:r w:rsidRPr="00B46A49">
        <w:rPr>
          <w:lang w:val="en-AU"/>
        </w:rPr>
        <w:t>produced</w:t>
      </w:r>
      <w:r w:rsidRPr="00545318">
        <w:t xml:space="preserve"> by the Organisation for Economic Co-Operation and Development (</w:t>
      </w:r>
      <w:r w:rsidRPr="00545318">
        <w:rPr>
          <w:lang w:val="en-AU"/>
        </w:rPr>
        <w:t>OECD</w:t>
      </w:r>
      <w:r w:rsidRPr="00545318">
        <w:t>)</w:t>
      </w:r>
      <w:r w:rsidRPr="00545318">
        <w:rPr>
          <w:rStyle w:val="FootnoteReference"/>
        </w:rPr>
        <w:footnoteReference w:id="17"/>
      </w:r>
    </w:p>
    <w:p w14:paraId="108F73F1" w14:textId="70DF3022" w:rsidR="001A4438" w:rsidRPr="00545318" w:rsidRDefault="007E4F1C" w:rsidP="00BB4916">
      <w:pPr>
        <w:numPr>
          <w:ilvl w:val="0"/>
          <w:numId w:val="26"/>
        </w:numPr>
        <w:spacing w:before="120" w:after="120"/>
      </w:pPr>
      <w:r w:rsidRPr="00545318">
        <w:rPr>
          <w:lang w:val="en-AU"/>
        </w:rPr>
        <w:t>information</w:t>
      </w:r>
      <w:r w:rsidRPr="00545318">
        <w:t xml:space="preserve"> </w:t>
      </w:r>
      <w:r w:rsidR="001A4438" w:rsidRPr="00545318">
        <w:rPr>
          <w:lang w:val="en-AU"/>
        </w:rPr>
        <w:t>and</w:t>
      </w:r>
      <w:r w:rsidR="001A4438" w:rsidRPr="00545318">
        <w:t xml:space="preserve"> evidence </w:t>
      </w:r>
      <w:r w:rsidRPr="00545318">
        <w:t>supplied by Australian industry</w:t>
      </w:r>
    </w:p>
    <w:p w14:paraId="7E128E5D" w14:textId="77777777" w:rsidR="001A4438" w:rsidRPr="00545318" w:rsidRDefault="007E4F1C" w:rsidP="00B46A49">
      <w:pPr>
        <w:numPr>
          <w:ilvl w:val="0"/>
          <w:numId w:val="26"/>
        </w:numPr>
        <w:spacing w:before="120" w:after="120"/>
      </w:pPr>
      <w:r w:rsidRPr="00545318">
        <w:t xml:space="preserve">information from industry journals and from publicly available information sources </w:t>
      </w:r>
    </w:p>
    <w:p w14:paraId="73E32837" w14:textId="662C630E" w:rsidR="003442CC" w:rsidRPr="00545318" w:rsidRDefault="007E4F1C" w:rsidP="00BB4916">
      <w:pPr>
        <w:numPr>
          <w:ilvl w:val="0"/>
          <w:numId w:val="26"/>
        </w:numPr>
        <w:spacing w:before="120" w:after="120"/>
      </w:pPr>
      <w:r w:rsidRPr="00545318">
        <w:rPr>
          <w:lang w:val="en-AU"/>
        </w:rPr>
        <w:t>supplementary</w:t>
      </w:r>
      <w:r w:rsidRPr="00545318">
        <w:t xml:space="preserve"> information compiled by Cadence Economics</w:t>
      </w:r>
      <w:r w:rsidR="001A4438" w:rsidRPr="00545318">
        <w:t xml:space="preserve"> for the Commission</w:t>
      </w:r>
      <w:r w:rsidRPr="00545318">
        <w:t xml:space="preserve">. </w:t>
      </w:r>
    </w:p>
    <w:p w14:paraId="21386981" w14:textId="77777777" w:rsidR="00533DEC" w:rsidRPr="00545318" w:rsidRDefault="00533DEC" w:rsidP="00374264">
      <w:pPr>
        <w:pStyle w:val="Heading2"/>
      </w:pPr>
      <w:bookmarkStart w:id="30" w:name="_Toc458674156"/>
      <w:bookmarkStart w:id="31" w:name="_Toc460430486"/>
      <w:r w:rsidRPr="00545318">
        <w:t>OECD analysis of the causes of global overcapacity</w:t>
      </w:r>
      <w:bookmarkEnd w:id="30"/>
      <w:bookmarkEnd w:id="31"/>
    </w:p>
    <w:p w14:paraId="0C342EFE" w14:textId="13733BE1" w:rsidR="00A00A37" w:rsidRPr="00545318" w:rsidRDefault="005D07DE" w:rsidP="00533DEC">
      <w:pPr>
        <w:spacing w:before="120" w:after="120"/>
      </w:pPr>
      <w:r w:rsidRPr="00545318">
        <w:t>As described in c</w:t>
      </w:r>
      <w:r w:rsidR="00533DEC" w:rsidRPr="00545318">
        <w:t xml:space="preserve">hapter 2 of this report, the global steel and aluminium markets are currently characterised by significant overcapacity, excess production, low prices and low profitability. </w:t>
      </w:r>
      <w:r w:rsidR="00344343" w:rsidRPr="00545318">
        <w:t>While steel is a cyclical industry, the OECD has noted that ‘the current downturn is of particular concern given its depth and length</w:t>
      </w:r>
      <w:r w:rsidR="00132A27" w:rsidRPr="00545318">
        <w:t>’</w:t>
      </w:r>
      <w:r w:rsidR="00344343" w:rsidRPr="00545318">
        <w:t>, suggesting that it appears ‘perhaps worse’ than the cyclical downturn</w:t>
      </w:r>
      <w:r w:rsidR="003442CC" w:rsidRPr="00545318">
        <w:t xml:space="preserve"> experienced from 1997 to 2002</w:t>
      </w:r>
      <w:r w:rsidR="00344343" w:rsidRPr="00545318">
        <w:t>.</w:t>
      </w:r>
      <w:r w:rsidR="00344343" w:rsidRPr="00545318">
        <w:rPr>
          <w:rStyle w:val="FootnoteReference"/>
        </w:rPr>
        <w:footnoteReference w:id="18"/>
      </w:r>
    </w:p>
    <w:p w14:paraId="48FB716F" w14:textId="77777777" w:rsidR="005C6AFD" w:rsidRPr="00545318" w:rsidRDefault="00533DEC" w:rsidP="00A00A37">
      <w:pPr>
        <w:spacing w:before="120" w:after="120"/>
        <w:rPr>
          <w:lang w:val="en-AU"/>
        </w:rPr>
      </w:pPr>
      <w:r w:rsidRPr="00545318">
        <w:t>The OECD</w:t>
      </w:r>
      <w:r w:rsidR="00A00A37" w:rsidRPr="00545318">
        <w:t xml:space="preserve"> has identified excess capacity </w:t>
      </w:r>
      <w:r w:rsidR="00A00A37" w:rsidRPr="00545318">
        <w:rPr>
          <w:lang w:val="en-AU"/>
        </w:rPr>
        <w:t xml:space="preserve">as one of the most significant challenges currently facing the global steel industry. </w:t>
      </w:r>
      <w:r w:rsidR="005C6AFD" w:rsidRPr="00545318">
        <w:rPr>
          <w:lang w:val="en-AU"/>
        </w:rPr>
        <w:t>In 2015, the OECD’s Directorate for Science, Technology and Innovation published an analysis o</w:t>
      </w:r>
      <w:r w:rsidR="005D07DE" w:rsidRPr="00545318">
        <w:rPr>
          <w:lang w:val="en-AU"/>
        </w:rPr>
        <w:t>f</w:t>
      </w:r>
      <w:r w:rsidR="005C6AFD" w:rsidRPr="00545318">
        <w:rPr>
          <w:lang w:val="en-AU"/>
        </w:rPr>
        <w:t xml:space="preserve"> ‘Excess capacity in the global steel industry: The current situation and ways forward’. This analysis identified two main reasons for excess capacity—cyclical market downturns and government interventions and other market distortions. </w:t>
      </w:r>
      <w:r w:rsidR="00205B71" w:rsidRPr="00545318">
        <w:rPr>
          <w:lang w:val="en-AU"/>
        </w:rPr>
        <w:t xml:space="preserve">OECD comments on the causes of global overcapacity are reproduced in the text box in this section. </w:t>
      </w:r>
    </w:p>
    <w:p w14:paraId="28D633DD" w14:textId="79A49270" w:rsidR="00A16B7F" w:rsidRPr="00545318" w:rsidRDefault="00086221" w:rsidP="00086221">
      <w:pPr>
        <w:spacing w:before="120" w:after="120"/>
        <w:rPr>
          <w:color w:val="000000" w:themeColor="text1"/>
          <w:lang w:val="en"/>
        </w:rPr>
      </w:pPr>
      <w:r w:rsidRPr="00545318">
        <w:rPr>
          <w:color w:val="000000" w:themeColor="text1"/>
          <w:lang w:val="en-AU"/>
        </w:rPr>
        <w:t>Similar views were also expressed at a recent OECD</w:t>
      </w:r>
      <w:r w:rsidR="00332E3D" w:rsidRPr="00545318">
        <w:rPr>
          <w:color w:val="000000" w:themeColor="text1"/>
          <w:lang w:val="en-AU"/>
        </w:rPr>
        <w:t>-</w:t>
      </w:r>
      <w:r w:rsidRPr="00545318">
        <w:rPr>
          <w:color w:val="000000" w:themeColor="text1"/>
          <w:lang w:val="en-AU"/>
        </w:rPr>
        <w:t xml:space="preserve">sponsored High-Level Symposium on Excess Capacity and Structural Adjustment in the Steel Sector. The symposium, held in April 2016, brought together government and steel industry representatives with the primary objective of </w:t>
      </w:r>
      <w:r w:rsidRPr="00545318">
        <w:rPr>
          <w:color w:val="000000" w:themeColor="text1"/>
          <w:lang w:val="en"/>
        </w:rPr>
        <w:t>exchanging views on the policy actions that would help reduce steel excess capacity.</w:t>
      </w:r>
      <w:r w:rsidR="00A16B7F" w:rsidRPr="00545318">
        <w:rPr>
          <w:color w:val="000000" w:themeColor="text1"/>
          <w:lang w:val="en"/>
        </w:rPr>
        <w:t xml:space="preserve"> A second objective was to share information and increase transparency about measures being taken to address excess capacity and promote structural adjustment in the steel industry.</w:t>
      </w:r>
      <w:r w:rsidR="00A16B7F" w:rsidRPr="00545318">
        <w:rPr>
          <w:rStyle w:val="FootnoteReference"/>
          <w:color w:val="000000" w:themeColor="text1"/>
          <w:lang w:val="en"/>
        </w:rPr>
        <w:footnoteReference w:id="19"/>
      </w:r>
      <w:r w:rsidRPr="00545318">
        <w:rPr>
          <w:color w:val="000000" w:themeColor="text1"/>
          <w:lang w:val="en"/>
        </w:rPr>
        <w:t xml:space="preserve"> </w:t>
      </w:r>
    </w:p>
    <w:p w14:paraId="50D9332A" w14:textId="77777777" w:rsidR="00A933AB" w:rsidRPr="00545318" w:rsidRDefault="00A933AB">
      <w:pPr>
        <w:spacing w:after="200" w:line="276" w:lineRule="auto"/>
        <w:rPr>
          <w:color w:val="000000" w:themeColor="text1"/>
          <w:lang w:val="en"/>
        </w:rPr>
      </w:pPr>
      <w:r w:rsidRPr="00545318">
        <w:rPr>
          <w:color w:val="000000" w:themeColor="text1"/>
          <w:lang w:val="en"/>
        </w:rPr>
        <w:br w:type="page"/>
      </w:r>
    </w:p>
    <w:p w14:paraId="4FD561B1" w14:textId="37BD4915" w:rsidR="00A16B7F" w:rsidRPr="00545318" w:rsidRDefault="00A16B7F" w:rsidP="00086221">
      <w:pPr>
        <w:spacing w:before="120" w:after="120"/>
        <w:rPr>
          <w:color w:val="000000" w:themeColor="text1"/>
          <w:lang w:val="en"/>
        </w:rPr>
      </w:pPr>
      <w:r w:rsidRPr="00545318">
        <w:rPr>
          <w:color w:val="000000" w:themeColor="text1"/>
          <w:lang w:val="en"/>
        </w:rPr>
        <w:t>S</w:t>
      </w:r>
      <w:r w:rsidR="00086221" w:rsidRPr="00545318">
        <w:rPr>
          <w:color w:val="000000" w:themeColor="text1"/>
          <w:lang w:val="en"/>
        </w:rPr>
        <w:t xml:space="preserve">ymposium </w:t>
      </w:r>
      <w:r w:rsidR="00086221" w:rsidRPr="00545318">
        <w:rPr>
          <w:color w:val="000000" w:themeColor="text1"/>
          <w:lang w:val="en-AU"/>
        </w:rPr>
        <w:t xml:space="preserve">participants noted that the </w:t>
      </w:r>
      <w:r w:rsidR="00086221" w:rsidRPr="00545318">
        <w:rPr>
          <w:color w:val="000000" w:themeColor="text1"/>
          <w:lang w:val="en"/>
        </w:rPr>
        <w:t xml:space="preserve">outlook for the global steel market has weakened significantly, due to cyclical factors associated with sluggish global economic activity and industry-specific structural problems such as overcapacity. Background notes for the symposium </w:t>
      </w:r>
      <w:r w:rsidR="00332E3D" w:rsidRPr="00545318">
        <w:rPr>
          <w:color w:val="000000" w:themeColor="text1"/>
          <w:lang w:val="en"/>
        </w:rPr>
        <w:t xml:space="preserve">highlighted </w:t>
      </w:r>
      <w:r w:rsidR="00086221" w:rsidRPr="00545318">
        <w:rPr>
          <w:color w:val="000000" w:themeColor="text1"/>
          <w:lang w:val="en"/>
        </w:rPr>
        <w:t xml:space="preserve">that </w:t>
      </w:r>
      <w:r w:rsidR="00086221" w:rsidRPr="00545318">
        <w:rPr>
          <w:color w:val="000000" w:themeColor="text1"/>
          <w:lang w:val="en-AU"/>
        </w:rPr>
        <w:t xml:space="preserve">the </w:t>
      </w:r>
      <w:r w:rsidR="00332E3D" w:rsidRPr="00545318">
        <w:rPr>
          <w:color w:val="000000" w:themeColor="text1"/>
          <w:lang w:val="en-AU"/>
        </w:rPr>
        <w:t xml:space="preserve">estimated </w:t>
      </w:r>
      <w:r w:rsidR="00086221" w:rsidRPr="00545318">
        <w:rPr>
          <w:color w:val="000000" w:themeColor="text1"/>
          <w:lang w:val="en-AU"/>
        </w:rPr>
        <w:t>capacity-demand gap widened significantly in 2015, to a level in excess of 700</w:t>
      </w:r>
      <w:r w:rsidR="00B46A49">
        <w:rPr>
          <w:color w:val="000000" w:themeColor="text1"/>
          <w:lang w:val="en-AU"/>
        </w:rPr>
        <w:t> </w:t>
      </w:r>
      <w:r w:rsidR="00086221" w:rsidRPr="00545318">
        <w:rPr>
          <w:color w:val="000000" w:themeColor="text1"/>
          <w:lang w:val="en-AU"/>
        </w:rPr>
        <w:t>million tonnes.</w:t>
      </w:r>
      <w:r w:rsidR="00086221" w:rsidRPr="00545318">
        <w:rPr>
          <w:rStyle w:val="FootnoteReference"/>
          <w:color w:val="000000" w:themeColor="text1"/>
          <w:lang w:val="en-AU"/>
        </w:rPr>
        <w:footnoteReference w:id="20"/>
      </w:r>
      <w:r w:rsidR="00086221" w:rsidRPr="00545318">
        <w:rPr>
          <w:color w:val="000000" w:themeColor="text1"/>
          <w:lang w:val="en-AU"/>
        </w:rPr>
        <w:t xml:space="preserve"> Symposium participants also highlighted the need to address the current excess capacity so as to promote more </w:t>
      </w:r>
      <w:r w:rsidR="00086221" w:rsidRPr="00545318">
        <w:rPr>
          <w:color w:val="000000" w:themeColor="text1"/>
          <w:lang w:val="en"/>
        </w:rPr>
        <w:t>stable business conditions and facilitate the longer term adjustment of the global steel industry.</w:t>
      </w:r>
      <w:r w:rsidR="00086221" w:rsidRPr="00545318">
        <w:rPr>
          <w:rStyle w:val="FootnoteReference"/>
          <w:color w:val="000000" w:themeColor="text1"/>
          <w:lang w:val="en"/>
        </w:rPr>
        <w:footnoteReference w:id="21"/>
      </w:r>
      <w:r w:rsidRPr="00545318">
        <w:rPr>
          <w:color w:val="000000" w:themeColor="text1"/>
          <w:lang w:val="en"/>
        </w:rPr>
        <w:t xml:space="preserve"> </w:t>
      </w:r>
    </w:p>
    <w:p w14:paraId="713B7AC6" w14:textId="4694E9CA" w:rsidR="00086221" w:rsidRPr="00545318" w:rsidRDefault="00A16B7F" w:rsidP="00086221">
      <w:pPr>
        <w:spacing w:before="120" w:after="120"/>
        <w:rPr>
          <w:color w:val="000000" w:themeColor="text1"/>
          <w:lang w:val="en"/>
        </w:rPr>
      </w:pPr>
      <w:r w:rsidRPr="00545318">
        <w:rPr>
          <w:lang w:val="en"/>
        </w:rPr>
        <w:t xml:space="preserve">Symposium </w:t>
      </w:r>
      <w:r w:rsidRPr="00545318">
        <w:rPr>
          <w:lang w:val="en-AU"/>
        </w:rPr>
        <w:t xml:space="preserve">participants </w:t>
      </w:r>
      <w:r w:rsidRPr="00545318">
        <w:rPr>
          <w:lang w:val="en"/>
        </w:rPr>
        <w:t>noted that excess capacity is a global challenge that needs to be reduced, and highlighted the need for pursuing effective solutions. They highlighted ‘the important role of market</w:t>
      </w:r>
      <w:r w:rsidR="00B46A49">
        <w:rPr>
          <w:lang w:val="en"/>
        </w:rPr>
        <w:t>-</w:t>
      </w:r>
      <w:r w:rsidRPr="00545318">
        <w:rPr>
          <w:lang w:val="en"/>
        </w:rPr>
        <w:t>based</w:t>
      </w:r>
      <w:r w:rsidR="00B46A49">
        <w:rPr>
          <w:lang w:val="en"/>
        </w:rPr>
        <w:t xml:space="preserve"> </w:t>
      </w:r>
      <w:r w:rsidRPr="00545318">
        <w:rPr>
          <w:lang w:val="en"/>
        </w:rPr>
        <w:t>restructuring without government interventions that distort markets, and mechanisms to enhance information exchange’.</w:t>
      </w:r>
      <w:r w:rsidRPr="00545318">
        <w:rPr>
          <w:rStyle w:val="FootnoteReference"/>
          <w:lang w:val="en"/>
        </w:rPr>
        <w:footnoteReference w:id="22"/>
      </w:r>
    </w:p>
    <w:p w14:paraId="11E1FAC3" w14:textId="77777777" w:rsidR="00205B71" w:rsidRPr="00545318" w:rsidRDefault="00205B71" w:rsidP="00205B71">
      <w:pPr>
        <w:spacing w:before="120" w:after="120"/>
        <w:rPr>
          <w:lang w:val="en-AU"/>
        </w:rPr>
      </w:pPr>
      <w:r w:rsidRPr="00545318">
        <w:rPr>
          <w:lang w:val="en-AU"/>
        </w:rPr>
        <w:t>The OECD Steel Committee</w:t>
      </w:r>
      <w:r w:rsidRPr="00545318">
        <w:rPr>
          <w:vertAlign w:val="superscript"/>
          <w:lang w:val="en-AU"/>
        </w:rPr>
        <w:footnoteReference w:id="23"/>
      </w:r>
      <w:r w:rsidRPr="00545318">
        <w:rPr>
          <w:lang w:val="en-AU"/>
        </w:rPr>
        <w:t xml:space="preserve"> is leading a work program that aims to improve the economic viability of the global steel industry and help reduce trade frictions among trading partners. As well as monitoring capacity developments, the Committee is examining government policies and their effects on global excess capacity to reach a common understanding of the impacts of various policies and to identify appropriate policy approaches to address excess capacity.</w:t>
      </w:r>
      <w:r w:rsidRPr="00545318">
        <w:rPr>
          <w:vertAlign w:val="superscript"/>
          <w:lang w:val="en-AU"/>
        </w:rPr>
        <w:t xml:space="preserve"> </w:t>
      </w:r>
      <w:r w:rsidRPr="00545318">
        <w:rPr>
          <w:vertAlign w:val="superscript"/>
          <w:lang w:val="en-AU"/>
        </w:rPr>
        <w:footnoteReference w:id="24"/>
      </w:r>
      <w:r w:rsidRPr="00545318">
        <w:rPr>
          <w:lang w:val="en-AU"/>
        </w:rPr>
        <w:t xml:space="preserve"> The OECD has highlighted the need for governments to: </w:t>
      </w:r>
    </w:p>
    <w:p w14:paraId="255DD5FF" w14:textId="77777777" w:rsidR="00205B71" w:rsidRPr="00545318" w:rsidRDefault="00205B71" w:rsidP="00205B71">
      <w:pPr>
        <w:numPr>
          <w:ilvl w:val="0"/>
          <w:numId w:val="20"/>
        </w:numPr>
        <w:spacing w:before="120" w:after="120"/>
      </w:pPr>
      <w:r w:rsidRPr="00545318">
        <w:t>remove market distorting policies such as subsidies that promote investment in new capacity or delay the closure of failing companies</w:t>
      </w:r>
    </w:p>
    <w:p w14:paraId="1BE7523C" w14:textId="77777777" w:rsidR="00205B71" w:rsidRPr="00545318" w:rsidRDefault="00205B71" w:rsidP="00205B71">
      <w:pPr>
        <w:numPr>
          <w:ilvl w:val="0"/>
          <w:numId w:val="20"/>
        </w:numPr>
        <w:spacing w:before="120" w:after="120"/>
      </w:pPr>
      <w:r w:rsidRPr="00545318">
        <w:t>eliminate trade and investment barriers that slow industry restructuring</w:t>
      </w:r>
    </w:p>
    <w:p w14:paraId="144A7CED" w14:textId="77777777" w:rsidR="00205B71" w:rsidRPr="00545318" w:rsidRDefault="00205B71" w:rsidP="00205B71">
      <w:pPr>
        <w:numPr>
          <w:ilvl w:val="0"/>
          <w:numId w:val="20"/>
        </w:numPr>
        <w:spacing w:before="120" w:after="120"/>
      </w:pPr>
      <w:r w:rsidRPr="00545318">
        <w:t>allow market-based investment decisions</w:t>
      </w:r>
    </w:p>
    <w:p w14:paraId="08A73B43" w14:textId="77777777" w:rsidR="00205B71" w:rsidRPr="00545318" w:rsidRDefault="00205B71" w:rsidP="00205B71">
      <w:pPr>
        <w:numPr>
          <w:ilvl w:val="0"/>
          <w:numId w:val="20"/>
        </w:numPr>
        <w:spacing w:before="120" w:after="120"/>
      </w:pPr>
      <w:r w:rsidRPr="00545318">
        <w:t>ensure new plants are subject to standards that protect the environment and worker safety.</w:t>
      </w:r>
      <w:r w:rsidRPr="00545318">
        <w:rPr>
          <w:vertAlign w:val="superscript"/>
        </w:rPr>
        <w:footnoteReference w:id="25"/>
      </w:r>
    </w:p>
    <w:p w14:paraId="12991E6F" w14:textId="77777777" w:rsidR="00086221" w:rsidRPr="00545318" w:rsidRDefault="00086221" w:rsidP="00A00A37">
      <w:pPr>
        <w:spacing w:before="120" w:after="120"/>
        <w:rPr>
          <w:lang w:val="en-AU"/>
        </w:rPr>
      </w:pPr>
    </w:p>
    <w:p w14:paraId="1268757C" w14:textId="5A733777" w:rsidR="00611CC1" w:rsidRPr="00545318" w:rsidRDefault="00086221" w:rsidP="00435108">
      <w:pPr>
        <w:spacing w:before="120" w:after="120"/>
      </w:pPr>
      <w:r w:rsidRPr="00435108">
        <w:rPr>
          <w:noProof/>
          <w:color w:val="000000" w:themeColor="text1"/>
          <w:lang w:val="en-AU" w:eastAsia="en-AU"/>
        </w:rPr>
        <mc:AlternateContent>
          <mc:Choice Requires="wps">
            <w:drawing>
              <wp:anchor distT="0" distB="0" distL="114300" distR="114300" simplePos="0" relativeHeight="251720704" behindDoc="0" locked="0" layoutInCell="1" allowOverlap="1" wp14:anchorId="26C8CA30" wp14:editId="0EBB1B4E">
                <wp:simplePos x="0" y="0"/>
                <wp:positionH relativeFrom="column">
                  <wp:posOffset>0</wp:posOffset>
                </wp:positionH>
                <wp:positionV relativeFrom="paragraph">
                  <wp:posOffset>66675</wp:posOffset>
                </wp:positionV>
                <wp:extent cx="1828800" cy="1828800"/>
                <wp:effectExtent l="0" t="0" r="14605" b="13335"/>
                <wp:wrapSquare wrapText="bothSides"/>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3753E06D" w14:textId="77777777" w:rsidR="009241EC" w:rsidRPr="00F911A3" w:rsidRDefault="009241EC" w:rsidP="00086221">
                            <w:pPr>
                              <w:shd w:val="clear" w:color="auto" w:fill="DAEEF3" w:themeFill="accent5" w:themeFillTint="33"/>
                              <w:spacing w:after="120"/>
                              <w:rPr>
                                <w:b/>
                              </w:rPr>
                            </w:pPr>
                            <w:r w:rsidRPr="00F911A3">
                              <w:rPr>
                                <w:b/>
                              </w:rPr>
                              <w:t>OECD comments on reasons for global excess capacity</w:t>
                            </w:r>
                          </w:p>
                          <w:p w14:paraId="27D57AE8" w14:textId="77777777" w:rsidR="009241EC" w:rsidRPr="00F911A3" w:rsidRDefault="009241EC" w:rsidP="00086221">
                            <w:pPr>
                              <w:shd w:val="clear" w:color="auto" w:fill="DAEEF3" w:themeFill="accent5" w:themeFillTint="33"/>
                              <w:spacing w:after="120"/>
                            </w:pPr>
                            <w:r w:rsidRPr="00F911A3">
                              <w:t>The main factors that contribute to capacity imbalances in the steel industry include market downturns, but also a number of government interventions and other market-distorting practices. … for most steel mills, it is normal to have periods of under-utilised capacity. When demand and prices of steel fall, profit-maximising firms should reduce production … Profits will tend to be lower because the firms still have to pay for their fixed assets, including their under</w:t>
                            </w:r>
                            <w:r>
                              <w:noBreakHyphen/>
                            </w:r>
                            <w:r w:rsidRPr="00F911A3">
                              <w:t>utilised steelmaking furnaces and rolling facilities. If the situation persists over time, however, then firms operating under normal market conditions would try to minimi</w:t>
                            </w:r>
                            <w:r>
                              <w:t>s</w:t>
                            </w:r>
                            <w:r w:rsidRPr="00F911A3">
                              <w:t>e their fixed costs by scaling back on capacity, thus making excess capacity a short-run phenomenon. History has nevertheless demonstrated that the adjustment process can be long and arduous in the steel industry, with some regions experiencing extended periods of excess capacity.</w:t>
                            </w:r>
                          </w:p>
                          <w:p w14:paraId="43D8F0CB" w14:textId="77777777" w:rsidR="009241EC" w:rsidRPr="00F911A3" w:rsidRDefault="009241EC" w:rsidP="00086221">
                            <w:pPr>
                              <w:shd w:val="clear" w:color="auto" w:fill="DAEEF3" w:themeFill="accent5" w:themeFillTint="33"/>
                              <w:spacing w:after="120"/>
                            </w:pPr>
                            <w:r w:rsidRPr="00F911A3">
                              <w:t>On the one hand, this can be due to high exit barriers, namely the costs of closure that discourage rapid adjustments in capacity. … In the face of market uncertainty firms may choose to delay exit rather than incur such costs. Expectations about future market conditions may also be contributing to current excess capacity; for example, steelmakers in some countries are investing heavily today in new steel production facilities in anticipation of much higher demand several years from now.</w:t>
                            </w:r>
                          </w:p>
                          <w:p w14:paraId="749A85C4" w14:textId="77777777" w:rsidR="009241EC" w:rsidRPr="00F911A3" w:rsidRDefault="009241EC" w:rsidP="00086221">
                            <w:pPr>
                              <w:shd w:val="clear" w:color="auto" w:fill="DAEEF3" w:themeFill="accent5" w:themeFillTint="33"/>
                              <w:spacing w:after="120"/>
                            </w:pPr>
                            <w:r w:rsidRPr="00F911A3">
                              <w:t>On the other hand, excess capacity that persists over time can also be indicative of government actions that hinder adjustments that would normally occur in competitive markets. Due to the importance and strategic nature of the steel industry to many national economies, a tendency during market downturns is to preserve the capacity of the industry, in order to alleviate unemployment and other social problems that would otherwise occur due to capacity closure. In addition, in some large net steel-importing regions, governments are also interested in moving towards greater “self-sufficiency” in steel production in order to reduce their dependency on imports. … despite current market conditions, a large number of new projects are taking place, which will increase global crude steelmaking capacity significantly in coming years.</w:t>
                            </w:r>
                          </w:p>
                          <w:p w14:paraId="670AB13A" w14:textId="77777777" w:rsidR="009241EC" w:rsidRPr="00F911A3" w:rsidRDefault="009241EC" w:rsidP="00086221">
                            <w:pPr>
                              <w:shd w:val="clear" w:color="auto" w:fill="DAEEF3" w:themeFill="accent5" w:themeFillTint="33"/>
                              <w:spacing w:after="120"/>
                            </w:pPr>
                            <w:r w:rsidRPr="00F911A3">
                              <w:t xml:space="preserve">… recent discussions at the OECD Steel Committee have suggested that in some regions excess capacity reflects temporary factors related to the business cycle while in other cases it reflects structural factors connected to government interventions. Specific concerns related to government steel policies include government subsidies (notably subsidies for the creation of new capacity or the maintenance of inefficient capacities) and continued approvals for new steel facilities. Governments have also noted that trade related measures, constraints on foreign investment, and the activities of government financial agencies are also contributing to global excess capacity and creating difficulties for the industry in addition to weak market conditions. And finally, policy measures which discourage “optimal” exit of the least productive plants may also contribute to excess capacity. </w:t>
                            </w:r>
                          </w:p>
                          <w:p w14:paraId="203DF62F" w14:textId="77777777" w:rsidR="009241EC" w:rsidRPr="008F3381" w:rsidRDefault="009241EC" w:rsidP="00086221">
                            <w:pPr>
                              <w:shd w:val="clear" w:color="auto" w:fill="DAEEF3" w:themeFill="accent5" w:themeFillTint="33"/>
                              <w:spacing w:after="120"/>
                              <w:rPr>
                                <w:sz w:val="20"/>
                                <w:szCs w:val="20"/>
                              </w:rPr>
                            </w:pPr>
                            <w:r w:rsidRPr="00F911A3">
                              <w:t>Source: OECD, ‘Excess capacity in the global steel industry: The current situation and ways forward’, 2015, p. 3,</w:t>
                            </w:r>
                            <w:r>
                              <w:rPr>
                                <w:sz w:val="20"/>
                                <w:szCs w:val="20"/>
                              </w:rPr>
                              <w:t xml:space="preserve"> </w:t>
                            </w:r>
                            <w:hyperlink r:id="rId32" w:history="1">
                              <w:r w:rsidRPr="00FB25B9">
                                <w:rPr>
                                  <w:rStyle w:val="Hyperlink"/>
                                  <w:sz w:val="20"/>
                                  <w:szCs w:val="20"/>
                                </w:rPr>
                                <w:t>http://www.oecd.org/sti/ind/excess-capacity-in-the-global-steel-industry.pdf</w:t>
                              </w:r>
                            </w:hyperlink>
                            <w:r w:rsidRPr="00E32D15">
                              <w:rPr>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8CA30" id="Text Box 27" o:spid="_x0000_s1029" type="#_x0000_t202" style="position:absolute;margin-left:0;margin-top:5.25pt;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" fillcolor="#daeef3 [664]" strokeweight=".5pt">
                <v:textbox style="mso-fit-shape-to-text:t">
                  <w:txbxContent>
                    <w:p w14:paraId="3753E06D" w14:textId="77777777" w:rsidR="009241EC" w:rsidRPr="00F911A3" w:rsidRDefault="009241EC" w:rsidP="00086221">
                      <w:pPr>
                        <w:shd w:val="clear" w:color="auto" w:fill="DAEEF3" w:themeFill="accent5" w:themeFillTint="33"/>
                        <w:spacing w:after="120"/>
                        <w:rPr>
                          <w:b/>
                        </w:rPr>
                      </w:pPr>
                      <w:r w:rsidRPr="00F911A3">
                        <w:rPr>
                          <w:b/>
                        </w:rPr>
                        <w:t>OECD comments on reasons for global excess capacity</w:t>
                      </w:r>
                    </w:p>
                    <w:p w14:paraId="27D57AE8" w14:textId="77777777" w:rsidR="009241EC" w:rsidRPr="00F911A3" w:rsidRDefault="009241EC" w:rsidP="00086221">
                      <w:pPr>
                        <w:shd w:val="clear" w:color="auto" w:fill="DAEEF3" w:themeFill="accent5" w:themeFillTint="33"/>
                        <w:spacing w:after="120"/>
                      </w:pPr>
                      <w:r w:rsidRPr="00F911A3">
                        <w:t xml:space="preserve">The main factors that contribute to capacity imbalances in the steel industry include market downturns, but also a number of government interventions and other market-distorting practices. … </w:t>
                      </w:r>
                      <w:proofErr w:type="gramStart"/>
                      <w:r w:rsidRPr="00F911A3">
                        <w:t>for</w:t>
                      </w:r>
                      <w:proofErr w:type="gramEnd"/>
                      <w:r w:rsidRPr="00F911A3">
                        <w:t xml:space="preserve"> most steel mills, it is normal to have periods of </w:t>
                      </w:r>
                      <w:proofErr w:type="spellStart"/>
                      <w:r w:rsidRPr="00F911A3">
                        <w:t>under-utilised</w:t>
                      </w:r>
                      <w:proofErr w:type="spellEnd"/>
                      <w:r w:rsidRPr="00F911A3">
                        <w:t xml:space="preserve"> capacity. When demand and prices of steel fall, profit-maximising firms should reduce production … Profits will tend to be lower because the firms still have to pay for their fixed assets, including their </w:t>
                      </w:r>
                      <w:proofErr w:type="spellStart"/>
                      <w:r w:rsidRPr="00F911A3">
                        <w:t>under</w:t>
                      </w:r>
                      <w:r>
                        <w:noBreakHyphen/>
                      </w:r>
                      <w:r w:rsidRPr="00F911A3">
                        <w:t>utilised</w:t>
                      </w:r>
                      <w:proofErr w:type="spellEnd"/>
                      <w:r w:rsidRPr="00F911A3">
                        <w:t xml:space="preserve"> steelmaking furnaces and rolling facilities. If the situation persists over time, however, then firms operating under normal market conditions would try to minimi</w:t>
                      </w:r>
                      <w:r>
                        <w:t>s</w:t>
                      </w:r>
                      <w:r w:rsidRPr="00F911A3">
                        <w:t>e their fixed costs by scaling back on capacity, thus making excess capacity a short-run phenomenon. History has nevertheless demonstrated that the adjustment process can be long and arduous in the steel industry, with some regions experiencing extended periods of excess capacity.</w:t>
                      </w:r>
                    </w:p>
                    <w:p w14:paraId="43D8F0CB" w14:textId="77777777" w:rsidR="009241EC" w:rsidRPr="00F911A3" w:rsidRDefault="009241EC" w:rsidP="00086221">
                      <w:pPr>
                        <w:shd w:val="clear" w:color="auto" w:fill="DAEEF3" w:themeFill="accent5" w:themeFillTint="33"/>
                        <w:spacing w:after="120"/>
                      </w:pPr>
                      <w:r w:rsidRPr="00F911A3">
                        <w:t>On the one hand, this can be due to high exit barriers, namely the costs of closure that discourage rapid adjustments in capacity. … In the face of market uncertainty firms may choose to delay exit rather than incur such costs. Expectations about future market conditions may also be contributing to current excess capacity; for example, steelmakers in some countries are investing heavily today in new steel production facilities in anticipation of much higher demand several years from now.</w:t>
                      </w:r>
                    </w:p>
                    <w:p w14:paraId="749A85C4" w14:textId="77777777" w:rsidR="009241EC" w:rsidRPr="00F911A3" w:rsidRDefault="009241EC" w:rsidP="00086221">
                      <w:pPr>
                        <w:shd w:val="clear" w:color="auto" w:fill="DAEEF3" w:themeFill="accent5" w:themeFillTint="33"/>
                        <w:spacing w:after="120"/>
                      </w:pPr>
                      <w:r w:rsidRPr="00F911A3">
                        <w:t>On the other hand, excess capacity that persists over time can also be indicative of government actions that hinder adjustments that would normally occur in competitive markets. Due to the importance and strategic nature of the steel industry to many national economies, a tendency during market downturns is to preserve the capacity of the industry, in order to alleviate unemployment and other social problems that would otherwise occur due to capacity closure. In addition, in some large net steel-importing regions, governments are also interested in moving towards greater “self-sufficiency” in steel production in order to reduce their dependency on imports. … despite current market conditions, a large number of new projects are taking place, which will increase global crude steelmaking capacity significantly in coming years.</w:t>
                      </w:r>
                    </w:p>
                    <w:p w14:paraId="670AB13A" w14:textId="77777777" w:rsidR="009241EC" w:rsidRPr="00F911A3" w:rsidRDefault="009241EC" w:rsidP="00086221">
                      <w:pPr>
                        <w:shd w:val="clear" w:color="auto" w:fill="DAEEF3" w:themeFill="accent5" w:themeFillTint="33"/>
                        <w:spacing w:after="120"/>
                      </w:pPr>
                      <w:r w:rsidRPr="00F911A3">
                        <w:t xml:space="preserve">… </w:t>
                      </w:r>
                      <w:proofErr w:type="gramStart"/>
                      <w:r w:rsidRPr="00F911A3">
                        <w:t>recent</w:t>
                      </w:r>
                      <w:proofErr w:type="gramEnd"/>
                      <w:r w:rsidRPr="00F911A3">
                        <w:t xml:space="preserve"> discussions at the OECD Steel Committee have suggested that in some regions excess capacity reflects temporary factors related to the business cycle while in other cases it reflects structural factors connected to government interventions. Specific concerns related to government steel policies include government subsidies (notably subsidies for the creation of new capacity or the maintenance of inefficient capacities) and continued approvals for new steel facilities. Governments have also noted that trade related measures, constraints on foreign investment, and the activities of government financial agencies are also contributing to global excess capacity and creating difficulties for the industry in addition to weak market conditions. And finally, policy measures which discourage “optimal” exit of the least productive plants may also contribute to excess capacity. </w:t>
                      </w:r>
                    </w:p>
                    <w:p w14:paraId="203DF62F" w14:textId="77777777" w:rsidR="009241EC" w:rsidRPr="008F3381" w:rsidRDefault="009241EC" w:rsidP="00086221">
                      <w:pPr>
                        <w:shd w:val="clear" w:color="auto" w:fill="DAEEF3" w:themeFill="accent5" w:themeFillTint="33"/>
                        <w:spacing w:after="120"/>
                        <w:rPr>
                          <w:sz w:val="20"/>
                          <w:szCs w:val="20"/>
                        </w:rPr>
                      </w:pPr>
                      <w:r w:rsidRPr="00F911A3">
                        <w:t>Source: OECD, ‘Excess capacity in the global steel industry: The current situation and ways forward’, 2015, p. 3,</w:t>
                      </w:r>
                      <w:r>
                        <w:rPr>
                          <w:sz w:val="20"/>
                          <w:szCs w:val="20"/>
                        </w:rPr>
                        <w:t xml:space="preserve"> </w:t>
                      </w:r>
                      <w:hyperlink r:id="rId33" w:history="1">
                        <w:r w:rsidRPr="00FB25B9">
                          <w:rPr>
                            <w:rStyle w:val="Hyperlink"/>
                            <w:sz w:val="20"/>
                            <w:szCs w:val="20"/>
                          </w:rPr>
                          <w:t>http://www.oecd.org/sti/ind/excess-capacity-in-the-global-steel-industry.pdf</w:t>
                        </w:r>
                      </w:hyperlink>
                      <w:r w:rsidRPr="00E32D15">
                        <w:rPr>
                          <w:sz w:val="20"/>
                          <w:szCs w:val="20"/>
                        </w:rPr>
                        <w:t>.</w:t>
                      </w:r>
                    </w:p>
                  </w:txbxContent>
                </v:textbox>
                <w10:wrap type="square"/>
              </v:shape>
            </w:pict>
          </mc:Fallback>
        </mc:AlternateContent>
      </w:r>
      <w:r w:rsidR="00611CC1" w:rsidRPr="00435108">
        <w:rPr>
          <w:color w:val="000000" w:themeColor="text1"/>
          <w:lang w:val="en"/>
        </w:rPr>
        <w:t>In placing priority on reducing market distortions that underpin sustained global overcapacity, the OECD has expressed concern that ‘excess capacity in one region can displace production in other regions, thus harming producers in those markets’, including through ‘unfair trade practices such as dumping’</w:t>
      </w:r>
      <w:r w:rsidR="00611CC1" w:rsidRPr="00545318">
        <w:t>.</w:t>
      </w:r>
      <w:r w:rsidR="00611CC1" w:rsidRPr="00545318">
        <w:rPr>
          <w:rStyle w:val="FootnoteReference"/>
        </w:rPr>
        <w:footnoteReference w:id="26"/>
      </w:r>
      <w:r w:rsidR="00611CC1" w:rsidRPr="00545318">
        <w:t xml:space="preserve"> </w:t>
      </w:r>
    </w:p>
    <w:p w14:paraId="6B23C0A3" w14:textId="77777777" w:rsidR="00A933AB" w:rsidRPr="00545318" w:rsidRDefault="00A933AB">
      <w:pPr>
        <w:spacing w:after="200" w:line="276" w:lineRule="auto"/>
        <w:rPr>
          <w:color w:val="000000" w:themeColor="text1"/>
          <w:lang w:val="en"/>
        </w:rPr>
      </w:pPr>
      <w:r w:rsidRPr="00545318">
        <w:rPr>
          <w:color w:val="000000" w:themeColor="text1"/>
          <w:lang w:val="en"/>
        </w:rPr>
        <w:br w:type="page"/>
      </w:r>
    </w:p>
    <w:p w14:paraId="470C9331" w14:textId="3B1336A2" w:rsidR="00330605" w:rsidRPr="00545318" w:rsidRDefault="005E14E6" w:rsidP="00611CC1">
      <w:pPr>
        <w:spacing w:before="120" w:after="120"/>
        <w:rPr>
          <w:color w:val="000000" w:themeColor="text1"/>
          <w:lang w:val="en-AU"/>
        </w:rPr>
      </w:pPr>
      <w:r w:rsidRPr="00545318">
        <w:rPr>
          <w:color w:val="000000" w:themeColor="text1"/>
          <w:lang w:val="en"/>
        </w:rPr>
        <w:t xml:space="preserve">These concerns were also emphasised </w:t>
      </w:r>
      <w:r w:rsidR="00611CC1" w:rsidRPr="00545318">
        <w:rPr>
          <w:color w:val="000000" w:themeColor="text1"/>
          <w:lang w:val="en"/>
        </w:rPr>
        <w:t xml:space="preserve">at the </w:t>
      </w:r>
      <w:r w:rsidR="00330605" w:rsidRPr="00545318">
        <w:rPr>
          <w:color w:val="000000" w:themeColor="text1"/>
          <w:lang w:val="en"/>
        </w:rPr>
        <w:t xml:space="preserve">April 2016 OECD high-level steel </w:t>
      </w:r>
      <w:r w:rsidR="00611CC1" w:rsidRPr="00545318">
        <w:rPr>
          <w:color w:val="000000" w:themeColor="text1"/>
          <w:lang w:val="en"/>
        </w:rPr>
        <w:t xml:space="preserve">symposium. </w:t>
      </w:r>
      <w:r w:rsidR="00330605" w:rsidRPr="00545318">
        <w:rPr>
          <w:color w:val="000000" w:themeColor="text1"/>
          <w:lang w:val="en"/>
        </w:rPr>
        <w:t>Background notes drew attention to</w:t>
      </w:r>
      <w:r w:rsidR="00611CC1" w:rsidRPr="00545318">
        <w:rPr>
          <w:color w:val="000000" w:themeColor="text1"/>
          <w:lang w:val="en"/>
        </w:rPr>
        <w:t xml:space="preserve"> the significant increase in the use of trade </w:t>
      </w:r>
      <w:r w:rsidR="00A85514" w:rsidRPr="00545318">
        <w:rPr>
          <w:color w:val="000000" w:themeColor="text1"/>
          <w:lang w:val="en"/>
        </w:rPr>
        <w:t>defense</w:t>
      </w:r>
      <w:r w:rsidR="00611CC1" w:rsidRPr="00545318">
        <w:rPr>
          <w:color w:val="000000" w:themeColor="text1"/>
          <w:lang w:val="en"/>
        </w:rPr>
        <w:t xml:space="preserve"> instruments to address </w:t>
      </w:r>
      <w:r w:rsidR="00330605" w:rsidRPr="00545318">
        <w:rPr>
          <w:color w:val="000000" w:themeColor="text1"/>
          <w:lang w:val="en"/>
        </w:rPr>
        <w:t>‘</w:t>
      </w:r>
      <w:r w:rsidR="00611CC1" w:rsidRPr="00545318">
        <w:rPr>
          <w:color w:val="000000" w:themeColor="text1"/>
          <w:lang w:val="en"/>
        </w:rPr>
        <w:t>unfair trade resulting from current global excess capacity</w:t>
      </w:r>
      <w:r w:rsidR="00330605" w:rsidRPr="00545318">
        <w:rPr>
          <w:color w:val="000000" w:themeColor="text1"/>
          <w:lang w:val="en"/>
        </w:rPr>
        <w:t>’</w:t>
      </w:r>
      <w:r w:rsidR="00611CC1" w:rsidRPr="00545318">
        <w:rPr>
          <w:color w:val="000000" w:themeColor="text1"/>
          <w:lang w:val="en"/>
        </w:rPr>
        <w:t xml:space="preserve">, </w:t>
      </w:r>
      <w:r w:rsidR="00330605" w:rsidRPr="00545318">
        <w:rPr>
          <w:color w:val="000000" w:themeColor="text1"/>
          <w:lang w:val="en"/>
        </w:rPr>
        <w:t>noting that</w:t>
      </w:r>
      <w:r w:rsidR="003E226F" w:rsidRPr="00545318">
        <w:rPr>
          <w:color w:val="000000" w:themeColor="text1"/>
          <w:lang w:val="en"/>
        </w:rPr>
        <w:t xml:space="preserve"> these instruments would</w:t>
      </w:r>
      <w:r w:rsidR="00611CC1" w:rsidRPr="00545318">
        <w:rPr>
          <w:color w:val="000000" w:themeColor="text1"/>
          <w:lang w:val="en"/>
        </w:rPr>
        <w:t xml:space="preserve"> only provide temporary relief </w:t>
      </w:r>
      <w:r w:rsidR="00611CC1" w:rsidRPr="00545318">
        <w:rPr>
          <w:color w:val="000000" w:themeColor="text1"/>
          <w:lang w:val="en-AU"/>
        </w:rPr>
        <w:t>against unfair trade and not long-lasting solutions for the broader industry.</w:t>
      </w:r>
      <w:r w:rsidR="00611CC1" w:rsidRPr="00545318">
        <w:rPr>
          <w:rStyle w:val="FootnoteReference"/>
          <w:color w:val="000000" w:themeColor="text1"/>
          <w:lang w:val="en-AU"/>
        </w:rPr>
        <w:footnoteReference w:id="27"/>
      </w:r>
      <w:r w:rsidR="003E226F" w:rsidRPr="00545318">
        <w:rPr>
          <w:color w:val="000000" w:themeColor="text1"/>
          <w:lang w:val="en-AU"/>
        </w:rPr>
        <w:t xml:space="preserve"> Measures identified as being of particular concern included increased </w:t>
      </w:r>
      <w:r w:rsidR="003E226F" w:rsidRPr="00545318">
        <w:rPr>
          <w:color w:val="000000" w:themeColor="text1"/>
        </w:rPr>
        <w:t>import duties, government subsidies and other support measures, export incentives, trade financing, investment measures, import quotas, minimum import prices, and surveillance mechanisms.</w:t>
      </w:r>
      <w:r w:rsidR="003E226F" w:rsidRPr="00545318">
        <w:rPr>
          <w:rStyle w:val="FootnoteReference"/>
          <w:color w:val="000000" w:themeColor="text1"/>
        </w:rPr>
        <w:footnoteReference w:id="28"/>
      </w:r>
      <w:r w:rsidR="00200211" w:rsidRPr="00545318">
        <w:rPr>
          <w:color w:val="000000" w:themeColor="text1"/>
          <w:lang w:val="en-AU"/>
        </w:rPr>
        <w:t xml:space="preserve"> </w:t>
      </w:r>
    </w:p>
    <w:p w14:paraId="7C2CF2AE" w14:textId="454313C9" w:rsidR="00AD4D44" w:rsidRPr="00545318" w:rsidRDefault="00330605" w:rsidP="00533DEC">
      <w:pPr>
        <w:spacing w:before="120" w:after="120"/>
      </w:pPr>
      <w:r w:rsidRPr="00545318">
        <w:t>S</w:t>
      </w:r>
      <w:r w:rsidR="00AD4D44" w:rsidRPr="00545318">
        <w:t xml:space="preserve">ome government policies, </w:t>
      </w:r>
      <w:r w:rsidRPr="00545318">
        <w:t xml:space="preserve">however, </w:t>
      </w:r>
      <w:r w:rsidR="00AD4D44" w:rsidRPr="00545318">
        <w:t xml:space="preserve">such as policies to promote efficient industry restructuring or assist workers displaced from these industries, </w:t>
      </w:r>
      <w:r w:rsidRPr="00545318">
        <w:t xml:space="preserve">have been identified by the OECD as potentially </w:t>
      </w:r>
      <w:r w:rsidR="00AD4D44" w:rsidRPr="00545318">
        <w:t>‘useful tools’ to address the problem of global overcapacity and promote greater stability in global steel markets.</w:t>
      </w:r>
      <w:r w:rsidR="00AD4D44" w:rsidRPr="00545318">
        <w:rPr>
          <w:rStyle w:val="FootnoteReference"/>
        </w:rPr>
        <w:footnoteReference w:id="29"/>
      </w:r>
    </w:p>
    <w:p w14:paraId="6366F372" w14:textId="77777777" w:rsidR="00374264" w:rsidRPr="00545318" w:rsidRDefault="00374264" w:rsidP="00374264">
      <w:pPr>
        <w:pStyle w:val="Heading2"/>
      </w:pPr>
      <w:bookmarkStart w:id="32" w:name="_Toc458674157"/>
      <w:bookmarkStart w:id="33" w:name="_Toc460430487"/>
      <w:r w:rsidRPr="00545318">
        <w:t>History of government interventions in steel and aluminium markets</w:t>
      </w:r>
      <w:bookmarkEnd w:id="32"/>
      <w:bookmarkEnd w:id="33"/>
      <w:r w:rsidRPr="00545318">
        <w:t xml:space="preserve"> </w:t>
      </w:r>
    </w:p>
    <w:p w14:paraId="7F964E87" w14:textId="77777777" w:rsidR="00374264" w:rsidRPr="00545318" w:rsidRDefault="00374264" w:rsidP="00374264">
      <w:pPr>
        <w:spacing w:before="120" w:after="120"/>
      </w:pPr>
      <w:r w:rsidRPr="00545318">
        <w:t xml:space="preserve">Government interventions in aluminium and steel manufacturing industries have occurred, to varying degrees, in many countries at various times. Reasons for these interventions include encouraging investment, self-sufficiency and local employment opportunities. More recently, interventions have increasingly been directed at pursuing environmental objectives and structural adjustment policies. </w:t>
      </w:r>
    </w:p>
    <w:p w14:paraId="444F8362" w14:textId="77777777" w:rsidR="00433626" w:rsidRPr="00545318" w:rsidRDefault="00433626" w:rsidP="00374264">
      <w:pPr>
        <w:spacing w:before="120" w:after="120"/>
      </w:pPr>
      <w:r w:rsidRPr="00545318">
        <w:t xml:space="preserve">This section briefly outlines </w:t>
      </w:r>
      <w:r w:rsidR="008838F1" w:rsidRPr="00545318">
        <w:t xml:space="preserve">examples of </w:t>
      </w:r>
      <w:r w:rsidRPr="00545318">
        <w:t xml:space="preserve">past and current interventions by governments in Australia, the United States, Europe, </w:t>
      </w:r>
      <w:r w:rsidR="00F73FB3" w:rsidRPr="00545318">
        <w:t xml:space="preserve">Russia, </w:t>
      </w:r>
      <w:r w:rsidR="0064798F" w:rsidRPr="00545318">
        <w:t xml:space="preserve">and </w:t>
      </w:r>
      <w:r w:rsidRPr="00545318">
        <w:t xml:space="preserve">Brazil. </w:t>
      </w:r>
      <w:r w:rsidR="008838F1" w:rsidRPr="00545318">
        <w:t xml:space="preserve">The examples are intended to be illustrative, rather than to provide a comprehensive summary of interventions in these jurisdictions. </w:t>
      </w:r>
      <w:r w:rsidRPr="00545318">
        <w:t xml:space="preserve">Asian market interventions are discussed in the rest of this </w:t>
      </w:r>
      <w:r w:rsidR="00CA3C53" w:rsidRPr="00545318">
        <w:t>chapter</w:t>
      </w:r>
      <w:r w:rsidRPr="00545318">
        <w:t>.</w:t>
      </w:r>
    </w:p>
    <w:p w14:paraId="397027A2" w14:textId="77777777" w:rsidR="00433626" w:rsidRPr="00545318" w:rsidRDefault="00433626" w:rsidP="00433626">
      <w:pPr>
        <w:pStyle w:val="Heading3"/>
        <w:spacing w:after="120"/>
      </w:pPr>
      <w:r w:rsidRPr="00545318">
        <w:t>Australia</w:t>
      </w:r>
    </w:p>
    <w:p w14:paraId="1EAD544F" w14:textId="77777777" w:rsidR="007E4F1C" w:rsidRPr="00545318" w:rsidRDefault="007E4F1C" w:rsidP="005944D7">
      <w:pPr>
        <w:spacing w:before="120" w:after="120"/>
      </w:pPr>
      <w:r w:rsidRPr="00545318">
        <w:t xml:space="preserve">In Australia, </w:t>
      </w:r>
      <w:r w:rsidR="008A234E" w:rsidRPr="00545318">
        <w:t>pr</w:t>
      </w:r>
      <w:r w:rsidR="00CA3C53" w:rsidRPr="00545318">
        <w:t>e</w:t>
      </w:r>
      <w:r w:rsidR="008A234E" w:rsidRPr="00545318">
        <w:t>vious</w:t>
      </w:r>
      <w:r w:rsidRPr="00545318">
        <w:t xml:space="preserve"> government policy measures </w:t>
      </w:r>
      <w:r w:rsidR="008A234E" w:rsidRPr="00545318">
        <w:t>provided assistance to support the development and viability of the steel and aluminium industries</w:t>
      </w:r>
      <w:r w:rsidR="00CA3C53" w:rsidRPr="00545318">
        <w:t>. For example</w:t>
      </w:r>
      <w:r w:rsidR="005944D7" w:rsidRPr="00545318">
        <w:t>, d</w:t>
      </w:r>
      <w:r w:rsidRPr="00545318">
        <w:t xml:space="preserve">uring the 1960s and 1970s, the Australian steel industry was protected by high tariff barriers. </w:t>
      </w:r>
      <w:r w:rsidR="005944D7" w:rsidRPr="00545318">
        <w:t>Australia has significantly reduced tariffs across-the-board since then. I</w:t>
      </w:r>
      <w:r w:rsidRPr="00545318">
        <w:t>n the 1980s</w:t>
      </w:r>
      <w:r w:rsidR="00341E46" w:rsidRPr="00545318">
        <w:t>,</w:t>
      </w:r>
      <w:r w:rsidRPr="00545318">
        <w:t xml:space="preserve"> structural adjustment assistance (</w:t>
      </w:r>
      <w:r w:rsidR="00341E46" w:rsidRPr="00545318">
        <w:t xml:space="preserve">through </w:t>
      </w:r>
      <w:r w:rsidRPr="00545318">
        <w:t xml:space="preserve">the Button Steel Plan) </w:t>
      </w:r>
      <w:r w:rsidR="005944D7" w:rsidRPr="00545318">
        <w:t>was provided to assist the industry adjust to stronger competition</w:t>
      </w:r>
      <w:r w:rsidRPr="00545318">
        <w:t>.</w:t>
      </w:r>
    </w:p>
    <w:p w14:paraId="7A882819" w14:textId="77777777" w:rsidR="007E4F1C" w:rsidRPr="00545318" w:rsidRDefault="005944D7" w:rsidP="00CA3C53">
      <w:pPr>
        <w:spacing w:before="120" w:after="120"/>
      </w:pPr>
      <w:r w:rsidRPr="00545318">
        <w:t>Current</w:t>
      </w:r>
      <w:r w:rsidR="008A234E" w:rsidRPr="00545318">
        <w:t xml:space="preserve"> policies focus on promoting structural adjustment, productivity improvements, innovation and strengthening Australia’s competitiveness. Other policy measures aim to provide a level playing field for Australian industries in competing with imports, including through government procurement policies. </w:t>
      </w:r>
      <w:r w:rsidR="006E388E" w:rsidRPr="00545318">
        <w:t xml:space="preserve">Chapter 4 of this report (section 4.3) outlines </w:t>
      </w:r>
      <w:r w:rsidR="008A234E" w:rsidRPr="00545318">
        <w:t>current</w:t>
      </w:r>
      <w:r w:rsidR="006E388E" w:rsidRPr="00545318">
        <w:t xml:space="preserve"> government policies and programs </w:t>
      </w:r>
      <w:r w:rsidR="00AD4D44" w:rsidRPr="00545318">
        <w:t xml:space="preserve">that apply </w:t>
      </w:r>
      <w:r w:rsidR="006E388E" w:rsidRPr="00545318">
        <w:t xml:space="preserve">to the Australian steel and aluminium industries. </w:t>
      </w:r>
    </w:p>
    <w:p w14:paraId="7D401653" w14:textId="76EE99A8" w:rsidR="00370A41" w:rsidRPr="00545318" w:rsidRDefault="00370A41" w:rsidP="00370A41">
      <w:pPr>
        <w:spacing w:before="120" w:after="120"/>
        <w:rPr>
          <w:color w:val="000000" w:themeColor="text1"/>
        </w:rPr>
      </w:pPr>
      <w:r w:rsidRPr="00545318">
        <w:t>There is currently one trade remedy investigation, initiated by the United States, against an Austr</w:t>
      </w:r>
      <w:r w:rsidRPr="00545318">
        <w:rPr>
          <w:color w:val="000000" w:themeColor="text1"/>
        </w:rPr>
        <w:t xml:space="preserve">alian steel producer, BlueScope. Preliminary dumping margins of 23.25 </w:t>
      </w:r>
      <w:r w:rsidR="00620A65" w:rsidRPr="00545318">
        <w:rPr>
          <w:color w:val="000000" w:themeColor="text1"/>
        </w:rPr>
        <w:t>per cent</w:t>
      </w:r>
      <w:r w:rsidRPr="00545318">
        <w:rPr>
          <w:color w:val="000000" w:themeColor="text1"/>
        </w:rPr>
        <w:t xml:space="preserve"> were imposed on BlueScope in March 2016. This investigation is expected to be completed in September 2016.</w:t>
      </w:r>
    </w:p>
    <w:p w14:paraId="46E3B401" w14:textId="77777777" w:rsidR="00A933AB" w:rsidRPr="00545318" w:rsidRDefault="00A933AB">
      <w:pPr>
        <w:spacing w:after="200" w:line="276" w:lineRule="auto"/>
        <w:rPr>
          <w:rFonts w:asciiTheme="majorHAnsi" w:eastAsiaTheme="majorEastAsia" w:hAnsiTheme="majorHAnsi" w:cstheme="majorBidi"/>
          <w:b/>
          <w:bCs/>
          <w:color w:val="4F81BD" w:themeColor="accent1"/>
        </w:rPr>
      </w:pPr>
      <w:r w:rsidRPr="00545318">
        <w:br w:type="page"/>
      </w:r>
    </w:p>
    <w:p w14:paraId="7CDD055F" w14:textId="55A21A9C" w:rsidR="00CA3C53" w:rsidRPr="00545318" w:rsidRDefault="00CA3C53" w:rsidP="00CA3C53">
      <w:pPr>
        <w:pStyle w:val="Heading3"/>
        <w:spacing w:after="120"/>
      </w:pPr>
      <w:r w:rsidRPr="00545318">
        <w:t>United States</w:t>
      </w:r>
    </w:p>
    <w:p w14:paraId="462410A3" w14:textId="77777777" w:rsidR="00CA3C53" w:rsidRPr="00545318" w:rsidRDefault="004403D6" w:rsidP="00CA3C53">
      <w:pPr>
        <w:spacing w:before="120" w:after="120"/>
      </w:pPr>
      <w:r w:rsidRPr="00545318">
        <w:t xml:space="preserve">During past cyclical downturns in the steel industry, the </w:t>
      </w:r>
      <w:r w:rsidR="009040F4" w:rsidRPr="00545318">
        <w:t>US</w:t>
      </w:r>
      <w:r w:rsidRPr="00545318">
        <w:t xml:space="preserve"> government has adopted policies to protect its steel industry from import competition. For example, in 1968 voluntary restraint agreements (VRAs) were put in place, followed by the Trigger Price Mechanism (TPM) during the 1970s, and additional VRAs from 1982 to 1992. VRAs required foreign exporters to limit exports to a preset market share, while</w:t>
      </w:r>
      <w:r w:rsidR="00BE015F" w:rsidRPr="00545318">
        <w:t xml:space="preserve"> the TPM was designed to penalis</w:t>
      </w:r>
      <w:r w:rsidRPr="00545318">
        <w:t>e exporters selling below cost.</w:t>
      </w:r>
      <w:r w:rsidRPr="00545318">
        <w:rPr>
          <w:rStyle w:val="FootnoteReference"/>
        </w:rPr>
        <w:footnoteReference w:id="30"/>
      </w:r>
    </w:p>
    <w:p w14:paraId="3D4C6998" w14:textId="685CB09C" w:rsidR="00F71CD8" w:rsidRPr="00545318" w:rsidRDefault="00F71CD8" w:rsidP="00F71CD8">
      <w:pPr>
        <w:spacing w:before="120" w:after="120"/>
        <w:rPr>
          <w:lang w:val="en-AU"/>
        </w:rPr>
      </w:pPr>
      <w:r w:rsidRPr="00545318">
        <w:rPr>
          <w:lang w:val="en-AU"/>
        </w:rPr>
        <w:t xml:space="preserve">In the current downturn, US steelmakers and aluminium product producers have actively sought trade remedies and the number of trade remedy investigations against steel products has grown substantially (see chapter 5). </w:t>
      </w:r>
      <w:r w:rsidR="001F205B" w:rsidRPr="00545318">
        <w:t>For example, in early 2016, the US Department of Commence found a combined preliminary dumping and countervailing rate applicable to Chinese imports of corrosion resistant steel of up to 491 per cent</w:t>
      </w:r>
      <w:r w:rsidR="00B46A49">
        <w:t>.</w:t>
      </w:r>
      <w:r w:rsidR="001F205B" w:rsidRPr="00545318">
        <w:rPr>
          <w:rStyle w:val="FootnoteReference"/>
        </w:rPr>
        <w:footnoteReference w:id="31"/>
      </w:r>
      <w:r w:rsidR="001F205B" w:rsidRPr="00545318">
        <w:t xml:space="preserve"> Similarly, in May 2016 the US Department of Commerce found a combined dumping and countervailing rate applicable to Chinese imports of cold rolled flat steel of up to 522 per cent</w:t>
      </w:r>
      <w:r w:rsidR="00B46A49">
        <w:t>.</w:t>
      </w:r>
      <w:r w:rsidR="001F205B" w:rsidRPr="00545318">
        <w:rPr>
          <w:rStyle w:val="FootnoteReference"/>
        </w:rPr>
        <w:footnoteReference w:id="32"/>
      </w:r>
      <w:r w:rsidRPr="00545318">
        <w:rPr>
          <w:lang w:val="en-AU"/>
        </w:rPr>
        <w:t xml:space="preserve"> </w:t>
      </w:r>
      <w:r w:rsidR="00A175BD" w:rsidRPr="00545318">
        <w:rPr>
          <w:lang w:val="en-AU"/>
        </w:rPr>
        <w:t>In August 2016, t</w:t>
      </w:r>
      <w:r w:rsidRPr="00545318">
        <w:rPr>
          <w:lang w:val="en-AU"/>
        </w:rPr>
        <w:t xml:space="preserve">ariffs of up to 64.7 </w:t>
      </w:r>
      <w:r w:rsidR="00620A65" w:rsidRPr="00545318">
        <w:rPr>
          <w:lang w:val="en-AU"/>
        </w:rPr>
        <w:t>per cent</w:t>
      </w:r>
      <w:r w:rsidRPr="00545318">
        <w:rPr>
          <w:lang w:val="en-AU"/>
        </w:rPr>
        <w:t xml:space="preserve"> </w:t>
      </w:r>
      <w:r w:rsidR="00A175BD" w:rsidRPr="00545318">
        <w:rPr>
          <w:lang w:val="en-AU"/>
        </w:rPr>
        <w:t>were</w:t>
      </w:r>
      <w:r w:rsidRPr="00545318">
        <w:rPr>
          <w:lang w:val="en-AU"/>
        </w:rPr>
        <w:t xml:space="preserve"> imposed on certain Korean imports of cold</w:t>
      </w:r>
      <w:r w:rsidR="00DE7278">
        <w:rPr>
          <w:lang w:val="en-AU"/>
        </w:rPr>
        <w:t xml:space="preserve"> </w:t>
      </w:r>
      <w:r w:rsidRPr="00545318">
        <w:rPr>
          <w:lang w:val="en-AU"/>
        </w:rPr>
        <w:t>rolled steel sheets.</w:t>
      </w:r>
    </w:p>
    <w:p w14:paraId="709F1241" w14:textId="22534227" w:rsidR="001506AE" w:rsidRPr="00545318" w:rsidRDefault="00C960F7" w:rsidP="001506AE">
      <w:pPr>
        <w:spacing w:before="120" w:after="120"/>
        <w:rPr>
          <w:lang w:val="en-AU"/>
        </w:rPr>
      </w:pPr>
      <w:r w:rsidRPr="00545318">
        <w:rPr>
          <w:lang w:val="en-AU"/>
        </w:rPr>
        <w:t xml:space="preserve">The </w:t>
      </w:r>
      <w:r w:rsidR="00A85514" w:rsidRPr="00545318">
        <w:rPr>
          <w:lang w:val="en-AU"/>
        </w:rPr>
        <w:t xml:space="preserve">US </w:t>
      </w:r>
      <w:r w:rsidRPr="00545318">
        <w:rPr>
          <w:lang w:val="en-AU"/>
        </w:rPr>
        <w:t>government has provided Trade Adjustment Assistance for steel workers displaced as a result of production cutbacks and plant closures.</w:t>
      </w:r>
      <w:r w:rsidRPr="00545318">
        <w:rPr>
          <w:rStyle w:val="FootnoteReference"/>
          <w:lang w:val="en-AU"/>
        </w:rPr>
        <w:footnoteReference w:id="33"/>
      </w:r>
      <w:r w:rsidRPr="00545318">
        <w:rPr>
          <w:lang w:val="en-AU"/>
        </w:rPr>
        <w:t xml:space="preserve"> </w:t>
      </w:r>
      <w:r w:rsidR="003660B7" w:rsidRPr="00545318">
        <w:rPr>
          <w:lang w:val="en-AU"/>
        </w:rPr>
        <w:t>Steel p</w:t>
      </w:r>
      <w:r w:rsidR="001506AE" w:rsidRPr="00545318">
        <w:rPr>
          <w:lang w:val="en-AU"/>
        </w:rPr>
        <w:t xml:space="preserve">roduction </w:t>
      </w:r>
      <w:r w:rsidR="003660B7" w:rsidRPr="00545318">
        <w:rPr>
          <w:lang w:val="en-AU"/>
        </w:rPr>
        <w:t>in the United States fell</w:t>
      </w:r>
      <w:r w:rsidR="001506AE" w:rsidRPr="00545318">
        <w:rPr>
          <w:lang w:val="en-AU"/>
        </w:rPr>
        <w:t xml:space="preserve"> 8.8</w:t>
      </w:r>
      <w:r w:rsidR="003660B7" w:rsidRPr="00545318">
        <w:rPr>
          <w:lang w:val="en-AU"/>
        </w:rPr>
        <w:t xml:space="preserve"> </w:t>
      </w:r>
      <w:r w:rsidR="00620A65" w:rsidRPr="00545318">
        <w:rPr>
          <w:lang w:val="en-AU"/>
        </w:rPr>
        <w:t>per cent</w:t>
      </w:r>
      <w:r w:rsidR="003660B7" w:rsidRPr="00545318">
        <w:rPr>
          <w:lang w:val="en-AU"/>
        </w:rPr>
        <w:t xml:space="preserve"> in 2015</w:t>
      </w:r>
      <w:r w:rsidR="001506AE" w:rsidRPr="00545318">
        <w:rPr>
          <w:lang w:val="en-AU"/>
        </w:rPr>
        <w:t xml:space="preserve"> as several mills reduced output or idled furnaces in response to the market downturn.</w:t>
      </w:r>
      <w:r w:rsidR="003660B7" w:rsidRPr="00545318">
        <w:rPr>
          <w:rStyle w:val="FootnoteReference"/>
          <w:lang w:val="en-AU"/>
        </w:rPr>
        <w:footnoteReference w:id="34"/>
      </w:r>
    </w:p>
    <w:p w14:paraId="218C4E09" w14:textId="77777777" w:rsidR="00CA3C53" w:rsidRPr="00545318" w:rsidRDefault="00CA3C53" w:rsidP="00CA3C53">
      <w:pPr>
        <w:pStyle w:val="Heading3"/>
        <w:spacing w:after="120"/>
      </w:pPr>
      <w:r w:rsidRPr="00545318">
        <w:t>Europe</w:t>
      </w:r>
    </w:p>
    <w:p w14:paraId="1E9A8404" w14:textId="77777777" w:rsidR="0002196F" w:rsidRPr="00545318" w:rsidRDefault="00F55965" w:rsidP="00CA3C53">
      <w:pPr>
        <w:spacing w:before="120" w:after="120"/>
      </w:pPr>
      <w:r w:rsidRPr="00545318">
        <w:t xml:space="preserve">In the early 1980s, </w:t>
      </w:r>
      <w:r w:rsidR="001A6F93" w:rsidRPr="00545318">
        <w:t xml:space="preserve">steel </w:t>
      </w:r>
      <w:r w:rsidRPr="00545318">
        <w:t xml:space="preserve">capacity utilisation fell as investments in new production facilities outstripped demand growth. National governments provided subsidies to prevent plant closures and potential job losses in regions where unemployment was already high. </w:t>
      </w:r>
      <w:r w:rsidR="001A6F93" w:rsidRPr="00545318">
        <w:t>S</w:t>
      </w:r>
      <w:r w:rsidRPr="00545318">
        <w:t xml:space="preserve">ome </w:t>
      </w:r>
      <w:r w:rsidR="001A6F93" w:rsidRPr="00545318">
        <w:t>previously-privatised steel producers were re-nationalised.</w:t>
      </w:r>
      <w:r w:rsidRPr="00545318">
        <w:t xml:space="preserve"> </w:t>
      </w:r>
      <w:r w:rsidR="001A6F93" w:rsidRPr="00545318">
        <w:t>Subsequently</w:t>
      </w:r>
      <w:r w:rsidRPr="00545318">
        <w:t xml:space="preserve">, </w:t>
      </w:r>
      <w:r w:rsidR="001A6F93" w:rsidRPr="00545318">
        <w:t>structural adjustment policies and programs to assist displaced workers were implemented to reduce excess</w:t>
      </w:r>
      <w:r w:rsidRPr="00545318">
        <w:t xml:space="preserve"> capacity and employment</w:t>
      </w:r>
      <w:r w:rsidR="001A6F93" w:rsidRPr="00545318">
        <w:t xml:space="preserve">, </w:t>
      </w:r>
      <w:r w:rsidRPr="00545318">
        <w:t xml:space="preserve">particularly in Germany, France and the United Kingdom. </w:t>
      </w:r>
    </w:p>
    <w:p w14:paraId="28C751A4" w14:textId="77777777" w:rsidR="00A0227C" w:rsidRPr="00545318" w:rsidRDefault="00A0227C" w:rsidP="00CA3C53">
      <w:pPr>
        <w:spacing w:before="120" w:after="120"/>
      </w:pPr>
      <w:r w:rsidRPr="00545318">
        <w:t>Significant restructuring took place in central and eastern European steel industries in the context of their EU accession in 2004 and 2007. The existing European member governments determined that accession would be conditional on privatisation and downsizing of central and eastern European steel companies, with the objective of preventing overproduction and a decline in steel prices in south-eastern Europe.</w:t>
      </w:r>
      <w:r w:rsidRPr="00545318">
        <w:rPr>
          <w:rStyle w:val="FootnoteReference"/>
        </w:rPr>
        <w:footnoteReference w:id="35"/>
      </w:r>
      <w:r w:rsidRPr="00545318">
        <w:t xml:space="preserve"> </w:t>
      </w:r>
    </w:p>
    <w:p w14:paraId="0193BF4C" w14:textId="43B4EEC7" w:rsidR="001506AE" w:rsidRPr="00545318" w:rsidRDefault="00F55965" w:rsidP="001506AE">
      <w:pPr>
        <w:spacing w:before="120" w:after="120"/>
        <w:rPr>
          <w:lang w:val="en-AU"/>
        </w:rPr>
      </w:pPr>
      <w:r w:rsidRPr="00545318">
        <w:t xml:space="preserve">Further plant closures and job losses </w:t>
      </w:r>
      <w:r w:rsidR="00A0227C" w:rsidRPr="00545318">
        <w:t xml:space="preserve">have </w:t>
      </w:r>
      <w:r w:rsidRPr="00545318">
        <w:t xml:space="preserve">occurred as a result of the </w:t>
      </w:r>
      <w:r w:rsidR="00A0227C" w:rsidRPr="00545318">
        <w:t>current</w:t>
      </w:r>
      <w:r w:rsidRPr="00545318">
        <w:t xml:space="preserve"> cyclical downturn.</w:t>
      </w:r>
      <w:r w:rsidR="00A0227C" w:rsidRPr="00545318">
        <w:t xml:space="preserve"> </w:t>
      </w:r>
      <w:r w:rsidR="001506AE" w:rsidRPr="00545318">
        <w:rPr>
          <w:lang w:val="en-AU"/>
        </w:rPr>
        <w:t xml:space="preserve">OECD figures indicate that production in the EU fell by 1.8 </w:t>
      </w:r>
      <w:r w:rsidR="00620A65" w:rsidRPr="00545318">
        <w:rPr>
          <w:lang w:val="en-AU"/>
        </w:rPr>
        <w:t>per cent</w:t>
      </w:r>
      <w:r w:rsidR="001506AE" w:rsidRPr="00545318">
        <w:rPr>
          <w:lang w:val="en-AU"/>
        </w:rPr>
        <w:t xml:space="preserve"> in 2015, mainly due to output declines in the U</w:t>
      </w:r>
      <w:r w:rsidRPr="00545318">
        <w:rPr>
          <w:lang w:val="en-AU"/>
        </w:rPr>
        <w:t xml:space="preserve">nited </w:t>
      </w:r>
      <w:r w:rsidR="001506AE" w:rsidRPr="00545318">
        <w:rPr>
          <w:lang w:val="en-AU"/>
        </w:rPr>
        <w:t>K</w:t>
      </w:r>
      <w:r w:rsidRPr="00545318">
        <w:rPr>
          <w:lang w:val="en-AU"/>
        </w:rPr>
        <w:t>ingdom</w:t>
      </w:r>
      <w:r w:rsidR="001506AE" w:rsidRPr="00545318">
        <w:rPr>
          <w:lang w:val="en-AU"/>
        </w:rPr>
        <w:t xml:space="preserve">, Italy and France, against almost flat production in Germany and positive growth in Poland. Steel output in the UK declined by a steep 10.4 </w:t>
      </w:r>
      <w:r w:rsidR="00620A65" w:rsidRPr="00545318">
        <w:rPr>
          <w:lang w:val="en-AU"/>
        </w:rPr>
        <w:t>per cent</w:t>
      </w:r>
      <w:r w:rsidR="001506AE" w:rsidRPr="00545318">
        <w:rPr>
          <w:lang w:val="en-AU"/>
        </w:rPr>
        <w:t xml:space="preserve"> in 2015, reflecting plant closures in the latter part of the year. The Italian steel industry is in a serious recession, with steel output declining by 7.1 </w:t>
      </w:r>
      <w:r w:rsidR="00620A65" w:rsidRPr="00545318">
        <w:rPr>
          <w:lang w:val="en-AU"/>
        </w:rPr>
        <w:t>per cent</w:t>
      </w:r>
      <w:r w:rsidR="001506AE" w:rsidRPr="00545318">
        <w:rPr>
          <w:lang w:val="en-AU"/>
        </w:rPr>
        <w:t xml:space="preserve"> in 2015, marking the fourth consecutive year of contraction. French output fell by 7.2 </w:t>
      </w:r>
      <w:r w:rsidR="00620A65" w:rsidRPr="00545318">
        <w:rPr>
          <w:lang w:val="en-AU"/>
        </w:rPr>
        <w:t>per cent</w:t>
      </w:r>
      <w:r w:rsidR="001506AE" w:rsidRPr="00545318">
        <w:rPr>
          <w:lang w:val="en-AU"/>
        </w:rPr>
        <w:t xml:space="preserve"> in 2015.</w:t>
      </w:r>
      <w:r w:rsidR="001506AE" w:rsidRPr="00545318">
        <w:rPr>
          <w:rStyle w:val="FootnoteReference"/>
          <w:lang w:val="en-AU"/>
        </w:rPr>
        <w:footnoteReference w:id="36"/>
      </w:r>
    </w:p>
    <w:p w14:paraId="06DE4DA4" w14:textId="77777777" w:rsidR="00505529" w:rsidRPr="00545318" w:rsidRDefault="00505529" w:rsidP="00505529">
      <w:pPr>
        <w:spacing w:before="120" w:after="120"/>
        <w:rPr>
          <w:lang w:val="en-AU"/>
        </w:rPr>
      </w:pPr>
      <w:r w:rsidRPr="00545318">
        <w:rPr>
          <w:lang w:val="en-AU"/>
        </w:rPr>
        <w:t>There are several ongoing investigations of government interference to prevent capacity closures in some European nations. For example:</w:t>
      </w:r>
    </w:p>
    <w:p w14:paraId="19725209" w14:textId="12F5E6A9" w:rsidR="00505529" w:rsidRPr="00545318" w:rsidRDefault="00505529" w:rsidP="00505529">
      <w:pPr>
        <w:autoSpaceDE w:val="0"/>
        <w:autoSpaceDN w:val="0"/>
        <w:adjustRightInd w:val="0"/>
        <w:ind w:left="720"/>
        <w:rPr>
          <w:sz w:val="20"/>
          <w:szCs w:val="20"/>
        </w:rPr>
      </w:pPr>
      <w:r w:rsidRPr="00545318">
        <w:rPr>
          <w:sz w:val="20"/>
          <w:szCs w:val="20"/>
        </w:rPr>
        <w:t xml:space="preserve">the European Commission recently concluded that a public authority controlled by the government in the Walloon region of Belgium “repeatedly granted support measures amounting to €211 million in state aid to companies of the Duferco group between 2006 and 2011”, which “artificially boosted the companies’ revenues and postponed the difficult yet necessary capacity adjustments in the Walloon steel industry”. </w:t>
      </w:r>
    </w:p>
    <w:p w14:paraId="52ED56A9" w14:textId="5520DF5A" w:rsidR="00505529" w:rsidRPr="00545318" w:rsidRDefault="00505529" w:rsidP="00505529">
      <w:pPr>
        <w:autoSpaceDE w:val="0"/>
        <w:autoSpaceDN w:val="0"/>
        <w:adjustRightInd w:val="0"/>
        <w:ind w:left="720"/>
        <w:rPr>
          <w:sz w:val="20"/>
          <w:szCs w:val="20"/>
        </w:rPr>
      </w:pPr>
      <w:r w:rsidRPr="00545318">
        <w:rPr>
          <w:sz w:val="20"/>
          <w:szCs w:val="20"/>
        </w:rPr>
        <w:t>… the Italian government took steps in recent years to prevent the closure of steelmaker Ilva SpA’s plant in Taranto, Italy, the largest steelmaking facility in Europe. The European Commission is now investigating the consistency with European state aid rules of the Italian government’s actions, which reportedly totalled approximately €2 billion and included “state guarantees on loans, a law giving loans granted to Ilva an absolute payment priority in case of bankruptcy, including over debt to public entities, a law allowing Ilva access to funds seized during ongoing criminal proceedings against Ilva’s shareholders and former management before those proceedings have established who owns these funds, and the settlement by payments to Ilva of a long standing dispute between State-owned Fintecna and Ilva.”</w:t>
      </w:r>
      <w:r w:rsidRPr="00545318">
        <w:rPr>
          <w:rStyle w:val="FootnoteReference"/>
          <w:sz w:val="20"/>
          <w:szCs w:val="20"/>
        </w:rPr>
        <w:footnoteReference w:id="37"/>
      </w:r>
    </w:p>
    <w:p w14:paraId="3EC95973" w14:textId="66FE898E" w:rsidR="00370A41" w:rsidRPr="00545318" w:rsidRDefault="00370A41" w:rsidP="00370A41">
      <w:pPr>
        <w:spacing w:before="120" w:after="120"/>
      </w:pPr>
      <w:r w:rsidRPr="00545318">
        <w:rPr>
          <w:color w:val="000000" w:themeColor="text1"/>
        </w:rPr>
        <w:t xml:space="preserve">European </w:t>
      </w:r>
      <w:r w:rsidR="007030F6" w:rsidRPr="00545318">
        <w:rPr>
          <w:color w:val="000000" w:themeColor="text1"/>
        </w:rPr>
        <w:t>nations</w:t>
      </w:r>
      <w:r w:rsidRPr="00545318">
        <w:rPr>
          <w:color w:val="000000" w:themeColor="text1"/>
        </w:rPr>
        <w:t xml:space="preserve"> have been subject to </w:t>
      </w:r>
      <w:r w:rsidR="008D0966" w:rsidRPr="00545318">
        <w:rPr>
          <w:color w:val="000000" w:themeColor="text1"/>
        </w:rPr>
        <w:t>anti-dumping and countervailing</w:t>
      </w:r>
      <w:r w:rsidRPr="00545318">
        <w:rPr>
          <w:color w:val="000000" w:themeColor="text1"/>
        </w:rPr>
        <w:t xml:space="preserve"> investigations, with a number currently ongoing, including in the Ukraine (3), France (2), Germany (1), United Kingdom (1), Austria (1), Belgium (1), Belarus (1), Italy (1), the Netherlands (1), Romania (1) Slovakia (1) and Serbia (1).</w:t>
      </w:r>
      <w:r w:rsidRPr="00545318">
        <w:rPr>
          <w:color w:val="000000" w:themeColor="text1"/>
          <w:vertAlign w:val="superscript"/>
        </w:rPr>
        <w:footnoteReference w:id="38"/>
      </w:r>
      <w:r w:rsidRPr="00545318">
        <w:rPr>
          <w:color w:val="000000" w:themeColor="text1"/>
        </w:rPr>
        <w:t xml:space="preserve"> Turkey is subject to four ongoing anti-dumping and countervailing investigations, three of which were initiated by the United States. Products covered by ongoing investigations concerning European countries include: hot rolled coil, sheet and plate; rebar and cut to length plate.</w:t>
      </w:r>
      <w:r w:rsidR="00A175BD" w:rsidRPr="00545318">
        <w:rPr>
          <w:color w:val="000000" w:themeColor="text1"/>
          <w:vertAlign w:val="superscript"/>
        </w:rPr>
        <w:footnoteReference w:id="39"/>
      </w:r>
      <w:r w:rsidRPr="00545318">
        <w:rPr>
          <w:color w:val="000000" w:themeColor="text1"/>
        </w:rPr>
        <w:t xml:space="preserve"> </w:t>
      </w:r>
      <w:r w:rsidRPr="00545318">
        <w:t>The Commission is not aware if claims of government intervention are factors in these investigations and will monitor the outcomes.</w:t>
      </w:r>
    </w:p>
    <w:p w14:paraId="0B50EBCA" w14:textId="3A60F9F3" w:rsidR="007030F6" w:rsidRPr="00545318" w:rsidRDefault="007030F6" w:rsidP="00370A41">
      <w:pPr>
        <w:spacing w:before="120" w:after="120"/>
        <w:rPr>
          <w:color w:val="000000" w:themeColor="text1"/>
        </w:rPr>
      </w:pPr>
      <w:r w:rsidRPr="00545318">
        <w:t>European nations have implemented other trade-related measures in relation to steel, which may or may not restrict trade. For example, in May 2016, the European Union imposed ‘prior union surveillance on imports of certain iron and steel products (excluding imports from Iceland, Norway and Liechtenstein), effective until 15 May 2020.</w:t>
      </w:r>
      <w:r w:rsidRPr="00545318">
        <w:rPr>
          <w:rStyle w:val="FootnoteReference"/>
        </w:rPr>
        <w:footnoteReference w:id="40"/>
      </w:r>
    </w:p>
    <w:p w14:paraId="586F4D77" w14:textId="77777777" w:rsidR="00F73FB3" w:rsidRPr="00545318" w:rsidRDefault="00F73FB3" w:rsidP="00F73FB3">
      <w:pPr>
        <w:pStyle w:val="Heading3"/>
        <w:spacing w:after="120"/>
      </w:pPr>
      <w:r w:rsidRPr="00545318">
        <w:t>Russia</w:t>
      </w:r>
    </w:p>
    <w:p w14:paraId="40FBB9CA" w14:textId="77777777" w:rsidR="002D6385" w:rsidRPr="00545318" w:rsidRDefault="006B3A9F" w:rsidP="00CA3C53">
      <w:pPr>
        <w:spacing w:before="120" w:after="120"/>
      </w:pPr>
      <w:r w:rsidRPr="00545318">
        <w:t xml:space="preserve">Prior to the dissolution of the Soviet Union in 1991, </w:t>
      </w:r>
      <w:r w:rsidR="002D6385" w:rsidRPr="00545318">
        <w:t xml:space="preserve">Soviet central planners had placed </w:t>
      </w:r>
      <w:r w:rsidRPr="00545318">
        <w:t>high priority on building the Soviet Union’s steelmaking capacity</w:t>
      </w:r>
      <w:r w:rsidR="002D6385" w:rsidRPr="00545318">
        <w:t xml:space="preserve">, including through subsidised energy and raw material inputs. </w:t>
      </w:r>
    </w:p>
    <w:p w14:paraId="4AD75FD2" w14:textId="77777777" w:rsidR="00435108" w:rsidRDefault="00435108">
      <w:pPr>
        <w:spacing w:after="200" w:line="276" w:lineRule="auto"/>
      </w:pPr>
      <w:r>
        <w:br w:type="page"/>
      </w:r>
    </w:p>
    <w:p w14:paraId="14135D97" w14:textId="2D0C459D" w:rsidR="00EA5A75" w:rsidRPr="00545318" w:rsidRDefault="00EA5A75" w:rsidP="00CA3C53">
      <w:pPr>
        <w:spacing w:before="120" w:after="120"/>
      </w:pPr>
      <w:r w:rsidRPr="00545318">
        <w:t>After 1991,</w:t>
      </w:r>
      <w:r w:rsidR="002D6385" w:rsidRPr="00545318">
        <w:t xml:space="preserve"> the steel industry was privatised and some capacity reductions occurred</w:t>
      </w:r>
      <w:r w:rsidRPr="00545318">
        <w:t>. However</w:t>
      </w:r>
      <w:r w:rsidR="002D6385" w:rsidRPr="00545318">
        <w:t>,</w:t>
      </w:r>
      <w:r w:rsidRPr="00545318">
        <w:t xml:space="preserve"> over the 1990s,</w:t>
      </w:r>
      <w:r w:rsidR="002D6385" w:rsidRPr="00545318">
        <w:t xml:space="preserve"> the Russian government and most steel firms resisted the required extensive restructuring of the remaining excess capacity, and closures of inefficient plants, that would have led to large job losses. State-controlled input suppliers continued to supply inputs</w:t>
      </w:r>
      <w:r w:rsidRPr="00545318">
        <w:t xml:space="preserve"> to the steel industry at discounted prices, particularly for gas and electricity, freight, and coal (which was directly subsidised by the Russian government). Other metal producers also benefited from below-cost input prices.</w:t>
      </w:r>
      <w:r w:rsidR="00BA5CF5" w:rsidRPr="00545318">
        <w:t xml:space="preserve"> </w:t>
      </w:r>
      <w:r w:rsidRPr="00545318">
        <w:t>In addition, steel producers (like other companies) bartered their products, failed to pay their bills or taxes, and continued to operate while insolvent.</w:t>
      </w:r>
      <w:r w:rsidRPr="00545318">
        <w:rPr>
          <w:rStyle w:val="FootnoteReference"/>
        </w:rPr>
        <w:footnoteReference w:id="41"/>
      </w:r>
    </w:p>
    <w:p w14:paraId="45FA3037" w14:textId="77777777" w:rsidR="00F81EDC" w:rsidRPr="00545318" w:rsidRDefault="00BA5CF5" w:rsidP="006B3A9F">
      <w:pPr>
        <w:spacing w:before="120" w:after="120"/>
      </w:pPr>
      <w:r w:rsidRPr="00545318">
        <w:t xml:space="preserve">As part of its accession to the WTO in 2012, </w:t>
      </w:r>
      <w:r w:rsidR="00F81EDC" w:rsidRPr="00545318">
        <w:t xml:space="preserve">the Russian government reduced tariffs on a range of industrial products including steel, reduced import fees and charges, and streamlined import procedures. It also reduced export duties on ferrous scrap (used in steel production). </w:t>
      </w:r>
      <w:r w:rsidR="00F54A03" w:rsidRPr="00545318">
        <w:t>However, some inputs to the steel and aluminium industries, such as natural gas, continue to be priced for the domestic market at below the export price.</w:t>
      </w:r>
      <w:r w:rsidR="00014B80" w:rsidRPr="00545318">
        <w:rPr>
          <w:rStyle w:val="FootnoteReference"/>
        </w:rPr>
        <w:footnoteReference w:id="42"/>
      </w:r>
    </w:p>
    <w:p w14:paraId="2A1876F6" w14:textId="77777777" w:rsidR="0091582C" w:rsidRPr="00545318" w:rsidRDefault="0091582C" w:rsidP="006B3A9F">
      <w:pPr>
        <w:spacing w:before="120" w:after="120"/>
        <w:rPr>
          <w:lang w:val="en-AU"/>
        </w:rPr>
      </w:pPr>
      <w:r w:rsidRPr="00545318">
        <w:t xml:space="preserve">In addition, </w:t>
      </w:r>
      <w:r w:rsidR="0004228F" w:rsidRPr="00545318">
        <w:rPr>
          <w:lang w:val="en-AU"/>
        </w:rPr>
        <w:t>steelmakers</w:t>
      </w:r>
      <w:r w:rsidRPr="00545318">
        <w:rPr>
          <w:lang w:val="en-AU"/>
        </w:rPr>
        <w:t xml:space="preserve"> are often </w:t>
      </w:r>
      <w:r w:rsidR="0004228F" w:rsidRPr="00545318">
        <w:rPr>
          <w:lang w:val="en-AU"/>
        </w:rPr>
        <w:t>funded</w:t>
      </w:r>
      <w:r w:rsidRPr="00545318">
        <w:rPr>
          <w:lang w:val="en-AU"/>
        </w:rPr>
        <w:t xml:space="preserve"> by government banks, sometimes with state guarantees. In 2014, VTB Bank issued a long-term RUB 1.2 billion loan to </w:t>
      </w:r>
      <w:r w:rsidRPr="00545318">
        <w:rPr>
          <w:iCs/>
          <w:lang w:val="en-AU"/>
        </w:rPr>
        <w:t>BVK Limited</w:t>
      </w:r>
      <w:r w:rsidRPr="00545318">
        <w:rPr>
          <w:lang w:val="en-AU"/>
        </w:rPr>
        <w:t xml:space="preserve"> (part of Konar Group, a Russian-Italian joint venture project), as a part of the Russian government’s import substitution plan</w:t>
      </w:r>
      <w:r w:rsidR="00F12A7E" w:rsidRPr="00545318">
        <w:rPr>
          <w:lang w:val="en-AU"/>
        </w:rPr>
        <w:t xml:space="preserve"> for steel.</w:t>
      </w:r>
      <w:r w:rsidR="00F12A7E" w:rsidRPr="00545318">
        <w:rPr>
          <w:rStyle w:val="FootnoteReference"/>
          <w:lang w:val="en-AU"/>
        </w:rPr>
        <w:footnoteReference w:id="43"/>
      </w:r>
    </w:p>
    <w:p w14:paraId="190A41AB" w14:textId="1AE8662B" w:rsidR="002C68B5" w:rsidRPr="00545318" w:rsidRDefault="002C68B5" w:rsidP="006B3A9F">
      <w:pPr>
        <w:spacing w:before="120" w:after="120"/>
      </w:pPr>
      <w:r w:rsidRPr="00545318">
        <w:rPr>
          <w:lang w:val="en-AU"/>
        </w:rPr>
        <w:t xml:space="preserve">It was reported in April 2016 that Russian steel producers planned to add more than nine million tons of crude </w:t>
      </w:r>
      <w:r w:rsidR="008A1C35" w:rsidRPr="00545318">
        <w:rPr>
          <w:lang w:val="en-AU"/>
        </w:rPr>
        <w:t xml:space="preserve">steel capacity in coming years, despite a ‘deep recession’ in the Russian economy, including highly depressed levels of steel demand and an average capacity utilisation rate in the steel industry of around 61 </w:t>
      </w:r>
      <w:r w:rsidR="00620A65" w:rsidRPr="00545318">
        <w:rPr>
          <w:lang w:val="en-AU"/>
        </w:rPr>
        <w:t>per cent</w:t>
      </w:r>
      <w:r w:rsidR="008A1C35" w:rsidRPr="00545318">
        <w:rPr>
          <w:lang w:val="en-AU"/>
        </w:rPr>
        <w:t>.</w:t>
      </w:r>
      <w:r w:rsidR="008A1C35" w:rsidRPr="00545318">
        <w:rPr>
          <w:rStyle w:val="FootnoteReference"/>
          <w:lang w:val="en-AU"/>
        </w:rPr>
        <w:footnoteReference w:id="44"/>
      </w:r>
      <w:r w:rsidR="008A1C35" w:rsidRPr="00545318">
        <w:rPr>
          <w:lang w:val="en-AU"/>
        </w:rPr>
        <w:t xml:space="preserve"> </w:t>
      </w:r>
    </w:p>
    <w:p w14:paraId="15B4C980" w14:textId="07E62F95" w:rsidR="00370A41" w:rsidRPr="00545318" w:rsidRDefault="00370A41" w:rsidP="00370A41">
      <w:pPr>
        <w:rPr>
          <w:color w:val="000000" w:themeColor="text1"/>
        </w:rPr>
      </w:pPr>
      <w:r w:rsidRPr="00545318">
        <w:rPr>
          <w:color w:val="000000" w:themeColor="text1"/>
        </w:rPr>
        <w:t>At present there are four ongoing investigations into steel exports from Russia. Investigations have been initiated by the European Union, Brazil, Turkey and India. Products covered by ongoing investigations concerning Russia include hot rolled coil, hot rolled sheet and hot rolled plate.</w:t>
      </w:r>
      <w:r w:rsidRPr="00545318">
        <w:rPr>
          <w:rStyle w:val="FootnoteReference"/>
          <w:color w:val="000000" w:themeColor="text1"/>
        </w:rPr>
        <w:footnoteReference w:id="45"/>
      </w:r>
    </w:p>
    <w:p w14:paraId="36C77515" w14:textId="77777777" w:rsidR="00CA3C53" w:rsidRPr="00545318" w:rsidRDefault="00CA3C53" w:rsidP="00CA3C53">
      <w:pPr>
        <w:pStyle w:val="Heading3"/>
        <w:spacing w:after="120"/>
      </w:pPr>
      <w:r w:rsidRPr="00545318">
        <w:t>Brazil</w:t>
      </w:r>
    </w:p>
    <w:p w14:paraId="1CE36520" w14:textId="77777777" w:rsidR="00CA3C53" w:rsidRPr="00545318" w:rsidRDefault="00E6242E" w:rsidP="00CA3C53">
      <w:pPr>
        <w:spacing w:before="120" w:after="120"/>
      </w:pPr>
      <w:r w:rsidRPr="00545318">
        <w:t xml:space="preserve">Over the 1990s, Brazil’s steel sector was largely privatised and this increased the role of market forces. But the domestic steel market continued to be insulated from competition through: market segmentation, cross-ownership and cooperative pricing among the three major flat steel producers; and import barriers in the form of tariffs, </w:t>
      </w:r>
      <w:r w:rsidR="00283DA4" w:rsidRPr="00545318">
        <w:t>import</w:t>
      </w:r>
      <w:r w:rsidRPr="00545318">
        <w:t xml:space="preserve"> taxes, and non-transparent import procedures. As a result, steelmakers were able to maintain high domestic prices which could be used to support low export prices.</w:t>
      </w:r>
      <w:r w:rsidR="00283DA4" w:rsidRPr="00545318">
        <w:rPr>
          <w:rStyle w:val="FootnoteReference"/>
        </w:rPr>
        <w:footnoteReference w:id="46"/>
      </w:r>
    </w:p>
    <w:p w14:paraId="7635E76D" w14:textId="1848C0BD" w:rsidR="00DB73BD" w:rsidRPr="00545318" w:rsidRDefault="00D76B01" w:rsidP="000471FB">
      <w:pPr>
        <w:spacing w:before="120" w:after="120"/>
      </w:pPr>
      <w:r w:rsidRPr="00545318">
        <w:t xml:space="preserve">The National Bank for Economic and Social Development (BNDES), which provides long-term financing for the country’s development, cut its investments in the steel sector by 33.6 </w:t>
      </w:r>
      <w:r w:rsidR="00620A65" w:rsidRPr="00545318">
        <w:t>per cent</w:t>
      </w:r>
      <w:r w:rsidRPr="00545318">
        <w:t xml:space="preserve"> from 2007-2010 and expected a further decline to 2015.</w:t>
      </w:r>
      <w:r w:rsidRPr="00545318">
        <w:rPr>
          <w:rStyle w:val="FootnoteReference"/>
        </w:rPr>
        <w:footnoteReference w:id="47"/>
      </w:r>
      <w:r w:rsidR="000471FB" w:rsidRPr="00545318">
        <w:t xml:space="preserve"> </w:t>
      </w:r>
    </w:p>
    <w:p w14:paraId="31581E66" w14:textId="77777777" w:rsidR="00435108" w:rsidRDefault="00435108">
      <w:pPr>
        <w:spacing w:after="200" w:line="276" w:lineRule="auto"/>
      </w:pPr>
      <w:r>
        <w:br w:type="page"/>
      </w:r>
    </w:p>
    <w:p w14:paraId="5AAB3379" w14:textId="4383C638" w:rsidR="00D76B01" w:rsidRPr="00545318" w:rsidRDefault="000471FB" w:rsidP="00DB73BD">
      <w:pPr>
        <w:spacing w:before="120" w:after="120"/>
      </w:pPr>
      <w:r w:rsidRPr="00545318">
        <w:t>However, d</w:t>
      </w:r>
      <w:r w:rsidRPr="00545318">
        <w:rPr>
          <w:lang w:val="en-AU"/>
        </w:rPr>
        <w:t>espite falling steel consumption in 2014 and 2015, Brazilian steelmakers were planning significant capacity increases, including a new blast furnace mill with three million tons of annual capacity, which is expected to fire up in the second quarter 2016. The mill, to be operated by a joint venture between Vale, Dongkuk and POSCO, will be located in the state special export zone of Ceará, where it reportedly will benefit from ‘advantages on shipments abroad.</w:t>
      </w:r>
      <w:r w:rsidRPr="00545318">
        <w:rPr>
          <w:rStyle w:val="FootnoteReference"/>
          <w:lang w:val="en-AU"/>
        </w:rPr>
        <w:footnoteReference w:id="48"/>
      </w:r>
      <w:r w:rsidR="00DB73BD" w:rsidRPr="00545318">
        <w:rPr>
          <w:lang w:val="en-AU"/>
        </w:rPr>
        <w:t xml:space="preserve"> It has been reported that BNDES announced that it would provide steel company Companhia Siderúrgica do Pecém (CSP) with up to USD 1 billion to build the mill at the Pecém Industrial Port Complex As CSP is partially owned by POSCO and Dongkuk Steel, the Korean Export-Import Bank is also reportedly lending significant support to the construction of the new mill.</w:t>
      </w:r>
      <w:r w:rsidR="00DB73BD" w:rsidRPr="00545318">
        <w:rPr>
          <w:rStyle w:val="FootnoteReference"/>
          <w:lang w:val="en-AU"/>
        </w:rPr>
        <w:footnoteReference w:id="49"/>
      </w:r>
    </w:p>
    <w:p w14:paraId="0DB924CB" w14:textId="0A30AC03" w:rsidR="00370A41" w:rsidRPr="00545318" w:rsidRDefault="00370A41" w:rsidP="00370A41">
      <w:pPr>
        <w:rPr>
          <w:color w:val="000000" w:themeColor="text1"/>
        </w:rPr>
      </w:pPr>
      <w:r w:rsidRPr="00545318">
        <w:t>In December 2015, the US Department of Commerce made a preliminary finding of countervailable subsidisation of certain cold</w:t>
      </w:r>
      <w:r w:rsidR="00DE7278">
        <w:t xml:space="preserve"> </w:t>
      </w:r>
      <w:r w:rsidRPr="00545318">
        <w:t>rolled steel flat products imported from Brazil.</w:t>
      </w:r>
      <w:r w:rsidRPr="00545318">
        <w:rPr>
          <w:rStyle w:val="FootnoteReference"/>
        </w:rPr>
        <w:footnoteReference w:id="50"/>
      </w:r>
      <w:r w:rsidRPr="00545318">
        <w:t xml:space="preserve"> </w:t>
      </w:r>
      <w:r w:rsidRPr="00545318">
        <w:rPr>
          <w:color w:val="000000" w:themeColor="text1"/>
        </w:rPr>
        <w:t>At present there are five ongoing investigations into steel exports from Brazil. They have been initiated by the United States, the European Union and India. Products covered by these investigations include hot rolled coil, hot rolled sheet and hot rolled plate.</w:t>
      </w:r>
      <w:r w:rsidRPr="00545318">
        <w:rPr>
          <w:rStyle w:val="FootnoteReference"/>
          <w:color w:val="000000" w:themeColor="text1"/>
        </w:rPr>
        <w:footnoteReference w:id="51"/>
      </w:r>
    </w:p>
    <w:p w14:paraId="5E459349" w14:textId="0D3B018F" w:rsidR="00272840" w:rsidRPr="00545318" w:rsidRDefault="00272840" w:rsidP="00272840">
      <w:pPr>
        <w:pStyle w:val="Heading3"/>
        <w:spacing w:after="120"/>
      </w:pPr>
      <w:r w:rsidRPr="00545318">
        <w:t>Turkey</w:t>
      </w:r>
    </w:p>
    <w:p w14:paraId="2E3047B0" w14:textId="29304EDF" w:rsidR="00272840" w:rsidRPr="00545318" w:rsidRDefault="0065318F" w:rsidP="000A02BD">
      <w:pPr>
        <w:spacing w:before="120" w:after="120"/>
        <w:rPr>
          <w:color w:val="000000" w:themeColor="text1"/>
          <w:lang w:val="en-AU"/>
        </w:rPr>
      </w:pPr>
      <w:r w:rsidRPr="00545318">
        <w:rPr>
          <w:color w:val="000000" w:themeColor="text1"/>
          <w:lang w:val="en-AU"/>
        </w:rPr>
        <w:t>The Turkish</w:t>
      </w:r>
      <w:r w:rsidR="00272840" w:rsidRPr="00545318">
        <w:rPr>
          <w:color w:val="000000" w:themeColor="text1"/>
          <w:lang w:val="en-AU"/>
        </w:rPr>
        <w:t xml:space="preserve"> steel industry has grown rapidly, jumping from the 17th largest crude steel-producing country in the world in 2000 to the 9th largest </w:t>
      </w:r>
      <w:r w:rsidRPr="00545318">
        <w:rPr>
          <w:color w:val="000000" w:themeColor="text1"/>
          <w:lang w:val="en-AU"/>
        </w:rPr>
        <w:t>in 2015</w:t>
      </w:r>
      <w:r w:rsidR="00272840" w:rsidRPr="00545318">
        <w:rPr>
          <w:color w:val="000000" w:themeColor="text1"/>
          <w:lang w:val="en-AU"/>
        </w:rPr>
        <w:t xml:space="preserve">. </w:t>
      </w:r>
      <w:r w:rsidRPr="00545318">
        <w:rPr>
          <w:color w:val="000000" w:themeColor="text1"/>
          <w:lang w:val="en-AU"/>
        </w:rPr>
        <w:t>This</w:t>
      </w:r>
      <w:r w:rsidR="00272840" w:rsidRPr="00545318">
        <w:rPr>
          <w:color w:val="000000" w:themeColor="text1"/>
          <w:lang w:val="en-AU"/>
        </w:rPr>
        <w:t xml:space="preserve"> dramatic growth </w:t>
      </w:r>
      <w:r w:rsidRPr="00545318">
        <w:rPr>
          <w:color w:val="000000" w:themeColor="text1"/>
          <w:lang w:val="en-AU"/>
        </w:rPr>
        <w:t>was</w:t>
      </w:r>
      <w:r w:rsidR="00272840" w:rsidRPr="00545318">
        <w:rPr>
          <w:color w:val="000000" w:themeColor="text1"/>
          <w:lang w:val="en-AU"/>
        </w:rPr>
        <w:t xml:space="preserve"> facilitated by significant subsidies from the Turkish government, including low-interest development bank loans, export credits and insurance, tax benefits, and the provision of low-cost inputs to suppliers. In addition, Turkish steel producers that generate power with their own coal-fired or natural gas power plants benefit from state-controlled pricing schemes, resulting in artificially low energy costs for such producers.</w:t>
      </w:r>
      <w:r w:rsidRPr="00545318">
        <w:rPr>
          <w:rStyle w:val="FootnoteReference"/>
          <w:color w:val="000000" w:themeColor="text1"/>
          <w:lang w:val="en-AU"/>
        </w:rPr>
        <w:footnoteReference w:id="52"/>
      </w:r>
    </w:p>
    <w:p w14:paraId="43E593C6" w14:textId="242558D8" w:rsidR="000A02BD" w:rsidRPr="00545318" w:rsidRDefault="000A02BD" w:rsidP="000A02BD">
      <w:pPr>
        <w:spacing w:before="120" w:after="120"/>
        <w:rPr>
          <w:color w:val="000000" w:themeColor="text1"/>
        </w:rPr>
      </w:pPr>
      <w:r w:rsidRPr="00545318">
        <w:rPr>
          <w:color w:val="000000" w:themeColor="text1"/>
          <w:lang w:val="en-AU"/>
        </w:rPr>
        <w:t>In May 2016, it was reported that Turkey had increased its import tariffs on certain flat</w:t>
      </w:r>
      <w:r w:rsidR="00DE7278">
        <w:rPr>
          <w:color w:val="000000" w:themeColor="text1"/>
          <w:lang w:val="en-AU"/>
        </w:rPr>
        <w:t xml:space="preserve"> </w:t>
      </w:r>
      <w:r w:rsidRPr="00545318">
        <w:rPr>
          <w:color w:val="000000" w:themeColor="text1"/>
          <w:lang w:val="en-AU"/>
        </w:rPr>
        <w:t xml:space="preserve">rolled stainless iron and steel products from 8 to 10 </w:t>
      </w:r>
      <w:r w:rsidR="00620A65" w:rsidRPr="00545318">
        <w:rPr>
          <w:color w:val="000000" w:themeColor="text1"/>
          <w:lang w:val="en-AU"/>
        </w:rPr>
        <w:t>per cent</w:t>
      </w:r>
      <w:r w:rsidRPr="00545318">
        <w:rPr>
          <w:color w:val="000000" w:themeColor="text1"/>
          <w:lang w:val="en-AU"/>
        </w:rPr>
        <w:t>.</w:t>
      </w:r>
      <w:r w:rsidR="00155AD3" w:rsidRPr="00545318">
        <w:rPr>
          <w:rStyle w:val="FootnoteReference"/>
          <w:color w:val="000000" w:themeColor="text1"/>
          <w:lang w:val="en-AU"/>
        </w:rPr>
        <w:footnoteReference w:id="53"/>
      </w:r>
    </w:p>
    <w:p w14:paraId="4AF19562" w14:textId="77777777" w:rsidR="00CA3C53" w:rsidRPr="00545318" w:rsidRDefault="00CA3C53" w:rsidP="00CA3C53">
      <w:pPr>
        <w:pStyle w:val="Heading2"/>
      </w:pPr>
      <w:bookmarkStart w:id="34" w:name="_Toc458674158"/>
      <w:bookmarkStart w:id="35" w:name="_Toc460430488"/>
      <w:r w:rsidRPr="00545318">
        <w:t>Asian government interventions in steel and aluminium markets</w:t>
      </w:r>
      <w:bookmarkEnd w:id="34"/>
      <w:bookmarkEnd w:id="35"/>
    </w:p>
    <w:p w14:paraId="30FCA546" w14:textId="77777777" w:rsidR="00551E1A" w:rsidRPr="00545318" w:rsidRDefault="00374264" w:rsidP="00374264">
      <w:pPr>
        <w:spacing w:before="120" w:after="120"/>
      </w:pPr>
      <w:r w:rsidRPr="00545318">
        <w:t xml:space="preserve">Asian governments are not unusual in intervening in steel and aluminium markets. However, </w:t>
      </w:r>
      <w:r w:rsidR="00551E1A" w:rsidRPr="00545318">
        <w:t>the nature and extent of Asian government interventions, and the relative magnitude of Chinese production,</w:t>
      </w:r>
      <w:r w:rsidR="00637C99" w:rsidRPr="00545318">
        <w:rPr>
          <w:rStyle w:val="FootnoteReference"/>
        </w:rPr>
        <w:footnoteReference w:id="54"/>
      </w:r>
      <w:r w:rsidR="00551E1A" w:rsidRPr="00545318">
        <w:t xml:space="preserve"> has meant that these interventions have been major contributing factors—</w:t>
      </w:r>
      <w:r w:rsidR="00AD4D44" w:rsidRPr="00545318">
        <w:t>although</w:t>
      </w:r>
      <w:r w:rsidR="00551E1A" w:rsidRPr="00545318">
        <w:t xml:space="preserve"> not the only contributors—to sustained global overcapacity, ongoing excess production, the build-up of large stockpiles (especially alumin</w:t>
      </w:r>
      <w:r w:rsidR="005038AE" w:rsidRPr="00545318">
        <w:t>i</w:t>
      </w:r>
      <w:r w:rsidR="00551E1A" w:rsidRPr="00545318">
        <w:t>um), and depressed world prices</w:t>
      </w:r>
      <w:r w:rsidR="00AD4D44" w:rsidRPr="00545318">
        <w:t>.</w:t>
      </w:r>
    </w:p>
    <w:p w14:paraId="4C22D4E5" w14:textId="77777777" w:rsidR="00435108" w:rsidRDefault="00E70022" w:rsidP="00473D3C">
      <w:pPr>
        <w:spacing w:before="120" w:after="120"/>
      </w:pPr>
      <w:r w:rsidRPr="00545318">
        <w:t>Many of the policies adopted by Asian governments would meet the OECD’s definition of being market distorting in that they have the effect of sustaining ongoing overcapacity by supporting the building of new capacity or keeping inefficient facilities in operation. The impact of such policies in Asia is shown in Figure 3.1, which compares how</w:t>
      </w:r>
      <w:r w:rsidR="00473D3C" w:rsidRPr="00545318">
        <w:t xml:space="preserve"> imbalances between steelmaking capacity and </w:t>
      </w:r>
    </w:p>
    <w:p w14:paraId="24DC7E2D" w14:textId="77777777" w:rsidR="00435108" w:rsidRDefault="00435108">
      <w:pPr>
        <w:spacing w:after="200" w:line="276" w:lineRule="auto"/>
      </w:pPr>
      <w:r>
        <w:br w:type="page"/>
      </w:r>
    </w:p>
    <w:p w14:paraId="675D2BA5" w14:textId="6F4E2B35" w:rsidR="00473D3C" w:rsidRPr="00545318" w:rsidRDefault="00473D3C" w:rsidP="00473D3C">
      <w:pPr>
        <w:spacing w:before="120" w:after="120"/>
      </w:pPr>
      <w:r w:rsidRPr="00545318">
        <w:t xml:space="preserve">steel consumption </w:t>
      </w:r>
      <w:r w:rsidR="00E70022" w:rsidRPr="00545318">
        <w:t xml:space="preserve">in different regions changed over </w:t>
      </w:r>
      <w:r w:rsidRPr="00545318">
        <w:t xml:space="preserve">2015 and 2016. The largest widening of the imbalance </w:t>
      </w:r>
      <w:r w:rsidR="00E70022" w:rsidRPr="00545318">
        <w:t>was</w:t>
      </w:r>
      <w:r w:rsidRPr="00545318">
        <w:t xml:space="preserve"> in Asia.</w:t>
      </w:r>
      <w:r w:rsidR="003F257E" w:rsidRPr="00545318">
        <w:t xml:space="preserve"> Further, Asian state-owned enterprises </w:t>
      </w:r>
      <w:r w:rsidR="00A04596" w:rsidRPr="00545318">
        <w:t>are financing</w:t>
      </w:r>
      <w:r w:rsidR="003F257E" w:rsidRPr="00545318">
        <w:t xml:space="preserve"> most of the </w:t>
      </w:r>
      <w:r w:rsidR="00A04596" w:rsidRPr="00545318">
        <w:t xml:space="preserve">new </w:t>
      </w:r>
      <w:r w:rsidR="003F257E" w:rsidRPr="00545318">
        <w:t xml:space="preserve">investments in expanding </w:t>
      </w:r>
      <w:r w:rsidR="00A04596" w:rsidRPr="00545318">
        <w:t xml:space="preserve">state-owned </w:t>
      </w:r>
      <w:r w:rsidR="003F257E" w:rsidRPr="00545318">
        <w:t>crude steel production capability world-wide.</w:t>
      </w:r>
      <w:r w:rsidR="003F257E" w:rsidRPr="00545318">
        <w:rPr>
          <w:rStyle w:val="FootnoteReference"/>
        </w:rPr>
        <w:footnoteReference w:id="55"/>
      </w:r>
      <w:r w:rsidR="003F257E" w:rsidRPr="00545318">
        <w:t xml:space="preserve"> </w:t>
      </w:r>
    </w:p>
    <w:p w14:paraId="7C604223" w14:textId="77777777" w:rsidR="00473D3C" w:rsidRPr="00545318" w:rsidRDefault="00473D3C" w:rsidP="00473D3C">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3.1: Steelmaking capacity and steel consumption changes by region in 2015 and 2016 (total volume change in mmt)</w:t>
      </w:r>
    </w:p>
    <w:p w14:paraId="13D639D2" w14:textId="77777777" w:rsidR="00473D3C" w:rsidRPr="00545318" w:rsidRDefault="00473D3C" w:rsidP="00473D3C">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noProof/>
          <w:color w:val="4F81BD" w:themeColor="accent1"/>
          <w:sz w:val="18"/>
          <w:szCs w:val="18"/>
          <w:lang w:val="en-AU" w:eastAsia="en-AU"/>
        </w:rPr>
        <w:drawing>
          <wp:inline distT="0" distB="0" distL="0" distR="0" wp14:anchorId="4D748062" wp14:editId="096E1AD4">
            <wp:extent cx="4857750" cy="2952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57750" cy="2952750"/>
                    </a:xfrm>
                    <a:prstGeom prst="rect">
                      <a:avLst/>
                    </a:prstGeom>
                    <a:noFill/>
                    <a:ln>
                      <a:noFill/>
                    </a:ln>
                  </pic:spPr>
                </pic:pic>
              </a:graphicData>
            </a:graphic>
          </wp:inline>
        </w:drawing>
      </w:r>
    </w:p>
    <w:p w14:paraId="1C74DF92" w14:textId="77777777" w:rsidR="00473D3C" w:rsidRPr="00545318" w:rsidRDefault="00473D3C" w:rsidP="00F36A74">
      <w:pPr>
        <w:keepLines/>
        <w:pBdr>
          <w:bottom w:val="single" w:sz="4" w:space="1" w:color="595A5B"/>
        </w:pBdr>
        <w:spacing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OECD calculations in </w:t>
      </w:r>
      <w:r w:rsidRPr="00545318">
        <w:rPr>
          <w:rFonts w:ascii="Arial" w:eastAsia="Times New Roman" w:hAnsi="Arial" w:cs="Arial"/>
          <w:i/>
          <w:color w:val="22789A"/>
          <w:sz w:val="16"/>
          <w:szCs w:val="20"/>
          <w:lang w:val="en-AU"/>
        </w:rPr>
        <w:t>Steel Market Developments, Q4 2015</w:t>
      </w:r>
      <w:r w:rsidRPr="00545318">
        <w:rPr>
          <w:rFonts w:ascii="Arial" w:eastAsia="Times New Roman" w:hAnsi="Arial" w:cs="Arial"/>
          <w:color w:val="22789A"/>
          <w:sz w:val="16"/>
          <w:szCs w:val="20"/>
          <w:lang w:val="en-AU"/>
        </w:rPr>
        <w:t>, 2016, p. 21, http://www.oecd.org/sti/ind/Steel-market-developments-2015Q4.pdf.</w:t>
      </w:r>
    </w:p>
    <w:p w14:paraId="4AB192F2" w14:textId="77777777" w:rsidR="00473D3C" w:rsidRPr="00545318" w:rsidRDefault="0083622F" w:rsidP="00374264">
      <w:pPr>
        <w:spacing w:before="120" w:after="120"/>
      </w:pPr>
      <w:r w:rsidRPr="00545318">
        <w:t xml:space="preserve">The rest of this chapter </w:t>
      </w:r>
      <w:r w:rsidR="0007619E" w:rsidRPr="00545318">
        <w:t>analyses</w:t>
      </w:r>
      <w:r w:rsidRPr="00545318">
        <w:t xml:space="preserve"> the </w:t>
      </w:r>
      <w:r w:rsidR="0007619E" w:rsidRPr="00545318">
        <w:t>evidence on</w:t>
      </w:r>
      <w:r w:rsidRPr="00545318">
        <w:t xml:space="preserve"> government interventions in steel and aluminium markets in Asia. Given the size and significance of China as a producer of steel and aluminium, and as an exporter of steel, the Commission</w:t>
      </w:r>
      <w:r w:rsidR="00604604" w:rsidRPr="00545318">
        <w:t>’s main focus</w:t>
      </w:r>
      <w:r w:rsidRPr="00545318">
        <w:t xml:space="preserve"> has </w:t>
      </w:r>
      <w:r w:rsidR="00604604" w:rsidRPr="00545318">
        <w:t>been on</w:t>
      </w:r>
      <w:r w:rsidRPr="00545318">
        <w:t xml:space="preserve"> understanding the situation in China.</w:t>
      </w:r>
      <w:r w:rsidR="00604604" w:rsidRPr="00545318">
        <w:t xml:space="preserve"> While</w:t>
      </w:r>
      <w:r w:rsidRPr="00545318">
        <w:t xml:space="preserve"> the Commission has </w:t>
      </w:r>
      <w:r w:rsidR="00604604" w:rsidRPr="00545318">
        <w:t>also sought</w:t>
      </w:r>
      <w:r w:rsidRPr="00545318">
        <w:t xml:space="preserve"> to </w:t>
      </w:r>
      <w:r w:rsidR="00604604" w:rsidRPr="00545318">
        <w:t>identify and analyse other Asian government interventions in steel and aluminium markets, its analysis has been limited by difficulties in accessing the necessary data and information within the timeframe for this report.</w:t>
      </w:r>
    </w:p>
    <w:p w14:paraId="195F1C84" w14:textId="77777777" w:rsidR="00604604" w:rsidRPr="00545318" w:rsidRDefault="00604604" w:rsidP="00374264">
      <w:pPr>
        <w:spacing w:before="120" w:after="120"/>
      </w:pPr>
      <w:r w:rsidRPr="00545318">
        <w:t xml:space="preserve">The Commission will continue to monitor the work of the OECD Steel Committee and conduct its own research and analysis to improve its market intelligence and understanding of market conditions and government interventions </w:t>
      </w:r>
      <w:r w:rsidR="00DE1536" w:rsidRPr="00545318">
        <w:t>globally and in the</w:t>
      </w:r>
      <w:r w:rsidRPr="00545318">
        <w:t xml:space="preserve"> Asian </w:t>
      </w:r>
      <w:r w:rsidR="00DE1536" w:rsidRPr="00545318">
        <w:t>region</w:t>
      </w:r>
      <w:r w:rsidRPr="00545318">
        <w:t>.</w:t>
      </w:r>
    </w:p>
    <w:p w14:paraId="70D5BC2E" w14:textId="77777777" w:rsidR="00374264" w:rsidRPr="00545318" w:rsidRDefault="00374264" w:rsidP="00374264">
      <w:pPr>
        <w:pStyle w:val="Heading2"/>
      </w:pPr>
      <w:bookmarkStart w:id="36" w:name="_Toc458674159"/>
      <w:bookmarkStart w:id="37" w:name="_Toc460430489"/>
      <w:r w:rsidRPr="00545318">
        <w:t>Steel industry: Chinese government interventions</w:t>
      </w:r>
      <w:bookmarkEnd w:id="36"/>
      <w:bookmarkEnd w:id="37"/>
    </w:p>
    <w:p w14:paraId="52A134CF" w14:textId="77777777" w:rsidR="00374264" w:rsidRPr="00545318" w:rsidRDefault="00374264" w:rsidP="00374264">
      <w:pPr>
        <w:spacing w:before="120" w:after="120"/>
      </w:pPr>
      <w:r w:rsidRPr="00545318">
        <w:t xml:space="preserve">The Chinese Government has played a central role in the development of the Chinese steel industry over an extended time period. </w:t>
      </w:r>
    </w:p>
    <w:p w14:paraId="0D73CC08" w14:textId="20BB8897" w:rsidR="00374264" w:rsidRPr="00545318" w:rsidRDefault="00374264" w:rsidP="00374264">
      <w:pPr>
        <w:spacing w:before="120" w:after="120"/>
      </w:pPr>
      <w:r w:rsidRPr="00545318">
        <w:t>A 2014 CBSA report noted that the Chinese Government classified the ‘Iron and Steel Industry’ as a ‘fundamental or pillar’ industry.</w:t>
      </w:r>
      <w:r w:rsidRPr="00545318">
        <w:rPr>
          <w:vertAlign w:val="superscript"/>
        </w:rPr>
        <w:footnoteReference w:id="56"/>
      </w:r>
      <w:r w:rsidRPr="00545318">
        <w:rPr>
          <w:vertAlign w:val="superscript"/>
        </w:rPr>
        <w:t xml:space="preserve"> </w:t>
      </w:r>
      <w:r w:rsidRPr="00545318">
        <w:t xml:space="preserve"> As such, the Chinese Government has been heavily involved in directing and controlling the structure, composition, growth and financial viability of the steel industry through numerous plans and directives,</w:t>
      </w:r>
      <w:r w:rsidRPr="00545318">
        <w:rPr>
          <w:vertAlign w:val="superscript"/>
        </w:rPr>
        <w:footnoteReference w:id="57"/>
      </w:r>
      <w:r w:rsidRPr="00545318">
        <w:t xml:space="preserve"> subsidy programs, taxation arrangements and the significant number of state owned steel companies, and the National Development Reform Commission’s (NDRC) responsibility for approving all large steel projects.</w:t>
      </w:r>
      <w:r w:rsidRPr="00545318">
        <w:rPr>
          <w:vertAlign w:val="superscript"/>
        </w:rPr>
        <w:footnoteReference w:id="58"/>
      </w:r>
      <w:r w:rsidR="00F5311E" w:rsidRPr="00545318">
        <w:t xml:space="preserve"> More information on these interventions is set out below.</w:t>
      </w:r>
    </w:p>
    <w:p w14:paraId="5F32C489" w14:textId="3B02AB63" w:rsidR="005E14E6" w:rsidRPr="00545318" w:rsidRDefault="005E14E6" w:rsidP="00374264">
      <w:pPr>
        <w:spacing w:before="120" w:after="120"/>
      </w:pPr>
      <w:r w:rsidRPr="00545318">
        <w:t xml:space="preserve">Concerns regarding the role of the Chinese Government </w:t>
      </w:r>
      <w:r w:rsidR="00BB278D" w:rsidRPr="00545318">
        <w:t xml:space="preserve">involvement </w:t>
      </w:r>
      <w:r w:rsidRPr="00545318">
        <w:t>within the Chinese</w:t>
      </w:r>
      <w:r w:rsidR="00BB278D" w:rsidRPr="00545318">
        <w:t xml:space="preserve"> steel sector</w:t>
      </w:r>
      <w:r w:rsidRPr="00545318">
        <w:t xml:space="preserve"> </w:t>
      </w:r>
      <w:r w:rsidR="008A2653" w:rsidRPr="00545318">
        <w:t>have been expressed by five America</w:t>
      </w:r>
      <w:r w:rsidR="00F5311E" w:rsidRPr="00545318">
        <w:t>n</w:t>
      </w:r>
      <w:r w:rsidR="008A2653" w:rsidRPr="00545318">
        <w:t xml:space="preserve"> trade associations.</w:t>
      </w:r>
      <w:r w:rsidR="00695B99" w:rsidRPr="00545318">
        <w:rPr>
          <w:rStyle w:val="FootnoteReference"/>
        </w:rPr>
        <w:footnoteReference w:id="59"/>
      </w:r>
      <w:r w:rsidR="00695B99" w:rsidRPr="00545318">
        <w:t xml:space="preserve"> </w:t>
      </w:r>
      <w:r w:rsidR="00BB278D" w:rsidRPr="00545318">
        <w:t>A</w:t>
      </w:r>
      <w:r w:rsidR="008A2653" w:rsidRPr="00545318">
        <w:t>nalysis by the</w:t>
      </w:r>
      <w:r w:rsidR="00BB278D" w:rsidRPr="00545318">
        <w:t xml:space="preserve">se associations identified numerous programs through which the Chinese Government </w:t>
      </w:r>
      <w:r w:rsidR="00F5311E" w:rsidRPr="00545318">
        <w:t>is alleged to have</w:t>
      </w:r>
      <w:r w:rsidR="00BB278D" w:rsidRPr="00545318">
        <w:t xml:space="preserve"> provided support t</w:t>
      </w:r>
      <w:r w:rsidR="000F3D8A" w:rsidRPr="00545318">
        <w:t xml:space="preserve">o the sector and directly contributed to </w:t>
      </w:r>
      <w:r w:rsidR="00F5311E" w:rsidRPr="00545318">
        <w:t>high</w:t>
      </w:r>
      <w:r w:rsidR="008A2653" w:rsidRPr="00545318">
        <w:t xml:space="preserve"> </w:t>
      </w:r>
      <w:r w:rsidR="000F3D8A" w:rsidRPr="00545318">
        <w:t>level</w:t>
      </w:r>
      <w:r w:rsidR="00F5311E" w:rsidRPr="00545318">
        <w:t>s</w:t>
      </w:r>
      <w:r w:rsidR="000F3D8A" w:rsidRPr="00545318">
        <w:t xml:space="preserve"> of </w:t>
      </w:r>
      <w:r w:rsidR="00BB278D" w:rsidRPr="00545318">
        <w:t>overcapacity and</w:t>
      </w:r>
      <w:r w:rsidR="000F3D8A" w:rsidRPr="00545318">
        <w:t xml:space="preserve"> producer fragmentation</w:t>
      </w:r>
      <w:r w:rsidR="00BB278D" w:rsidRPr="00545318">
        <w:t xml:space="preserve">. Support mechanisms included: cash grants; equity infusions; government-mandated mergers and acquisitions; preferential loans and directed credit; land use subsidies; subsidies for utilities; raw material price controls; tax policies; currency policies; and lax enforcement of environmental regulation. </w:t>
      </w:r>
    </w:p>
    <w:p w14:paraId="442EB49B" w14:textId="77777777" w:rsidR="00374264" w:rsidRPr="00545318" w:rsidRDefault="00374264" w:rsidP="0040301E">
      <w:pPr>
        <w:pStyle w:val="Heading3"/>
        <w:spacing w:after="120"/>
      </w:pPr>
      <w:bookmarkStart w:id="38" w:name="_Toc443159503"/>
      <w:r w:rsidRPr="00545318">
        <w:t xml:space="preserve">Chinese Government subsidies </w:t>
      </w:r>
      <w:bookmarkEnd w:id="38"/>
      <w:r w:rsidRPr="00545318">
        <w:t>and tax concessions</w:t>
      </w:r>
    </w:p>
    <w:p w14:paraId="4ED37320" w14:textId="77777777" w:rsidR="00374264" w:rsidRPr="00545318" w:rsidRDefault="00374264" w:rsidP="00374264">
      <w:pPr>
        <w:spacing w:before="120" w:after="120"/>
      </w:pPr>
      <w:r w:rsidRPr="00545318">
        <w:t>The Commission has found evidence of a range of different subsidies and tax concessions provided by the Chinese Government to the Chinese steel industry, including:</w:t>
      </w:r>
      <w:r w:rsidRPr="00545318">
        <w:rPr>
          <w:vertAlign w:val="superscript"/>
        </w:rPr>
        <w:footnoteReference w:id="60"/>
      </w:r>
    </w:p>
    <w:p w14:paraId="20F48425" w14:textId="77777777" w:rsidR="00374264" w:rsidRPr="00545318" w:rsidRDefault="00374264" w:rsidP="0028410A">
      <w:pPr>
        <w:numPr>
          <w:ilvl w:val="0"/>
          <w:numId w:val="20"/>
        </w:numPr>
        <w:spacing w:before="120" w:after="120"/>
      </w:pPr>
      <w:r w:rsidRPr="00545318">
        <w:t xml:space="preserve">subsidisation of raw inputs (such as coal and electricity) </w:t>
      </w:r>
    </w:p>
    <w:p w14:paraId="5F7E3A09" w14:textId="77777777" w:rsidR="00374264" w:rsidRPr="00545318" w:rsidRDefault="00374264" w:rsidP="0028410A">
      <w:pPr>
        <w:numPr>
          <w:ilvl w:val="0"/>
          <w:numId w:val="20"/>
        </w:numPr>
        <w:spacing w:before="120" w:after="120"/>
      </w:pPr>
      <w:r w:rsidRPr="00545318">
        <w:t>land use tax deductions</w:t>
      </w:r>
    </w:p>
    <w:p w14:paraId="088546C3" w14:textId="77777777" w:rsidR="00374264" w:rsidRPr="00545318" w:rsidRDefault="00374264" w:rsidP="0028410A">
      <w:pPr>
        <w:numPr>
          <w:ilvl w:val="0"/>
          <w:numId w:val="20"/>
        </w:numPr>
        <w:spacing w:before="120" w:after="120"/>
      </w:pPr>
      <w:r w:rsidRPr="00545318">
        <w:t>tariff and value-added tax (VAT) exemptions on imported materials and equipment</w:t>
      </w:r>
    </w:p>
    <w:p w14:paraId="7BF851FF" w14:textId="77777777" w:rsidR="00374264" w:rsidRPr="00545318" w:rsidRDefault="00374264" w:rsidP="0028410A">
      <w:pPr>
        <w:numPr>
          <w:ilvl w:val="0"/>
          <w:numId w:val="20"/>
        </w:numPr>
        <w:spacing w:before="120" w:after="120"/>
      </w:pPr>
      <w:r w:rsidRPr="00545318">
        <w:t xml:space="preserve">preferential tax policies for enterprises with foreign investment </w:t>
      </w:r>
    </w:p>
    <w:p w14:paraId="006E9575" w14:textId="77777777" w:rsidR="00374264" w:rsidRPr="00545318" w:rsidRDefault="00374264" w:rsidP="0028410A">
      <w:pPr>
        <w:numPr>
          <w:ilvl w:val="0"/>
          <w:numId w:val="20"/>
        </w:numPr>
        <w:spacing w:before="120" w:after="120"/>
      </w:pPr>
      <w:r w:rsidRPr="00545318">
        <w:t>preferential tax policies for specific regions</w:t>
      </w:r>
    </w:p>
    <w:p w14:paraId="2D6859AF" w14:textId="77777777" w:rsidR="00374264" w:rsidRPr="00545318" w:rsidRDefault="00374264" w:rsidP="0028410A">
      <w:pPr>
        <w:numPr>
          <w:ilvl w:val="0"/>
          <w:numId w:val="20"/>
        </w:numPr>
        <w:spacing w:before="120" w:after="120"/>
      </w:pPr>
      <w:r w:rsidRPr="00545318">
        <w:t>preferential tax policies for high and new technology enterprises</w:t>
      </w:r>
    </w:p>
    <w:p w14:paraId="1745608D" w14:textId="77777777" w:rsidR="00374264" w:rsidRPr="00545318" w:rsidRDefault="00374264" w:rsidP="007677C4">
      <w:pPr>
        <w:numPr>
          <w:ilvl w:val="0"/>
          <w:numId w:val="20"/>
        </w:numPr>
        <w:spacing w:before="120" w:after="120"/>
        <w:ind w:left="714" w:hanging="357"/>
      </w:pPr>
      <w:r w:rsidRPr="00545318">
        <w:t>special support funds for non</w:t>
      </w:r>
      <w:r w:rsidR="009A42E3" w:rsidRPr="00545318">
        <w:t>-</w:t>
      </w:r>
      <w:r w:rsidRPr="00545318">
        <w:t>state-owned enterprises.</w:t>
      </w:r>
    </w:p>
    <w:p w14:paraId="5B95B542" w14:textId="77777777" w:rsidR="00374264" w:rsidRPr="00545318" w:rsidRDefault="00374264" w:rsidP="00374264">
      <w:pPr>
        <w:spacing w:before="120" w:after="120"/>
      </w:pPr>
      <w:r w:rsidRPr="00545318">
        <w:t xml:space="preserve">These subsidies and tax concessions reduce the operating costs of Chinese steel enterprises, confer a competitive advantage through the ability to offer steel products at lower prices, and increase the profitability of steel production. </w:t>
      </w:r>
    </w:p>
    <w:p w14:paraId="195797BB" w14:textId="77777777" w:rsidR="00374264" w:rsidRPr="00545318" w:rsidRDefault="00374264" w:rsidP="00374264">
      <w:pPr>
        <w:spacing w:before="120" w:after="120"/>
      </w:pPr>
      <w:r w:rsidRPr="00545318">
        <w:t>By altering the VAT rebates or export taxes applied to steel exports, the Chinese Government has altered the relative profitability of different types of steel exports and of exports compared to domestic sales. This has changed steel producers’ relative incentives to sell steel products in domestic compared to export markets. Through these mechanisms for altering the relative supply of particular steel products in the domestic market, the Chinese Government has been able to influence the domestic price for those products.</w:t>
      </w:r>
    </w:p>
    <w:p w14:paraId="12D94C4A" w14:textId="77777777" w:rsidR="00435108" w:rsidRDefault="00435108">
      <w:pPr>
        <w:spacing w:after="200" w:line="276" w:lineRule="auto"/>
      </w:pPr>
      <w:r>
        <w:br w:type="page"/>
      </w:r>
    </w:p>
    <w:p w14:paraId="5064AE8F" w14:textId="39E149CF" w:rsidR="00374264" w:rsidRPr="00545318" w:rsidRDefault="00374264" w:rsidP="00374264">
      <w:pPr>
        <w:spacing w:before="120" w:after="120"/>
      </w:pPr>
      <w:r w:rsidRPr="00545318">
        <w:t>For example, in January 2015, the Chinese Government reduced the VAT rebate on steel products containing boron, which accounts for around 40</w:t>
      </w:r>
      <w:r w:rsidR="003D2B85" w:rsidRPr="00545318">
        <w:t xml:space="preserve"> </w:t>
      </w:r>
      <w:r w:rsidR="00620A65" w:rsidRPr="00545318">
        <w:t>per cent</w:t>
      </w:r>
      <w:r w:rsidRPr="00545318">
        <w:t xml:space="preserve"> of exports.</w:t>
      </w:r>
      <w:r w:rsidRPr="00545318">
        <w:rPr>
          <w:vertAlign w:val="superscript"/>
        </w:rPr>
        <w:footnoteReference w:id="61"/>
      </w:r>
      <w:r w:rsidRPr="00545318">
        <w:t xml:space="preserve"> While </w:t>
      </w:r>
      <w:r w:rsidR="006749A0" w:rsidRPr="00545318">
        <w:t xml:space="preserve">these </w:t>
      </w:r>
      <w:r w:rsidRPr="00545318">
        <w:t>VAT rebates have been reduced, they remain in place for other additives such as chromium.</w:t>
      </w:r>
      <w:r w:rsidRPr="00545318">
        <w:rPr>
          <w:vertAlign w:val="superscript"/>
        </w:rPr>
        <w:footnoteReference w:id="62"/>
      </w:r>
      <w:r w:rsidRPr="00545318">
        <w:t xml:space="preserve"> Such rebates increase the profitability of alloyed steel products compared to non-alloyed products.</w:t>
      </w:r>
    </w:p>
    <w:p w14:paraId="418984AF" w14:textId="319351C5" w:rsidR="00374264" w:rsidRPr="00545318" w:rsidRDefault="00374264" w:rsidP="00374264">
      <w:pPr>
        <w:spacing w:before="120" w:after="120"/>
      </w:pPr>
      <w:r w:rsidRPr="00545318">
        <w:t>The Chinese Government also influences the domestic price for steel products through the application of export taxes on Chinese billets, which accounts for a significant proportion of the cost of steel fabricated products. For example, 80 to 85</w:t>
      </w:r>
      <w:r w:rsidR="003D2B85" w:rsidRPr="00545318">
        <w:t xml:space="preserve"> </w:t>
      </w:r>
      <w:r w:rsidR="00620A65" w:rsidRPr="00545318">
        <w:t>per cent</w:t>
      </w:r>
      <w:r w:rsidRPr="00545318">
        <w:t xml:space="preserve"> of the total production cost of steel such as rod in coils is accounted for by the cost of billets.</w:t>
      </w:r>
      <w:r w:rsidRPr="00545318">
        <w:rPr>
          <w:vertAlign w:val="superscript"/>
        </w:rPr>
        <w:footnoteReference w:id="63"/>
      </w:r>
      <w:r w:rsidRPr="00545318">
        <w:t xml:space="preserve"> </w:t>
      </w:r>
    </w:p>
    <w:p w14:paraId="53B3F428" w14:textId="77777777" w:rsidR="00374264" w:rsidRPr="00545318" w:rsidRDefault="00374264" w:rsidP="00374264">
      <w:pPr>
        <w:spacing w:before="120" w:after="120"/>
      </w:pPr>
      <w:r w:rsidRPr="00545318">
        <w:t xml:space="preserve">Previous investigations by the Commission </w:t>
      </w:r>
      <w:r w:rsidR="00622176" w:rsidRPr="00545318">
        <w:t>found</w:t>
      </w:r>
      <w:r w:rsidRPr="00545318">
        <w:t xml:space="preserve"> </w:t>
      </w:r>
      <w:r w:rsidR="00622176" w:rsidRPr="00545318">
        <w:t>evidence</w:t>
      </w:r>
      <w:r w:rsidRPr="00545318">
        <w:t xml:space="preserve"> of export taxes and export quotas on a number of key inputs in the steel making process including coking coal, coke, iron ore and scrap steel.</w:t>
      </w:r>
      <w:r w:rsidRPr="00545318">
        <w:rPr>
          <w:vertAlign w:val="superscript"/>
        </w:rPr>
        <w:footnoteReference w:id="64"/>
      </w:r>
      <w:r w:rsidRPr="00545318">
        <w:t xml:space="preserve"> The Commission found that these measures would keep input prices artificially low and create significant incentives for exporters to redirect these products into the domestic market, increasing domestic supply and reducing domestic prices to a level below what would have prevailed under normal competitive market conditions.</w:t>
      </w:r>
    </w:p>
    <w:p w14:paraId="39AA806B" w14:textId="77777777" w:rsidR="00374264" w:rsidRPr="00545318" w:rsidRDefault="00374264" w:rsidP="00374264">
      <w:pPr>
        <w:spacing w:before="120" w:after="120"/>
      </w:pPr>
      <w:r w:rsidRPr="00545318">
        <w:t xml:space="preserve">The extent to which lower raw material prices would have a depressing effect on domestic Chinese steel prices will depend on the degree to which lower input costs are passed through into prices and the degree to which steel producers are able to retain the lower raw material costs in the form of increased profit. Where lower input costs are able to be retained as increased profit, this would increase steel producers’ incentives to expand production. </w:t>
      </w:r>
    </w:p>
    <w:p w14:paraId="570E0F91" w14:textId="349345E9" w:rsidR="00AE060D" w:rsidRPr="00545318" w:rsidRDefault="00155AD3" w:rsidP="00374264">
      <w:pPr>
        <w:spacing w:before="120" w:after="120"/>
      </w:pPr>
      <w:r w:rsidRPr="00545318">
        <w:t>T</w:t>
      </w:r>
      <w:r w:rsidR="00374264" w:rsidRPr="00545318">
        <w:t>he Chinese Government</w:t>
      </w:r>
      <w:r w:rsidRPr="00545318">
        <w:t xml:space="preserve"> was reported to be planning</w:t>
      </w:r>
      <w:r w:rsidR="00374264" w:rsidRPr="00545318">
        <w:t xml:space="preserve"> to </w:t>
      </w:r>
      <w:r w:rsidRPr="00545318">
        <w:t xml:space="preserve">reduce </w:t>
      </w:r>
      <w:r w:rsidR="00374264" w:rsidRPr="00545318">
        <w:t xml:space="preserve">the export tax on steel </w:t>
      </w:r>
      <w:r w:rsidRPr="00545318">
        <w:t>with</w:t>
      </w:r>
      <w:r w:rsidR="00374264" w:rsidRPr="00545318">
        <w:t xml:space="preserve"> effect</w:t>
      </w:r>
      <w:r w:rsidRPr="00545318">
        <w:t xml:space="preserve"> from 1 January 2016</w:t>
      </w:r>
      <w:r w:rsidR="00374264" w:rsidRPr="00545318">
        <w:t>, from 25</w:t>
      </w:r>
      <w:r w:rsidR="003D2B85" w:rsidRPr="00545318">
        <w:t xml:space="preserve"> </w:t>
      </w:r>
      <w:r w:rsidR="00620A65" w:rsidRPr="00545318">
        <w:t>per cent</w:t>
      </w:r>
      <w:r w:rsidR="00374264" w:rsidRPr="00545318">
        <w:t xml:space="preserve"> to 20</w:t>
      </w:r>
      <w:r w:rsidR="003D2B85" w:rsidRPr="00545318">
        <w:t xml:space="preserve"> </w:t>
      </w:r>
      <w:r w:rsidR="00620A65" w:rsidRPr="00545318">
        <w:t>per cent</w:t>
      </w:r>
      <w:r w:rsidR="00374264" w:rsidRPr="00545318">
        <w:t xml:space="preserve"> for steel billet and 10</w:t>
      </w:r>
      <w:r w:rsidR="003D2B85" w:rsidRPr="00545318">
        <w:t xml:space="preserve"> </w:t>
      </w:r>
      <w:r w:rsidR="00620A65" w:rsidRPr="00545318">
        <w:t>per cent</w:t>
      </w:r>
      <w:r w:rsidR="00374264" w:rsidRPr="00545318">
        <w:t xml:space="preserve"> for pig iron.</w:t>
      </w:r>
      <w:r w:rsidR="00374264" w:rsidRPr="00545318">
        <w:rPr>
          <w:vertAlign w:val="superscript"/>
        </w:rPr>
        <w:footnoteReference w:id="65"/>
      </w:r>
      <w:r w:rsidR="00374264" w:rsidRPr="00545318">
        <w:t xml:space="preserve"> This was expected to improve returns to Chinese steel producers, reducing the pressure on the industry to cut capacity and making exporting relatively more attractive.</w:t>
      </w:r>
      <w:r w:rsidR="00AE060D" w:rsidRPr="00545318">
        <w:t xml:space="preserve"> </w:t>
      </w:r>
      <w:r w:rsidR="00DD1857" w:rsidRPr="00545318">
        <w:t xml:space="preserve">As at August 2016, the Commission has not been able to confirm whether export taxes applied to Chinese steel billet and pig iron were reduced. </w:t>
      </w:r>
    </w:p>
    <w:p w14:paraId="633DAC8F" w14:textId="77777777" w:rsidR="00374264" w:rsidRPr="00545318" w:rsidRDefault="00374264" w:rsidP="0040301E">
      <w:pPr>
        <w:pStyle w:val="Heading3"/>
        <w:spacing w:after="120"/>
      </w:pPr>
      <w:bookmarkStart w:id="39" w:name="_Toc443159504"/>
      <w:r w:rsidRPr="00545318">
        <w:t>Chinese Government involvement in strategic enterprises</w:t>
      </w:r>
      <w:bookmarkEnd w:id="39"/>
    </w:p>
    <w:p w14:paraId="5011CC68" w14:textId="0788EBF8" w:rsidR="00374264" w:rsidRPr="00545318" w:rsidRDefault="00374264" w:rsidP="00374264">
      <w:pPr>
        <w:spacing w:before="120" w:after="120"/>
      </w:pPr>
      <w:r w:rsidRPr="00545318">
        <w:t>The Chinese Government maintains significant interests in a number of major Chinese steel producers. As a ‘fundamental or pillar’ industry, the Chinese Government retains a minimum of 50</w:t>
      </w:r>
      <w:r w:rsidR="00B46A49">
        <w:t> </w:t>
      </w:r>
      <w:r w:rsidR="00620A65" w:rsidRPr="00545318">
        <w:t>per cent</w:t>
      </w:r>
      <w:r w:rsidRPr="00545318">
        <w:t xml:space="preserve"> equity in the principal enterprises. State-owned steel producers constituted a majority of the top ten steel producers in China and accounted for a significant share of total steel production and capacity.</w:t>
      </w:r>
      <w:r w:rsidRPr="00545318">
        <w:rPr>
          <w:vertAlign w:val="superscript"/>
        </w:rPr>
        <w:footnoteReference w:id="66"/>
      </w:r>
      <w:r w:rsidRPr="00545318">
        <w:t xml:space="preserve"> Through its involvement in these companies, the Chinese Government is able to exert significant influence over the Chinese steel industry. </w:t>
      </w:r>
    </w:p>
    <w:p w14:paraId="55DB7F2E" w14:textId="77777777" w:rsidR="00374264" w:rsidRPr="00545318" w:rsidRDefault="00374264" w:rsidP="00374264">
      <w:pPr>
        <w:spacing w:before="120" w:after="120"/>
      </w:pPr>
      <w:r w:rsidRPr="00545318">
        <w:t xml:space="preserve">The importance of these state-owned steel producers is reflected in the Chinese Government’s Guiding Opinions on Pushing Forward Enterprise Mergers and Acquisitions and Reorganisation in Key Industries (2013) document, which calls for the top ten steel producers to further consolidate control over Chinese steel production and hence increase their influence over domestic steel markets. </w:t>
      </w:r>
    </w:p>
    <w:p w14:paraId="60AAF9E6" w14:textId="77777777" w:rsidR="00374264" w:rsidRPr="00545318" w:rsidRDefault="00374264" w:rsidP="00374264">
      <w:pPr>
        <w:spacing w:before="120" w:after="120"/>
      </w:pPr>
      <w:r w:rsidRPr="00545318">
        <w:t xml:space="preserve">While there is limited transparency about the operations of Chinese state-owned corporations, the Commission understands that these companies can receive loans at less than commercial rates, that dividend policies can be set to pursue government objectives and that extended periods of loss-making may be tolerated—all of which reduce the normal commercial pressures for companies to operate efficiently and for poorly performing firms to cut back or cease operations. </w:t>
      </w:r>
    </w:p>
    <w:p w14:paraId="1A41E5DE" w14:textId="2AD13574" w:rsidR="00CE2282" w:rsidRPr="00545318" w:rsidRDefault="00CE2282" w:rsidP="00CE2282">
      <w:pPr>
        <w:spacing w:before="120" w:after="120"/>
      </w:pPr>
      <w:r w:rsidRPr="00545318">
        <w:t xml:space="preserve">The OECD has found that </w:t>
      </w:r>
      <w:r w:rsidRPr="00545318">
        <w:rPr>
          <w:lang w:val="en-AU"/>
        </w:rPr>
        <w:t>China’s steel industry has one of the lowest operating margins compared not only to the steel industries of many other economies but also relative to other domestic industries. China’s steel industry is ranked 85th out of 94 Chinese service and manufacturing sectors, but is last amongst all domestic manufacturing industries.</w:t>
      </w:r>
      <w:r w:rsidRPr="00545318">
        <w:rPr>
          <w:rStyle w:val="FootnoteReference"/>
          <w:lang w:val="en-AU"/>
        </w:rPr>
        <w:footnoteReference w:id="67"/>
      </w:r>
      <w:r w:rsidR="00EF487D" w:rsidRPr="00545318">
        <w:rPr>
          <w:lang w:val="en-AU"/>
        </w:rPr>
        <w:t xml:space="preserve"> As noted in chapter 2 of this report, average margins for Chinese steel producers were </w:t>
      </w:r>
      <w:r w:rsidR="00EF487D" w:rsidRPr="00545318">
        <w:t>negative in 2015. The Commission notes that low and negative margins have been recorded despite the subsidies and tax concessions outlined in section 3.4.1 above.</w:t>
      </w:r>
    </w:p>
    <w:p w14:paraId="6D1C2C0B" w14:textId="77777777" w:rsidR="00374264" w:rsidRPr="00545318" w:rsidRDefault="00374264" w:rsidP="00374264">
      <w:pPr>
        <w:spacing w:before="120" w:after="120"/>
      </w:pPr>
      <w:r w:rsidRPr="00545318">
        <w:t>The weakening of normal commercial pressures on state-owned corporations may also lead to investments that would be unlikely to meet commercial rate of return criteria. These corporations’ investment decisions may instead be directed towards implementing the objectives of the Chinese Government’s planning directives. Examples include the involvement of Chinese state-owned steel companies in projects which have either been recently commissioned or are under development, despite the magnitude of global and Chinese overcapacity. These projects include: Anshan Iron &amp; Steel’s Bayuquan Steelworks (6.5 million tonnes per annum (mtpa)</w:t>
      </w:r>
      <w:r w:rsidR="00C719BC" w:rsidRPr="00545318">
        <w:t>,</w:t>
      </w:r>
      <w:r w:rsidRPr="00545318">
        <w:t xml:space="preserve"> Liaoning Province</w:t>
      </w:r>
      <w:r w:rsidR="00C719BC" w:rsidRPr="00545318">
        <w:t>,</w:t>
      </w:r>
      <w:r w:rsidRPr="00545318">
        <w:t xml:space="preserve"> commissioned 2008); the Shougang Jingtang United Iron &amp; Steel’s Steelworks (Hebei Province</w:t>
      </w:r>
      <w:r w:rsidR="00C719BC" w:rsidRPr="00545318">
        <w:t>,</w:t>
      </w:r>
      <w:r w:rsidRPr="00545318">
        <w:t xml:space="preserve"> commissioned 2010); and the Fangchenggang Steel Company Limited (Wuhan Iron &amp; Steel Group) Steelworks (9.2 mtpa</w:t>
      </w:r>
      <w:r w:rsidR="00C719BC" w:rsidRPr="00545318">
        <w:t>,</w:t>
      </w:r>
      <w:r w:rsidRPr="00545318">
        <w:t xml:space="preserve"> Guangxi Province</w:t>
      </w:r>
      <w:r w:rsidR="00C719BC" w:rsidRPr="00545318">
        <w:t>,</w:t>
      </w:r>
      <w:r w:rsidRPr="00545318">
        <w:t xml:space="preserve"> commissioned September 2014).</w:t>
      </w:r>
      <w:r w:rsidRPr="00545318">
        <w:rPr>
          <w:vertAlign w:val="superscript"/>
        </w:rPr>
        <w:footnoteReference w:id="68"/>
      </w:r>
      <w:r w:rsidRPr="00545318">
        <w:t xml:space="preserve"> Significant Chinese steelworks with a focus on flat products currently being developed or planned include</w:t>
      </w:r>
      <w:r w:rsidR="00C719BC" w:rsidRPr="00545318">
        <w:t>:</w:t>
      </w:r>
      <w:r w:rsidRPr="00545318">
        <w:t xml:space="preserve"> Baosteel’s Zhanjiang steelworks (Guangdong Province</w:t>
      </w:r>
      <w:r w:rsidR="00C719BC" w:rsidRPr="00545318">
        <w:t>,</w:t>
      </w:r>
      <w:r w:rsidRPr="00545318">
        <w:t xml:space="preserve"> expected commissioning in 2016); the Baotou Iron &amp; Steel steelworks (5 mtpa</w:t>
      </w:r>
      <w:r w:rsidR="00C719BC" w:rsidRPr="00545318">
        <w:t>,</w:t>
      </w:r>
      <w:r w:rsidRPr="00545318">
        <w:t xml:space="preserve"> Inner Mongolia); and the Chongqing Iron &amp; Steel (Chongang) and POSCO signed Investment MOU (USD 3.3 billion</w:t>
      </w:r>
      <w:r w:rsidR="00C719BC" w:rsidRPr="00545318">
        <w:t>,</w:t>
      </w:r>
      <w:r w:rsidRPr="00545318">
        <w:t xml:space="preserve"> signed July 2014).</w:t>
      </w:r>
      <w:r w:rsidRPr="00545318">
        <w:rPr>
          <w:vertAlign w:val="superscript"/>
        </w:rPr>
        <w:footnoteReference w:id="69"/>
      </w:r>
    </w:p>
    <w:p w14:paraId="6CD29D40" w14:textId="77777777" w:rsidR="00374264" w:rsidRPr="00545318" w:rsidRDefault="00374264" w:rsidP="0040301E">
      <w:pPr>
        <w:pStyle w:val="Heading3"/>
        <w:spacing w:after="120"/>
      </w:pPr>
      <w:r w:rsidRPr="00545318">
        <w:t>Chinese Government plans and directives for the steel industry</w:t>
      </w:r>
    </w:p>
    <w:p w14:paraId="66E798CF" w14:textId="77777777" w:rsidR="00374264" w:rsidRPr="00545318" w:rsidRDefault="00374264" w:rsidP="00374264">
      <w:pPr>
        <w:spacing w:before="120" w:after="120"/>
      </w:pPr>
      <w:r w:rsidRPr="00545318">
        <w:t xml:space="preserve">The nature and extent of the Chinese Government’s influence within the Chinese steel industry is demonstrated by the major themes and objectives of its series of plans and directives for the industry (summarised in the </w:t>
      </w:r>
      <w:r w:rsidR="00F315B2" w:rsidRPr="00545318">
        <w:t xml:space="preserve">text </w:t>
      </w:r>
      <w:r w:rsidRPr="00545318">
        <w:t>box below).</w:t>
      </w:r>
    </w:p>
    <w:p w14:paraId="5DDE2114" w14:textId="061A1BE6" w:rsidR="009A42E3" w:rsidRPr="00545318" w:rsidRDefault="00F321CC" w:rsidP="009A42E3">
      <w:pPr>
        <w:spacing w:before="120" w:after="120"/>
      </w:pPr>
      <w:r w:rsidRPr="00545318">
        <w:t>Early plans and directives focussed on</w:t>
      </w:r>
      <w:r w:rsidR="009A42E3" w:rsidRPr="00545318">
        <w:t xml:space="preserve"> develop</w:t>
      </w:r>
      <w:r w:rsidRPr="00545318">
        <w:t>ing</w:t>
      </w:r>
      <w:r w:rsidR="009A42E3" w:rsidRPr="00545318">
        <w:t xml:space="preserve"> the Chinese steel manufacturing industry, </w:t>
      </w:r>
      <w:r w:rsidRPr="00545318">
        <w:t>supporting economic stability</w:t>
      </w:r>
      <w:r w:rsidR="009A42E3" w:rsidRPr="00545318">
        <w:t xml:space="preserve"> </w:t>
      </w:r>
      <w:r w:rsidRPr="00545318">
        <w:t xml:space="preserve">and </w:t>
      </w:r>
      <w:r w:rsidR="009A42E3" w:rsidRPr="00545318">
        <w:t xml:space="preserve">employment </w:t>
      </w:r>
      <w:r w:rsidRPr="00545318">
        <w:t xml:space="preserve">(particularly during </w:t>
      </w:r>
      <w:r w:rsidR="009A42E3" w:rsidRPr="00545318">
        <w:t>the 2009 GFC</w:t>
      </w:r>
      <w:r w:rsidRPr="00545318">
        <w:t>)</w:t>
      </w:r>
      <w:r w:rsidR="009A42E3" w:rsidRPr="00545318">
        <w:t>.</w:t>
      </w:r>
    </w:p>
    <w:p w14:paraId="2DA7DAFA" w14:textId="0466FD08" w:rsidR="009A42E3" w:rsidRPr="00545318" w:rsidRDefault="00F321CC" w:rsidP="009A42E3">
      <w:pPr>
        <w:spacing w:before="120" w:after="120"/>
      </w:pPr>
      <w:r w:rsidRPr="00545318">
        <w:t>However,</w:t>
      </w:r>
      <w:r w:rsidR="009A42E3" w:rsidRPr="00545318">
        <w:t xml:space="preserve"> the emphasis of more recent Chinese Government plans and directives is on promoting the orderly restructuring and reorganisation of the Chinese steel industry to address the issue of persistent overproduction and excess capacity. </w:t>
      </w:r>
    </w:p>
    <w:p w14:paraId="05E3D0C2" w14:textId="7E345567" w:rsidR="00370A41" w:rsidRPr="00545318" w:rsidRDefault="00370A41" w:rsidP="00370A41">
      <w:pPr>
        <w:spacing w:before="120" w:after="120"/>
        <w:rPr>
          <w:color w:val="000000" w:themeColor="text1"/>
        </w:rPr>
      </w:pPr>
      <w:r w:rsidRPr="00545318">
        <w:t xml:space="preserve">China’s 13th Five Year Plan, covering the period 2016-2020, was endorsed at the National People’s Congress held in March 2016. </w:t>
      </w:r>
      <w:r w:rsidR="00A175BD" w:rsidRPr="00545318">
        <w:rPr>
          <w:color w:val="000000" w:themeColor="text1"/>
        </w:rPr>
        <w:t>Detailed plans for each region and major industry were expected to be released later in the year; as at August 2016, the</w:t>
      </w:r>
      <w:r w:rsidR="00155AD3" w:rsidRPr="00545318">
        <w:rPr>
          <w:color w:val="000000" w:themeColor="text1"/>
        </w:rPr>
        <w:t xml:space="preserve">y </w:t>
      </w:r>
      <w:r w:rsidR="00A175BD" w:rsidRPr="00545318">
        <w:rPr>
          <w:color w:val="000000" w:themeColor="text1"/>
        </w:rPr>
        <w:t>were yet to be released.</w:t>
      </w:r>
    </w:p>
    <w:p w14:paraId="4AC85E30" w14:textId="36FC6AFF" w:rsidR="00370A41" w:rsidRPr="00545318" w:rsidRDefault="00370A41" w:rsidP="00370A41">
      <w:pPr>
        <w:spacing w:before="120" w:after="120"/>
      </w:pPr>
      <w:r w:rsidRPr="00545318">
        <w:t>Media summaries of the 13th Five Year Plan</w:t>
      </w:r>
      <w:r w:rsidRPr="00545318">
        <w:rPr>
          <w:vertAlign w:val="superscript"/>
        </w:rPr>
        <w:footnoteReference w:id="70"/>
      </w:r>
      <w:r w:rsidRPr="00545318">
        <w:t xml:space="preserve"> report that it maintains the Government’s focus on reform, including reducing excess capacity and improving environmental performance</w:t>
      </w:r>
      <w:r w:rsidR="00B46A49">
        <w:t>.</w:t>
      </w:r>
      <w:r w:rsidRPr="00545318">
        <w:t xml:space="preserve"> The Plan also targets the maintenance of relatively solid economic growth of 6.5 to 7 </w:t>
      </w:r>
      <w:r w:rsidR="00620A65" w:rsidRPr="00545318">
        <w:t>per cent</w:t>
      </w:r>
      <w:r w:rsidRPr="00545318">
        <w:t xml:space="preserve"> per annum.</w:t>
      </w:r>
      <w:r w:rsidR="00AD072C" w:rsidRPr="00545318">
        <w:t xml:space="preserve"> Actions to address overcapacity in Chinese industry include reforms to state-owned enterprises and greater market discipline. Similar objectives for the Chinese steel industry were identified by the Chinese Ministry of Industry and Information Technology in the draft Steel Industry Adjustment Policy (2015 Revision).</w:t>
      </w:r>
    </w:p>
    <w:p w14:paraId="7535A6B9" w14:textId="3CFDABBB" w:rsidR="009A42E3" w:rsidRPr="00545318" w:rsidRDefault="009A42E3" w:rsidP="009A42E3">
      <w:pPr>
        <w:spacing w:before="120" w:after="120"/>
      </w:pPr>
      <w:r w:rsidRPr="00545318">
        <w:t>If implemented according to the indicated timeframes, the Chinese Government’s policies would reduce overcapacity in the steel industry over time. However, the Commission considers that the Chinese Government’s desire for a ‘soft landing’ for the economy, its economic growth and employment objectives, and evidence of continued state-sponsored investment in steel production facilities suggest that the significant structural adjustment in the Chinese steel industry is unlikely to occur in the near-term.</w:t>
      </w:r>
    </w:p>
    <w:p w14:paraId="286EC801" w14:textId="0CD1F450" w:rsidR="00D46819" w:rsidRPr="00545318" w:rsidRDefault="00135D4D" w:rsidP="009A42E3">
      <w:pPr>
        <w:spacing w:before="120" w:after="120"/>
      </w:pPr>
      <w:r w:rsidRPr="00545318">
        <w:rPr>
          <w:noProof/>
          <w:lang w:val="en-AU" w:eastAsia="en-AU"/>
        </w:rPr>
        <mc:AlternateContent>
          <mc:Choice Requires="wps">
            <w:drawing>
              <wp:anchor distT="0" distB="0" distL="114300" distR="114300" simplePos="0" relativeHeight="251684864" behindDoc="0" locked="0" layoutInCell="1" allowOverlap="1" wp14:anchorId="6007F594" wp14:editId="34517733">
                <wp:simplePos x="0" y="0"/>
                <wp:positionH relativeFrom="column">
                  <wp:posOffset>0</wp:posOffset>
                </wp:positionH>
                <wp:positionV relativeFrom="paragraph">
                  <wp:posOffset>926465</wp:posOffset>
                </wp:positionV>
                <wp:extent cx="1828800" cy="1828800"/>
                <wp:effectExtent l="0" t="0" r="15240" b="20955"/>
                <wp:wrapSquare wrapText="bothSides"/>
                <wp:docPr id="29" name="Text Box 2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79C033A4" w14:textId="77777777" w:rsidR="009241EC" w:rsidRPr="00F911A3" w:rsidRDefault="009241EC" w:rsidP="00F911A3">
                            <w:pPr>
                              <w:shd w:val="clear" w:color="auto" w:fill="DAEEF3" w:themeFill="accent5" w:themeFillTint="33"/>
                              <w:spacing w:after="120"/>
                              <w:rPr>
                                <w:b/>
                              </w:rPr>
                            </w:pPr>
                            <w:r w:rsidRPr="00F911A3">
                              <w:rPr>
                                <w:b/>
                              </w:rPr>
                              <w:t>Themes and objectives of Chinese government plans and directives for the steel industry</w:t>
                            </w:r>
                          </w:p>
                          <w:p w14:paraId="5D8A0D11" w14:textId="77777777" w:rsidR="009241EC" w:rsidRPr="00374264" w:rsidRDefault="009241EC" w:rsidP="00F911A3">
                            <w:pPr>
                              <w:shd w:val="clear" w:color="auto" w:fill="DAEEF3" w:themeFill="accent5" w:themeFillTint="33"/>
                              <w:spacing w:after="120"/>
                            </w:pPr>
                            <w:r w:rsidRPr="00F911A3">
                              <w:rPr>
                                <w:u w:val="single"/>
                              </w:rPr>
                              <w:t>National Steel Industry Development Policy (2005)</w:t>
                            </w:r>
                            <w:r w:rsidRPr="00F911A3">
                              <w:t>:</w:t>
                            </w:r>
                            <w:r>
                              <w:t xml:space="preserve"> </w:t>
                            </w:r>
                            <w:r w:rsidRPr="00F911A3">
                              <w:t xml:space="preserve"> </w:t>
                            </w:r>
                            <w:r w:rsidRPr="00374264">
                              <w:t>Structural adjustment of the Chinese steel industry; industry consolidations through mergers and acquisitions; regulation of technological upgrading to new standards; Government supervision and management.</w:t>
                            </w:r>
                          </w:p>
                          <w:p w14:paraId="142433FF" w14:textId="77777777" w:rsidR="009241EC" w:rsidRPr="00374264" w:rsidRDefault="009241EC" w:rsidP="00F911A3">
                            <w:pPr>
                              <w:shd w:val="clear" w:color="auto" w:fill="DAEEF3" w:themeFill="accent5" w:themeFillTint="33"/>
                              <w:spacing w:after="120"/>
                            </w:pPr>
                            <w:r w:rsidRPr="00F911A3">
                              <w:rPr>
                                <w:u w:val="single"/>
                              </w:rPr>
                              <w:t>Blueprint for the Adjustment and Revitalisation of the Steel Industry (2009)</w:t>
                            </w:r>
                            <w:r w:rsidRPr="00374264">
                              <w:t>:</w:t>
                            </w:r>
                            <w:r>
                              <w:t xml:space="preserve"> </w:t>
                            </w:r>
                            <w:r w:rsidRPr="00374264">
                              <w:t xml:space="preserve"> Domestic market stability; control of total steel production output and elimination of backward capacity; enterprise reorganisation and greater industry concentration; technical transformation and technical progress; guidelines for steel industry layout and development, steel product mix and product quality; iron ore import stability and ‘rectifying’ the market order; development of domestic and overseas resources.</w:t>
                            </w:r>
                          </w:p>
                          <w:p w14:paraId="4BEB89EA" w14:textId="77777777" w:rsidR="009241EC" w:rsidRPr="00374264" w:rsidRDefault="009241EC" w:rsidP="00F911A3">
                            <w:pPr>
                              <w:shd w:val="clear" w:color="auto" w:fill="DAEEF3" w:themeFill="accent5" w:themeFillTint="33"/>
                              <w:spacing w:after="120"/>
                            </w:pPr>
                            <w:r w:rsidRPr="00F911A3">
                              <w:rPr>
                                <w:u w:val="single"/>
                              </w:rPr>
                              <w:t>2011-2015 Development Plan for the Steel Industry (2011)</w:t>
                            </w:r>
                            <w:r w:rsidRPr="00374264">
                              <w:t>:</w:t>
                            </w:r>
                            <w:r>
                              <w:t xml:space="preserve"> </w:t>
                            </w:r>
                            <w:r w:rsidRPr="00374264">
                              <w:t xml:space="preserve"> Increased mergers and acquisitions to create larger, more efficient steel companies; minimum capacity requirements to reduce the number of small steel producers; restrictions on steel capacity expansions; upgrades of steel industry technology; greater emphasis on high-end steel products; relocation of iron and steel companies to coastal areas. </w:t>
                            </w:r>
                          </w:p>
                          <w:p w14:paraId="2616AC67" w14:textId="77777777" w:rsidR="009241EC" w:rsidRPr="00374264" w:rsidRDefault="009241EC" w:rsidP="00F911A3">
                            <w:pPr>
                              <w:shd w:val="clear" w:color="auto" w:fill="DAEEF3" w:themeFill="accent5" w:themeFillTint="33"/>
                              <w:spacing w:after="120"/>
                            </w:pPr>
                            <w:r w:rsidRPr="00F911A3">
                              <w:rPr>
                                <w:u w:val="single"/>
                              </w:rPr>
                              <w:t>Guiding Opinions on Pushing Forward Enterprise Mergers and Acquisitions and Reorganisation in Key Industries (2013)</w:t>
                            </w:r>
                            <w:r w:rsidRPr="00374264">
                              <w:t>:</w:t>
                            </w:r>
                            <w:r>
                              <w:t xml:space="preserve"> </w:t>
                            </w:r>
                            <w:r w:rsidRPr="00374264">
                              <w:t xml:space="preserve"> Top ten companies to account for 60</w:t>
                            </w:r>
                            <w:r>
                              <w:t xml:space="preserve"> per cent</w:t>
                            </w:r>
                            <w:r w:rsidRPr="00374264">
                              <w:t xml:space="preserve"> of production; three to five major steel corporations with core competency and international impact; six to seven steel corporations with regional influence; steel corporations to participate in foreign steel companies’ mergers and acquisitions.</w:t>
                            </w:r>
                          </w:p>
                          <w:p w14:paraId="4EE0AF74" w14:textId="1AB5AD65" w:rsidR="009241EC" w:rsidRPr="00374264" w:rsidRDefault="009241EC" w:rsidP="00F911A3">
                            <w:pPr>
                              <w:shd w:val="clear" w:color="auto" w:fill="DAEEF3" w:themeFill="accent5" w:themeFillTint="33"/>
                              <w:spacing w:after="120"/>
                            </w:pPr>
                            <w:r w:rsidRPr="00F911A3">
                              <w:rPr>
                                <w:u w:val="single"/>
                              </w:rPr>
                              <w:t>Steel Industry Adjustment Policy (2015 Revision)</w:t>
                            </w:r>
                            <w:r w:rsidRPr="00374264">
                              <w:t>:</w:t>
                            </w:r>
                            <w:r>
                              <w:t xml:space="preserve"> </w:t>
                            </w:r>
                            <w:r w:rsidRPr="00374264">
                              <w:t>Upgrades to product mix; rationali</w:t>
                            </w:r>
                            <w:r>
                              <w:t>s</w:t>
                            </w:r>
                            <w:r w:rsidRPr="00374264">
                              <w:t xml:space="preserve">ation of steel production capacity; lift in capacity utilisation rates to 80 </w:t>
                            </w:r>
                            <w:r>
                              <w:t>per cent</w:t>
                            </w:r>
                            <w:r w:rsidRPr="00374264">
                              <w:t xml:space="preserve"> by 2017; guidance for market exit; industry consolidation; orientation and oversight of mergers and reorgani</w:t>
                            </w:r>
                            <w:r>
                              <w:t>s</w:t>
                            </w:r>
                            <w:r w:rsidRPr="00374264">
                              <w:t>ations; improved organisational structures; Government supervision and administration; energy conservation, emission reductions, and environmental protection.</w:t>
                            </w:r>
                          </w:p>
                          <w:p w14:paraId="1CB7CC49" w14:textId="77777777" w:rsidR="009241EC" w:rsidRPr="00FD3A7E" w:rsidRDefault="009241EC" w:rsidP="00F911A3">
                            <w:pPr>
                              <w:shd w:val="clear" w:color="auto" w:fill="DAEEF3" w:themeFill="accent5" w:themeFillTint="33"/>
                              <w:spacing w:after="120"/>
                              <w:rPr>
                                <w:sz w:val="18"/>
                                <w:szCs w:val="18"/>
                              </w:rPr>
                            </w:pPr>
                            <w:r w:rsidRPr="00F911A3">
                              <w:rPr>
                                <w:sz w:val="18"/>
                                <w:szCs w:val="18"/>
                              </w:rPr>
                              <w:t>Sources</w:t>
                            </w:r>
                            <w:r w:rsidRPr="00374264">
                              <w:rPr>
                                <w:sz w:val="18"/>
                                <w:szCs w:val="18"/>
                              </w:rPr>
                              <w:t xml:space="preserve">: CBSA, 2014, pp. 17-18; </w:t>
                            </w:r>
                            <w:r w:rsidRPr="00374264">
                              <w:rPr>
                                <w:sz w:val="16"/>
                                <w:szCs w:val="16"/>
                              </w:rPr>
                              <w:t>http://www.eurofer.eu/Issues%26Positions/Trade/ws.res/Steel Industry Adjustment Policy Comments Appendix.fhtml/Steel Industry Adjustment Policy Appendix.</w:t>
                            </w:r>
                            <w:r w:rsidRPr="00374264">
                              <w:rPr>
                                <w:sz w:val="18"/>
                                <w:szCs w:val="18"/>
                              </w:rPr>
                              <w:t xml:space="preserve">pdf; Dept. of Industry and Science, 2015, </w:t>
                            </w:r>
                            <w:r w:rsidRPr="00C37BB3">
                              <w:rPr>
                                <w:i/>
                                <w:sz w:val="18"/>
                                <w:szCs w:val="18"/>
                              </w:rPr>
                              <w:t>China Resources Quarterly</w:t>
                            </w:r>
                            <w:r w:rsidRPr="00374264">
                              <w:rPr>
                                <w:sz w:val="18"/>
                                <w:szCs w:val="18"/>
                              </w:rPr>
                              <w:t>, Southern Autumn – Northern Spring, p. 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07F594" id="Text Box 29" o:spid="_x0000_s1030" type="#_x0000_t202" style="position:absolute;margin-left:0;margin-top:72.95pt;width:2in;height:2in;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" fillcolor="#daeef3 [664]" strokeweight=".5pt">
                <v:textbox style="mso-fit-shape-to-text:t">
                  <w:txbxContent>
                    <w:p w14:paraId="79C033A4" w14:textId="77777777" w:rsidR="009241EC" w:rsidRPr="00F911A3" w:rsidRDefault="009241EC" w:rsidP="00F911A3">
                      <w:pPr>
                        <w:shd w:val="clear" w:color="auto" w:fill="DAEEF3" w:themeFill="accent5" w:themeFillTint="33"/>
                        <w:spacing w:after="120"/>
                        <w:rPr>
                          <w:b/>
                        </w:rPr>
                      </w:pPr>
                      <w:r w:rsidRPr="00F911A3">
                        <w:rPr>
                          <w:b/>
                        </w:rPr>
                        <w:t>Themes and objectives of Chinese government plans and directives for the steel industry</w:t>
                      </w:r>
                    </w:p>
                    <w:p w14:paraId="5D8A0D11" w14:textId="77777777" w:rsidR="009241EC" w:rsidRPr="00374264" w:rsidRDefault="009241EC" w:rsidP="00F911A3">
                      <w:pPr>
                        <w:shd w:val="clear" w:color="auto" w:fill="DAEEF3" w:themeFill="accent5" w:themeFillTint="33"/>
                        <w:spacing w:after="120"/>
                      </w:pPr>
                      <w:r w:rsidRPr="00F911A3">
                        <w:rPr>
                          <w:u w:val="single"/>
                        </w:rPr>
                        <w:t>National Steel Industry Development Policy (2005)</w:t>
                      </w:r>
                      <w:r w:rsidRPr="00F911A3">
                        <w:t>:</w:t>
                      </w:r>
                      <w:r>
                        <w:t xml:space="preserve"> </w:t>
                      </w:r>
                      <w:r w:rsidRPr="00F911A3">
                        <w:t xml:space="preserve"> </w:t>
                      </w:r>
                      <w:r w:rsidRPr="00374264">
                        <w:t>Structural adjustment of the Chinese steel industry; industry consolidations through mergers and acquisitions; regulation of technological upgrading to new standards; Government supervision and management.</w:t>
                      </w:r>
                    </w:p>
                    <w:p w14:paraId="142433FF" w14:textId="77777777" w:rsidR="009241EC" w:rsidRPr="00374264" w:rsidRDefault="009241EC" w:rsidP="00F911A3">
                      <w:pPr>
                        <w:shd w:val="clear" w:color="auto" w:fill="DAEEF3" w:themeFill="accent5" w:themeFillTint="33"/>
                        <w:spacing w:after="120"/>
                      </w:pPr>
                      <w:r w:rsidRPr="00F911A3">
                        <w:rPr>
                          <w:u w:val="single"/>
                        </w:rPr>
                        <w:t xml:space="preserve">Blueprint for the Adjustment and </w:t>
                      </w:r>
                      <w:proofErr w:type="spellStart"/>
                      <w:r w:rsidRPr="00F911A3">
                        <w:rPr>
                          <w:u w:val="single"/>
                        </w:rPr>
                        <w:t>Revitalisation</w:t>
                      </w:r>
                      <w:proofErr w:type="spellEnd"/>
                      <w:r w:rsidRPr="00F911A3">
                        <w:rPr>
                          <w:u w:val="single"/>
                        </w:rPr>
                        <w:t xml:space="preserve"> of the Steel Industry (2009)</w:t>
                      </w:r>
                      <w:r w:rsidRPr="00374264">
                        <w:t>:</w:t>
                      </w:r>
                      <w:r>
                        <w:t xml:space="preserve"> </w:t>
                      </w:r>
                      <w:r w:rsidRPr="00374264">
                        <w:t xml:space="preserve"> Domestic market stability; control of total steel production output and elimination of backward capacity; enterprise reorganisation and greater industry concentration; technical transformation and technical progress; guidelines for steel industry layout and development, steel product mix and product quality; iron ore import stability and ‘rectifying’ the market order; development of domestic and overseas resources.</w:t>
                      </w:r>
                    </w:p>
                    <w:p w14:paraId="4BEB89EA" w14:textId="77777777" w:rsidR="009241EC" w:rsidRPr="00374264" w:rsidRDefault="009241EC" w:rsidP="00F911A3">
                      <w:pPr>
                        <w:shd w:val="clear" w:color="auto" w:fill="DAEEF3" w:themeFill="accent5" w:themeFillTint="33"/>
                        <w:spacing w:after="120"/>
                      </w:pPr>
                      <w:r w:rsidRPr="00F911A3">
                        <w:rPr>
                          <w:u w:val="single"/>
                        </w:rPr>
                        <w:t>2011-2015 Development Plan for the Steel Industry (2011)</w:t>
                      </w:r>
                      <w:r w:rsidRPr="00374264">
                        <w:t>:</w:t>
                      </w:r>
                      <w:r>
                        <w:t xml:space="preserve"> </w:t>
                      </w:r>
                      <w:r w:rsidRPr="00374264">
                        <w:t xml:space="preserve"> Increased mergers and acquisitions to create larger, more efficient steel companies; minimum capacity requirements to reduce the number of small steel producers; restrictions on steel capacity expansions; upgrades of steel industry technology; greater emphasis on high-end steel products; relocation of iron and steel companies to coastal areas. </w:t>
                      </w:r>
                    </w:p>
                    <w:p w14:paraId="2616AC67" w14:textId="77777777" w:rsidR="009241EC" w:rsidRPr="00374264" w:rsidRDefault="009241EC" w:rsidP="00F911A3">
                      <w:pPr>
                        <w:shd w:val="clear" w:color="auto" w:fill="DAEEF3" w:themeFill="accent5" w:themeFillTint="33"/>
                        <w:spacing w:after="120"/>
                      </w:pPr>
                      <w:r w:rsidRPr="00F911A3">
                        <w:rPr>
                          <w:u w:val="single"/>
                        </w:rPr>
                        <w:t>Guiding Opinions on Pushing Forward Enterprise Mergers and Acquisitions and Reorganisation in Key Industries (2013)</w:t>
                      </w:r>
                      <w:r w:rsidRPr="00374264">
                        <w:t>:</w:t>
                      </w:r>
                      <w:r>
                        <w:t xml:space="preserve"> </w:t>
                      </w:r>
                      <w:r w:rsidRPr="00374264">
                        <w:t xml:space="preserve"> Top ten companies to account for 60</w:t>
                      </w:r>
                      <w:r>
                        <w:t xml:space="preserve"> per cent</w:t>
                      </w:r>
                      <w:r w:rsidRPr="00374264">
                        <w:t xml:space="preserve"> of production; three to five major steel corporations with core competency and international impact; six to seven steel corporations with regional influence; steel corporations to participate in foreign steel companies’ mergers and acquisitions.</w:t>
                      </w:r>
                    </w:p>
                    <w:p w14:paraId="4EE0AF74" w14:textId="1AB5AD65" w:rsidR="009241EC" w:rsidRPr="00374264" w:rsidRDefault="009241EC" w:rsidP="00F911A3">
                      <w:pPr>
                        <w:shd w:val="clear" w:color="auto" w:fill="DAEEF3" w:themeFill="accent5" w:themeFillTint="33"/>
                        <w:spacing w:after="120"/>
                      </w:pPr>
                      <w:r w:rsidRPr="00F911A3">
                        <w:rPr>
                          <w:u w:val="single"/>
                        </w:rPr>
                        <w:t>Steel Industry Adjustment Policy (2015 Revision)</w:t>
                      </w:r>
                      <w:r w:rsidRPr="00374264">
                        <w:t>:</w:t>
                      </w:r>
                      <w:r>
                        <w:t xml:space="preserve"> </w:t>
                      </w:r>
                      <w:r w:rsidRPr="00374264">
                        <w:t>Upgrades to product mix; rationali</w:t>
                      </w:r>
                      <w:r>
                        <w:t>s</w:t>
                      </w:r>
                      <w:r w:rsidRPr="00374264">
                        <w:t xml:space="preserve">ation of steel production capacity; lift in capacity utilisation rates to 80 </w:t>
                      </w:r>
                      <w:r>
                        <w:t>per cent</w:t>
                      </w:r>
                      <w:r w:rsidRPr="00374264">
                        <w:t xml:space="preserve"> by 2017; guidance for market exit; industry consolidation; orientation and oversight of mergers and reorgani</w:t>
                      </w:r>
                      <w:r>
                        <w:t>s</w:t>
                      </w:r>
                      <w:r w:rsidRPr="00374264">
                        <w:t>ations; improved organisational structures; Government supervision and administration; energy conservation, emission reductions, and environmental protection.</w:t>
                      </w:r>
                    </w:p>
                    <w:p w14:paraId="1CB7CC49" w14:textId="77777777" w:rsidR="009241EC" w:rsidRPr="00FD3A7E" w:rsidRDefault="009241EC" w:rsidP="00F911A3">
                      <w:pPr>
                        <w:shd w:val="clear" w:color="auto" w:fill="DAEEF3" w:themeFill="accent5" w:themeFillTint="33"/>
                        <w:spacing w:after="120"/>
                        <w:rPr>
                          <w:sz w:val="18"/>
                          <w:szCs w:val="18"/>
                        </w:rPr>
                      </w:pPr>
                      <w:r w:rsidRPr="00F911A3">
                        <w:rPr>
                          <w:sz w:val="18"/>
                          <w:szCs w:val="18"/>
                        </w:rPr>
                        <w:t>Sources</w:t>
                      </w:r>
                      <w:r w:rsidRPr="00374264">
                        <w:rPr>
                          <w:sz w:val="18"/>
                          <w:szCs w:val="18"/>
                        </w:rPr>
                        <w:t xml:space="preserve">: CBSA, 2014, pp. 17-18; </w:t>
                      </w:r>
                      <w:r w:rsidRPr="00374264">
                        <w:rPr>
                          <w:sz w:val="16"/>
                          <w:szCs w:val="16"/>
                        </w:rPr>
                        <w:t xml:space="preserve">http://www.eurofer.eu/Issues%26Positions/Trade/ws.res/Steel Industry Adjustment Policy Comments </w:t>
                      </w:r>
                      <w:proofErr w:type="spellStart"/>
                      <w:r w:rsidRPr="00374264">
                        <w:rPr>
                          <w:sz w:val="16"/>
                          <w:szCs w:val="16"/>
                        </w:rPr>
                        <w:t>Appendix.fhtml</w:t>
                      </w:r>
                      <w:proofErr w:type="spellEnd"/>
                      <w:r w:rsidRPr="00374264">
                        <w:rPr>
                          <w:sz w:val="16"/>
                          <w:szCs w:val="16"/>
                        </w:rPr>
                        <w:t>/Steel Industry Adjustment Policy Appendix.</w:t>
                      </w:r>
                      <w:r w:rsidRPr="00374264">
                        <w:rPr>
                          <w:sz w:val="18"/>
                          <w:szCs w:val="18"/>
                        </w:rPr>
                        <w:t xml:space="preserve">pdf; Dept. of Industry and Science, 2015, </w:t>
                      </w:r>
                      <w:r w:rsidRPr="00C37BB3">
                        <w:rPr>
                          <w:i/>
                          <w:sz w:val="18"/>
                          <w:szCs w:val="18"/>
                        </w:rPr>
                        <w:t>China Resources Quarterly</w:t>
                      </w:r>
                      <w:r w:rsidRPr="00374264">
                        <w:rPr>
                          <w:sz w:val="18"/>
                          <w:szCs w:val="18"/>
                        </w:rPr>
                        <w:t>, Southern Autumn – Northern Spring, p. 15.</w:t>
                      </w:r>
                    </w:p>
                  </w:txbxContent>
                </v:textbox>
                <w10:wrap type="square"/>
              </v:shape>
            </w:pict>
          </mc:Fallback>
        </mc:AlternateContent>
      </w:r>
      <w:r w:rsidR="00C37BB0" w:rsidRPr="00545318">
        <w:t xml:space="preserve">The difficulties facing the Chinese Government in restructuring the industry </w:t>
      </w:r>
      <w:r w:rsidR="00F5311E" w:rsidRPr="00545318">
        <w:t>were demonstrated</w:t>
      </w:r>
      <w:r w:rsidR="00C37BB0" w:rsidRPr="00545318">
        <w:t xml:space="preserve"> in the first four months of 2016, when an estimated </w:t>
      </w:r>
      <w:r w:rsidR="00D33541" w:rsidRPr="00545318">
        <w:t>50 million tonnes of previously closed Chinese capacity</w:t>
      </w:r>
      <w:r w:rsidR="00C37BB0" w:rsidRPr="00545318">
        <w:t xml:space="preserve"> was restarted. </w:t>
      </w:r>
      <w:r w:rsidR="001A41AE" w:rsidRPr="00545318">
        <w:t xml:space="preserve">A Chinese news portal, </w:t>
      </w:r>
      <w:r w:rsidR="00D33541" w:rsidRPr="00545318">
        <w:t>MySteel</w:t>
      </w:r>
      <w:r w:rsidR="001A41AE" w:rsidRPr="00545318">
        <w:t>,</w:t>
      </w:r>
      <w:r w:rsidR="00D33541" w:rsidRPr="00545318">
        <w:t xml:space="preserve"> </w:t>
      </w:r>
      <w:r w:rsidR="001A41AE" w:rsidRPr="00545318">
        <w:t>reported</w:t>
      </w:r>
      <w:r w:rsidR="00D33541" w:rsidRPr="00545318">
        <w:t xml:space="preserve"> that </w:t>
      </w:r>
      <w:r w:rsidR="00C37BB0" w:rsidRPr="00545318">
        <w:t xml:space="preserve">the </w:t>
      </w:r>
      <w:r w:rsidR="00D33541" w:rsidRPr="00545318">
        <w:t xml:space="preserve">restarting of this capacity, as a result of </w:t>
      </w:r>
      <w:r w:rsidR="00C37BB0" w:rsidRPr="00545318">
        <w:t>improved</w:t>
      </w:r>
      <w:r w:rsidR="00D33541" w:rsidRPr="00545318">
        <w:t xml:space="preserve"> profitability and access to credit</w:t>
      </w:r>
      <w:r w:rsidR="00C37BB0" w:rsidRPr="00545318">
        <w:t>,</w:t>
      </w:r>
      <w:r w:rsidR="00D33541" w:rsidRPr="00545318">
        <w:t xml:space="preserve"> account</w:t>
      </w:r>
      <w:r w:rsidR="00C37BB0" w:rsidRPr="00545318">
        <w:t>ed</w:t>
      </w:r>
      <w:r w:rsidR="00D33541" w:rsidRPr="00545318">
        <w:t xml:space="preserve"> for almost all of the 60 million tonnes of capacity taken </w:t>
      </w:r>
      <w:r w:rsidR="00C37BB0" w:rsidRPr="00545318">
        <w:t>off line in 2015.</w:t>
      </w:r>
      <w:r w:rsidR="00C37BB0" w:rsidRPr="00545318">
        <w:rPr>
          <w:rStyle w:val="FootnoteReference"/>
        </w:rPr>
        <w:footnoteReference w:id="71"/>
      </w:r>
      <w:r w:rsidR="00D33541" w:rsidRPr="00545318">
        <w:t xml:space="preserve"> </w:t>
      </w:r>
    </w:p>
    <w:p w14:paraId="24BD40C8" w14:textId="474DC02A" w:rsidR="00135D4D" w:rsidRPr="00545318" w:rsidRDefault="00135D4D" w:rsidP="00374264">
      <w:pPr>
        <w:spacing w:before="120" w:after="120"/>
      </w:pPr>
    </w:p>
    <w:p w14:paraId="0B6B07DC" w14:textId="34569BEC" w:rsidR="00135D4D" w:rsidRPr="00545318" w:rsidRDefault="00135D4D">
      <w:pPr>
        <w:spacing w:after="200" w:line="276" w:lineRule="auto"/>
      </w:pPr>
      <w:r w:rsidRPr="00545318">
        <w:br w:type="page"/>
      </w:r>
    </w:p>
    <w:p w14:paraId="2649FCEC" w14:textId="2A328F5D" w:rsidR="00374264" w:rsidRPr="00545318" w:rsidRDefault="00374264" w:rsidP="00374264">
      <w:pPr>
        <w:spacing w:before="120" w:after="120"/>
      </w:pPr>
      <w:r w:rsidRPr="00545318">
        <w:t>The Commission also notes that provincial and local governments implement a number of plans and measures to control the development of the iron and steel industry. The plans and directives issued at the central government level have often, in the past, been integrated and reinforced at the provincial level.</w:t>
      </w:r>
      <w:r w:rsidRPr="00545318">
        <w:rPr>
          <w:vertAlign w:val="superscript"/>
        </w:rPr>
        <w:footnoteReference w:id="72"/>
      </w:r>
      <w:r w:rsidRPr="00545318">
        <w:t xml:space="preserve"> The Commission understands that provincial and local governments have recently prioritised policies to maintain or grow production and employment, sometimes in a manner contrary to central government policies to improve efficiency or increase the scale of production.</w:t>
      </w:r>
      <w:r w:rsidR="003D7CB9" w:rsidRPr="00545318">
        <w:t xml:space="preserve"> </w:t>
      </w:r>
    </w:p>
    <w:p w14:paraId="05423F14" w14:textId="77777777" w:rsidR="00EE1D78" w:rsidRPr="00545318" w:rsidRDefault="00EE1D78" w:rsidP="00EE1D78">
      <w:pPr>
        <w:spacing w:before="120" w:after="120"/>
      </w:pPr>
      <w:r w:rsidRPr="00545318">
        <w:t>For example, there have been increasing reports in recent times of so-called ‘zombie’ companies in steel (and aluminium) manufacturing. These companies are financially unviable, or unable to repay debts, but are being supported and prevented from bankruptcy by local governments, in the hope that a recovery in steel (and aluminium) prices would allow them to return to profitable operation.</w:t>
      </w:r>
      <w:r w:rsidRPr="00545318">
        <w:rPr>
          <w:vertAlign w:val="superscript"/>
        </w:rPr>
        <w:footnoteReference w:id="73"/>
      </w:r>
      <w:r w:rsidRPr="00545318">
        <w:t xml:space="preserve"> The Commission considers that such actions are likely to further delay the necessary structural adjustment within the Chinese steel industry.</w:t>
      </w:r>
    </w:p>
    <w:p w14:paraId="1E9C451A" w14:textId="4F399F1B" w:rsidR="00EE1D78" w:rsidRPr="00545318" w:rsidRDefault="00EE1D78" w:rsidP="00EE1D78">
      <w:pPr>
        <w:spacing w:before="120" w:after="120"/>
      </w:pPr>
      <w:r w:rsidRPr="00545318">
        <w:t>Such actions have been identified as explaining, in part, the limited success of China’s 2013 plan to reduce steel capacity, supporting doubts about China’s ability to reduce steel-making capacity and steel production</w:t>
      </w:r>
      <w:r w:rsidR="00EA02F5" w:rsidRPr="00545318">
        <w:t>:</w:t>
      </w:r>
      <w:r w:rsidRPr="00545318">
        <w:t xml:space="preserve"> </w:t>
      </w:r>
    </w:p>
    <w:p w14:paraId="7099C196" w14:textId="15D97202" w:rsidR="00EA02F5" w:rsidRPr="00545318" w:rsidRDefault="00EA02F5" w:rsidP="00EA02F5">
      <w:pPr>
        <w:autoSpaceDE w:val="0"/>
        <w:autoSpaceDN w:val="0"/>
        <w:adjustRightInd w:val="0"/>
        <w:ind w:left="720"/>
        <w:rPr>
          <w:sz w:val="20"/>
          <w:szCs w:val="20"/>
        </w:rPr>
      </w:pPr>
      <w:r w:rsidRPr="00545318">
        <w:rPr>
          <w:sz w:val="20"/>
          <w:szCs w:val="20"/>
        </w:rPr>
        <w:t>The limited attempts that were made to reduce capacity in accordance with the 2013 plan were</w:t>
      </w:r>
      <w:r w:rsidR="001E3673">
        <w:rPr>
          <w:sz w:val="20"/>
          <w:szCs w:val="20"/>
        </w:rPr>
        <w:t xml:space="preserve"> </w:t>
      </w:r>
      <w:r w:rsidRPr="00545318">
        <w:rPr>
          <w:sz w:val="20"/>
          <w:szCs w:val="20"/>
        </w:rPr>
        <w:t>largely ineffectual. For example, in late 2013, China’s Hebei province staged an event during which demolition squads blew up blast furnaces owned by 15 mills, all on Chinese state television. According to the Wall Street Journal, however, “[a]ll of the furnaces targeted for destruction turned out to be so outmoded that the companies that owned them didn’t consider them spare capacity, steel-industry officials [said], meaning they didn’t help reduce the province’s extra volume.” In part due to the lack of progress closing capacity in Hebei, “there is no reason to assume that [the government’s 80-million ton closure] target will be met,” let alone the larger level of capacity closure envisioned by China’s newly announced plan.</w:t>
      </w:r>
      <w:r w:rsidRPr="00545318">
        <w:rPr>
          <w:rStyle w:val="FootnoteReference"/>
          <w:sz w:val="20"/>
          <w:szCs w:val="20"/>
        </w:rPr>
        <w:footnoteReference w:id="74"/>
      </w:r>
    </w:p>
    <w:p w14:paraId="3CC6F92A" w14:textId="77777777" w:rsidR="00370A41" w:rsidRPr="00545318" w:rsidRDefault="00370A41" w:rsidP="00370A41">
      <w:pPr>
        <w:pStyle w:val="Heading2"/>
      </w:pPr>
      <w:bookmarkStart w:id="40" w:name="_Toc458674160"/>
      <w:bookmarkStart w:id="41" w:name="_Toc460430490"/>
      <w:r w:rsidRPr="00545318">
        <w:t>Other Asian steel markets: government interventions</w:t>
      </w:r>
      <w:bookmarkEnd w:id="40"/>
      <w:bookmarkEnd w:id="41"/>
    </w:p>
    <w:p w14:paraId="3851971A" w14:textId="77777777" w:rsidR="00370A41" w:rsidRPr="00545318" w:rsidRDefault="00370A41" w:rsidP="00370A41">
      <w:pPr>
        <w:spacing w:before="120" w:after="120"/>
      </w:pPr>
      <w:r w:rsidRPr="00545318">
        <w:t xml:space="preserve">Countries that compete with China (including Korea, Malaysia and Taiwan) have been affected by the excess capacity in the region and depressed prices. Markets in other Asian countries are indirectly affected by Chinese market interventions that affect raw materials used in steel production. </w:t>
      </w:r>
    </w:p>
    <w:p w14:paraId="08BBE2B5" w14:textId="77777777" w:rsidR="007050C5" w:rsidRPr="00545318" w:rsidRDefault="00AF7EFB" w:rsidP="00374264">
      <w:pPr>
        <w:spacing w:before="120" w:after="120"/>
      </w:pPr>
      <w:r w:rsidRPr="00545318">
        <w:t>The Commission has found evidence of significant volumes of Chinese steel billets being trade</w:t>
      </w:r>
      <w:r w:rsidR="00071A3A" w:rsidRPr="00545318">
        <w:t>d</w:t>
      </w:r>
      <w:r w:rsidRPr="00545318">
        <w:t xml:space="preserve"> in East Asia. It is highly likely that Chinese billet prices, which are affected by subsidisation of raw material costs, have influence</w:t>
      </w:r>
      <w:r w:rsidR="00F028D5" w:rsidRPr="00545318">
        <w:t>d</w:t>
      </w:r>
      <w:r w:rsidRPr="00545318">
        <w:t xml:space="preserve"> steel billet prices in East Asia. </w:t>
      </w:r>
    </w:p>
    <w:p w14:paraId="2AF50176" w14:textId="77777777" w:rsidR="00071A3A" w:rsidRPr="00545318" w:rsidRDefault="00071A3A" w:rsidP="00374264">
      <w:pPr>
        <w:spacing w:before="120" w:after="120"/>
      </w:pPr>
      <w:r w:rsidRPr="00545318">
        <w:t xml:space="preserve">The information currently available to the Commission on government interventions in other Asian countries is summarised below. </w:t>
      </w:r>
    </w:p>
    <w:p w14:paraId="01E285BA"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1445DF31" w14:textId="38ADE2CC" w:rsidR="001819F8" w:rsidRPr="00545318" w:rsidRDefault="001819F8" w:rsidP="001819F8">
      <w:pPr>
        <w:pStyle w:val="Heading3"/>
      </w:pPr>
      <w:r w:rsidRPr="00545318">
        <w:t>Japan</w:t>
      </w:r>
    </w:p>
    <w:p w14:paraId="57900DAD" w14:textId="77777777" w:rsidR="001819F8" w:rsidRPr="00545318" w:rsidRDefault="001819F8" w:rsidP="001819F8">
      <w:pPr>
        <w:spacing w:before="120" w:after="120"/>
      </w:pPr>
      <w:r w:rsidRPr="00545318">
        <w:t xml:space="preserve">During the 1990s, despite the Japanese steel industry’s status as an efficient producer, it continued to benefit from a lack of domestic competition among the integrated steel producers, which contributed to the maintenance of excess capacity. Revenues from high prices in the domestic market could be used to enhance producers export competitiveness, for example by funding research and development and sustaining cheap exports (because fixed costs could be recovered from domestic sales). Import barriers insulated the domestic steel industry from import competition. </w:t>
      </w:r>
    </w:p>
    <w:p w14:paraId="4C698C80" w14:textId="77777777" w:rsidR="00D65152" w:rsidRPr="00545318" w:rsidRDefault="001819F8" w:rsidP="001819F8">
      <w:pPr>
        <w:spacing w:before="120" w:after="120"/>
      </w:pPr>
      <w:r w:rsidRPr="00545318">
        <w:t xml:space="preserve">Since then, government intervention in the steel industry appears to have been </w:t>
      </w:r>
      <w:r w:rsidR="00D65152" w:rsidRPr="00545318">
        <w:t>significantly reduced</w:t>
      </w:r>
      <w:r w:rsidR="00162CBD" w:rsidRPr="00545318">
        <w:t>. Structural adjustment has been promoted, including through reducing capacity in response to lower demand and assisting displaced workers</w:t>
      </w:r>
      <w:r w:rsidRPr="00545318">
        <w:t xml:space="preserve">. </w:t>
      </w:r>
      <w:r w:rsidR="00162CBD" w:rsidRPr="00545318">
        <w:t xml:space="preserve">A 2013 report to the OECD Steel Committee stated that </w:t>
      </w:r>
      <w:r w:rsidR="00162CBD" w:rsidRPr="00545318">
        <w:rPr>
          <w:rFonts w:ascii="Calibri" w:eastAsiaTheme="minorEastAsia" w:hAnsi="Calibri" w:cs="Calibri"/>
          <w:color w:val="000000"/>
          <w:lang w:val="en-AU" w:eastAsia="ja-JP"/>
        </w:rPr>
        <w:t>Japanese steelmakers quickly initiated structural adjustments when demand declined.</w:t>
      </w:r>
      <w:r w:rsidR="0040533E" w:rsidRPr="00545318">
        <w:rPr>
          <w:rStyle w:val="FootnoteReference"/>
          <w:rFonts w:ascii="Calibri" w:eastAsiaTheme="minorEastAsia" w:hAnsi="Calibri" w:cs="Calibri"/>
          <w:color w:val="000000"/>
          <w:lang w:val="en-AU" w:eastAsia="ja-JP"/>
        </w:rPr>
        <w:footnoteReference w:id="75"/>
      </w:r>
      <w:r w:rsidR="00C53C6C" w:rsidRPr="00545318">
        <w:rPr>
          <w:rFonts w:ascii="Calibri" w:eastAsiaTheme="minorEastAsia" w:hAnsi="Calibri" w:cs="Calibri"/>
          <w:color w:val="000000"/>
          <w:lang w:val="en-AU" w:eastAsia="ja-JP"/>
        </w:rPr>
        <w:t xml:space="preserve"> It reported that the number of blast furnaces in Japan fell from 72 in 1976 to 28 in 2012.</w:t>
      </w:r>
    </w:p>
    <w:p w14:paraId="083FDE80" w14:textId="77777777" w:rsidR="00DB68E4" w:rsidRPr="00545318" w:rsidRDefault="0040533E" w:rsidP="00162CBD">
      <w:pPr>
        <w:pStyle w:val="Default"/>
        <w:rPr>
          <w:sz w:val="22"/>
          <w:szCs w:val="22"/>
        </w:rPr>
      </w:pPr>
      <w:r w:rsidRPr="00545318">
        <w:rPr>
          <w:sz w:val="22"/>
          <w:szCs w:val="22"/>
        </w:rPr>
        <w:t xml:space="preserve">These changes have occurred within a broader economic strategy </w:t>
      </w:r>
      <w:r w:rsidR="0004228F" w:rsidRPr="00545318">
        <w:rPr>
          <w:sz w:val="22"/>
          <w:szCs w:val="22"/>
        </w:rPr>
        <w:t>t</w:t>
      </w:r>
      <w:r w:rsidRPr="00545318">
        <w:rPr>
          <w:sz w:val="22"/>
          <w:szCs w:val="22"/>
        </w:rPr>
        <w:t xml:space="preserve">o improve Japan’s growth and international competitiveness. </w:t>
      </w:r>
      <w:r w:rsidR="00DB68E4" w:rsidRPr="00545318">
        <w:rPr>
          <w:sz w:val="22"/>
          <w:szCs w:val="22"/>
        </w:rPr>
        <w:t>The OECD’s 2015 survey of the Japanese economy described progress on the three-pillar strategy for fiscal and monetary policy and structural reforms (the so-called three arrows of ‘Abenomics’).</w:t>
      </w:r>
      <w:r w:rsidR="00DB68E4" w:rsidRPr="00545318">
        <w:rPr>
          <w:rStyle w:val="FootnoteReference"/>
          <w:sz w:val="22"/>
          <w:szCs w:val="22"/>
        </w:rPr>
        <w:footnoteReference w:id="76"/>
      </w:r>
      <w:r w:rsidR="00DB68E4" w:rsidRPr="00545318">
        <w:rPr>
          <w:sz w:val="22"/>
          <w:szCs w:val="22"/>
        </w:rPr>
        <w:t xml:space="preserve"> The Japan Revitalisation Strategy, launched in June 2013 and revised in 2014, sets out ten key reforms to boost growth</w:t>
      </w:r>
      <w:r w:rsidR="00D14363" w:rsidRPr="00545318">
        <w:rPr>
          <w:sz w:val="22"/>
          <w:szCs w:val="22"/>
        </w:rPr>
        <w:t>, productivity and competitiveness</w:t>
      </w:r>
      <w:r w:rsidR="00DB68E4" w:rsidRPr="00545318">
        <w:rPr>
          <w:sz w:val="22"/>
          <w:szCs w:val="22"/>
        </w:rPr>
        <w:t xml:space="preserve">, including by </w:t>
      </w:r>
      <w:r w:rsidR="00D14363" w:rsidRPr="00545318">
        <w:rPr>
          <w:sz w:val="22"/>
          <w:szCs w:val="22"/>
        </w:rPr>
        <w:t>reducing regulation, promoting innovation and labour flexibility, and promoting greater trade openness and internationali</w:t>
      </w:r>
      <w:r w:rsidR="00D65152" w:rsidRPr="00545318">
        <w:rPr>
          <w:sz w:val="22"/>
          <w:szCs w:val="22"/>
        </w:rPr>
        <w:t>s</w:t>
      </w:r>
      <w:r w:rsidR="00D14363" w:rsidRPr="00545318">
        <w:rPr>
          <w:sz w:val="22"/>
          <w:szCs w:val="22"/>
        </w:rPr>
        <w:t>ation.</w:t>
      </w:r>
      <w:r w:rsidR="00162CBD" w:rsidRPr="00545318">
        <w:rPr>
          <w:sz w:val="22"/>
          <w:szCs w:val="22"/>
        </w:rPr>
        <w:t xml:space="preserve"> </w:t>
      </w:r>
    </w:p>
    <w:p w14:paraId="1547795E" w14:textId="77777777" w:rsidR="00D65152" w:rsidRPr="00545318" w:rsidRDefault="00D65152" w:rsidP="00D65152">
      <w:pPr>
        <w:spacing w:before="120" w:after="120"/>
      </w:pPr>
      <w:r w:rsidRPr="00545318">
        <w:t>A Commission review of investigations by the CBSA and the US Department of Commerce did not find evidence of Japanese government interventions in the steel industry. Japan has not been the subject of investigation by the Commission in respect of industry applications alleging market-distorting government interventions in its steel industry.</w:t>
      </w:r>
    </w:p>
    <w:p w14:paraId="7207CCB5" w14:textId="77777777" w:rsidR="00AB6C53" w:rsidRPr="00545318" w:rsidRDefault="00AB6C53" w:rsidP="00AB6C53">
      <w:pPr>
        <w:pStyle w:val="Heading3"/>
        <w:spacing w:after="120"/>
      </w:pPr>
      <w:r w:rsidRPr="00545318">
        <w:t>Korea</w:t>
      </w:r>
    </w:p>
    <w:p w14:paraId="3045397C" w14:textId="77777777" w:rsidR="00AB6C53" w:rsidRPr="00545318" w:rsidRDefault="00AB6C53" w:rsidP="007A4C7C">
      <w:pPr>
        <w:spacing w:before="120" w:after="120"/>
      </w:pPr>
      <w:r w:rsidRPr="00545318">
        <w:t xml:space="preserve">In the 1990s, the Korean steel industry significantly expanded capacity, reflecting overly </w:t>
      </w:r>
      <w:r w:rsidR="0074724C" w:rsidRPr="00545318">
        <w:t>optimistic</w:t>
      </w:r>
      <w:r w:rsidRPr="00545318">
        <w:t xml:space="preserve"> demand forecasts and poor bank lending practices (which were often subject to direct or indirect government influence). Financial sector reforms </w:t>
      </w:r>
      <w:r w:rsidR="007A4C7C" w:rsidRPr="00545318">
        <w:t xml:space="preserve">were </w:t>
      </w:r>
      <w:r w:rsidRPr="00545318">
        <w:t>subsequently</w:t>
      </w:r>
      <w:r w:rsidR="007A4C7C" w:rsidRPr="00545318">
        <w:t xml:space="preserve"> implemented under Korea’s International Monetary Fund program and these reforms</w:t>
      </w:r>
      <w:r w:rsidRPr="00545318">
        <w:t xml:space="preserve"> improved </w:t>
      </w:r>
      <w:r w:rsidR="007A4C7C" w:rsidRPr="00545318">
        <w:t>bank lending practices.</w:t>
      </w:r>
    </w:p>
    <w:p w14:paraId="6ABB1C17" w14:textId="2E99B731" w:rsidR="00BF40DC" w:rsidRPr="00545318" w:rsidRDefault="007A4C7C" w:rsidP="007A4C7C">
      <w:pPr>
        <w:spacing w:before="120" w:after="120"/>
      </w:pPr>
      <w:r w:rsidRPr="00545318">
        <w:t>In 1998, Korea’s Fair Trade Commission found that POSCO, a government-owned integrated steel mill, had used its market dominance to engage in monopolistic behaviours, which had anti</w:t>
      </w:r>
      <w:r w:rsidR="00B46A49">
        <w:noBreakHyphen/>
      </w:r>
      <w:r w:rsidRPr="00545318">
        <w:t xml:space="preserve">competitive effects on the Korean steel market. </w:t>
      </w:r>
      <w:r w:rsidR="00BF40DC" w:rsidRPr="00545318">
        <w:t xml:space="preserve">Despite POSCO’s market dominance in a number of basic steel products, the company did not benefit from high domestic prices due to the Korean government’s price stabilisation policies. </w:t>
      </w:r>
    </w:p>
    <w:p w14:paraId="27319A97" w14:textId="77777777" w:rsidR="007A4C7C" w:rsidRPr="00545318" w:rsidRDefault="00BF40DC" w:rsidP="007A4C7C">
      <w:pPr>
        <w:spacing w:before="120" w:after="120"/>
      </w:pPr>
      <w:r w:rsidRPr="00545318">
        <w:t>From</w:t>
      </w:r>
      <w:r w:rsidR="007A4C7C" w:rsidRPr="00545318">
        <w:t xml:space="preserve"> the 1970s and </w:t>
      </w:r>
      <w:r w:rsidRPr="00545318">
        <w:t xml:space="preserve">into the </w:t>
      </w:r>
      <w:r w:rsidR="007A4C7C" w:rsidRPr="00545318">
        <w:t>19</w:t>
      </w:r>
      <w:r w:rsidRPr="00545318">
        <w:t>9</w:t>
      </w:r>
      <w:r w:rsidR="007A4C7C" w:rsidRPr="00545318">
        <w:t>0s, POSCO was used to advance the government’s industrial development objectives, which included providing low-cost steel to downstream producers.</w:t>
      </w:r>
      <w:r w:rsidRPr="00545318">
        <w:t xml:space="preserve"> The government’s price stabilisation policies required POSCO to maintain low, stable domestic steel prices. Until 1999, this policy was reinforced by POSCO’s three-tiered pricing system, which served three different markets: domestic prices in Korean won for products consumed in Korea; direct export prices in US dollars or Japanese yen; and local export prices in US dollars which were charged to domestic customers purchasing steel for further processing into products that were exported.</w:t>
      </w:r>
      <w:r w:rsidRPr="00545318">
        <w:rPr>
          <w:rStyle w:val="FootnoteReference"/>
        </w:rPr>
        <w:footnoteReference w:id="77"/>
      </w:r>
    </w:p>
    <w:p w14:paraId="720DE1FF" w14:textId="77777777" w:rsidR="00135D4D" w:rsidRPr="00545318" w:rsidRDefault="00135D4D">
      <w:pPr>
        <w:spacing w:after="200" w:line="276" w:lineRule="auto"/>
      </w:pPr>
      <w:r w:rsidRPr="00545318">
        <w:br w:type="page"/>
      </w:r>
    </w:p>
    <w:p w14:paraId="35044C7A" w14:textId="3BFF6B31" w:rsidR="0096451D" w:rsidRPr="00545318" w:rsidRDefault="00DC5D92" w:rsidP="00DC5D92">
      <w:pPr>
        <w:spacing w:before="120" w:after="120"/>
      </w:pPr>
      <w:r w:rsidRPr="00545318">
        <w:t>More recently, t</w:t>
      </w:r>
      <w:r w:rsidR="0096451D" w:rsidRPr="00545318">
        <w:t xml:space="preserve">he Korean government has moved </w:t>
      </w:r>
      <w:r w:rsidRPr="00545318">
        <w:t xml:space="preserve">to implement </w:t>
      </w:r>
      <w:r w:rsidR="00013B66" w:rsidRPr="00545318">
        <w:t>broad</w:t>
      </w:r>
      <w:r w:rsidRPr="00545318">
        <w:t xml:space="preserve"> economic policies to boost growth, productivity and international competitiveness. In 2014, it launched the </w:t>
      </w:r>
      <w:r w:rsidR="002C68B5" w:rsidRPr="00545318">
        <w:t>‘</w:t>
      </w:r>
      <w:r w:rsidR="0096451D" w:rsidRPr="00545318">
        <w:t>Three-ye</w:t>
      </w:r>
      <w:r w:rsidRPr="00545318">
        <w:t>ar plan for Economic Innovation</w:t>
      </w:r>
      <w:r w:rsidR="002C68B5" w:rsidRPr="00545318">
        <w:t>’</w:t>
      </w:r>
      <w:r w:rsidRPr="00545318">
        <w:t xml:space="preserve"> </w:t>
      </w:r>
      <w:r w:rsidR="0096451D" w:rsidRPr="00545318">
        <w:t xml:space="preserve">as a part of its effort to </w:t>
      </w:r>
      <w:r w:rsidRPr="00545318">
        <w:t>improve Korea’s</w:t>
      </w:r>
      <w:r w:rsidR="0096451D" w:rsidRPr="00545318">
        <w:t xml:space="preserve"> growth potential. Recent reforms includ</w:t>
      </w:r>
      <w:r w:rsidRPr="00545318">
        <w:t>e</w:t>
      </w:r>
      <w:r w:rsidR="0096451D" w:rsidRPr="00545318">
        <w:t xml:space="preserve"> </w:t>
      </w:r>
      <w:r w:rsidRPr="00545318">
        <w:t xml:space="preserve">its </w:t>
      </w:r>
      <w:r w:rsidR="002C68B5" w:rsidRPr="00545318">
        <w:t>‘</w:t>
      </w:r>
      <w:r w:rsidR="0096451D" w:rsidRPr="00545318">
        <w:t>creative economy</w:t>
      </w:r>
      <w:r w:rsidR="002C68B5" w:rsidRPr="00545318">
        <w:t>’</w:t>
      </w:r>
      <w:r w:rsidR="0015322B">
        <w:t xml:space="preserve"> </w:t>
      </w:r>
      <w:r w:rsidR="0096451D" w:rsidRPr="00545318">
        <w:t xml:space="preserve">initiative, </w:t>
      </w:r>
      <w:r w:rsidRPr="00545318">
        <w:t xml:space="preserve">which aims to promote Korea’s </w:t>
      </w:r>
      <w:r w:rsidR="0096451D" w:rsidRPr="00545318">
        <w:t xml:space="preserve">science, technology, innovation and cultural </w:t>
      </w:r>
      <w:r w:rsidRPr="00545318">
        <w:t xml:space="preserve">capabilities, </w:t>
      </w:r>
      <w:r w:rsidR="0096451D" w:rsidRPr="00545318">
        <w:t xml:space="preserve">easing the regulatory burden and fostering competition </w:t>
      </w:r>
      <w:r w:rsidRPr="00545318">
        <w:t xml:space="preserve">to </w:t>
      </w:r>
      <w:r w:rsidR="0096451D" w:rsidRPr="00545318">
        <w:t xml:space="preserve">improve efficiency, particularly in key services sectors and among </w:t>
      </w:r>
      <w:r w:rsidR="00B46A49">
        <w:t>small and medium sized enterprises (</w:t>
      </w:r>
      <w:r w:rsidR="0096451D" w:rsidRPr="00545318">
        <w:t>SMEs</w:t>
      </w:r>
      <w:r w:rsidR="00B46A49">
        <w:t>)</w:t>
      </w:r>
      <w:r w:rsidRPr="00545318">
        <w:t>.</w:t>
      </w:r>
      <w:r w:rsidRPr="00545318">
        <w:rPr>
          <w:rStyle w:val="FootnoteReference"/>
        </w:rPr>
        <w:footnoteReference w:id="78"/>
      </w:r>
    </w:p>
    <w:p w14:paraId="00F6B1F3" w14:textId="5A1593D6" w:rsidR="00BF40DC" w:rsidRPr="00545318" w:rsidRDefault="00312E5F" w:rsidP="007A4C7C">
      <w:pPr>
        <w:spacing w:before="120" w:after="120"/>
      </w:pPr>
      <w:r w:rsidRPr="00545318">
        <w:t>A 2014</w:t>
      </w:r>
      <w:r w:rsidR="00B46A49">
        <w:t>,</w:t>
      </w:r>
      <w:r w:rsidRPr="00545318">
        <w:t xml:space="preserve"> investigation by the CSBA found little or no government intervention in the Korean steel industry.</w:t>
      </w:r>
      <w:r w:rsidRPr="00545318">
        <w:rPr>
          <w:rStyle w:val="FootnoteReference"/>
        </w:rPr>
        <w:footnoteReference w:id="79"/>
      </w:r>
      <w:r w:rsidRPr="00545318">
        <w:t xml:space="preserve"> Similarly, recent US Department of Commerce investigations into Korean government subsidisation of the steel industry have found </w:t>
      </w:r>
      <w:r w:rsidR="0074724C" w:rsidRPr="00545318">
        <w:t xml:space="preserve">either </w:t>
      </w:r>
      <w:r w:rsidRPr="00545318">
        <w:t>no actionable subsidies or negligible subsidies.</w:t>
      </w:r>
      <w:r w:rsidR="007C5DF9" w:rsidRPr="00545318">
        <w:t xml:space="preserve"> Korea has not been the subject of investigation by the Commission in respect of industry applications alleging market-distorting government interventions in its steel industry.</w:t>
      </w:r>
    </w:p>
    <w:p w14:paraId="131571A6" w14:textId="77777777" w:rsidR="0064798F" w:rsidRPr="00545318" w:rsidRDefault="0064798F" w:rsidP="0064798F">
      <w:pPr>
        <w:pStyle w:val="Heading3"/>
        <w:spacing w:after="120"/>
      </w:pPr>
      <w:r w:rsidRPr="00545318">
        <w:t>India</w:t>
      </w:r>
    </w:p>
    <w:p w14:paraId="38B5B3E4" w14:textId="77777777" w:rsidR="0064798F" w:rsidRPr="00545318" w:rsidRDefault="0064798F" w:rsidP="0064798F">
      <w:pPr>
        <w:spacing w:before="120" w:after="120"/>
      </w:pPr>
      <w:r w:rsidRPr="00545318">
        <w:t xml:space="preserve">During the 1990s, the Indian government promoted rapid expansion of steel production capacity. When domestic demand slowed in the late 1990s, the government stepped in to support the industry which was experiencing falling capacity utilisation while investment in new capacity continued as a result of </w:t>
      </w:r>
      <w:r w:rsidR="00D05982" w:rsidRPr="00545318">
        <w:t xml:space="preserve">a </w:t>
      </w:r>
      <w:r w:rsidRPr="00545318">
        <w:t xml:space="preserve">large pipeline </w:t>
      </w:r>
      <w:r w:rsidR="00D05982" w:rsidRPr="00545318">
        <w:t xml:space="preserve">of </w:t>
      </w:r>
      <w:r w:rsidRPr="00545318">
        <w:t xml:space="preserve">projects. </w:t>
      </w:r>
    </w:p>
    <w:p w14:paraId="2DC2F4DA" w14:textId="77777777" w:rsidR="0064798F" w:rsidRPr="00545318" w:rsidRDefault="0064798F" w:rsidP="0064798F">
      <w:pPr>
        <w:spacing w:before="120" w:after="120"/>
      </w:pPr>
      <w:r w:rsidRPr="00545318">
        <w:t>A range of government assistance was provided to promote investment in steel facilities and avoid plant closures, including government loans, loan guarantees, debt write-offs, and tax breaks. High import barriers, such as tariffs, cumbersome customs procedures, and minimum floor prices for imports, shielded the domestic industry from import competition. Steel exporters could receive export subsidies, reduced duties on imported capital goods, export financing subsidies, and a passback scheme to avoid paying duties on imports.</w:t>
      </w:r>
      <w:r w:rsidRPr="00545318">
        <w:rPr>
          <w:rStyle w:val="FootnoteReference"/>
        </w:rPr>
        <w:footnoteReference w:id="80"/>
      </w:r>
    </w:p>
    <w:p w14:paraId="2B382836" w14:textId="25D09A54" w:rsidR="00883516" w:rsidRPr="00545318" w:rsidRDefault="0004228F" w:rsidP="0064798F">
      <w:pPr>
        <w:spacing w:before="120" w:after="120"/>
      </w:pPr>
      <w:r w:rsidRPr="00545318">
        <w:t>From 1991, a suite</w:t>
      </w:r>
      <w:r w:rsidR="00EB6071" w:rsidRPr="00545318">
        <w:t xml:space="preserve"> of economic reforms were implemented by the government</w:t>
      </w:r>
      <w:r w:rsidR="00647D0B" w:rsidRPr="00545318">
        <w:t xml:space="preserve">, including </w:t>
      </w:r>
      <w:r w:rsidRPr="00545318">
        <w:t>li</w:t>
      </w:r>
      <w:r w:rsidR="00EB6071" w:rsidRPr="00545318">
        <w:t xml:space="preserve">censing requirements for capacity creation were abolished, except for certain locational restrictions. The steel industry was removed from the list of industries reserved for the public sector. Automatic approval of foreign equity investment of up to 100 </w:t>
      </w:r>
      <w:r w:rsidR="00620A65" w:rsidRPr="00545318">
        <w:t>per cent</w:t>
      </w:r>
      <w:r w:rsidR="00EB6071" w:rsidRPr="00545318">
        <w:t xml:space="preserve"> was allowed. Price and distribution controls were removed from January 1992. </w:t>
      </w:r>
      <w:r w:rsidR="00883516" w:rsidRPr="00545318">
        <w:t>Volume r</w:t>
      </w:r>
      <w:r w:rsidR="00EB6071" w:rsidRPr="00545318">
        <w:t xml:space="preserve">estrictions on external trade were removed. </w:t>
      </w:r>
      <w:r w:rsidR="00024752" w:rsidRPr="00545318">
        <w:t>Certain levies to fund capital expenditure for modernisation, rehabilitation, diversification, renewal and replacement of integrated steel plants, and certain steel exports were removed in the 1990s.</w:t>
      </w:r>
      <w:r w:rsidR="00024752" w:rsidRPr="00545318">
        <w:rPr>
          <w:rStyle w:val="FootnoteReference"/>
        </w:rPr>
        <w:footnoteReference w:id="81"/>
      </w:r>
      <w:r w:rsidR="00883516" w:rsidRPr="00545318">
        <w:t xml:space="preserve"> </w:t>
      </w:r>
    </w:p>
    <w:p w14:paraId="246B715E" w14:textId="77777777" w:rsidR="00175611" w:rsidRPr="00545318" w:rsidRDefault="00647D0B" w:rsidP="00647D0B">
      <w:pPr>
        <w:spacing w:before="120" w:after="120"/>
        <w:rPr>
          <w:lang w:val="en-AU"/>
        </w:rPr>
      </w:pPr>
      <w:r w:rsidRPr="00545318">
        <w:rPr>
          <w:lang w:val="en-AU"/>
        </w:rPr>
        <w:t>However, there continues to be significant government involvement in the steel industry. The government categorises the steel industry as ‘a core sector’, considering its sustained growth as ‘a prerequisite for attaining the high level of Gross Domestic Product (GDP) growth’.</w:t>
      </w:r>
      <w:r w:rsidRPr="00545318">
        <w:rPr>
          <w:rStyle w:val="FootnoteReference"/>
          <w:lang w:val="en-AU"/>
        </w:rPr>
        <w:footnoteReference w:id="82"/>
      </w:r>
      <w:r w:rsidRPr="00545318">
        <w:rPr>
          <w:lang w:val="en-AU"/>
        </w:rPr>
        <w:t xml:space="preserve"> </w:t>
      </w:r>
      <w:r w:rsidR="00175611" w:rsidRPr="00545318">
        <w:rPr>
          <w:lang w:val="en-AU"/>
        </w:rPr>
        <w:t>There is significant state ownership of steel production capacity, including Steel Authority of India Limited (SAIL), which is the market leader.</w:t>
      </w:r>
    </w:p>
    <w:p w14:paraId="48E8DD25" w14:textId="109B119E" w:rsidR="00065392" w:rsidRPr="00545318" w:rsidRDefault="00883516" w:rsidP="00065392">
      <w:pPr>
        <w:spacing w:before="120" w:after="120"/>
      </w:pPr>
      <w:r w:rsidRPr="00545318">
        <w:rPr>
          <w:lang w:val="en-AU"/>
        </w:rPr>
        <w:t>Under the government’s National Steel Policy 2005, assistance has been provided to private steel producers to promote growth of the iron and steel sector, including ensuring raw material supplies to the industry (such as allocation of coal blocks and coal linkages and supply of natural gas to the sector).</w:t>
      </w:r>
      <w:r w:rsidR="00A758C9" w:rsidRPr="00545318">
        <w:rPr>
          <w:rStyle w:val="FootnoteReference"/>
          <w:lang w:val="en-AU"/>
        </w:rPr>
        <w:footnoteReference w:id="83"/>
      </w:r>
      <w:r w:rsidR="00647D0B" w:rsidRPr="00545318">
        <w:rPr>
          <w:lang w:val="en-AU"/>
        </w:rPr>
        <w:t xml:space="preserve"> </w:t>
      </w:r>
      <w:r w:rsidR="00065392" w:rsidRPr="00545318">
        <w:t xml:space="preserve">The government imposes export duty of 30 </w:t>
      </w:r>
      <w:r w:rsidR="00620A65" w:rsidRPr="00545318">
        <w:t>per cent</w:t>
      </w:r>
      <w:r w:rsidR="00065392" w:rsidRPr="00545318">
        <w:t xml:space="preserve"> on all forms of iron ore, except low grades (duty of 10 </w:t>
      </w:r>
      <w:r w:rsidR="00620A65" w:rsidRPr="00545318">
        <w:t>per cent</w:t>
      </w:r>
      <w:r w:rsidR="00065392" w:rsidRPr="00545318">
        <w:t xml:space="preserve">) and iron ore pellets (duty of 5 </w:t>
      </w:r>
      <w:r w:rsidR="00620A65" w:rsidRPr="00545318">
        <w:t>per cent</w:t>
      </w:r>
      <w:r w:rsidR="00065392" w:rsidRPr="00545318">
        <w:t>), in order to conserve iron ore ‘for the lo</w:t>
      </w:r>
      <w:r w:rsidR="00FE3700" w:rsidRPr="00545318">
        <w:t>ng-</w:t>
      </w:r>
      <w:r w:rsidR="00065392" w:rsidRPr="00545318">
        <w:t>term requirement of the domestic steel industry’.</w:t>
      </w:r>
    </w:p>
    <w:p w14:paraId="28789E8C" w14:textId="77777777" w:rsidR="00883516" w:rsidRPr="00545318" w:rsidRDefault="00A758C9" w:rsidP="00883516">
      <w:pPr>
        <w:spacing w:before="120" w:after="120"/>
      </w:pPr>
      <w:r w:rsidRPr="00545318">
        <w:rPr>
          <w:lang w:val="en-AU"/>
        </w:rPr>
        <w:t>The government’s</w:t>
      </w:r>
      <w:r w:rsidR="00883516" w:rsidRPr="00545318">
        <w:rPr>
          <w:lang w:val="en-AU"/>
        </w:rPr>
        <w:t xml:space="preserve"> new National Steel Policy</w:t>
      </w:r>
      <w:r w:rsidRPr="00545318">
        <w:rPr>
          <w:lang w:val="en-AU"/>
        </w:rPr>
        <w:t xml:space="preserve"> will continue to support the</w:t>
      </w:r>
      <w:r w:rsidR="00883516" w:rsidRPr="00545318">
        <w:rPr>
          <w:lang w:val="en-AU"/>
        </w:rPr>
        <w:t xml:space="preserve"> development of</w:t>
      </w:r>
      <w:r w:rsidRPr="00545318">
        <w:rPr>
          <w:lang w:val="en-AU"/>
        </w:rPr>
        <w:t xml:space="preserve"> the</w:t>
      </w:r>
      <w:r w:rsidR="00883516" w:rsidRPr="00545318">
        <w:rPr>
          <w:lang w:val="en-AU"/>
        </w:rPr>
        <w:t xml:space="preserve"> steel industry with the focus on achieving the targeted production of 300 mtpa of steel by 2025</w:t>
      </w:r>
      <w:r w:rsidRPr="00545318">
        <w:rPr>
          <w:lang w:val="en-AU"/>
        </w:rPr>
        <w:t>, a substantial increase from the c</w:t>
      </w:r>
      <w:r w:rsidR="00175611" w:rsidRPr="00545318">
        <w:t xml:space="preserve">rude steel capacity </w:t>
      </w:r>
      <w:r w:rsidRPr="00545318">
        <w:t>of</w:t>
      </w:r>
      <w:r w:rsidR="00175611" w:rsidRPr="00545318">
        <w:t xml:space="preserve"> 109.85 mt in 2014-15</w:t>
      </w:r>
      <w:r w:rsidRPr="00545318">
        <w:t>.</w:t>
      </w:r>
      <w:r w:rsidRPr="00545318">
        <w:rPr>
          <w:rStyle w:val="FootnoteReference"/>
        </w:rPr>
        <w:footnoteReference w:id="84"/>
      </w:r>
      <w:r w:rsidR="00065392" w:rsidRPr="00545318">
        <w:t xml:space="preserve"> The federal budget for 2015-16 has allocated funding for capacity expansion by state-owned steelmakers. </w:t>
      </w:r>
    </w:p>
    <w:p w14:paraId="58A1A83A" w14:textId="77777777" w:rsidR="00F53FDA" w:rsidRPr="00545318" w:rsidRDefault="00F53FDA" w:rsidP="00F53FDA">
      <w:pPr>
        <w:spacing w:before="120" w:after="120"/>
      </w:pPr>
      <w:r w:rsidRPr="00545318">
        <w:t xml:space="preserve">During the current economic downturn, the Indian government has increased the level of trade protection for steel products, including through: </w:t>
      </w:r>
    </w:p>
    <w:p w14:paraId="4CBF9FDF" w14:textId="77777777" w:rsidR="00F53FDA" w:rsidRPr="00545318" w:rsidRDefault="00F53FDA" w:rsidP="00F53FDA">
      <w:pPr>
        <w:pStyle w:val="ListParagraph"/>
        <w:numPr>
          <w:ilvl w:val="0"/>
          <w:numId w:val="34"/>
        </w:numPr>
        <w:spacing w:before="120" w:after="120"/>
        <w:ind w:left="714" w:hanging="357"/>
        <w:contextualSpacing w:val="0"/>
      </w:pPr>
      <w:r w:rsidRPr="00545318">
        <w:t>an increase in import duties on all categories of steel products in June and August 2015</w:t>
      </w:r>
    </w:p>
    <w:p w14:paraId="6E650FF1" w14:textId="4862E370" w:rsidR="00F53FDA" w:rsidRPr="00545318" w:rsidRDefault="00F53FDA" w:rsidP="00F53FDA">
      <w:pPr>
        <w:pStyle w:val="ListParagraph"/>
        <w:numPr>
          <w:ilvl w:val="0"/>
          <w:numId w:val="34"/>
        </w:numPr>
        <w:spacing w:before="120" w:after="120"/>
        <w:ind w:left="714" w:hanging="357"/>
        <w:contextualSpacing w:val="0"/>
      </w:pPr>
      <w:r w:rsidRPr="00545318">
        <w:t xml:space="preserve">imposition of a 20 </w:t>
      </w:r>
      <w:r w:rsidR="00620A65" w:rsidRPr="00545318">
        <w:t>per cent</w:t>
      </w:r>
      <w:r w:rsidRPr="00545318">
        <w:t xml:space="preserve"> provisional safeguard duty on certain hot</w:t>
      </w:r>
      <w:r w:rsidR="00DE7278">
        <w:t xml:space="preserve"> </w:t>
      </w:r>
      <w:r w:rsidRPr="00545318">
        <w:t>rolled steel products for 200 days in September 2015—extended for two years</w:t>
      </w:r>
      <w:r w:rsidR="00AD072C" w:rsidRPr="00545318">
        <w:t xml:space="preserve"> in March 2016 </w:t>
      </w:r>
      <w:r w:rsidRPr="00545318">
        <w:t xml:space="preserve">until March 2018 (phasing down to 10 </w:t>
      </w:r>
      <w:r w:rsidR="00620A65" w:rsidRPr="00545318">
        <w:t>per cent</w:t>
      </w:r>
      <w:r w:rsidRPr="00545318">
        <w:t xml:space="preserve"> over the period)</w:t>
      </w:r>
      <w:r w:rsidRPr="00545318">
        <w:rPr>
          <w:rStyle w:val="FootnoteReference"/>
        </w:rPr>
        <w:footnoteReference w:id="85"/>
      </w:r>
      <w:r w:rsidRPr="00545318">
        <w:t xml:space="preserve"> </w:t>
      </w:r>
    </w:p>
    <w:p w14:paraId="5D566B22" w14:textId="371ACD83" w:rsidR="00F53FDA" w:rsidRPr="00545318" w:rsidRDefault="00F53FDA" w:rsidP="00F53FDA">
      <w:pPr>
        <w:pStyle w:val="ListParagraph"/>
        <w:numPr>
          <w:ilvl w:val="0"/>
          <w:numId w:val="34"/>
        </w:numPr>
        <w:spacing w:before="120" w:after="120"/>
        <w:ind w:left="714" w:hanging="357"/>
        <w:contextualSpacing w:val="0"/>
      </w:pPr>
      <w:r w:rsidRPr="00545318">
        <w:t>imposition of minimum import prices on 173 steel products for a period of six months in February 2016</w:t>
      </w:r>
      <w:r w:rsidR="00AD072C" w:rsidRPr="00545318">
        <w:t>—e</w:t>
      </w:r>
      <w:r w:rsidRPr="00545318">
        <w:t>xtended</w:t>
      </w:r>
      <w:r w:rsidR="00AD072C" w:rsidRPr="00545318">
        <w:t xml:space="preserve"> f</w:t>
      </w:r>
      <w:r w:rsidRPr="00545318">
        <w:t>or a further two months for 66 of these products in August 2016. Products on which safeguard or anti-dumping duties have been imposed were removed from this list</w:t>
      </w:r>
      <w:r w:rsidRPr="00545318">
        <w:rPr>
          <w:rStyle w:val="FootnoteReference"/>
        </w:rPr>
        <w:footnoteReference w:id="86"/>
      </w:r>
    </w:p>
    <w:p w14:paraId="5758D29D" w14:textId="537A297E" w:rsidR="00F53FDA" w:rsidRPr="00545318" w:rsidRDefault="00F53FDA" w:rsidP="00F53FDA">
      <w:pPr>
        <w:pStyle w:val="ListParagraph"/>
        <w:numPr>
          <w:ilvl w:val="0"/>
          <w:numId w:val="34"/>
        </w:numPr>
        <w:spacing w:before="120" w:after="120"/>
        <w:ind w:left="714" w:hanging="357"/>
        <w:contextualSpacing w:val="0"/>
      </w:pPr>
      <w:r w:rsidRPr="00545318">
        <w:t>notification of Steel and Steel Product (Quality Control) Orders to ensure only quality steel is produced or imported</w:t>
      </w:r>
      <w:r w:rsidR="00435108">
        <w:t>.</w:t>
      </w:r>
      <w:r w:rsidRPr="00545318">
        <w:rPr>
          <w:rStyle w:val="FootnoteReference"/>
        </w:rPr>
        <w:footnoteReference w:id="87"/>
      </w:r>
    </w:p>
    <w:p w14:paraId="1575E7AC" w14:textId="77777777" w:rsidR="00F53FDA" w:rsidRPr="00545318" w:rsidRDefault="00F53FDA" w:rsidP="00F53FDA">
      <w:pPr>
        <w:spacing w:before="120" w:after="120"/>
        <w:rPr>
          <w:lang w:val="en-AU"/>
        </w:rPr>
      </w:pPr>
      <w:r w:rsidRPr="00545318">
        <w:rPr>
          <w:lang w:val="en-AU"/>
        </w:rPr>
        <w:t>Some Indian state governments also offer concessions to steel producers such as: land subsidies; interest rate subsidies on borrowed funds; VAT, stamp duty and entry tax exemptions; and employment cost subsidies.</w:t>
      </w:r>
      <w:r w:rsidRPr="00545318">
        <w:rPr>
          <w:rStyle w:val="FootnoteReference"/>
          <w:lang w:val="en-AU"/>
        </w:rPr>
        <w:footnoteReference w:id="88"/>
      </w:r>
    </w:p>
    <w:p w14:paraId="7DA4507C" w14:textId="0B9481E4" w:rsidR="00370A41" w:rsidRPr="00545318" w:rsidRDefault="00370A41" w:rsidP="00370A41">
      <w:pPr>
        <w:spacing w:before="120" w:after="120"/>
        <w:rPr>
          <w:color w:val="000000" w:themeColor="text1"/>
        </w:rPr>
      </w:pPr>
      <w:r w:rsidRPr="00545318">
        <w:rPr>
          <w:color w:val="000000" w:themeColor="text1"/>
        </w:rPr>
        <w:t xml:space="preserve">There </w:t>
      </w:r>
      <w:r w:rsidR="00FC026E" w:rsidRPr="00545318">
        <w:rPr>
          <w:color w:val="000000" w:themeColor="text1"/>
        </w:rPr>
        <w:t>are</w:t>
      </w:r>
      <w:r w:rsidRPr="00545318">
        <w:rPr>
          <w:color w:val="000000" w:themeColor="text1"/>
        </w:rPr>
        <w:t xml:space="preserve"> currently five ongoing investigations into Indian exports of steel products</w:t>
      </w:r>
      <w:r w:rsidR="00FC026E" w:rsidRPr="00545318">
        <w:rPr>
          <w:color w:val="000000" w:themeColor="text1"/>
        </w:rPr>
        <w:t>, one of which involves a claim of subsidisation</w:t>
      </w:r>
      <w:r w:rsidRPr="00545318">
        <w:rPr>
          <w:b/>
          <w:color w:val="000000" w:themeColor="text1"/>
        </w:rPr>
        <w:t xml:space="preserve">. </w:t>
      </w:r>
      <w:r w:rsidRPr="00545318">
        <w:rPr>
          <w:color w:val="000000" w:themeColor="text1"/>
        </w:rPr>
        <w:t>Th</w:t>
      </w:r>
      <w:r w:rsidR="00FC026E" w:rsidRPr="00545318">
        <w:rPr>
          <w:color w:val="000000" w:themeColor="text1"/>
        </w:rPr>
        <w:t>e</w:t>
      </w:r>
      <w:r w:rsidRPr="00545318">
        <w:rPr>
          <w:color w:val="000000" w:themeColor="text1"/>
        </w:rPr>
        <w:t xml:space="preserve"> investigations are being undertaken by the United States and Indonesian authorities.</w:t>
      </w:r>
      <w:r w:rsidRPr="00545318">
        <w:rPr>
          <w:rStyle w:val="FootnoteReference"/>
          <w:b/>
          <w:color w:val="000000" w:themeColor="text1"/>
        </w:rPr>
        <w:footnoteReference w:id="89"/>
      </w:r>
    </w:p>
    <w:p w14:paraId="1C903738" w14:textId="7237FC80" w:rsidR="00773986" w:rsidRPr="00545318" w:rsidRDefault="00773986" w:rsidP="00773986">
      <w:pPr>
        <w:spacing w:before="120" w:after="120"/>
        <w:rPr>
          <w:lang w:val="en-AU"/>
        </w:rPr>
      </w:pPr>
      <w:r w:rsidRPr="00545318">
        <w:rPr>
          <w:lang w:val="en-AU"/>
        </w:rPr>
        <w:t>At the 15 April 2016 meeting of WTO Council for Trade in Goods, new trade concerns were raised on India's trade restrictions, including minimum import prices for steel products, the increase in customs duties for tariffs for 96 tariff lines, and the safeguard measures applied to the steel sector.</w:t>
      </w:r>
      <w:r w:rsidRPr="00545318">
        <w:rPr>
          <w:rStyle w:val="FootnoteReference"/>
          <w:lang w:val="en-AU"/>
        </w:rPr>
        <w:footnoteReference w:id="90"/>
      </w:r>
    </w:p>
    <w:p w14:paraId="695071FF" w14:textId="77777777" w:rsidR="00FB04E9" w:rsidRPr="00545318" w:rsidRDefault="00FB04E9" w:rsidP="00FB04E9">
      <w:pPr>
        <w:pStyle w:val="Heading3"/>
      </w:pPr>
      <w:r w:rsidRPr="00545318">
        <w:t>Taiwan</w:t>
      </w:r>
    </w:p>
    <w:p w14:paraId="1F0C53D6" w14:textId="5B47CF3C" w:rsidR="00370A41" w:rsidRPr="00545318" w:rsidRDefault="00370A41" w:rsidP="00370A41">
      <w:pPr>
        <w:spacing w:before="120" w:after="120"/>
      </w:pPr>
      <w:r w:rsidRPr="00545318">
        <w:t xml:space="preserve">A Commission review of investigations by the CBSA and the US Department of Commerce did not find evidence of Taiwanese government interventions in the steel industry. Taiwan has not been the subject of investigation by the Commission in respect of industry applications alleging market-distorting government interventions in its steel industry. </w:t>
      </w:r>
    </w:p>
    <w:p w14:paraId="76B7C36A" w14:textId="77777777" w:rsidR="000B77B8" w:rsidRPr="00545318" w:rsidRDefault="000B77B8" w:rsidP="00643F8E">
      <w:pPr>
        <w:pStyle w:val="Heading3"/>
        <w:spacing w:after="120"/>
      </w:pPr>
      <w:r w:rsidRPr="00545318">
        <w:t>Indone</w:t>
      </w:r>
      <w:r w:rsidR="00643F8E" w:rsidRPr="00545318">
        <w:t>s</w:t>
      </w:r>
      <w:r w:rsidRPr="00545318">
        <w:t>i</w:t>
      </w:r>
      <w:r w:rsidR="00643F8E" w:rsidRPr="00545318">
        <w:t>a</w:t>
      </w:r>
    </w:p>
    <w:p w14:paraId="02D0A269" w14:textId="08D56C0F" w:rsidR="00643F8E" w:rsidRPr="00545318" w:rsidRDefault="00643F8E" w:rsidP="00643F8E">
      <w:r w:rsidRPr="00545318">
        <w:t>The Indonesian government has listed the basic metals sector as one of the nine so-called ‘pioneer’ industries. In August 2015</w:t>
      </w:r>
      <w:r w:rsidR="00B46A49">
        <w:t>,</w:t>
      </w:r>
      <w:r w:rsidRPr="00545318">
        <w:t xml:space="preserve"> the Ministry of Finance issued a regulation that offers a tax holiday of up to 20 years for companies operating in these nine sectors.</w:t>
      </w:r>
      <w:r w:rsidRPr="00545318">
        <w:rPr>
          <w:rStyle w:val="FootnoteReference"/>
        </w:rPr>
        <w:footnoteReference w:id="91"/>
      </w:r>
      <w:r w:rsidRPr="00545318">
        <w:t xml:space="preserve"> </w:t>
      </w:r>
    </w:p>
    <w:p w14:paraId="18F35503" w14:textId="77777777" w:rsidR="00643F8E" w:rsidRPr="00545318" w:rsidRDefault="00643F8E" w:rsidP="00643F8E">
      <w:pPr>
        <w:pStyle w:val="Heading3"/>
        <w:spacing w:after="120"/>
      </w:pPr>
      <w:r w:rsidRPr="00545318">
        <w:t>Malaysia</w:t>
      </w:r>
    </w:p>
    <w:p w14:paraId="0DCD48D5" w14:textId="79AC505F" w:rsidR="00370A41" w:rsidRPr="00545318" w:rsidRDefault="00370A41" w:rsidP="00370A41">
      <w:pPr>
        <w:spacing w:before="120" w:after="120"/>
      </w:pPr>
      <w:r w:rsidRPr="00545318">
        <w:t xml:space="preserve">In its Third Industrial Master Plan 2006-2020, the Malaysian Investment Development Authority (MIDA) identifies the iron and steel industry as one of the promoted activities that are eligible for so-called </w:t>
      </w:r>
      <w:r w:rsidR="00FC026E" w:rsidRPr="00545318">
        <w:t>‘</w:t>
      </w:r>
      <w:r w:rsidRPr="00545318">
        <w:t>pioneer status</w:t>
      </w:r>
      <w:r w:rsidR="00FC026E" w:rsidRPr="00545318">
        <w:t>’</w:t>
      </w:r>
      <w:r w:rsidRPr="00545318">
        <w:t xml:space="preserve"> and investment tax allowances.</w:t>
      </w:r>
      <w:r w:rsidRPr="00545318">
        <w:rPr>
          <w:rStyle w:val="FootnoteReference"/>
        </w:rPr>
        <w:footnoteReference w:id="92"/>
      </w:r>
      <w:r w:rsidRPr="00545318">
        <w:t xml:space="preserve"> </w:t>
      </w:r>
    </w:p>
    <w:p w14:paraId="0CA3B41A" w14:textId="77777777" w:rsidR="00E54D5C" w:rsidRPr="00545318" w:rsidRDefault="00E54D5C" w:rsidP="00E54D5C">
      <w:pPr>
        <w:pStyle w:val="Heading3"/>
        <w:spacing w:after="120"/>
      </w:pPr>
      <w:r w:rsidRPr="00545318">
        <w:t>Thailand</w:t>
      </w:r>
    </w:p>
    <w:p w14:paraId="20E7CA48" w14:textId="0DCA91A0" w:rsidR="002C68B5" w:rsidRPr="00545318" w:rsidRDefault="00370A41" w:rsidP="00370A41">
      <w:pPr>
        <w:spacing w:before="120" w:after="120"/>
      </w:pPr>
      <w:r w:rsidRPr="00545318">
        <w:t>In late 2014, the Board of Investment of Thailand introduced a seven-year Investment Promotion Strategy, with effect from January 2015.</w:t>
      </w:r>
      <w:r w:rsidRPr="00545318">
        <w:rPr>
          <w:rStyle w:val="FootnoteReference"/>
        </w:rPr>
        <w:footnoteReference w:id="93"/>
      </w:r>
      <w:r w:rsidRPr="00545318">
        <w:t xml:space="preserve"> Steel is one of the eligible activities for investment promotion. Different tax and non-tax incentives apply, depending on the nature of the steel project. Higher tax concessions are available for crude steel investments than for downstream investments such as the manufacture of steel coils, flat</w:t>
      </w:r>
      <w:r w:rsidR="00DE7278">
        <w:t xml:space="preserve"> </w:t>
      </w:r>
      <w:r w:rsidRPr="00545318">
        <w:t xml:space="preserve">rolled steel for construction or long products. </w:t>
      </w:r>
    </w:p>
    <w:p w14:paraId="3E882EF1" w14:textId="5F20B15F" w:rsidR="00370A41" w:rsidRPr="00545318" w:rsidRDefault="00370A41" w:rsidP="00370A41">
      <w:pPr>
        <w:spacing w:before="120" w:after="120"/>
        <w:rPr>
          <w:color w:val="000000"/>
          <w:lang w:val="en"/>
        </w:rPr>
      </w:pPr>
      <w:r w:rsidRPr="00545318">
        <w:t xml:space="preserve">Thai authorities have </w:t>
      </w:r>
      <w:r w:rsidR="002C68B5" w:rsidRPr="00545318">
        <w:t>imposed</w:t>
      </w:r>
      <w:r w:rsidRPr="00545318">
        <w:t xml:space="preserve"> a number of safeguard measures in recent years. In 2014, safeguard measures were imposed on </w:t>
      </w:r>
      <w:r w:rsidRPr="00545318">
        <w:rPr>
          <w:color w:val="000000"/>
          <w:lang w:val="en"/>
        </w:rPr>
        <w:t>imports of hot rolled flat steel.</w:t>
      </w:r>
      <w:r w:rsidRPr="00545318">
        <w:rPr>
          <w:rStyle w:val="FootnoteReference"/>
          <w:color w:val="000000"/>
          <w:lang w:val="en"/>
        </w:rPr>
        <w:footnoteReference w:id="94"/>
      </w:r>
      <w:r w:rsidRPr="00545318">
        <w:rPr>
          <w:color w:val="000000"/>
          <w:lang w:val="en"/>
        </w:rPr>
        <w:t xml:space="preserve"> Thai authorities also commenced a safeguard investigation into imports of structural hot rolled H-beam in February 2016. It is the Commission’s understanding that this investigation is ongoing.</w:t>
      </w:r>
      <w:r w:rsidRPr="00545318">
        <w:rPr>
          <w:rStyle w:val="FootnoteReference"/>
          <w:color w:val="000000"/>
          <w:lang w:val="en"/>
        </w:rPr>
        <w:footnoteReference w:id="95"/>
      </w:r>
    </w:p>
    <w:p w14:paraId="04417FE7" w14:textId="5FD47418" w:rsidR="002C68B5" w:rsidRPr="00545318" w:rsidRDefault="002C68B5" w:rsidP="00370A41">
      <w:pPr>
        <w:spacing w:before="120" w:after="120"/>
        <w:rPr>
          <w:color w:val="000000"/>
          <w:sz w:val="21"/>
          <w:szCs w:val="21"/>
          <w:lang w:val="en"/>
        </w:rPr>
      </w:pPr>
      <w:r w:rsidRPr="00545318">
        <w:t>Thailand is reportedly working on a reform of anti-dumping laws and expects to have a draft law by the end of 2016.</w:t>
      </w:r>
      <w:r w:rsidRPr="00545318">
        <w:rPr>
          <w:rStyle w:val="FootnoteReference"/>
        </w:rPr>
        <w:footnoteReference w:id="96"/>
      </w:r>
    </w:p>
    <w:p w14:paraId="3D986146"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7AE33F06" w14:textId="19A3D7BE" w:rsidR="00E54D5C" w:rsidRPr="00545318" w:rsidRDefault="00E54D5C" w:rsidP="00E54D5C">
      <w:pPr>
        <w:pStyle w:val="Heading3"/>
        <w:spacing w:after="120"/>
      </w:pPr>
      <w:r w:rsidRPr="00545318">
        <w:t>Vietnam</w:t>
      </w:r>
    </w:p>
    <w:p w14:paraId="7AF5C961" w14:textId="11D983B2" w:rsidR="00E54D5C" w:rsidRPr="00545318" w:rsidRDefault="00906D2A" w:rsidP="00643F8E">
      <w:pPr>
        <w:spacing w:before="120" w:after="120"/>
      </w:pPr>
      <w:r w:rsidRPr="00545318">
        <w:t>Vietnam’s Foreign Investment Agency of the Ministry of Planning and Investment has listed the ‘production of high quality steel, alloy, special metals, sponge iron and steel billets’ as one of the activities eligible for special investment incentives.</w:t>
      </w:r>
      <w:r w:rsidRPr="00545318">
        <w:rPr>
          <w:rStyle w:val="FootnoteReference"/>
        </w:rPr>
        <w:footnoteReference w:id="97"/>
      </w:r>
      <w:r w:rsidRPr="00545318">
        <w:t xml:space="preserve"> These incentives include tax concessions for the first 15 years of revenue generation for new investments, tax exemptions for large scale investments or investments in an Economic Zone, and land subsidies.</w:t>
      </w:r>
      <w:r w:rsidRPr="00545318">
        <w:rPr>
          <w:rStyle w:val="FootnoteReference"/>
        </w:rPr>
        <w:footnoteReference w:id="98"/>
      </w:r>
    </w:p>
    <w:p w14:paraId="423B8659" w14:textId="77777777" w:rsidR="00374264" w:rsidRPr="00545318" w:rsidRDefault="00374264" w:rsidP="00374264">
      <w:pPr>
        <w:pStyle w:val="Heading2"/>
      </w:pPr>
      <w:bookmarkStart w:id="42" w:name="_Toc458674161"/>
      <w:bookmarkStart w:id="43" w:name="_Toc460430491"/>
      <w:r w:rsidRPr="00545318">
        <w:t>Aluminium industry: Chinese government interventions</w:t>
      </w:r>
      <w:bookmarkEnd w:id="42"/>
      <w:bookmarkEnd w:id="43"/>
    </w:p>
    <w:p w14:paraId="009DE4C5" w14:textId="77777777" w:rsidR="00374264" w:rsidRPr="00545318" w:rsidRDefault="00374264" w:rsidP="00374264">
      <w:pPr>
        <w:spacing w:before="120" w:after="120"/>
      </w:pPr>
      <w:r w:rsidRPr="00545318">
        <w:t>The Commission has found evidence that the Chinese Government continues to play a significant role in the Chinese aluminium industry. The Commission considers that this intervention has significantly contributed to overcapacity and large stockpiles in the Chinese and global aluminium markets.</w:t>
      </w:r>
    </w:p>
    <w:p w14:paraId="445E0447" w14:textId="77777777" w:rsidR="00374264" w:rsidRPr="00545318" w:rsidRDefault="00374264" w:rsidP="0040301E">
      <w:pPr>
        <w:pStyle w:val="Heading3"/>
        <w:spacing w:after="120"/>
      </w:pPr>
      <w:r w:rsidRPr="00545318">
        <w:t>Chinese Government plans and guidelines</w:t>
      </w:r>
    </w:p>
    <w:p w14:paraId="65D6DFCC" w14:textId="77777777" w:rsidR="00374264" w:rsidRPr="00545318" w:rsidRDefault="00374264" w:rsidP="00374264">
      <w:pPr>
        <w:spacing w:before="120" w:after="120"/>
      </w:pPr>
      <w:r w:rsidRPr="00545318">
        <w:t xml:space="preserve">Similar to the steel industry, the Chinese Government has been heavily involved in directing and controlling the structure, composition, growth and financial viability of the Chinese aluminium industry. This occurs through: policies and plans that treat the non-ferrous metals industry as </w:t>
      </w:r>
      <w:r w:rsidR="005F2CD9" w:rsidRPr="00545318">
        <w:t>an</w:t>
      </w:r>
      <w:r w:rsidRPr="00545318">
        <w:t xml:space="preserve"> encouraged industry</w:t>
      </w:r>
      <w:r w:rsidR="0074724C" w:rsidRPr="00545318">
        <w:t>;</w:t>
      </w:r>
      <w:r w:rsidRPr="00545318">
        <w:t xml:space="preserve"> subsidy programs</w:t>
      </w:r>
      <w:r w:rsidR="0074724C" w:rsidRPr="00545318">
        <w:t>;</w:t>
      </w:r>
      <w:r w:rsidRPr="00545318">
        <w:t xml:space="preserve"> taxation arrangements</w:t>
      </w:r>
      <w:r w:rsidR="0074724C" w:rsidRPr="00545318">
        <w:t>;</w:t>
      </w:r>
      <w:r w:rsidRPr="00545318">
        <w:t xml:space="preserve"> and the significant number of state-owned </w:t>
      </w:r>
      <w:r w:rsidR="0074724C" w:rsidRPr="00545318">
        <w:t>aluminium</w:t>
      </w:r>
      <w:r w:rsidRPr="00545318">
        <w:t xml:space="preserve"> companies (especially in smelting).</w:t>
      </w:r>
    </w:p>
    <w:p w14:paraId="7F548FC3" w14:textId="77777777" w:rsidR="00374264" w:rsidRPr="00545318" w:rsidRDefault="00374264" w:rsidP="00374264">
      <w:pPr>
        <w:spacing w:before="120" w:after="120"/>
      </w:pPr>
      <w:r w:rsidRPr="00545318">
        <w:t>In a recent investigation into aluminium road wheels, the Commission found consistent themes in the Chinese Government’s plans and measures for the aluminium industry, relating to:</w:t>
      </w:r>
    </w:p>
    <w:p w14:paraId="6A1C394D" w14:textId="77777777" w:rsidR="00374264" w:rsidRPr="00545318" w:rsidRDefault="00374264" w:rsidP="0028410A">
      <w:pPr>
        <w:numPr>
          <w:ilvl w:val="0"/>
          <w:numId w:val="20"/>
        </w:numPr>
        <w:spacing w:before="120" w:after="120"/>
      </w:pPr>
      <w:r w:rsidRPr="00545318">
        <w:t>elimination of backwards capacity</w:t>
      </w:r>
    </w:p>
    <w:p w14:paraId="57CF3CC7" w14:textId="77777777" w:rsidR="00374264" w:rsidRPr="00545318" w:rsidRDefault="00374264" w:rsidP="0028410A">
      <w:pPr>
        <w:numPr>
          <w:ilvl w:val="0"/>
          <w:numId w:val="20"/>
        </w:numPr>
        <w:spacing w:before="120" w:after="120"/>
      </w:pPr>
      <w:r w:rsidRPr="00545318">
        <w:t>control of production levels</w:t>
      </w:r>
    </w:p>
    <w:p w14:paraId="445B7728" w14:textId="77777777" w:rsidR="00374264" w:rsidRPr="00545318" w:rsidRDefault="00374264" w:rsidP="0028410A">
      <w:pPr>
        <w:numPr>
          <w:ilvl w:val="0"/>
          <w:numId w:val="20"/>
        </w:numPr>
        <w:spacing w:before="120" w:after="120"/>
      </w:pPr>
      <w:r w:rsidRPr="00545318">
        <w:t xml:space="preserve">encouraging mergers, restructuring and relocation </w:t>
      </w:r>
    </w:p>
    <w:p w14:paraId="03F723B5" w14:textId="77777777" w:rsidR="00374264" w:rsidRPr="00545318" w:rsidRDefault="00374264" w:rsidP="0028410A">
      <w:pPr>
        <w:numPr>
          <w:ilvl w:val="0"/>
          <w:numId w:val="20"/>
        </w:numPr>
        <w:spacing w:before="120" w:after="120"/>
      </w:pPr>
      <w:r w:rsidRPr="00545318">
        <w:t xml:space="preserve">promoting technological and product quality improvement </w:t>
      </w:r>
    </w:p>
    <w:p w14:paraId="3B2198FE" w14:textId="77777777" w:rsidR="00374264" w:rsidRPr="00545318" w:rsidRDefault="00374264" w:rsidP="007677C4">
      <w:pPr>
        <w:numPr>
          <w:ilvl w:val="0"/>
          <w:numId w:val="20"/>
        </w:numPr>
        <w:spacing w:before="120" w:after="120"/>
        <w:ind w:left="714" w:hanging="357"/>
      </w:pPr>
      <w:r w:rsidRPr="00545318">
        <w:t>implementing and encouraging environmental measures.</w:t>
      </w:r>
      <w:r w:rsidRPr="00545318">
        <w:rPr>
          <w:vertAlign w:val="superscript"/>
        </w:rPr>
        <w:footnoteReference w:id="99"/>
      </w:r>
    </w:p>
    <w:p w14:paraId="12F711A2" w14:textId="77777777" w:rsidR="00374264" w:rsidRPr="00545318" w:rsidRDefault="00374264" w:rsidP="00374264">
      <w:pPr>
        <w:spacing w:before="120" w:after="120"/>
      </w:pPr>
      <w:r w:rsidRPr="00545318">
        <w:t>These macroeconomic plans highlight the overall importance of the industry to the Chinese economy. The Government’s Guidelines identify the aluminium industry as fundamental to the development of the national economy.</w:t>
      </w:r>
    </w:p>
    <w:p w14:paraId="2B6C20A9" w14:textId="77777777" w:rsidR="00374264" w:rsidRPr="00545318" w:rsidRDefault="00374264" w:rsidP="00374264">
      <w:pPr>
        <w:spacing w:before="120" w:after="120"/>
      </w:pPr>
      <w:r w:rsidRPr="00545318">
        <w:t xml:space="preserve">The Commission considers that overall the Chinese Government’s policies and plans are likely to have resulted in higher production of primary aluminium, which would be likely in turn to lead to lower prices for primary and alloyed aluminium. </w:t>
      </w:r>
    </w:p>
    <w:p w14:paraId="64DA7E35" w14:textId="57FBDFD7" w:rsidR="00370A41" w:rsidRPr="00545318" w:rsidRDefault="00370A41" w:rsidP="00370A41">
      <w:pPr>
        <w:spacing w:before="120" w:after="120"/>
      </w:pPr>
      <w:r w:rsidRPr="00545318">
        <w:t xml:space="preserve">As noted in section 4.2, China’s 13th Five Year Plan, covering the period 2016-2020, was endorsed at the National People’s Congress held in March 2016. </w:t>
      </w:r>
      <w:r w:rsidR="002C68B5" w:rsidRPr="00545318">
        <w:t>Detailed</w:t>
      </w:r>
      <w:r w:rsidRPr="00545318">
        <w:t xml:space="preserve"> plans for each region and major industry </w:t>
      </w:r>
      <w:r w:rsidR="002C68B5" w:rsidRPr="00545318">
        <w:t>were</w:t>
      </w:r>
      <w:r w:rsidRPr="00545318">
        <w:t xml:space="preserve"> expected to be released later in the year</w:t>
      </w:r>
      <w:r w:rsidR="002C68B5" w:rsidRPr="00545318">
        <w:t>; as at August 2016, they had not yet been released</w:t>
      </w:r>
      <w:r w:rsidRPr="00545318">
        <w:t xml:space="preserve">. </w:t>
      </w:r>
    </w:p>
    <w:p w14:paraId="6BF9A18E" w14:textId="77777777" w:rsidR="00374264" w:rsidRPr="00545318" w:rsidRDefault="00374264" w:rsidP="00374264">
      <w:pPr>
        <w:spacing w:before="120" w:after="120"/>
      </w:pPr>
      <w:r w:rsidRPr="00545318">
        <w:t xml:space="preserve">The Commission </w:t>
      </w:r>
      <w:r w:rsidR="008305C0" w:rsidRPr="00545318">
        <w:t>notes</w:t>
      </w:r>
      <w:r w:rsidRPr="00545318">
        <w:t xml:space="preserve"> that the Five Year Plan’s continuing focus on reform, including reducing excess capacity, is positive for promoting the required structural adjustment of the Chinese aluminium industry. However, the Chinese Government’s desire for a ‘soft landing’, its </w:t>
      </w:r>
      <w:r w:rsidR="0074724C" w:rsidRPr="00545318">
        <w:t xml:space="preserve">ongoing </w:t>
      </w:r>
      <w:r w:rsidRPr="00545318">
        <w:t>financial support for large aluminium stockpiles (see below), and ongoing subsidies and tax concessions suggests that the process of structural adjustment is likely to be prolonged.</w:t>
      </w:r>
    </w:p>
    <w:p w14:paraId="62B7BE31" w14:textId="77777777" w:rsidR="00374264" w:rsidRPr="00545318" w:rsidRDefault="00374264" w:rsidP="00374264">
      <w:pPr>
        <w:spacing w:before="120" w:after="120"/>
      </w:pPr>
      <w:r w:rsidRPr="00545318">
        <w:t xml:space="preserve">The Commission also notes that provincial and local governments implement a number of plans and measures to control the development of the aluminium industry and there is potential for these plans and measures to further slow the pace of structural adjustment. For example, there have been increasing reports in recent times of so-called ‘zombie’ companies in aluminium manufacturing. These companies are financially unviable, or unable to repay debts, but are being supported and prevented from bankruptcy by local governments, in the </w:t>
      </w:r>
      <w:r w:rsidR="0074724C" w:rsidRPr="00545318">
        <w:t>hope</w:t>
      </w:r>
      <w:r w:rsidRPr="00545318">
        <w:t xml:space="preserve"> that a recovery in aluminium prices would allow them to return to profitability.</w:t>
      </w:r>
      <w:r w:rsidRPr="00545318">
        <w:rPr>
          <w:vertAlign w:val="superscript"/>
        </w:rPr>
        <w:footnoteReference w:id="100"/>
      </w:r>
      <w:r w:rsidRPr="00545318">
        <w:t xml:space="preserve"> </w:t>
      </w:r>
    </w:p>
    <w:p w14:paraId="3E085683" w14:textId="77777777" w:rsidR="00374264" w:rsidRPr="00545318" w:rsidRDefault="00374264" w:rsidP="0040301E">
      <w:pPr>
        <w:pStyle w:val="Heading3"/>
        <w:spacing w:after="120"/>
      </w:pPr>
      <w:r w:rsidRPr="00545318">
        <w:t>Chinese Government subsidies and tax concessions</w:t>
      </w:r>
    </w:p>
    <w:p w14:paraId="60EBAAF7" w14:textId="77777777" w:rsidR="00374264" w:rsidRPr="00545318" w:rsidRDefault="00374264" w:rsidP="00374264">
      <w:pPr>
        <w:spacing w:before="120" w:after="120"/>
      </w:pPr>
      <w:r w:rsidRPr="00545318">
        <w:t>The Chinese government offers a variety of subsidies to domestic aluminium manufacturers:</w:t>
      </w:r>
    </w:p>
    <w:p w14:paraId="4C0ABB98" w14:textId="77777777" w:rsidR="00374264" w:rsidRPr="00545318" w:rsidRDefault="00374264" w:rsidP="0028410A">
      <w:pPr>
        <w:numPr>
          <w:ilvl w:val="0"/>
          <w:numId w:val="20"/>
        </w:numPr>
        <w:spacing w:before="120" w:after="120"/>
      </w:pPr>
      <w:r w:rsidRPr="00545318">
        <w:t>Government purchases of aluminium stocks (discussed below)</w:t>
      </w:r>
    </w:p>
    <w:p w14:paraId="52CB8558" w14:textId="77777777" w:rsidR="00374264" w:rsidRPr="00545318" w:rsidRDefault="00374264" w:rsidP="0028410A">
      <w:pPr>
        <w:numPr>
          <w:ilvl w:val="0"/>
          <w:numId w:val="20"/>
        </w:numPr>
        <w:spacing w:before="120" w:after="120"/>
      </w:pPr>
      <w:r w:rsidRPr="00545318">
        <w:t>raw material subsidies, such as discounted alumina pricing and subsidised energy prices (including for electricity and coal)</w:t>
      </w:r>
    </w:p>
    <w:p w14:paraId="64C7539D" w14:textId="77777777" w:rsidR="00374264" w:rsidRPr="00545318" w:rsidRDefault="00374264" w:rsidP="0028410A">
      <w:pPr>
        <w:numPr>
          <w:ilvl w:val="0"/>
          <w:numId w:val="20"/>
        </w:numPr>
        <w:spacing w:before="120" w:after="120"/>
      </w:pPr>
      <w:r w:rsidRPr="00545318">
        <w:t xml:space="preserve">favourable lending terms </w:t>
      </w:r>
    </w:p>
    <w:p w14:paraId="4DDF9549" w14:textId="77777777" w:rsidR="00374264" w:rsidRPr="00545318" w:rsidRDefault="00374264" w:rsidP="0028410A">
      <w:pPr>
        <w:numPr>
          <w:ilvl w:val="0"/>
          <w:numId w:val="20"/>
        </w:numPr>
        <w:spacing w:before="120" w:after="120"/>
      </w:pPr>
      <w:r w:rsidRPr="00545318">
        <w:t>capital support and grants</w:t>
      </w:r>
    </w:p>
    <w:p w14:paraId="156EF6E7" w14:textId="77777777" w:rsidR="00374264" w:rsidRPr="00545318" w:rsidRDefault="00374264" w:rsidP="0028410A">
      <w:pPr>
        <w:numPr>
          <w:ilvl w:val="0"/>
          <w:numId w:val="20"/>
        </w:numPr>
        <w:spacing w:before="120" w:after="120"/>
      </w:pPr>
      <w:r w:rsidRPr="00545318">
        <w:t>logistical support</w:t>
      </w:r>
    </w:p>
    <w:p w14:paraId="5D02A62D" w14:textId="77777777" w:rsidR="00374264" w:rsidRPr="00545318" w:rsidRDefault="00374264" w:rsidP="007677C4">
      <w:pPr>
        <w:numPr>
          <w:ilvl w:val="0"/>
          <w:numId w:val="20"/>
        </w:numPr>
        <w:spacing w:before="120" w:after="120"/>
        <w:ind w:left="714" w:hanging="357"/>
      </w:pPr>
      <w:r w:rsidRPr="00545318">
        <w:t>subsidised land and infrastructure.</w:t>
      </w:r>
      <w:r w:rsidRPr="00545318">
        <w:rPr>
          <w:vertAlign w:val="superscript"/>
        </w:rPr>
        <w:footnoteReference w:id="101"/>
      </w:r>
      <w:r w:rsidRPr="00545318">
        <w:t xml:space="preserve"> </w:t>
      </w:r>
    </w:p>
    <w:p w14:paraId="49ADF745" w14:textId="137241AC" w:rsidR="00374264" w:rsidRPr="00545318" w:rsidRDefault="00374264" w:rsidP="00374264">
      <w:pPr>
        <w:spacing w:before="120" w:after="120"/>
      </w:pPr>
      <w:r w:rsidRPr="00545318">
        <w:t xml:space="preserve">Primary and alloyed aluminium is a major cost component in fabricated aluminium. For example, the </w:t>
      </w:r>
      <w:r w:rsidR="0074724C" w:rsidRPr="00545318">
        <w:t xml:space="preserve">Commission found that the </w:t>
      </w:r>
      <w:r w:rsidRPr="00545318">
        <w:t>cost of primary and alloyed aluminium inputs averaged 61</w:t>
      </w:r>
      <w:r w:rsidR="003D2B85" w:rsidRPr="00545318">
        <w:t xml:space="preserve"> </w:t>
      </w:r>
      <w:r w:rsidR="00620A65" w:rsidRPr="00545318">
        <w:t>per cent</w:t>
      </w:r>
      <w:r w:rsidRPr="00545318">
        <w:t xml:space="preserve"> across </w:t>
      </w:r>
      <w:r w:rsidR="0074724C" w:rsidRPr="00545318">
        <w:t>certain</w:t>
      </w:r>
      <w:r w:rsidRPr="00545318">
        <w:t xml:space="preserve"> exporters of aluminium road wheels.</w:t>
      </w:r>
      <w:r w:rsidR="0074724C" w:rsidRPr="00545318">
        <w:rPr>
          <w:rStyle w:val="FootnoteReference"/>
        </w:rPr>
        <w:footnoteReference w:id="102"/>
      </w:r>
      <w:r w:rsidRPr="00545318">
        <w:t xml:space="preserve"> The Commission considers that lower prices for these inputs would either reduce the price of manufactured aluminium products (to the extent these lower costs are passed on) or increase the profitability of these products (which would provide an incentive for increased production). </w:t>
      </w:r>
    </w:p>
    <w:p w14:paraId="31F3F3A0" w14:textId="77777777" w:rsidR="00374264" w:rsidRPr="00545318" w:rsidRDefault="00374264" w:rsidP="00374264">
      <w:pPr>
        <w:spacing w:before="120" w:after="120"/>
      </w:pPr>
      <w:r w:rsidRPr="00545318">
        <w:t xml:space="preserve">As in the steel industry, the Commission found evidence of subsidies provided to the aluminium and </w:t>
      </w:r>
      <w:r w:rsidR="0074724C" w:rsidRPr="00545318">
        <w:t>extrusions</w:t>
      </w:r>
      <w:r w:rsidRPr="00545318">
        <w:t xml:space="preserve"> sectors that would likely reduce the costs of inputs to their production</w:t>
      </w:r>
      <w:bookmarkStart w:id="44" w:name="_Toc322517552"/>
      <w:bookmarkStart w:id="45" w:name="_Toc323300098"/>
      <w:bookmarkStart w:id="46" w:name="_Ref321736695"/>
      <w:r w:rsidRPr="00545318">
        <w:t>, such as electricity. There was also evidence that the Chinese Government imposes export taxes on primary aluminium in order to increase its supply to the domestic market and encourage aluminium manufacturing, in particular of value-added products.</w:t>
      </w:r>
    </w:p>
    <w:p w14:paraId="76D607A1" w14:textId="3EFA07B0" w:rsidR="00374264" w:rsidRPr="00545318" w:rsidRDefault="00374264" w:rsidP="00374264">
      <w:pPr>
        <w:spacing w:before="120" w:after="120"/>
      </w:pPr>
      <w:r w:rsidRPr="00545318">
        <w:t>China’s export tax and VAT rebate regime is also used to encourage increased domestic value adding, such as transforming aluminium into semi-finished products (known as ‘semis’), and discouraging the export of primary aluminium. There can be a tax wedge of approximately 20</w:t>
      </w:r>
      <w:r w:rsidR="00B46A49">
        <w:t> </w:t>
      </w:r>
      <w:r w:rsidRPr="00545318">
        <w:t>percentage points (</w:t>
      </w:r>
      <w:r w:rsidR="0074724C" w:rsidRPr="00545318">
        <w:t xml:space="preserve">reflecting </w:t>
      </w:r>
      <w:r w:rsidRPr="00545318">
        <w:t>15</w:t>
      </w:r>
      <w:r w:rsidR="003D2B85" w:rsidRPr="00545318">
        <w:t xml:space="preserve"> </w:t>
      </w:r>
      <w:r w:rsidR="00620A65" w:rsidRPr="00545318">
        <w:t>per cent</w:t>
      </w:r>
      <w:r w:rsidRPr="00545318">
        <w:t xml:space="preserve"> export tax plus a rebate of the 17</w:t>
      </w:r>
      <w:r w:rsidR="003D2B85" w:rsidRPr="00545318">
        <w:t xml:space="preserve"> </w:t>
      </w:r>
      <w:r w:rsidR="00620A65" w:rsidRPr="00545318">
        <w:t>per cent</w:t>
      </w:r>
      <w:r w:rsidRPr="00545318">
        <w:t xml:space="preserve"> VAT on some input costs). This creates a large incentive to export ‘semis’ rather than primary aluminium.</w:t>
      </w:r>
    </w:p>
    <w:bookmarkEnd w:id="44"/>
    <w:bookmarkEnd w:id="45"/>
    <w:bookmarkEnd w:id="46"/>
    <w:p w14:paraId="0BEFA8C6" w14:textId="77777777" w:rsidR="00374264" w:rsidRPr="00545318" w:rsidRDefault="00374264" w:rsidP="00374264">
      <w:pPr>
        <w:spacing w:before="120" w:after="120"/>
      </w:pPr>
      <w:r w:rsidRPr="00545318">
        <w:t>The Commission found in its aluminium road wheels investigation that the impact of Chinese Government influences on supply are extensive, complex and manifold.</w:t>
      </w:r>
      <w:r w:rsidRPr="00545318">
        <w:rPr>
          <w:vertAlign w:val="superscript"/>
        </w:rPr>
        <w:footnoteReference w:id="103"/>
      </w:r>
      <w:r w:rsidRPr="00545318">
        <w:t xml:space="preserve"> </w:t>
      </w:r>
    </w:p>
    <w:p w14:paraId="264C7AC4"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042A5C05" w14:textId="19D89EB0" w:rsidR="00374264" w:rsidRPr="00545318" w:rsidRDefault="007050C5" w:rsidP="0040301E">
      <w:pPr>
        <w:pStyle w:val="Heading3"/>
        <w:spacing w:after="120"/>
      </w:pPr>
      <w:r w:rsidRPr="00545318">
        <w:t>Aluminium</w:t>
      </w:r>
      <w:r w:rsidR="00374264" w:rsidRPr="00545318">
        <w:t xml:space="preserve"> stockpiling</w:t>
      </w:r>
      <w:r w:rsidRPr="00545318">
        <w:t>: financial support</w:t>
      </w:r>
    </w:p>
    <w:p w14:paraId="6818E61C" w14:textId="77777777" w:rsidR="00374264" w:rsidRPr="00545318" w:rsidRDefault="00374264" w:rsidP="00374264">
      <w:pPr>
        <w:spacing w:before="120" w:after="120"/>
      </w:pPr>
      <w:r w:rsidRPr="00545318">
        <w:t xml:space="preserve">Stockpiling of aluminium increased significantly in 2009 (see </w:t>
      </w:r>
      <w:r w:rsidR="00D05982" w:rsidRPr="00545318">
        <w:t>Figure</w:t>
      </w:r>
      <w:r w:rsidRPr="00545318">
        <w:t xml:space="preserve"> </w:t>
      </w:r>
      <w:r w:rsidR="007677C4" w:rsidRPr="00545318">
        <w:t>2</w:t>
      </w:r>
      <w:r w:rsidRPr="00545318">
        <w:t>.</w:t>
      </w:r>
      <w:r w:rsidR="007677C4" w:rsidRPr="00545318">
        <w:t>2</w:t>
      </w:r>
      <w:r w:rsidRPr="00545318">
        <w:t>1</w:t>
      </w:r>
      <w:r w:rsidR="007677C4" w:rsidRPr="00545318">
        <w:t xml:space="preserve"> in chapter 2 of this report</w:t>
      </w:r>
      <w:r w:rsidRPr="00545318">
        <w:t xml:space="preserve">). This allowed production to be maintained during the global financial crisis and avoided the potential closure of some aluminium manufacturers. While the Commission has been informed that production and demand are moving back towards balance, the </w:t>
      </w:r>
      <w:r w:rsidR="007677C4" w:rsidRPr="00545318">
        <w:t>high</w:t>
      </w:r>
      <w:r w:rsidRPr="00545318">
        <w:t xml:space="preserve"> level of aluminium stockpiles are continuing to depress global prices.</w:t>
      </w:r>
      <w:r w:rsidRPr="00545318">
        <w:rPr>
          <w:vertAlign w:val="superscript"/>
        </w:rPr>
        <w:footnoteReference w:id="104"/>
      </w:r>
    </w:p>
    <w:p w14:paraId="1E40A627" w14:textId="77777777" w:rsidR="00374264" w:rsidRPr="00545318" w:rsidRDefault="00374264" w:rsidP="00374264">
      <w:pPr>
        <w:spacing w:before="120" w:after="120"/>
      </w:pPr>
      <w:r w:rsidRPr="00545318">
        <w:t>The Commission has seen reports that continuing stockpiling of aluminium—financed by interest payments from the Strategic Reserves Bureau—will occur in 2016, with as much a</w:t>
      </w:r>
      <w:r w:rsidR="004D597D" w:rsidRPr="00545318">
        <w:t>s</w:t>
      </w:r>
      <w:r w:rsidRPr="00545318">
        <w:t xml:space="preserve"> one million tonnes of aluminium being purchased at 12,500 RMB (</w:t>
      </w:r>
      <w:r w:rsidR="004D597D" w:rsidRPr="00545318">
        <w:t xml:space="preserve">which is </w:t>
      </w:r>
      <w:r w:rsidRPr="00545318">
        <w:t>higher than the current LME price).</w:t>
      </w:r>
      <w:r w:rsidRPr="00545318">
        <w:rPr>
          <w:vertAlign w:val="superscript"/>
        </w:rPr>
        <w:footnoteReference w:id="105"/>
      </w:r>
    </w:p>
    <w:p w14:paraId="3132E1D0" w14:textId="77777777" w:rsidR="00374264" w:rsidRPr="00545318" w:rsidRDefault="00374264" w:rsidP="00374264">
      <w:pPr>
        <w:spacing w:before="120" w:after="120"/>
      </w:pPr>
      <w:r w:rsidRPr="00545318">
        <w:t xml:space="preserve">The likely effect of this market intervention is to ease the pressure on the Chinese aluminium industry to reduce excess </w:t>
      </w:r>
      <w:r w:rsidR="004D597D" w:rsidRPr="00545318">
        <w:t>capacity and to avoid rationalis</w:t>
      </w:r>
      <w:r w:rsidRPr="00545318">
        <w:t>ing the higher-cost manufacturing facilities.</w:t>
      </w:r>
    </w:p>
    <w:p w14:paraId="6B72DAD5" w14:textId="77777777" w:rsidR="00370A41" w:rsidRPr="00545318" w:rsidRDefault="00370A41" w:rsidP="00370A41">
      <w:pPr>
        <w:pStyle w:val="Heading2"/>
      </w:pPr>
      <w:bookmarkStart w:id="47" w:name="_Toc458674162"/>
      <w:bookmarkStart w:id="48" w:name="_Toc460430492"/>
      <w:r w:rsidRPr="00545318">
        <w:t>Other Asian aluminium markets: government interventions</w:t>
      </w:r>
      <w:bookmarkEnd w:id="47"/>
      <w:bookmarkEnd w:id="48"/>
    </w:p>
    <w:p w14:paraId="10865683" w14:textId="77777777" w:rsidR="009D74D0" w:rsidRPr="00545318" w:rsidRDefault="00F028D5" w:rsidP="00374264">
      <w:pPr>
        <w:spacing w:before="120" w:after="120"/>
      </w:pPr>
      <w:r w:rsidRPr="00545318">
        <w:t>Similar to steel, the Commission considers it likely that the impact of Chinese government intervention in aluminium markets, particularly subsidisation of raw material costs, will have influenced the prices for, and production of</w:t>
      </w:r>
      <w:r w:rsidR="0068663D" w:rsidRPr="00545318">
        <w:t>,</w:t>
      </w:r>
      <w:r w:rsidRPr="00545318">
        <w:t xml:space="preserve"> aluminium goods that are produced</w:t>
      </w:r>
      <w:r w:rsidR="00297C7F" w:rsidRPr="00545318">
        <w:t xml:space="preserve"> </w:t>
      </w:r>
      <w:r w:rsidRPr="00545318">
        <w:t>in East Asia.</w:t>
      </w:r>
    </w:p>
    <w:p w14:paraId="0CB189EE" w14:textId="77777777" w:rsidR="0074724C" w:rsidRPr="00545318" w:rsidRDefault="0074724C" w:rsidP="0074724C">
      <w:pPr>
        <w:spacing w:before="120" w:after="120"/>
      </w:pPr>
      <w:r w:rsidRPr="00545318">
        <w:t xml:space="preserve">The information currently available to the Commission on government interventions in other Asian countries is summarised below. </w:t>
      </w:r>
    </w:p>
    <w:p w14:paraId="120514A1" w14:textId="77777777" w:rsidR="0064798F" w:rsidRPr="00545318" w:rsidRDefault="0064798F" w:rsidP="0064798F">
      <w:pPr>
        <w:pStyle w:val="Heading3"/>
        <w:spacing w:after="120"/>
      </w:pPr>
      <w:r w:rsidRPr="00545318">
        <w:t>India</w:t>
      </w:r>
    </w:p>
    <w:p w14:paraId="264EF41A" w14:textId="2BDE0778" w:rsidR="00F53FDA" w:rsidRPr="00545318" w:rsidRDefault="00C46397" w:rsidP="00F53FDA">
      <w:pPr>
        <w:spacing w:before="120" w:after="120"/>
      </w:pPr>
      <w:r w:rsidRPr="00545318">
        <w:t>In early 2016,</w:t>
      </w:r>
      <w:r w:rsidR="00F53FDA" w:rsidRPr="00545318">
        <w:t xml:space="preserve"> the Indian government increased trade protection for aluminium products through a </w:t>
      </w:r>
      <w:r w:rsidRPr="00545318">
        <w:t xml:space="preserve">2.5 </w:t>
      </w:r>
      <w:r w:rsidR="00620A65" w:rsidRPr="00545318">
        <w:t>per cent</w:t>
      </w:r>
      <w:r w:rsidR="00F53FDA" w:rsidRPr="00545318">
        <w:t xml:space="preserve"> increase in import duties on </w:t>
      </w:r>
      <w:r w:rsidRPr="00545318">
        <w:t xml:space="preserve">certain </w:t>
      </w:r>
      <w:r w:rsidR="00F53FDA" w:rsidRPr="00545318">
        <w:t>primary aluminium and aluminium products.</w:t>
      </w:r>
      <w:r w:rsidR="00F53FDA" w:rsidRPr="00545318">
        <w:rPr>
          <w:rStyle w:val="FootnoteReference"/>
          <w:b/>
        </w:rPr>
        <w:footnoteReference w:id="106"/>
      </w:r>
      <w:r w:rsidR="00F53FDA" w:rsidRPr="00545318">
        <w:rPr>
          <w:rStyle w:val="FootnoteReference"/>
          <w:b/>
        </w:rPr>
        <w:t xml:space="preserve"> </w:t>
      </w:r>
      <w:r w:rsidR="00F41347" w:rsidRPr="00545318">
        <w:t>On 19 April 2016, India initiated a safeguard investigation on imports of unwrought aluminium.</w:t>
      </w:r>
      <w:r w:rsidR="00435178" w:rsidRPr="00545318">
        <w:rPr>
          <w:rStyle w:val="FootnoteReference"/>
        </w:rPr>
        <w:footnoteReference w:id="107"/>
      </w:r>
    </w:p>
    <w:p w14:paraId="412F2A32" w14:textId="77777777" w:rsidR="007C5DF9" w:rsidRPr="00545318" w:rsidRDefault="007C5DF9" w:rsidP="007C5DF9">
      <w:pPr>
        <w:pStyle w:val="Heading3"/>
      </w:pPr>
      <w:r w:rsidRPr="00545318">
        <w:t>Japan, Korea and Taiwan</w:t>
      </w:r>
    </w:p>
    <w:p w14:paraId="4972938F" w14:textId="77777777" w:rsidR="007C5DF9" w:rsidRPr="00545318" w:rsidRDefault="007C5DF9" w:rsidP="007C5DF9">
      <w:pPr>
        <w:spacing w:before="120" w:after="120"/>
      </w:pPr>
      <w:r w:rsidRPr="00545318">
        <w:t>The Commission reviewed investigations by the CBSA and the US Department of Commerce over recent years and did not find evidence of Japanese, Korean or Taiwanese government interventions in their aluminium industries. These countries have not been the subject of investigations by the Commission in respect of industry applications alleging market-distorting government interventions in aluminium industries.</w:t>
      </w:r>
    </w:p>
    <w:p w14:paraId="4B93B528" w14:textId="77777777" w:rsidR="00246467" w:rsidRPr="00545318" w:rsidRDefault="00246467" w:rsidP="00246467">
      <w:pPr>
        <w:pStyle w:val="Heading3"/>
      </w:pPr>
      <w:r w:rsidRPr="00545318">
        <w:t>Indonesia and Malaysia</w:t>
      </w:r>
    </w:p>
    <w:p w14:paraId="7C99A20F" w14:textId="77777777" w:rsidR="00246467" w:rsidRPr="00545318" w:rsidRDefault="00246467" w:rsidP="00246467">
      <w:pPr>
        <w:spacing w:before="120" w:after="120"/>
      </w:pPr>
      <w:r w:rsidRPr="00545318">
        <w:t>Bauxite is a major input to the production of alumina, which is a raw material input for aluminium manufacturing. Overall, the bauxite supply chain within Asia for aluminium production appears to have been highly disrupted due to government bans and regulations on bauxite exports. This is likely to impact on the cost of feedstock for alumina and aluminium production in those countries.</w:t>
      </w:r>
    </w:p>
    <w:p w14:paraId="2CEB142F" w14:textId="77777777" w:rsidR="00246467" w:rsidRPr="00545318" w:rsidRDefault="00246467" w:rsidP="00246467">
      <w:pPr>
        <w:spacing w:before="120" w:after="120"/>
      </w:pPr>
      <w:r w:rsidRPr="00545318">
        <w:t xml:space="preserve">For example, Indonesia was previously the main supplier of bauxite to China, but banned bauxite exports two years ago as a measure to encourage value-added production in Indonesia. Malaysia increased its bauxite exports to fill the gap, but recently banned bauxite exports for three months due to the environmental impacts of poorly regulated bauxite mining. </w:t>
      </w:r>
    </w:p>
    <w:p w14:paraId="517216EE" w14:textId="77777777" w:rsidR="00374264" w:rsidRPr="00545318" w:rsidRDefault="00374264" w:rsidP="00374264">
      <w:pPr>
        <w:pStyle w:val="Heading2"/>
      </w:pPr>
      <w:bookmarkStart w:id="49" w:name="_Toc458674163"/>
      <w:bookmarkStart w:id="50" w:name="_Toc460430493"/>
      <w:r w:rsidRPr="00545318">
        <w:t>Conclusion</w:t>
      </w:r>
      <w:bookmarkEnd w:id="49"/>
      <w:bookmarkEnd w:id="50"/>
    </w:p>
    <w:p w14:paraId="20E689B8" w14:textId="77777777" w:rsidR="00D42C7F" w:rsidRPr="00545318" w:rsidRDefault="00374264" w:rsidP="00374264">
      <w:pPr>
        <w:spacing w:before="120" w:after="120"/>
      </w:pPr>
      <w:r w:rsidRPr="00545318">
        <w:t xml:space="preserve">As noted earlier, Asian governments are not unusual in intervening in steel and aluminium markets. </w:t>
      </w:r>
      <w:r w:rsidR="00D42C7F" w:rsidRPr="00545318">
        <w:t>These</w:t>
      </w:r>
      <w:r w:rsidRPr="00545318">
        <w:t xml:space="preserve"> interventions have been driven by economic growth, employment and social objectives</w:t>
      </w:r>
      <w:r w:rsidR="00D42C7F" w:rsidRPr="00545318">
        <w:t>.</w:t>
      </w:r>
      <w:r w:rsidRPr="00545318">
        <w:t xml:space="preserve"> </w:t>
      </w:r>
    </w:p>
    <w:p w14:paraId="473E28D7" w14:textId="77777777" w:rsidR="00374264" w:rsidRPr="00545318" w:rsidRDefault="00D42C7F" w:rsidP="00374264">
      <w:pPr>
        <w:spacing w:before="120" w:after="120"/>
      </w:pPr>
      <w:r w:rsidRPr="00545318">
        <w:t>T</w:t>
      </w:r>
      <w:r w:rsidR="00374264" w:rsidRPr="00545318">
        <w:t>he Commission’s analysis of subsidies and tax arrangements for the Chinese steel and aluminium industries, and the operation of state-owned enterprises, indicates that many of these market interventions have been economically inefficient</w:t>
      </w:r>
      <w:r w:rsidR="008030E2" w:rsidRPr="00545318">
        <w:t xml:space="preserve"> and have resulted in distortions to market outcomes</w:t>
      </w:r>
      <w:r w:rsidR="00374264" w:rsidRPr="00545318">
        <w:t>.</w:t>
      </w:r>
    </w:p>
    <w:p w14:paraId="36B1A782" w14:textId="77777777" w:rsidR="00374264" w:rsidRPr="00545318" w:rsidRDefault="00374264" w:rsidP="00374264">
      <w:pPr>
        <w:spacing w:before="120" w:after="120"/>
      </w:pPr>
      <w:r w:rsidRPr="00545318">
        <w:t>The Commission considers that the nature and extent of Chinese market interventions (coupled with the sheer size of Chinese production) has made a significant contribution to the size of the current global overcapacity and persistent global imbalance between production and demand. These factors have in turn contributed to the build-up of large stockpiles (especially alumin</w:t>
      </w:r>
      <w:r w:rsidR="005038AE" w:rsidRPr="00545318">
        <w:t>i</w:t>
      </w:r>
      <w:r w:rsidRPr="00545318">
        <w:t>um) and depressed world prices.</w:t>
      </w:r>
    </w:p>
    <w:p w14:paraId="5873F32D" w14:textId="77777777" w:rsidR="00374264" w:rsidRPr="00545318" w:rsidRDefault="00374264" w:rsidP="00374264">
      <w:pPr>
        <w:spacing w:before="120" w:after="120"/>
      </w:pPr>
      <w:r w:rsidRPr="00545318">
        <w:t xml:space="preserve">The impacts of economically inefficient market interventions have been both direct (through Chinese production levels, prices and exports) and indirect (through their influence on Asian markets more generally). </w:t>
      </w:r>
    </w:p>
    <w:p w14:paraId="7344F417" w14:textId="77777777" w:rsidR="00374264" w:rsidRPr="00545318" w:rsidRDefault="005B7EC5" w:rsidP="00374264">
      <w:pPr>
        <w:spacing w:before="120" w:after="120"/>
      </w:pPr>
      <w:r w:rsidRPr="00545318">
        <w:t xml:space="preserve">While there are </w:t>
      </w:r>
      <w:r w:rsidR="00374264" w:rsidRPr="00545318">
        <w:t xml:space="preserve">signs of policy responses </w:t>
      </w:r>
      <w:r w:rsidR="00D42C7F" w:rsidRPr="00545318">
        <w:t>that could</w:t>
      </w:r>
      <w:r w:rsidR="00374264" w:rsidRPr="00545318">
        <w:t xml:space="preserve"> reduce excess capacity and boost the efficiency of the Chinese steel and aluminium industries</w:t>
      </w:r>
      <w:r w:rsidR="00D42C7F" w:rsidRPr="00545318">
        <w:t>,</w:t>
      </w:r>
      <w:r w:rsidRPr="00545318">
        <w:t xml:space="preserve"> there are significant questions over </w:t>
      </w:r>
      <w:r w:rsidR="00D42C7F" w:rsidRPr="00545318">
        <w:t>whether</w:t>
      </w:r>
      <w:r w:rsidRPr="00545318">
        <w:t xml:space="preserve"> these reforms will be implemented</w:t>
      </w:r>
      <w:r w:rsidR="00D42C7F" w:rsidRPr="00545318">
        <w:t xml:space="preserve"> to any great extent</w:t>
      </w:r>
      <w:r w:rsidRPr="00545318">
        <w:t xml:space="preserve"> in </w:t>
      </w:r>
      <w:r w:rsidR="00D05982" w:rsidRPr="00545318">
        <w:t xml:space="preserve">the </w:t>
      </w:r>
      <w:r w:rsidRPr="00545318">
        <w:t>near-term</w:t>
      </w:r>
      <w:r w:rsidR="00374264" w:rsidRPr="00545318">
        <w:t>.</w:t>
      </w:r>
      <w:r w:rsidRPr="00545318">
        <w:t xml:space="preserve"> T</w:t>
      </w:r>
      <w:r w:rsidR="00374264" w:rsidRPr="00545318">
        <w:t xml:space="preserve">he Commission considers </w:t>
      </w:r>
      <w:r w:rsidR="008A5F11" w:rsidRPr="00545318">
        <w:t>there are significant risks that</w:t>
      </w:r>
      <w:r w:rsidR="00374264" w:rsidRPr="00545318">
        <w:t xml:space="preserve"> the required capacity adjustment</w:t>
      </w:r>
      <w:r w:rsidR="008A5F11" w:rsidRPr="00545318">
        <w:t xml:space="preserve">s will either not occur or will occur over </w:t>
      </w:r>
      <w:r w:rsidR="00896C32" w:rsidRPr="00545318">
        <w:t>a prolonged</w:t>
      </w:r>
      <w:r w:rsidR="008A5F11" w:rsidRPr="00545318">
        <w:t xml:space="preserve"> period</w:t>
      </w:r>
      <w:r w:rsidR="00374264" w:rsidRPr="00545318">
        <w:t>, taking into account:</w:t>
      </w:r>
    </w:p>
    <w:p w14:paraId="37550207" w14:textId="1BC412A6" w:rsidR="00374264" w:rsidRPr="00545318" w:rsidRDefault="00374264" w:rsidP="0028410A">
      <w:pPr>
        <w:numPr>
          <w:ilvl w:val="0"/>
          <w:numId w:val="20"/>
        </w:numPr>
        <w:spacing w:before="120" w:after="120"/>
      </w:pPr>
      <w:r w:rsidRPr="00545318">
        <w:t>the Chinese Government’s desire to adjust slowly to maintain</w:t>
      </w:r>
      <w:r w:rsidR="00D05982" w:rsidRPr="00545318">
        <w:t xml:space="preserve"> annual</w:t>
      </w:r>
      <w:r w:rsidRPr="00545318">
        <w:t xml:space="preserve"> economic growth in the range of 6.5 to 7</w:t>
      </w:r>
      <w:r w:rsidR="003D2B85" w:rsidRPr="00545318">
        <w:t xml:space="preserve"> </w:t>
      </w:r>
      <w:r w:rsidR="00620A65" w:rsidRPr="00545318">
        <w:t>per cent</w:t>
      </w:r>
      <w:r w:rsidRPr="00545318">
        <w:t xml:space="preserve"> </w:t>
      </w:r>
    </w:p>
    <w:p w14:paraId="533BA121" w14:textId="77777777" w:rsidR="00374264" w:rsidRPr="00545318" w:rsidRDefault="00374264" w:rsidP="0028410A">
      <w:pPr>
        <w:numPr>
          <w:ilvl w:val="0"/>
          <w:numId w:val="20"/>
        </w:numPr>
        <w:spacing w:before="120" w:after="120"/>
      </w:pPr>
      <w:r w:rsidRPr="00545318">
        <w:t>provincial and local government actions to avoid sudden large scale job losses in their regions</w:t>
      </w:r>
      <w:r w:rsidR="00896C32" w:rsidRPr="00545318">
        <w:t xml:space="preserve"> and </w:t>
      </w:r>
      <w:r w:rsidR="00D42C7F" w:rsidRPr="00545318">
        <w:t xml:space="preserve">maintain </w:t>
      </w:r>
      <w:r w:rsidR="00896C32" w:rsidRPr="00545318">
        <w:t>tax revenue</w:t>
      </w:r>
      <w:r w:rsidR="00D42C7F" w:rsidRPr="00545318">
        <w:t>s</w:t>
      </w:r>
      <w:r w:rsidR="00896C32" w:rsidRPr="00545318">
        <w:t xml:space="preserve"> </w:t>
      </w:r>
      <w:r w:rsidR="00D42C7F" w:rsidRPr="00545318">
        <w:t>to finance social programs</w:t>
      </w:r>
    </w:p>
    <w:p w14:paraId="31A15FFB" w14:textId="77777777" w:rsidR="00374264" w:rsidRPr="00545318" w:rsidRDefault="00374264" w:rsidP="0028410A">
      <w:pPr>
        <w:numPr>
          <w:ilvl w:val="0"/>
          <w:numId w:val="20"/>
        </w:numPr>
        <w:spacing w:before="120" w:after="120"/>
      </w:pPr>
      <w:r w:rsidRPr="00545318">
        <w:t xml:space="preserve">ongoing </w:t>
      </w:r>
      <w:r w:rsidR="00D42C7F" w:rsidRPr="00545318">
        <w:t>g</w:t>
      </w:r>
      <w:r w:rsidRPr="00545318">
        <w:t xml:space="preserve">overnment assistance to help heavily indebted and state-owned steel and aluminium enterprises survive </w:t>
      </w:r>
    </w:p>
    <w:p w14:paraId="16EBF6BB" w14:textId="77777777" w:rsidR="003F257E" w:rsidRPr="00545318" w:rsidRDefault="003F257E" w:rsidP="0028410A">
      <w:pPr>
        <w:numPr>
          <w:ilvl w:val="0"/>
          <w:numId w:val="20"/>
        </w:numPr>
        <w:spacing w:before="120" w:after="120"/>
      </w:pPr>
      <w:r w:rsidRPr="00545318">
        <w:t>continuing investments in new steelmaking capacity and failure to close inefficient plants</w:t>
      </w:r>
    </w:p>
    <w:p w14:paraId="75650F8A" w14:textId="77777777" w:rsidR="00374264" w:rsidRPr="00545318" w:rsidRDefault="00374264" w:rsidP="008A5F11">
      <w:pPr>
        <w:numPr>
          <w:ilvl w:val="0"/>
          <w:numId w:val="20"/>
        </w:numPr>
        <w:spacing w:before="120" w:after="120"/>
        <w:ind w:left="714" w:hanging="357"/>
      </w:pPr>
      <w:r w:rsidRPr="00545318">
        <w:t>a likely slow re-balancing of the Chinese economy towards domestic consumption within the Chinese Government’s growth target.</w:t>
      </w:r>
    </w:p>
    <w:p w14:paraId="41121665" w14:textId="77777777" w:rsidR="0004228F" w:rsidRPr="00545318" w:rsidRDefault="0004228F" w:rsidP="00896C32">
      <w:pPr>
        <w:spacing w:before="120" w:after="120"/>
      </w:pPr>
      <w:r w:rsidRPr="00545318">
        <w:t xml:space="preserve">In addition, the Commission has found evidence of government interventions in other Asian countries, including India, Indonesia, Malaysia, Thailand and Vietnam, that provide incentives to increase steel production capacity. New investments in capacity are likely to delay the required global structural adjustment to lower global demand. </w:t>
      </w:r>
    </w:p>
    <w:p w14:paraId="6DF204DE" w14:textId="77777777" w:rsidR="00896C32" w:rsidRPr="00545318" w:rsidRDefault="00896C32" w:rsidP="00896C32">
      <w:pPr>
        <w:spacing w:before="120" w:after="120"/>
      </w:pPr>
      <w:r w:rsidRPr="00545318">
        <w:t xml:space="preserve">The Commission’s concerns are consistent with the most recent OECD analysis of prospects for the steel industry. The OECD considers that: </w:t>
      </w:r>
    </w:p>
    <w:p w14:paraId="768A363D" w14:textId="77777777" w:rsidR="00435108" w:rsidRDefault="00896C32" w:rsidP="005A3CFF">
      <w:pPr>
        <w:spacing w:before="120" w:after="120"/>
        <w:ind w:left="432"/>
        <w:rPr>
          <w:sz w:val="20"/>
          <w:szCs w:val="20"/>
        </w:rPr>
      </w:pPr>
      <w:r w:rsidRPr="00545318">
        <w:rPr>
          <w:sz w:val="20"/>
          <w:szCs w:val="20"/>
        </w:rPr>
        <w:t xml:space="preserve">the outlook for the steel industry has weakened significantly, due to cyclical factors associated with sluggish global economic activity and industry-specific structural problems such as overcapacity. It appears that adjustment pressures are growing significantly and will have to be worked out in the coming years. There are many ways in which the industry can adjust, but one possible near-term scenario involves further price and profitability suppression, production declines resulting in low capacity </w:t>
      </w:r>
    </w:p>
    <w:p w14:paraId="218FBF28" w14:textId="77777777" w:rsidR="00435108" w:rsidRDefault="00435108">
      <w:pPr>
        <w:spacing w:after="200" w:line="276" w:lineRule="auto"/>
        <w:rPr>
          <w:sz w:val="20"/>
          <w:szCs w:val="20"/>
        </w:rPr>
      </w:pPr>
      <w:r>
        <w:rPr>
          <w:sz w:val="20"/>
          <w:szCs w:val="20"/>
        </w:rPr>
        <w:br w:type="page"/>
      </w:r>
    </w:p>
    <w:p w14:paraId="78B1B33A" w14:textId="2F4FC044" w:rsidR="00DA3591" w:rsidRPr="00545318" w:rsidRDefault="00896C32" w:rsidP="005A3CFF">
      <w:pPr>
        <w:spacing w:before="120" w:after="120"/>
        <w:ind w:left="432"/>
        <w:rPr>
          <w:rFonts w:asciiTheme="majorHAnsi" w:eastAsiaTheme="majorEastAsia" w:hAnsiTheme="majorHAnsi" w:cstheme="majorBidi"/>
          <w:b/>
          <w:bCs/>
          <w:color w:val="365F91" w:themeColor="accent1" w:themeShade="BF"/>
          <w:sz w:val="28"/>
          <w:szCs w:val="28"/>
        </w:rPr>
      </w:pPr>
      <w:r w:rsidRPr="00545318">
        <w:rPr>
          <w:sz w:val="20"/>
          <w:szCs w:val="20"/>
        </w:rPr>
        <w:t>utilisation rates across the board, and possibly plant closures amongst the least efficient firms. There will be growing social and human costs associated with the current market downturn, and governments should prepare effective programmes to help steel workers, who are laid off in the process, adapt to these changes. Alternatively, government interventions may help the industry “muddle through” the crisis, but these would be expected to lead to more market distortions that would eventually create even more severe adjustment challenges in the longer term.</w:t>
      </w:r>
      <w:r w:rsidRPr="00545318">
        <w:rPr>
          <w:rStyle w:val="FootnoteReference"/>
          <w:sz w:val="20"/>
          <w:szCs w:val="20"/>
        </w:rPr>
        <w:footnoteReference w:id="108"/>
      </w:r>
      <w:r w:rsidR="00DA3591" w:rsidRPr="00545318">
        <w:br w:type="page"/>
      </w:r>
    </w:p>
    <w:p w14:paraId="5435BE91" w14:textId="51C4373D" w:rsidR="00DA3591" w:rsidRPr="00545318" w:rsidRDefault="00CA2191" w:rsidP="00DA3591">
      <w:pPr>
        <w:pStyle w:val="Heading1"/>
      </w:pPr>
      <w:bookmarkStart w:id="51" w:name="_Toc458674164"/>
      <w:bookmarkStart w:id="52" w:name="_Toc460430494"/>
      <w:r w:rsidRPr="00545318">
        <w:t xml:space="preserve">Australian steel and aluminium </w:t>
      </w:r>
      <w:r w:rsidR="004C7656" w:rsidRPr="00545318">
        <w:t>markets</w:t>
      </w:r>
      <w:r w:rsidRPr="00545318">
        <w:t xml:space="preserve"> and the economic impacts of dumping and subsidisation</w:t>
      </w:r>
      <w:bookmarkEnd w:id="51"/>
      <w:bookmarkEnd w:id="52"/>
    </w:p>
    <w:p w14:paraId="2CDC9C51" w14:textId="77777777" w:rsidR="00CA2191" w:rsidRPr="00545318" w:rsidRDefault="00CA2191" w:rsidP="00CA2191"/>
    <w:bookmarkStart w:id="53" w:name="_Toc458674165"/>
    <w:bookmarkStart w:id="54" w:name="_Toc460430495"/>
    <w:p w14:paraId="26658886" w14:textId="77777777" w:rsidR="00CA2191" w:rsidRPr="00545318" w:rsidRDefault="00A60E69" w:rsidP="00374264">
      <w:pPr>
        <w:pStyle w:val="Heading2"/>
      </w:pPr>
      <w:r w:rsidRPr="00545318">
        <w:rPr>
          <w:noProof/>
          <w:lang w:val="en-AU" w:eastAsia="en-AU"/>
        </w:rPr>
        <mc:AlternateContent>
          <mc:Choice Requires="wps">
            <w:drawing>
              <wp:anchor distT="0" distB="0" distL="114300" distR="114300" simplePos="0" relativeHeight="251686912" behindDoc="0" locked="0" layoutInCell="1" allowOverlap="1" wp14:anchorId="3EE1E79F" wp14:editId="7B7F9E11">
                <wp:simplePos x="0" y="0"/>
                <wp:positionH relativeFrom="column">
                  <wp:posOffset>0</wp:posOffset>
                </wp:positionH>
                <wp:positionV relativeFrom="paragraph">
                  <wp:posOffset>0</wp:posOffset>
                </wp:positionV>
                <wp:extent cx="1828800" cy="1828800"/>
                <wp:effectExtent l="0" t="0" r="15240" b="24765"/>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68537AE2" w14:textId="77777777" w:rsidR="009241EC" w:rsidRPr="00CA2191" w:rsidRDefault="009241EC" w:rsidP="00A60E69">
                            <w:pPr>
                              <w:shd w:val="clear" w:color="auto" w:fill="DAEEF3" w:themeFill="accent5" w:themeFillTint="33"/>
                              <w:spacing w:after="120"/>
                              <w:rPr>
                                <w:b/>
                              </w:rPr>
                            </w:pPr>
                            <w:r w:rsidRPr="00CA2191">
                              <w:rPr>
                                <w:b/>
                              </w:rPr>
                              <w:t>Key points</w:t>
                            </w:r>
                          </w:p>
                          <w:p w14:paraId="659E1733" w14:textId="77777777" w:rsidR="009241EC" w:rsidRPr="00CA2191" w:rsidRDefault="009241EC" w:rsidP="00A60E69">
                            <w:pPr>
                              <w:numPr>
                                <w:ilvl w:val="0"/>
                                <w:numId w:val="2"/>
                              </w:numPr>
                              <w:shd w:val="clear" w:color="auto" w:fill="DAEEF3" w:themeFill="accent5" w:themeFillTint="33"/>
                              <w:spacing w:after="120"/>
                            </w:pPr>
                            <w:r w:rsidRPr="00CA2191">
                              <w:t xml:space="preserve">Difficult operating conditions in the Australian steel and aluminium markets can be partly attributed to slower growth in the domestic construction and manufacturing industries, which has reduced demand for steel and aluminium products. </w:t>
                            </w:r>
                          </w:p>
                          <w:p w14:paraId="7CECFD54" w14:textId="77777777" w:rsidR="009241EC" w:rsidRDefault="009241EC" w:rsidP="00A60E69">
                            <w:pPr>
                              <w:numPr>
                                <w:ilvl w:val="0"/>
                                <w:numId w:val="2"/>
                              </w:numPr>
                              <w:shd w:val="clear" w:color="auto" w:fill="DAEEF3" w:themeFill="accent5" w:themeFillTint="33"/>
                              <w:spacing w:after="120"/>
                            </w:pPr>
                            <w:r w:rsidRPr="00CA2191">
                              <w:t>However, increased competition from imports and lower domestic product prices, which reflect global overcapacity and the impacts of economically inefficient market interventions, have been major contributors to declines in Australian steel and aluminium output, revenue and profitability.</w:t>
                            </w:r>
                          </w:p>
                          <w:p w14:paraId="2ABF7EBF" w14:textId="77777777" w:rsidR="009241EC" w:rsidRDefault="009241EC" w:rsidP="00A60E69">
                            <w:pPr>
                              <w:numPr>
                                <w:ilvl w:val="0"/>
                                <w:numId w:val="2"/>
                              </w:numPr>
                              <w:shd w:val="clear" w:color="auto" w:fill="DAEEF3" w:themeFill="accent5" w:themeFillTint="33"/>
                              <w:spacing w:after="120"/>
                            </w:pPr>
                            <w:r>
                              <w:t xml:space="preserve">While Australian steel and aluminium producers generally have higher labour costs and may not be able to achieve significant scale economies, they have other competitive advantages compared to international competitors. These result from the development of innovative high-quality products and </w:t>
                            </w:r>
                            <w:r w:rsidRPr="00134B5C">
                              <w:t>access to domestically produced raw materials</w:t>
                            </w:r>
                            <w:r>
                              <w:t xml:space="preserve">. </w:t>
                            </w:r>
                          </w:p>
                          <w:p w14:paraId="0F6E295A" w14:textId="37EF3EEB" w:rsidR="009241EC" w:rsidRPr="00CA2191" w:rsidRDefault="009241EC" w:rsidP="00A60E69">
                            <w:pPr>
                              <w:numPr>
                                <w:ilvl w:val="0"/>
                                <w:numId w:val="2"/>
                              </w:numPr>
                              <w:shd w:val="clear" w:color="auto" w:fill="DAEEF3" w:themeFill="accent5" w:themeFillTint="33"/>
                              <w:spacing w:after="120"/>
                            </w:pPr>
                            <w:r w:rsidRPr="00545318">
                              <w:t>Geography also offers a natural price protection against imports shipped into Australia. The relatively low Australian</w:t>
                            </w:r>
                            <w:r>
                              <w:t xml:space="preserve"> dollar has also helped to increase domestic cost competitiveness.</w:t>
                            </w:r>
                          </w:p>
                          <w:p w14:paraId="10350B82" w14:textId="77777777" w:rsidR="009241EC" w:rsidRPr="00CA2191" w:rsidRDefault="009241EC" w:rsidP="00A60E69">
                            <w:pPr>
                              <w:numPr>
                                <w:ilvl w:val="0"/>
                                <w:numId w:val="2"/>
                              </w:numPr>
                              <w:shd w:val="clear" w:color="auto" w:fill="DAEEF3" w:themeFill="accent5" w:themeFillTint="33"/>
                              <w:spacing w:after="120"/>
                            </w:pPr>
                            <w:r>
                              <w:t>T</w:t>
                            </w:r>
                            <w:r w:rsidRPr="00CA2191">
                              <w:t xml:space="preserve">he Australian steel and aluminium industries are </w:t>
                            </w:r>
                            <w:r>
                              <w:t>putting in place</w:t>
                            </w:r>
                            <w:r w:rsidRPr="00CA2191">
                              <w:t xml:space="preserve"> a range of measures to reduce costs, increase productivity and improve their global competitiveness.</w:t>
                            </w:r>
                          </w:p>
                          <w:p w14:paraId="5E073B56" w14:textId="77777777" w:rsidR="009241EC" w:rsidRPr="00CA2191" w:rsidRDefault="009241EC" w:rsidP="00A60E69">
                            <w:pPr>
                              <w:numPr>
                                <w:ilvl w:val="0"/>
                                <w:numId w:val="2"/>
                              </w:numPr>
                              <w:shd w:val="clear" w:color="auto" w:fill="DAEEF3" w:themeFill="accent5" w:themeFillTint="33"/>
                              <w:spacing w:after="120"/>
                            </w:pPr>
                            <w:r w:rsidRPr="00CA2191">
                              <w:t>The Australian and state governments have implemented policy reforms to strengthen the competitiveness of Australia’s steel and aluminium industries and support their adjustment to changed market conditions.</w:t>
                            </w:r>
                          </w:p>
                          <w:p w14:paraId="567C4C86" w14:textId="4AC1D800" w:rsidR="009241EC" w:rsidRPr="00CA2191" w:rsidRDefault="009241EC" w:rsidP="00A60E69">
                            <w:pPr>
                              <w:numPr>
                                <w:ilvl w:val="0"/>
                                <w:numId w:val="2"/>
                              </w:numPr>
                              <w:shd w:val="clear" w:color="auto" w:fill="DAEEF3" w:themeFill="accent5" w:themeFillTint="33"/>
                              <w:spacing w:after="120"/>
                            </w:pPr>
                            <w:r w:rsidRPr="00CA2191">
                              <w:t>The Commission engaged Cadence Economics to estimate the economic impacts of dumping and subsidisation on the Australian steel and aluminium industries. The consultant’s model estimate</w:t>
                            </w:r>
                            <w:r>
                              <w:t>d the</w:t>
                            </w:r>
                            <w:r w:rsidRPr="00CA2191">
                              <w:t xml:space="preserve"> impacts on production for selected upstream and downstream industries as well as broader economy-wide effects, with and without the implementation of trade remedies. </w:t>
                            </w:r>
                          </w:p>
                          <w:p w14:paraId="79909B4D" w14:textId="77777777" w:rsidR="009241EC" w:rsidRPr="008602EA" w:rsidRDefault="009241EC" w:rsidP="006C2091">
                            <w:pPr>
                              <w:numPr>
                                <w:ilvl w:val="0"/>
                                <w:numId w:val="2"/>
                              </w:numPr>
                              <w:shd w:val="clear" w:color="auto" w:fill="DAEEF3" w:themeFill="accent5" w:themeFillTint="33"/>
                              <w:spacing w:after="120"/>
                            </w:pPr>
                            <w:r w:rsidRPr="00CA2191">
                              <w:t>On the basis that dumping and subsidisation are temporary and will gradually come to an end as global capacity is brought into balance with global demand, the model results support a finding that, in the absence of trade remedies, dumping and subsidisation are negative both for the Australian steel and aluminium industries and for overall economic growth and employment. Implementing trade remedies prevents these negative economic and employment effects</w:t>
                            </w:r>
                            <w:r>
                              <w:t>, which would be additional to the impacts from the current cyclical global downturn</w:t>
                            </w:r>
                            <w:r w:rsidRPr="00CA2191">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E1E79F" id="Text Box 31" o:spid="_x0000_s1031" type="#_x0000_t202" style="position:absolute;left:0;text-align:left;margin-left:0;margin-top:0;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" fillcolor="#daeef3 [664]" strokeweight=".5pt">
                <v:textbox style="mso-fit-shape-to-text:t">
                  <w:txbxContent>
                    <w:p w14:paraId="68537AE2" w14:textId="77777777" w:rsidR="009241EC" w:rsidRPr="00CA2191" w:rsidRDefault="009241EC" w:rsidP="00A60E69">
                      <w:pPr>
                        <w:shd w:val="clear" w:color="auto" w:fill="DAEEF3" w:themeFill="accent5" w:themeFillTint="33"/>
                        <w:spacing w:after="120"/>
                        <w:rPr>
                          <w:b/>
                        </w:rPr>
                      </w:pPr>
                      <w:r w:rsidRPr="00CA2191">
                        <w:rPr>
                          <w:b/>
                        </w:rPr>
                        <w:t>Key points</w:t>
                      </w:r>
                    </w:p>
                    <w:p w14:paraId="659E1733" w14:textId="77777777" w:rsidR="009241EC" w:rsidRPr="00CA2191" w:rsidRDefault="009241EC" w:rsidP="00A60E69">
                      <w:pPr>
                        <w:numPr>
                          <w:ilvl w:val="0"/>
                          <w:numId w:val="2"/>
                        </w:numPr>
                        <w:shd w:val="clear" w:color="auto" w:fill="DAEEF3" w:themeFill="accent5" w:themeFillTint="33"/>
                        <w:spacing w:after="120"/>
                      </w:pPr>
                      <w:r w:rsidRPr="00CA2191">
                        <w:t xml:space="preserve">Difficult operating conditions in the Australian steel and aluminium markets can be partly attributed to slower growth in the domestic construction and manufacturing industries, which has reduced demand for steel and aluminium products. </w:t>
                      </w:r>
                    </w:p>
                    <w:p w14:paraId="7CECFD54" w14:textId="77777777" w:rsidR="009241EC" w:rsidRDefault="009241EC" w:rsidP="00A60E69">
                      <w:pPr>
                        <w:numPr>
                          <w:ilvl w:val="0"/>
                          <w:numId w:val="2"/>
                        </w:numPr>
                        <w:shd w:val="clear" w:color="auto" w:fill="DAEEF3" w:themeFill="accent5" w:themeFillTint="33"/>
                        <w:spacing w:after="120"/>
                      </w:pPr>
                      <w:r w:rsidRPr="00CA2191">
                        <w:t>However, increased competition from imports and lower domestic product prices, which reflect global overcapacity and the impacts of economically inefficient market interventions, have been major contributors to declines in Australian steel and aluminium output, revenue and profitability.</w:t>
                      </w:r>
                    </w:p>
                    <w:p w14:paraId="2ABF7EBF" w14:textId="77777777" w:rsidR="009241EC" w:rsidRDefault="009241EC" w:rsidP="00A60E69">
                      <w:pPr>
                        <w:numPr>
                          <w:ilvl w:val="0"/>
                          <w:numId w:val="2"/>
                        </w:numPr>
                        <w:shd w:val="clear" w:color="auto" w:fill="DAEEF3" w:themeFill="accent5" w:themeFillTint="33"/>
                        <w:spacing w:after="120"/>
                      </w:pPr>
                      <w:r>
                        <w:t xml:space="preserve">While Australian steel and aluminium producers generally have higher labour costs and may not be able to achieve significant scale economies, they have other competitive advantages compared to international competitors. These result from the development of innovative high-quality products and </w:t>
                      </w:r>
                      <w:r w:rsidRPr="00134B5C">
                        <w:t>access to domestically produced raw materials</w:t>
                      </w:r>
                      <w:r>
                        <w:t xml:space="preserve">. </w:t>
                      </w:r>
                    </w:p>
                    <w:p w14:paraId="0F6E295A" w14:textId="37EF3EEB" w:rsidR="009241EC" w:rsidRPr="00CA2191" w:rsidRDefault="009241EC" w:rsidP="00A60E69">
                      <w:pPr>
                        <w:numPr>
                          <w:ilvl w:val="0"/>
                          <w:numId w:val="2"/>
                        </w:numPr>
                        <w:shd w:val="clear" w:color="auto" w:fill="DAEEF3" w:themeFill="accent5" w:themeFillTint="33"/>
                        <w:spacing w:after="120"/>
                      </w:pPr>
                      <w:r w:rsidRPr="00545318">
                        <w:t>Geography also offers a natural price protection against imports shipped into Australia. The relatively low Australian</w:t>
                      </w:r>
                      <w:r>
                        <w:t xml:space="preserve"> dollar has also helped to increase domestic cost competitiveness.</w:t>
                      </w:r>
                    </w:p>
                    <w:p w14:paraId="10350B82" w14:textId="77777777" w:rsidR="009241EC" w:rsidRPr="00CA2191" w:rsidRDefault="009241EC" w:rsidP="00A60E69">
                      <w:pPr>
                        <w:numPr>
                          <w:ilvl w:val="0"/>
                          <w:numId w:val="2"/>
                        </w:numPr>
                        <w:shd w:val="clear" w:color="auto" w:fill="DAEEF3" w:themeFill="accent5" w:themeFillTint="33"/>
                        <w:spacing w:after="120"/>
                      </w:pPr>
                      <w:r>
                        <w:t>T</w:t>
                      </w:r>
                      <w:r w:rsidRPr="00CA2191">
                        <w:t xml:space="preserve">he Australian steel and aluminium industries are </w:t>
                      </w:r>
                      <w:r>
                        <w:t>putting in place</w:t>
                      </w:r>
                      <w:r w:rsidRPr="00CA2191">
                        <w:t xml:space="preserve"> a range of measures to reduce costs, increase productivity and improve their global competitiveness.</w:t>
                      </w:r>
                    </w:p>
                    <w:p w14:paraId="5E073B56" w14:textId="77777777" w:rsidR="009241EC" w:rsidRPr="00CA2191" w:rsidRDefault="009241EC" w:rsidP="00A60E69">
                      <w:pPr>
                        <w:numPr>
                          <w:ilvl w:val="0"/>
                          <w:numId w:val="2"/>
                        </w:numPr>
                        <w:shd w:val="clear" w:color="auto" w:fill="DAEEF3" w:themeFill="accent5" w:themeFillTint="33"/>
                        <w:spacing w:after="120"/>
                      </w:pPr>
                      <w:r w:rsidRPr="00CA2191">
                        <w:t>The Australian and state governments have implemented policy reforms to strengthen the competitiveness of Australia’s steel and aluminium industries and support their adjustment to changed market conditions.</w:t>
                      </w:r>
                    </w:p>
                    <w:p w14:paraId="567C4C86" w14:textId="4AC1D800" w:rsidR="009241EC" w:rsidRPr="00CA2191" w:rsidRDefault="009241EC" w:rsidP="00A60E69">
                      <w:pPr>
                        <w:numPr>
                          <w:ilvl w:val="0"/>
                          <w:numId w:val="2"/>
                        </w:numPr>
                        <w:shd w:val="clear" w:color="auto" w:fill="DAEEF3" w:themeFill="accent5" w:themeFillTint="33"/>
                        <w:spacing w:after="120"/>
                      </w:pPr>
                      <w:r w:rsidRPr="00CA2191">
                        <w:t>The Commission engaged Cadence Economics to estimate the economic impacts of dumping and subsidisation on the Australian steel and aluminium industries. The consultant’s model estimate</w:t>
                      </w:r>
                      <w:r>
                        <w:t>d the</w:t>
                      </w:r>
                      <w:r w:rsidRPr="00CA2191">
                        <w:t xml:space="preserve"> impacts on production for selected upstream and downstream industries as well as broader economy-wide effects, with and without the implementation of trade remedies. </w:t>
                      </w:r>
                    </w:p>
                    <w:p w14:paraId="79909B4D" w14:textId="77777777" w:rsidR="009241EC" w:rsidRPr="008602EA" w:rsidRDefault="009241EC" w:rsidP="006C2091">
                      <w:pPr>
                        <w:numPr>
                          <w:ilvl w:val="0"/>
                          <w:numId w:val="2"/>
                        </w:numPr>
                        <w:shd w:val="clear" w:color="auto" w:fill="DAEEF3" w:themeFill="accent5" w:themeFillTint="33"/>
                        <w:spacing w:after="120"/>
                      </w:pPr>
                      <w:r w:rsidRPr="00CA2191">
                        <w:t>On the basis that dumping and subsidisation are temporary and will gradually come to an end as global capacity is brought into balance with global demand, the model results support a finding that, in the absence of trade remedies, dumping and subsidisation are negative both for the Australian steel and aluminium industries and for overall economic growth and employment. Implementing trade remedies prevents these negative economic and employment effects</w:t>
                      </w:r>
                      <w:r>
                        <w:t>, which would be additional to the impacts from the current cyclical global downturn</w:t>
                      </w:r>
                      <w:r w:rsidRPr="00CA2191">
                        <w:t>.</w:t>
                      </w:r>
                    </w:p>
                  </w:txbxContent>
                </v:textbox>
                <w10:wrap type="square"/>
              </v:shape>
            </w:pict>
          </mc:Fallback>
        </mc:AlternateContent>
      </w:r>
      <w:r w:rsidR="00CA2191" w:rsidRPr="00545318">
        <w:t>Market conditions in the Australian steel and alumin</w:t>
      </w:r>
      <w:r w:rsidR="005038AE" w:rsidRPr="00545318">
        <w:t>i</w:t>
      </w:r>
      <w:r w:rsidR="00CA2191" w:rsidRPr="00545318">
        <w:t>um industries</w:t>
      </w:r>
      <w:bookmarkEnd w:id="53"/>
      <w:bookmarkEnd w:id="54"/>
    </w:p>
    <w:p w14:paraId="20333FE5" w14:textId="1054C3F9" w:rsidR="00CA2191" w:rsidRPr="00545318" w:rsidRDefault="00CA2191" w:rsidP="00CA2191">
      <w:pPr>
        <w:spacing w:before="120" w:after="120"/>
      </w:pPr>
      <w:r w:rsidRPr="00545318">
        <w:t xml:space="preserve">As discussed in </w:t>
      </w:r>
      <w:r w:rsidR="00492D93" w:rsidRPr="00545318">
        <w:t>chapter</w:t>
      </w:r>
      <w:r w:rsidRPr="00545318">
        <w:t xml:space="preserve"> 2, over recent years, market conditions within the Australian steel and aluminium industries have been characterised by weaker domestic demand, overall declines in local production, increasing volumes of imports and </w:t>
      </w:r>
      <w:r w:rsidR="0012382B" w:rsidRPr="00545318">
        <w:t>depressed</w:t>
      </w:r>
      <w:r w:rsidRPr="00545318">
        <w:t xml:space="preserve"> prices.</w:t>
      </w:r>
      <w:r w:rsidRPr="00545318">
        <w:rPr>
          <w:vertAlign w:val="superscript"/>
        </w:rPr>
        <w:footnoteReference w:id="109"/>
      </w:r>
      <w:r w:rsidRPr="00545318">
        <w:t xml:space="preserve"> The Australian aluminium industry, which exports a significant proportion of its production, </w:t>
      </w:r>
      <w:r w:rsidR="00BF2F39" w:rsidRPr="00545318">
        <w:t>was</w:t>
      </w:r>
      <w:r w:rsidRPr="00545318">
        <w:t xml:space="preserve"> adversely impacted by the relatively strong Australian dollar</w:t>
      </w:r>
      <w:r w:rsidR="00BF2F39" w:rsidRPr="00545318">
        <w:t xml:space="preserve"> prior to its decline over 2015</w:t>
      </w:r>
      <w:r w:rsidRPr="00545318">
        <w:t xml:space="preserve">. </w:t>
      </w:r>
    </w:p>
    <w:p w14:paraId="6926E50B" w14:textId="0A747596" w:rsidR="00CA2191" w:rsidRPr="00545318" w:rsidRDefault="00CA2191" w:rsidP="00CA2191">
      <w:pPr>
        <w:spacing w:before="120" w:after="120"/>
      </w:pPr>
      <w:r w:rsidRPr="00545318">
        <w:t xml:space="preserve">While the weakness in domestic demand for steel and aluminium largely reflects slower growth in the construction and manufacturing industries, the increased competition from imports and lower domestic product prices have been directly influenced by the international market conditions described in </w:t>
      </w:r>
      <w:r w:rsidR="00755C65" w:rsidRPr="00545318">
        <w:t>chapter</w:t>
      </w:r>
      <w:r w:rsidRPr="00545318">
        <w:t xml:space="preserve"> 2 of this report and the impacts of economically inefficient market interventions described in </w:t>
      </w:r>
      <w:r w:rsidR="00755C65" w:rsidRPr="00545318">
        <w:t>chapter</w:t>
      </w:r>
      <w:r w:rsidRPr="00545318">
        <w:t xml:space="preserve"> 3. The combined impact of these factors has resulted in declining industry output, industry revenue and profitability. Total industry revenue for the five year period to 2015</w:t>
      </w:r>
      <w:r w:rsidR="00755C65" w:rsidRPr="00545318">
        <w:t>-</w:t>
      </w:r>
      <w:r w:rsidRPr="00545318">
        <w:t xml:space="preserve">16 is estimated to have </w:t>
      </w:r>
      <w:r w:rsidR="00755C65" w:rsidRPr="00545318">
        <w:t>fallen</w:t>
      </w:r>
      <w:r w:rsidRPr="00545318">
        <w:t xml:space="preserve"> by an average </w:t>
      </w:r>
      <w:r w:rsidR="00BB0A2A" w:rsidRPr="00545318">
        <w:t>6.2</w:t>
      </w:r>
      <w:r w:rsidRPr="00545318">
        <w:t xml:space="preserve"> and </w:t>
      </w:r>
      <w:r w:rsidR="00BB0A2A" w:rsidRPr="00545318">
        <w:t>2.8</w:t>
      </w:r>
      <w:r w:rsidRPr="00545318">
        <w:t xml:space="preserve"> </w:t>
      </w:r>
      <w:r w:rsidR="00620A65" w:rsidRPr="00545318">
        <w:t>per cent</w:t>
      </w:r>
      <w:r w:rsidRPr="00545318">
        <w:t xml:space="preserve"> a year for the steel and aluminium industries respectively.</w:t>
      </w:r>
      <w:r w:rsidRPr="00545318">
        <w:rPr>
          <w:vertAlign w:val="superscript"/>
        </w:rPr>
        <w:footnoteReference w:id="110"/>
      </w:r>
      <w:r w:rsidRPr="00545318">
        <w:t xml:space="preserve"> </w:t>
      </w:r>
    </w:p>
    <w:p w14:paraId="142DC153" w14:textId="6BC5ACE7" w:rsidR="00CA2191" w:rsidRPr="00545318" w:rsidRDefault="00CA2191" w:rsidP="00CA2191">
      <w:pPr>
        <w:spacing w:before="120" w:after="120"/>
      </w:pPr>
      <w:r w:rsidRPr="00545318">
        <w:t>The future growth and viability of the Australian steel and aluminium industries depend on two main factors: growth in domestic demand for their products, and the ability of domestic producers to compete with imports</w:t>
      </w:r>
      <w:r w:rsidR="005C66A2" w:rsidRPr="00545318">
        <w:t>.</w:t>
      </w:r>
      <w:r w:rsidRPr="00545318">
        <w:t xml:space="preserve"> </w:t>
      </w:r>
      <w:r w:rsidR="005C66A2" w:rsidRPr="00545318">
        <w:t>T</w:t>
      </w:r>
      <w:r w:rsidR="00CB5E34" w:rsidRPr="00545318">
        <w:t xml:space="preserve">he competitiveness of Australian exports is also </w:t>
      </w:r>
      <w:r w:rsidR="005C66A2" w:rsidRPr="00545318">
        <w:t>an important factor.</w:t>
      </w:r>
    </w:p>
    <w:p w14:paraId="3A5E36F7" w14:textId="3C4283A5" w:rsidR="00CA2191" w:rsidRPr="00545318" w:rsidRDefault="00CA2191" w:rsidP="00CA2191">
      <w:pPr>
        <w:spacing w:before="120" w:after="120"/>
      </w:pPr>
      <w:r w:rsidRPr="00545318">
        <w:t xml:space="preserve">Cost structures vary between firms within an industry for a number of reasons including size, scale of production, access to production inputs, use of technology, and capital investment. The two major cost components for both the Australian steel and aluminium industries are input purchase and labour costs, which combined account for 81 </w:t>
      </w:r>
      <w:r w:rsidR="00620A65" w:rsidRPr="00545318">
        <w:t>per cent</w:t>
      </w:r>
      <w:r w:rsidRPr="00545318">
        <w:t xml:space="preserve"> of total steel industry costs and 74 </w:t>
      </w:r>
      <w:r w:rsidR="00620A65" w:rsidRPr="00545318">
        <w:t>per cent</w:t>
      </w:r>
      <w:r w:rsidRPr="00545318">
        <w:t xml:space="preserve"> of aluminium industry costs.</w:t>
      </w:r>
      <w:r w:rsidRPr="00545318">
        <w:rPr>
          <w:vertAlign w:val="superscript"/>
        </w:rPr>
        <w:footnoteReference w:id="111"/>
      </w:r>
      <w:r w:rsidRPr="00545318">
        <w:t xml:space="preserve"> </w:t>
      </w:r>
    </w:p>
    <w:p w14:paraId="4B6F62D8" w14:textId="77777777" w:rsidR="00CA2191" w:rsidRPr="00545318" w:rsidRDefault="00CA2191" w:rsidP="00CA2191">
      <w:pPr>
        <w:spacing w:before="120" w:after="120"/>
      </w:pPr>
      <w:r w:rsidRPr="00545318">
        <w:t>The Australian steel and aluminium industries generally have a competitive advantage in access to key raw materials.</w:t>
      </w:r>
      <w:r w:rsidR="007050C5" w:rsidRPr="00545318">
        <w:rPr>
          <w:rStyle w:val="FootnoteReference"/>
        </w:rPr>
        <w:footnoteReference w:id="112"/>
      </w:r>
      <w:r w:rsidRPr="00545318">
        <w:t xml:space="preserve"> In addition, in recent years, both the Australian steel industry and aluminium rolling, drawing and extruding industry have benefited from declining absolute </w:t>
      </w:r>
      <w:r w:rsidR="00652D49" w:rsidRPr="00545318">
        <w:t>input</w:t>
      </w:r>
      <w:r w:rsidRPr="00545318">
        <w:t xml:space="preserve"> costs, largely due to declining international commodity prices.</w:t>
      </w:r>
      <w:r w:rsidRPr="00545318">
        <w:rPr>
          <w:vertAlign w:val="superscript"/>
        </w:rPr>
        <w:footnoteReference w:id="113"/>
      </w:r>
      <w:r w:rsidRPr="00545318">
        <w:t xml:space="preserve"> </w:t>
      </w:r>
    </w:p>
    <w:p w14:paraId="0B2FCC64" w14:textId="1905C587" w:rsidR="00CA2191" w:rsidRPr="00545318" w:rsidRDefault="00CA2191" w:rsidP="00CA2191">
      <w:pPr>
        <w:spacing w:before="120" w:after="120"/>
      </w:pPr>
      <w:r w:rsidRPr="00545318">
        <w:t>However</w:t>
      </w:r>
      <w:r w:rsidR="00B46A49">
        <w:t>,</w:t>
      </w:r>
      <w:r w:rsidRPr="00545318">
        <w:t xml:space="preserve"> for both industries, particularly steel, relatively high labour costs remain a significant issue for </w:t>
      </w:r>
      <w:r w:rsidR="00652D49" w:rsidRPr="00545318">
        <w:t>steel producers’</w:t>
      </w:r>
      <w:r w:rsidRPr="00545318">
        <w:t xml:space="preserve"> ability to compete with imports. Based on analysis undertaken in mid-2015, labour and overhead costs for producing steel in Australian were estimated to be between 19 and 55</w:t>
      </w:r>
      <w:r w:rsidR="00652D49" w:rsidRPr="00545318">
        <w:t> </w:t>
      </w:r>
      <w:r w:rsidR="00620A65" w:rsidRPr="00545318">
        <w:t>per cent</w:t>
      </w:r>
      <w:r w:rsidRPr="00545318">
        <w:t xml:space="preserve"> higher than the average costs of non-Australian steel producers.</w:t>
      </w:r>
      <w:r w:rsidRPr="00545318">
        <w:rPr>
          <w:vertAlign w:val="superscript"/>
        </w:rPr>
        <w:footnoteReference w:id="114"/>
      </w:r>
      <w:r w:rsidRPr="00545318">
        <w:t xml:space="preserve"> However, it should be noted that these estimates did not adjust for any differences in product quality.</w:t>
      </w:r>
    </w:p>
    <w:p w14:paraId="43C0DC97" w14:textId="77777777" w:rsidR="00CA2191" w:rsidRPr="00545318" w:rsidRDefault="00CA2191" w:rsidP="00CA2191">
      <w:pPr>
        <w:spacing w:before="120" w:after="120"/>
      </w:pPr>
      <w:r w:rsidRPr="00545318">
        <w:t xml:space="preserve">Other factors that influence the global competitiveness of the Australian steel and aluminium industries include the level of the Australian dollar and producers’ ability to expand production to better exploit economies of scale and to diversify their product range, including through innovation and the development of premium products. </w:t>
      </w:r>
    </w:p>
    <w:p w14:paraId="58DB528A" w14:textId="77777777" w:rsidR="0007414C" w:rsidRPr="00545318" w:rsidRDefault="0007414C" w:rsidP="00CA2191">
      <w:pPr>
        <w:spacing w:before="120" w:after="120"/>
      </w:pPr>
      <w:r w:rsidRPr="00545318">
        <w:t>In the past, aluminium smelters, which produce the major input to the aluminium rolling, drawing and extruding industry, had a cost advantage from relatively low electricity costs. In recent years, this relative advantage has reduced as electricity costs have risen.</w:t>
      </w:r>
    </w:p>
    <w:p w14:paraId="3F788661" w14:textId="77777777" w:rsidR="00135D4D" w:rsidRPr="00545318" w:rsidRDefault="00135D4D">
      <w:pPr>
        <w:spacing w:after="200" w:line="276" w:lineRule="auto"/>
        <w:rPr>
          <w:lang w:val="en-AU"/>
        </w:rPr>
      </w:pPr>
      <w:r w:rsidRPr="00545318">
        <w:rPr>
          <w:lang w:val="en-AU"/>
        </w:rPr>
        <w:br w:type="page"/>
      </w:r>
    </w:p>
    <w:p w14:paraId="70FA4F1F" w14:textId="028EE875" w:rsidR="00416FA7" w:rsidRPr="00545318" w:rsidRDefault="00416FA7" w:rsidP="00416FA7">
      <w:pPr>
        <w:spacing w:before="120" w:after="120"/>
        <w:rPr>
          <w:lang w:val="en-AU"/>
        </w:rPr>
      </w:pPr>
      <w:r w:rsidRPr="00545318">
        <w:rPr>
          <w:lang w:val="en-AU"/>
        </w:rPr>
        <w:t xml:space="preserve">Overall, while Australian steel producers maintain a relatively small volume of production and generally have higher labour costs, they do have other competitive advantages compared to international competitors. For example, BlueScope is a technical leader in galvanising and coating of flat steel and Arrium has become a world leader in the production of steel grinding media for the mining industry. </w:t>
      </w:r>
    </w:p>
    <w:p w14:paraId="4DBA540B" w14:textId="77777777" w:rsidR="00416FA7" w:rsidRPr="00545318" w:rsidRDefault="00416FA7" w:rsidP="00416FA7">
      <w:pPr>
        <w:spacing w:before="120" w:after="120"/>
        <w:rPr>
          <w:lang w:val="en-AU"/>
        </w:rPr>
      </w:pPr>
      <w:r w:rsidRPr="00545318">
        <w:rPr>
          <w:lang w:val="en-AU"/>
        </w:rPr>
        <w:t xml:space="preserve">Geography also offers a natural price protection against imports shipped into Australia and Australian steel and aluminium producers have access to domestically produced raw materials, which are generally of a high quality and often located near manufacturing facilities. </w:t>
      </w:r>
    </w:p>
    <w:p w14:paraId="00370689" w14:textId="7981305F" w:rsidR="00416FA7" w:rsidRPr="00545318" w:rsidRDefault="00416FA7" w:rsidP="00416FA7">
      <w:pPr>
        <w:spacing w:before="120" w:after="120"/>
        <w:rPr>
          <w:lang w:val="en-AU"/>
        </w:rPr>
      </w:pPr>
      <w:r w:rsidRPr="00545318">
        <w:rPr>
          <w:lang w:val="en-AU"/>
        </w:rPr>
        <w:t xml:space="preserve">The </w:t>
      </w:r>
      <w:r w:rsidR="00950FFE" w:rsidRPr="00545318">
        <w:rPr>
          <w:lang w:val="en-AU"/>
        </w:rPr>
        <w:t xml:space="preserve">2015 </w:t>
      </w:r>
      <w:r w:rsidRPr="00545318">
        <w:rPr>
          <w:lang w:val="en-AU"/>
        </w:rPr>
        <w:t>decline in the Australian dollar</w:t>
      </w:r>
      <w:r w:rsidR="00950FFE" w:rsidRPr="00545318">
        <w:rPr>
          <w:lang w:val="en-AU"/>
        </w:rPr>
        <w:t>, and its continuing relatively low level (despite this year’s rise</w:t>
      </w:r>
      <w:r w:rsidRPr="00545318">
        <w:rPr>
          <w:lang w:val="en-AU"/>
        </w:rPr>
        <w:t xml:space="preserve"> </w:t>
      </w:r>
      <w:r w:rsidR="00950FFE" w:rsidRPr="00545318">
        <w:rPr>
          <w:lang w:val="en-AU"/>
        </w:rPr>
        <w:t xml:space="preserve">from its 2015 low), has </w:t>
      </w:r>
      <w:r w:rsidRPr="00545318">
        <w:rPr>
          <w:lang w:val="en-AU"/>
        </w:rPr>
        <w:t>also helped to increase domestic cost competitiveness. However, world steel and aluminium prices generally declined around the same time as the exchange rate depreciated, and some raw material prices (notably iron ore) are denominated in US</w:t>
      </w:r>
      <w:r w:rsidR="003D7CB9" w:rsidRPr="00545318">
        <w:rPr>
          <w:lang w:val="en-AU"/>
        </w:rPr>
        <w:t xml:space="preserve"> dollars</w:t>
      </w:r>
      <w:r w:rsidRPr="00545318">
        <w:rPr>
          <w:lang w:val="en-AU"/>
        </w:rPr>
        <w:t>.</w:t>
      </w:r>
    </w:p>
    <w:p w14:paraId="5A0275C2" w14:textId="77777777" w:rsidR="00CA2191" w:rsidRPr="00545318" w:rsidRDefault="00CA2191" w:rsidP="00374264">
      <w:pPr>
        <w:pStyle w:val="Heading2"/>
      </w:pPr>
      <w:bookmarkStart w:id="55" w:name="_Toc458674166"/>
      <w:bookmarkStart w:id="56" w:name="_Toc460430496"/>
      <w:r w:rsidRPr="00545318">
        <w:t>Australian industry initiatives to improve competitiveness</w:t>
      </w:r>
      <w:bookmarkEnd w:id="55"/>
      <w:bookmarkEnd w:id="56"/>
      <w:r w:rsidRPr="00545318">
        <w:t xml:space="preserve"> </w:t>
      </w:r>
    </w:p>
    <w:p w14:paraId="2B6C71F7" w14:textId="486DB7C6" w:rsidR="00CA2191" w:rsidRPr="00545318" w:rsidRDefault="00CA2191" w:rsidP="00CA2191">
      <w:pPr>
        <w:spacing w:before="120" w:after="120"/>
      </w:pPr>
      <w:r w:rsidRPr="00545318">
        <w:t xml:space="preserve">In response to increased competition from cheap imports of steel and aluminium products, the Australian steel and aluminium industries </w:t>
      </w:r>
      <w:r w:rsidR="00950FFE" w:rsidRPr="00545318">
        <w:t>have been</w:t>
      </w:r>
      <w:r w:rsidRPr="00545318">
        <w:t xml:space="preserve"> implementing measures to reduce costs and improve their competitiveness. </w:t>
      </w:r>
      <w:r w:rsidR="001172E1" w:rsidRPr="00545318">
        <w:t>The measures being adopted for the three largest producers are summarised below.</w:t>
      </w:r>
    </w:p>
    <w:p w14:paraId="7A5CD476" w14:textId="77777777" w:rsidR="00C1526A" w:rsidRPr="00545318" w:rsidRDefault="00C1526A" w:rsidP="00C1526A">
      <w:pPr>
        <w:spacing w:before="120" w:after="120"/>
      </w:pPr>
      <w:r w:rsidRPr="00545318">
        <w:t>BlueScope is currently undertaking a number of initiatives in response to current market conditions. These efforts commenced in 2011 with BlueScope’s decision to cease exporting steel produced at Port Kembla. The associated shut-down of one of its two blast furnaces at its Port Kembla steel works and closure of the Western Port Strip Mill were estimated by BlueScope to generate improvements in earnings before interest and tax of around $225 million.</w:t>
      </w:r>
      <w:r w:rsidRPr="00545318">
        <w:rPr>
          <w:vertAlign w:val="superscript"/>
        </w:rPr>
        <w:footnoteReference w:id="115"/>
      </w:r>
      <w:r w:rsidRPr="00545318">
        <w:t xml:space="preserve"> More recently, BlueScope’s efforts to manage current market conditions and grow its business have focused on: </w:t>
      </w:r>
    </w:p>
    <w:p w14:paraId="564FBADC" w14:textId="77777777" w:rsidR="00C1526A" w:rsidRPr="00545318" w:rsidRDefault="00C1526A" w:rsidP="00C1526A">
      <w:pPr>
        <w:numPr>
          <w:ilvl w:val="0"/>
          <w:numId w:val="20"/>
        </w:numPr>
        <w:spacing w:before="120" w:after="120"/>
      </w:pPr>
      <w:r w:rsidRPr="00545318">
        <w:t xml:space="preserve">growing its premium branded coated and painted steel markets in the Asia-Pacific region and North America </w:t>
      </w:r>
    </w:p>
    <w:p w14:paraId="4BC07DD6" w14:textId="77777777" w:rsidR="00C1526A" w:rsidRPr="00545318" w:rsidRDefault="00C1526A" w:rsidP="00C1526A">
      <w:pPr>
        <w:numPr>
          <w:ilvl w:val="0"/>
          <w:numId w:val="20"/>
        </w:numPr>
        <w:spacing w:before="120" w:after="120"/>
      </w:pPr>
      <w:r w:rsidRPr="00545318">
        <w:t xml:space="preserve">delivering competitively priced steel into local markets through cost reductions and business process efficiencies </w:t>
      </w:r>
    </w:p>
    <w:p w14:paraId="32A85482" w14:textId="22A51BD4" w:rsidR="00C1526A" w:rsidRPr="00545318" w:rsidRDefault="00C1526A" w:rsidP="00C1526A">
      <w:pPr>
        <w:numPr>
          <w:ilvl w:val="0"/>
          <w:numId w:val="20"/>
        </w:numPr>
        <w:spacing w:before="120" w:after="120"/>
        <w:ind w:left="714" w:hanging="357"/>
      </w:pPr>
      <w:r w:rsidRPr="00545318">
        <w:t>ensuring its ongoing financial strength by maintaining a strong balance sheet.</w:t>
      </w:r>
      <w:r w:rsidRPr="00545318">
        <w:rPr>
          <w:vertAlign w:val="superscript"/>
        </w:rPr>
        <w:footnoteReference w:id="116"/>
      </w:r>
    </w:p>
    <w:p w14:paraId="7EBEC9ED" w14:textId="0E5C5AF3" w:rsidR="00C1526A" w:rsidRPr="00545318" w:rsidRDefault="00C1526A" w:rsidP="00C1526A">
      <w:pPr>
        <w:spacing w:before="120" w:after="120"/>
      </w:pPr>
      <w:r w:rsidRPr="00545318">
        <w:t xml:space="preserve">In February 2016, BlueScope announced that it had achieved cost savings of $95 million in the first half of </w:t>
      </w:r>
      <w:r w:rsidR="001C57A6" w:rsidRPr="00545318">
        <w:t xml:space="preserve">the </w:t>
      </w:r>
      <w:r w:rsidRPr="00545318">
        <w:t>2016</w:t>
      </w:r>
      <w:r w:rsidR="001C57A6" w:rsidRPr="00545318">
        <w:t xml:space="preserve"> financial year</w:t>
      </w:r>
      <w:r w:rsidRPr="00545318">
        <w:t>, compared to the same period in 2015. It is targeting cost reductions totalling $270 million in 2016-17 relative to 2014-15.</w:t>
      </w:r>
      <w:r w:rsidRPr="00545318">
        <w:rPr>
          <w:vertAlign w:val="superscript"/>
        </w:rPr>
        <w:footnoteReference w:id="117"/>
      </w:r>
      <w:r w:rsidRPr="00545318">
        <w:t xml:space="preserve"> Some of these savings will be achieved through rationalising employment and employee supported wage freezes.</w:t>
      </w:r>
      <w:r w:rsidRPr="00545318">
        <w:rPr>
          <w:vertAlign w:val="superscript"/>
        </w:rPr>
        <w:footnoteReference w:id="118"/>
      </w:r>
    </w:p>
    <w:p w14:paraId="4CF6CF74" w14:textId="77777777" w:rsidR="00135D4D" w:rsidRPr="00545318" w:rsidRDefault="00135D4D">
      <w:pPr>
        <w:spacing w:after="200" w:line="276" w:lineRule="auto"/>
      </w:pPr>
      <w:r w:rsidRPr="00545318">
        <w:br w:type="page"/>
      </w:r>
    </w:p>
    <w:p w14:paraId="78558CF8" w14:textId="0DC801B9" w:rsidR="00C1526A" w:rsidRPr="00545318" w:rsidRDefault="00C1526A" w:rsidP="00C1526A">
      <w:pPr>
        <w:spacing w:before="120" w:after="120"/>
      </w:pPr>
      <w:r w:rsidRPr="00545318">
        <w:t xml:space="preserve">On 14 July 2016, BlueScope also advised the Australian Stock Exchange that earnings before interest and tax (EBIT) for the year ended 30 June 2016 are expected to be around $570 million, compared with $302 million in the year to 30 June 2015. The company has previously advised that </w:t>
      </w:r>
      <w:r w:rsidR="00950FFE" w:rsidRPr="00545318">
        <w:t>‘</w:t>
      </w:r>
      <w:r w:rsidRPr="00545318">
        <w:t>the stronger performance has been driven largely by earlier delivery of cost reductions, growth in Australian domestic despatches and better margins</w:t>
      </w:r>
      <w:r w:rsidR="00950FFE" w:rsidRPr="00545318">
        <w:t>’</w:t>
      </w:r>
      <w:r w:rsidRPr="00545318">
        <w:t>.</w:t>
      </w:r>
      <w:r w:rsidRPr="00545318">
        <w:rPr>
          <w:rStyle w:val="FootnoteReference"/>
        </w:rPr>
        <w:footnoteReference w:id="119"/>
      </w:r>
    </w:p>
    <w:p w14:paraId="2965D46F" w14:textId="77777777" w:rsidR="005C66A2" w:rsidRPr="00545318" w:rsidRDefault="005C66A2" w:rsidP="005C66A2">
      <w:pPr>
        <w:spacing w:before="120" w:after="120"/>
        <w:rPr>
          <w:rFonts w:cs="Times New Roman"/>
          <w:szCs w:val="24"/>
        </w:rPr>
      </w:pPr>
      <w:r w:rsidRPr="00545318">
        <w:rPr>
          <w:rFonts w:cs="Times New Roman"/>
          <w:szCs w:val="24"/>
        </w:rPr>
        <w:t xml:space="preserve">Following a strategic review, on 22 February 2016, Arrium announced an agreement with GSO Capital Partners to provide Arrium with $927m as part of a recapitalisation plan. However, the recapitalisation plan was not supported and </w:t>
      </w:r>
      <w:r w:rsidRPr="00545318">
        <w:t xml:space="preserve">Arrium entered voluntary administration on 7 April 2016. Arrium’s administrator, KordaMentha, has examined Arrium’s operations, in particular the steelworks and mining operations in Whyalla. </w:t>
      </w:r>
      <w:r w:rsidRPr="00545318">
        <w:rPr>
          <w:rFonts w:cs="Times New Roman"/>
          <w:szCs w:val="24"/>
        </w:rPr>
        <w:t xml:space="preserve">KordaMentha is targeting $300m in total annualised cost savings since the commencement of savings initiatives in October 2015 (prior to Arrium entering administration). </w:t>
      </w:r>
    </w:p>
    <w:p w14:paraId="4293620B" w14:textId="77777777" w:rsidR="005C66A2" w:rsidRPr="00545318" w:rsidRDefault="005C66A2" w:rsidP="005C66A2">
      <w:pPr>
        <w:spacing w:before="120" w:after="120"/>
        <w:rPr>
          <w:rFonts w:cs="Times New Roman"/>
          <w:szCs w:val="24"/>
        </w:rPr>
      </w:pPr>
      <w:r w:rsidRPr="00545318">
        <w:rPr>
          <w:rFonts w:cs="Times New Roman"/>
          <w:szCs w:val="24"/>
        </w:rPr>
        <w:t xml:space="preserve">KordaMentha is currently preparing for a sale or recapitalisation of the Arrium Group. </w:t>
      </w:r>
    </w:p>
    <w:p w14:paraId="2B2510EC" w14:textId="0C0AFC44" w:rsidR="005C66A2" w:rsidRPr="00545318" w:rsidRDefault="005C66A2" w:rsidP="005C66A2">
      <w:pPr>
        <w:spacing w:before="120" w:after="120"/>
        <w:rPr>
          <w:rFonts w:cs="Times New Roman"/>
          <w:szCs w:val="24"/>
        </w:rPr>
      </w:pPr>
      <w:r w:rsidRPr="00545318">
        <w:rPr>
          <w:rFonts w:cs="Times New Roman"/>
          <w:szCs w:val="24"/>
        </w:rPr>
        <w:t>The Australian and South Australian Governments have announced assistance measures for Arrium. These are detailed in sections 4.3.4 and 4.3.5.</w:t>
      </w:r>
    </w:p>
    <w:p w14:paraId="5395BBFB" w14:textId="77777777" w:rsidR="00C1526A" w:rsidRPr="00545318" w:rsidRDefault="00C1526A" w:rsidP="00C1526A">
      <w:pPr>
        <w:spacing w:before="120" w:after="120"/>
      </w:pPr>
      <w:r w:rsidRPr="00545318">
        <w:t>Capral, Australia’s largest producer of extruded aluminium products, has adopted a ‘multi focused’ approach to improving its competitiveness through:</w:t>
      </w:r>
    </w:p>
    <w:p w14:paraId="32597F93" w14:textId="77777777" w:rsidR="00C1526A" w:rsidRPr="00545318" w:rsidRDefault="00C1526A" w:rsidP="00C1526A">
      <w:pPr>
        <w:numPr>
          <w:ilvl w:val="0"/>
          <w:numId w:val="21"/>
        </w:numPr>
        <w:spacing w:before="120" w:after="120"/>
      </w:pPr>
      <w:r w:rsidRPr="00545318">
        <w:t>reducing costs through productivity focused improvements to manufacturing processes and through supply chain optimisation to reduce inventory levels</w:t>
      </w:r>
    </w:p>
    <w:p w14:paraId="2E7FF9C1" w14:textId="77777777" w:rsidR="00C1526A" w:rsidRPr="00545318" w:rsidRDefault="00C1526A" w:rsidP="00C1526A">
      <w:pPr>
        <w:numPr>
          <w:ilvl w:val="0"/>
          <w:numId w:val="21"/>
        </w:numPr>
        <w:spacing w:before="120" w:after="120"/>
      </w:pPr>
      <w:r w:rsidRPr="00545318">
        <w:t xml:space="preserve">maximising the benefits from its large scale extrusion capability and distribution network </w:t>
      </w:r>
    </w:p>
    <w:p w14:paraId="7E9D224C" w14:textId="77777777" w:rsidR="00C1526A" w:rsidRPr="00545318" w:rsidRDefault="00C1526A" w:rsidP="00C1526A">
      <w:pPr>
        <w:numPr>
          <w:ilvl w:val="0"/>
          <w:numId w:val="21"/>
        </w:numPr>
        <w:spacing w:before="120" w:after="120"/>
      </w:pPr>
      <w:r w:rsidRPr="00545318">
        <w:t xml:space="preserve">offering a wide range of products designed to meet customers’ needs </w:t>
      </w:r>
    </w:p>
    <w:p w14:paraId="6D39BEDC" w14:textId="77777777" w:rsidR="00C1526A" w:rsidRPr="00545318" w:rsidRDefault="00C1526A" w:rsidP="00C1526A">
      <w:pPr>
        <w:numPr>
          <w:ilvl w:val="0"/>
          <w:numId w:val="21"/>
        </w:numPr>
        <w:spacing w:before="120" w:after="120"/>
      </w:pPr>
      <w:r w:rsidRPr="00545318">
        <w:t xml:space="preserve">working closely with customers to develop innovative new products and generate value-add opportunities </w:t>
      </w:r>
    </w:p>
    <w:p w14:paraId="5B5BE47F" w14:textId="77777777" w:rsidR="00C1526A" w:rsidRPr="00545318" w:rsidRDefault="00C1526A" w:rsidP="00C1526A">
      <w:pPr>
        <w:numPr>
          <w:ilvl w:val="0"/>
          <w:numId w:val="21"/>
        </w:numPr>
        <w:spacing w:before="120" w:after="120"/>
        <w:ind w:left="714" w:hanging="357"/>
      </w:pPr>
      <w:r w:rsidRPr="00545318">
        <w:t>‘capitalising on positive anti-dumping outcomes’.</w:t>
      </w:r>
      <w:r w:rsidRPr="00545318">
        <w:rPr>
          <w:vertAlign w:val="superscript"/>
        </w:rPr>
        <w:footnoteReference w:id="120"/>
      </w:r>
    </w:p>
    <w:p w14:paraId="6F59CF99" w14:textId="77777777" w:rsidR="00DC7440" w:rsidRPr="00545318" w:rsidRDefault="00EB3F29" w:rsidP="00DC7440">
      <w:pPr>
        <w:spacing w:before="120" w:after="120"/>
      </w:pPr>
      <w:r w:rsidRPr="00545318">
        <w:t>A</w:t>
      </w:r>
      <w:r w:rsidR="00DC7440" w:rsidRPr="00545318">
        <w:t xml:space="preserve">ctions by Australian industry </w:t>
      </w:r>
      <w:r w:rsidRPr="00545318">
        <w:t xml:space="preserve">to reduce costs and improve their competitiveness should </w:t>
      </w:r>
      <w:r w:rsidR="00DC7440" w:rsidRPr="00545318">
        <w:t>assist them to weather the current cyclical global downturn.</w:t>
      </w:r>
    </w:p>
    <w:p w14:paraId="637E1D43" w14:textId="3FDC1B07" w:rsidR="00C1526A" w:rsidRPr="00545318" w:rsidRDefault="00C1526A" w:rsidP="00C1526A">
      <w:pPr>
        <w:spacing w:before="120" w:after="120"/>
      </w:pPr>
      <w:r w:rsidRPr="00545318">
        <w:t>The Commission considers that it is reasonable to expect the Australian steel and aluminium industries to respond to vigorous competition and changes in market conditions. Such pressures create strong incentives for producers to undertake investments and innovations that improve productivity and global competitiveness and thereby support sustainable business growth and long</w:t>
      </w:r>
      <w:r w:rsidR="00B46A49">
        <w:noBreakHyphen/>
      </w:r>
      <w:r w:rsidRPr="00545318">
        <w:t xml:space="preserve">term financial viability. </w:t>
      </w:r>
    </w:p>
    <w:p w14:paraId="783576C4" w14:textId="77777777" w:rsidR="00C1526A" w:rsidRPr="00545318" w:rsidRDefault="00C1526A" w:rsidP="00C1526A">
      <w:pPr>
        <w:spacing w:before="120" w:after="120"/>
      </w:pPr>
      <w:r w:rsidRPr="00545318">
        <w:t xml:space="preserve">However, as discussed in chapter 3 of this report, the impacts of Asian steel and aluminium market interventions have added to the challenges resulting from the cyclical global downturn and increased competition from the emergence of China as an important steel and aluminium producer. The Commission considers that these additional pressures have been generated by economically inefficient market interventions and thus go beyond the challenges expected in highly competitive markets. </w:t>
      </w:r>
    </w:p>
    <w:p w14:paraId="46DE6FDA" w14:textId="77777777" w:rsidR="00B46A49" w:rsidRDefault="00B46A49">
      <w:pPr>
        <w:spacing w:after="200" w:line="276" w:lineRule="auto"/>
        <w:rPr>
          <w:rFonts w:asciiTheme="majorHAnsi" w:eastAsiaTheme="majorEastAsia" w:hAnsiTheme="majorHAnsi" w:cstheme="majorBidi"/>
          <w:b/>
          <w:bCs/>
          <w:color w:val="4F81BD" w:themeColor="accent1"/>
          <w:sz w:val="26"/>
          <w:szCs w:val="26"/>
        </w:rPr>
      </w:pPr>
      <w:bookmarkStart w:id="57" w:name="_Toc458674167"/>
      <w:r>
        <w:br w:type="page"/>
      </w:r>
    </w:p>
    <w:p w14:paraId="361A3ED4" w14:textId="7A05AD83" w:rsidR="00CA2191" w:rsidRPr="00545318" w:rsidRDefault="00CA2191" w:rsidP="00374264">
      <w:pPr>
        <w:pStyle w:val="Heading2"/>
      </w:pPr>
      <w:bookmarkStart w:id="58" w:name="_Toc460430497"/>
      <w:r w:rsidRPr="00545318">
        <w:t>Policy reforms to strengthen Australian industries’ competitiveness</w:t>
      </w:r>
      <w:bookmarkEnd w:id="57"/>
      <w:bookmarkEnd w:id="58"/>
      <w:r w:rsidRPr="00545318">
        <w:t xml:space="preserve"> </w:t>
      </w:r>
    </w:p>
    <w:p w14:paraId="27E92E26" w14:textId="77777777" w:rsidR="00CA2191" w:rsidRPr="00545318" w:rsidRDefault="00CA2191" w:rsidP="00CA2191">
      <w:pPr>
        <w:spacing w:before="120" w:after="120"/>
      </w:pPr>
      <w:r w:rsidRPr="00545318">
        <w:t xml:space="preserve">Governments at the national and state levels have implemented policy reforms that aim to strengthen the competitiveness of Australia’s steel and aluminium industries and to support their adjustment to changed market conditions. Examples of measures implemented by the Australian government include: alleviating regulatory burdens; reforms to the anti-dumping system; industry participation policies; industry support initiatives; and employment services. Initiatives undertaken by state governments have generally been in the form of financial support. </w:t>
      </w:r>
    </w:p>
    <w:p w14:paraId="379C2732" w14:textId="77777777" w:rsidR="00CA2191" w:rsidRPr="00545318" w:rsidRDefault="00CA2191" w:rsidP="0028410A">
      <w:pPr>
        <w:pStyle w:val="Heading3"/>
        <w:spacing w:after="120"/>
      </w:pPr>
      <w:r w:rsidRPr="00545318">
        <w:t xml:space="preserve">Deregulation </w:t>
      </w:r>
    </w:p>
    <w:p w14:paraId="7C987643" w14:textId="5EC954AD"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Some deregulation has assisted Australian producers, particularly trade exposed producers, to adjust to market conditions. For example, the Australian government repealed the carbon-tax related suite of legislation, with effect from 1 July 2014. This repeal accompanied the discontinuation of the </w:t>
      </w:r>
      <w:r w:rsidRPr="00545318">
        <w:rPr>
          <w:rFonts w:cs="Times New Roman"/>
          <w:i/>
          <w:iCs/>
          <w:color w:val="000000"/>
        </w:rPr>
        <w:t xml:space="preserve">Steel Transformation Plan Act 2011 </w:t>
      </w:r>
      <w:r w:rsidRPr="00545318">
        <w:rPr>
          <w:rFonts w:cs="Times New Roman"/>
          <w:color w:val="000000"/>
        </w:rPr>
        <w:t xml:space="preserve">(STP Act). A 100 </w:t>
      </w:r>
      <w:r w:rsidR="00620A65" w:rsidRPr="00545318">
        <w:rPr>
          <w:rFonts w:cs="Times New Roman"/>
          <w:color w:val="000000"/>
        </w:rPr>
        <w:t>per cent</w:t>
      </w:r>
      <w:r w:rsidRPr="00545318">
        <w:rPr>
          <w:rFonts w:cs="Times New Roman"/>
          <w:color w:val="000000"/>
        </w:rPr>
        <w:t xml:space="preserve"> exemption from the Renewable Energy Target (RET) for emissions intensive, trade exposed industries, including the steel industry, was established on 23 June 2015. </w:t>
      </w:r>
    </w:p>
    <w:p w14:paraId="7FFDE504" w14:textId="77777777" w:rsidR="00CA2191" w:rsidRPr="00545318" w:rsidRDefault="00CA2191" w:rsidP="0028410A">
      <w:pPr>
        <w:pStyle w:val="Heading3"/>
        <w:spacing w:after="120"/>
      </w:pPr>
      <w:r w:rsidRPr="00545318">
        <w:t xml:space="preserve">Anti-dumping reforms </w:t>
      </w:r>
    </w:p>
    <w:p w14:paraId="4A47D43F"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Recent anti-dumping reforms, which were fully implemented in November 2015, have strengthened Australia’s anti-dumping system. The reforms seek to ensure the anti-dumping system is more responsive to dumped </w:t>
      </w:r>
      <w:r w:rsidR="00CB5E34" w:rsidRPr="00545318">
        <w:rPr>
          <w:rFonts w:cs="Times New Roman"/>
          <w:color w:val="000000"/>
        </w:rPr>
        <w:t xml:space="preserve">and subsidised </w:t>
      </w:r>
      <w:r w:rsidRPr="00545318">
        <w:rPr>
          <w:rFonts w:cs="Times New Roman"/>
          <w:color w:val="000000"/>
        </w:rPr>
        <w:t>imports</w:t>
      </w:r>
      <w:r w:rsidR="00CB5E34" w:rsidRPr="00545318">
        <w:rPr>
          <w:rFonts w:cs="Times New Roman"/>
          <w:color w:val="000000"/>
        </w:rPr>
        <w:t xml:space="preserve"> that cause material injury to Australian industries</w:t>
      </w:r>
      <w:r w:rsidRPr="00545318">
        <w:rPr>
          <w:rFonts w:cs="Times New Roman"/>
          <w:color w:val="000000"/>
        </w:rPr>
        <w:t xml:space="preserve"> and entities that attempt to </w:t>
      </w:r>
      <w:r w:rsidR="00F13347" w:rsidRPr="00545318">
        <w:rPr>
          <w:rFonts w:cs="Times New Roman"/>
          <w:color w:val="000000"/>
        </w:rPr>
        <w:t>circumvent measures</w:t>
      </w:r>
      <w:r w:rsidRPr="00545318">
        <w:rPr>
          <w:rFonts w:cs="Times New Roman"/>
          <w:color w:val="000000"/>
        </w:rPr>
        <w:t xml:space="preserve">. The government also introduced new anti-circumvention regulations in April 2015 to address dumped goods that are slightly modified in order to avoid payment of duties. </w:t>
      </w:r>
    </w:p>
    <w:p w14:paraId="40A65039"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government has provided additional funds to the Commission to enable it to employ additional investigators and strengthen its market intelligence unit (the </w:t>
      </w:r>
      <w:r w:rsidR="00E22F9C" w:rsidRPr="00545318">
        <w:rPr>
          <w:rFonts w:cs="Times New Roman"/>
          <w:color w:val="000000"/>
        </w:rPr>
        <w:t>ADIS</w:t>
      </w:r>
      <w:r w:rsidRPr="00545318">
        <w:rPr>
          <w:rFonts w:cs="Times New Roman"/>
          <w:color w:val="000000"/>
        </w:rPr>
        <w:t>).</w:t>
      </w:r>
    </w:p>
    <w:p w14:paraId="476084A8" w14:textId="77777777" w:rsidR="00CA2191" w:rsidRPr="00545318" w:rsidRDefault="00CA2191" w:rsidP="0028410A">
      <w:pPr>
        <w:pStyle w:val="Heading3"/>
        <w:spacing w:after="120"/>
      </w:pPr>
      <w:r w:rsidRPr="00545318">
        <w:t xml:space="preserve">Australian industry participation </w:t>
      </w:r>
    </w:p>
    <w:p w14:paraId="5CCDF4BA"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Australian Industry Participation (AIP) policy, underpinned by the AIP National Framework, was endorsed by Australian, state and territory ministers in 2001. The objective of AIP policy is that Australian industry should have full, fair and reasonable opportunity to supply goods and services to major projects in Australia. </w:t>
      </w:r>
    </w:p>
    <w:p w14:paraId="64325949"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Australian government supports an open market economy as the best way to generate investment and employment, and seeks to foster an environment where Australian businesses have equal opportunities to bid for work on major Australian public and private projects and be evaluated on the merits of their offerings, consistent with Australia’s international trade obligations. </w:t>
      </w:r>
    </w:p>
    <w:p w14:paraId="7A983DED"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The</w:t>
      </w:r>
      <w:r w:rsidR="0024757B" w:rsidRPr="00545318">
        <w:rPr>
          <w:rFonts w:cs="Times New Roman"/>
          <w:color w:val="000000"/>
        </w:rPr>
        <w:t xml:space="preserve"> AIP National </w:t>
      </w:r>
      <w:r w:rsidRPr="00545318">
        <w:rPr>
          <w:rFonts w:cs="Times New Roman"/>
          <w:color w:val="000000"/>
        </w:rPr>
        <w:t xml:space="preserve">Framework does not mandate a minimum level of Australian content and Australian suppliers must be competitive in terms of price, schedule and capability to be considered for contract award. Activities under the Framework are consistent with Australia’s international obligations, including those under the WTO and Free Trade Agreements (FTAs). </w:t>
      </w:r>
    </w:p>
    <w:p w14:paraId="3D8CA954"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Australian </w:t>
      </w:r>
      <w:r w:rsidRPr="00545318">
        <w:rPr>
          <w:rFonts w:cs="Times New Roman"/>
          <w:i/>
          <w:color w:val="000000"/>
        </w:rPr>
        <w:t>Jobs Act 2013</w:t>
      </w:r>
      <w:r w:rsidRPr="00545318">
        <w:rPr>
          <w:rFonts w:cs="Times New Roman"/>
          <w:color w:val="000000"/>
        </w:rPr>
        <w:t xml:space="preserve"> (the Jobs Act) commenced on 27 December 2013 and requires proponents of major private and public projects ($500 million and above) in Australia to develop and implement an AIP plan that ensures full, fair and reasonable opportunity for Australian entities to supply key goods and services to the project.</w:t>
      </w:r>
      <w:r w:rsidRPr="00545318">
        <w:rPr>
          <w:rFonts w:cs="Times New Roman"/>
          <w:color w:val="000000"/>
          <w:vertAlign w:val="superscript"/>
        </w:rPr>
        <w:footnoteReference w:id="121"/>
      </w:r>
      <w:r w:rsidRPr="00545318">
        <w:rPr>
          <w:rFonts w:cs="Times New Roman"/>
          <w:color w:val="000000"/>
        </w:rPr>
        <w:t xml:space="preserve">  </w:t>
      </w:r>
    </w:p>
    <w:p w14:paraId="063DF3DC" w14:textId="77777777" w:rsidR="00135D4D" w:rsidRPr="00545318" w:rsidRDefault="00135D4D">
      <w:pPr>
        <w:spacing w:after="200" w:line="276" w:lineRule="auto"/>
        <w:rPr>
          <w:rFonts w:cs="Times New Roman"/>
          <w:color w:val="000000"/>
        </w:rPr>
      </w:pPr>
      <w:r w:rsidRPr="00545318">
        <w:rPr>
          <w:rFonts w:cs="Times New Roman"/>
          <w:color w:val="000000"/>
        </w:rPr>
        <w:br w:type="page"/>
      </w:r>
    </w:p>
    <w:p w14:paraId="5848DBA6" w14:textId="3381664A"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Jobs Act created the statutory position of the AIP Authority to monitor compliance with the legislation and provide guidance to proponents. Since the Jobs Act commenced, the AIP Authority has approved 14 AIP plans for major projects around Australia, mainly in the resources sector. Each AIP plan includes steps the proponent will take to publicise opportunities to supply goods and services to the project, the design standards used in the project and any supplier pre-qualification requirements. Proponents report at six monthly intervals to the AIP Authority on implementation of their AIP plans. </w:t>
      </w:r>
    </w:p>
    <w:p w14:paraId="7E1F4ADD" w14:textId="34B6F24D"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Australian government has requirements in place for its own procurement. Since 2010, companies bidding for major government procurements of $20 million or more have been required to prepare and implement an AIP plan as part of their tender processes. These AIP plans outline the actions a tenderer will take to provide Australian suppliers, especially </w:t>
      </w:r>
      <w:r w:rsidR="00B46A49">
        <w:rPr>
          <w:rFonts w:cs="Times New Roman"/>
          <w:color w:val="000000"/>
        </w:rPr>
        <w:t>SMEs</w:t>
      </w:r>
      <w:r w:rsidRPr="00545318">
        <w:rPr>
          <w:rFonts w:cs="Times New Roman"/>
          <w:color w:val="000000"/>
        </w:rPr>
        <w:t xml:space="preserve">, with full, fair and reasonable opportunities to supply goods and services on a project. </w:t>
      </w:r>
    </w:p>
    <w:p w14:paraId="1187FF24" w14:textId="6B33710C"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On 1 July 2012, the AIP plan requirement was extended to government grants and Australian government funded infrastructure projects of $20 million or more. To avoid duplication, an AIP plan is not required if the state or territory government applies its own industry participation plan to the project (see section 4.</w:t>
      </w:r>
      <w:r w:rsidR="003604A8" w:rsidRPr="00545318">
        <w:rPr>
          <w:rFonts w:cs="Times New Roman"/>
          <w:color w:val="000000"/>
        </w:rPr>
        <w:t>3</w:t>
      </w:r>
      <w:r w:rsidRPr="00545318">
        <w:rPr>
          <w:rFonts w:cs="Times New Roman"/>
          <w:color w:val="000000"/>
        </w:rPr>
        <w:t xml:space="preserve">.5). Since 1 July 2013, AIP plans have also been required </w:t>
      </w:r>
      <w:r w:rsidR="003604A8" w:rsidRPr="00545318">
        <w:rPr>
          <w:rFonts w:cs="Times New Roman"/>
          <w:color w:val="000000"/>
        </w:rPr>
        <w:t>in respect of</w:t>
      </w:r>
      <w:r w:rsidRPr="00545318">
        <w:rPr>
          <w:rFonts w:cs="Times New Roman"/>
          <w:color w:val="000000"/>
        </w:rPr>
        <w:t xml:space="preserve"> selected Clean Energy Finance Corporation investments of $20 million or more. </w:t>
      </w:r>
    </w:p>
    <w:p w14:paraId="2953CF7D" w14:textId="77777777" w:rsidR="00CA2191" w:rsidRPr="00545318" w:rsidRDefault="00CA2191" w:rsidP="0028410A">
      <w:pPr>
        <w:pStyle w:val="Heading3"/>
        <w:spacing w:after="120"/>
      </w:pPr>
      <w:r w:rsidRPr="00545318">
        <w:t xml:space="preserve">Other policy measures </w:t>
      </w:r>
    </w:p>
    <w:p w14:paraId="0F4BA5DC"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The Australian government has implemented a number of broad industry support initiatives centred on the government’s National Innovation and Science Agenda, which is a blueprint for a more skilled, innovative and entrepreneurial Australia. Measures include: the Industry Growth Centres initiative to foster high value and export focused industries; the Entrepreneurs’ Program for business competitiveness and productivity at the firm level; and the Industry Skills Fund, which provides training places and support services across Australia.</w:t>
      </w:r>
      <w:r w:rsidRPr="00545318">
        <w:rPr>
          <w:rFonts w:cs="Times New Roman"/>
          <w:color w:val="000000"/>
          <w:vertAlign w:val="superscript"/>
        </w:rPr>
        <w:footnoteReference w:id="122"/>
      </w:r>
      <w:r w:rsidRPr="00545318">
        <w:rPr>
          <w:rFonts w:cs="Times New Roman"/>
          <w:color w:val="000000"/>
        </w:rPr>
        <w:t xml:space="preserve"> </w:t>
      </w:r>
    </w:p>
    <w:p w14:paraId="6426AC48"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The government is supporting the deepening of collaboration between Australia’s steel industry and the research sector. </w:t>
      </w:r>
      <w:r w:rsidR="00712AB8" w:rsidRPr="00545318">
        <w:rPr>
          <w:rFonts w:cs="Times New Roman"/>
          <w:color w:val="000000"/>
        </w:rPr>
        <w:t>T</w:t>
      </w:r>
      <w:r w:rsidRPr="00545318">
        <w:rPr>
          <w:rFonts w:cs="Times New Roman"/>
          <w:color w:val="000000"/>
        </w:rPr>
        <w:t xml:space="preserve">hrough the Australian Research Council, </w:t>
      </w:r>
      <w:r w:rsidR="00712AB8" w:rsidRPr="00545318">
        <w:rPr>
          <w:rFonts w:cs="Times New Roman"/>
          <w:color w:val="000000"/>
        </w:rPr>
        <w:t xml:space="preserve">the government </w:t>
      </w:r>
      <w:r w:rsidRPr="00545318">
        <w:rPr>
          <w:rFonts w:cs="Times New Roman"/>
          <w:color w:val="000000"/>
        </w:rPr>
        <w:t xml:space="preserve">has provided $5 million to the Steel Research Hub, launched on 4 September 2014. The Steel Research Hub, based at the University of Wollongong, brings together the Australian government, universities and industry partners to develop cutting-edge processes and product innovations. This will enable steel industry partners to improve their global competitiveness. </w:t>
      </w:r>
    </w:p>
    <w:p w14:paraId="3AAC2B4F" w14:textId="77777777" w:rsidR="00C7375D" w:rsidRPr="00545318" w:rsidRDefault="00C7375D" w:rsidP="00A36529">
      <w:pPr>
        <w:autoSpaceDE w:val="0"/>
        <w:autoSpaceDN w:val="0"/>
        <w:adjustRightInd w:val="0"/>
        <w:spacing w:before="120" w:after="120"/>
        <w:rPr>
          <w:rFonts w:cs="Times New Roman"/>
          <w:color w:val="000000"/>
        </w:rPr>
      </w:pPr>
      <w:r w:rsidRPr="00545318">
        <w:rPr>
          <w:rFonts w:cs="Times New Roman"/>
          <w:color w:val="000000"/>
        </w:rPr>
        <w:t xml:space="preserve">The government is also providing support to employees made redundant from BlueScope’s Port Kembla operations and Arrium’s Whyalla steelworks. Retrenched workers will have access to intensive employment assistance from the government’s Jobactive Employment Service which connects job seekers with employers to help find employment, as well as offering other support services including training in skills that local employers need and assistance preparing for interviews. Employment facilitators have been appointed in the Illawarra for affected BlueScope workers and the </w:t>
      </w:r>
      <w:r w:rsidRPr="00545318">
        <w:rPr>
          <w:color w:val="000000" w:themeColor="text1"/>
          <w:szCs w:val="24"/>
        </w:rPr>
        <w:t>Whyalla/Port Augusta region and Adelaide for affected Arrium workers.</w:t>
      </w:r>
    </w:p>
    <w:p w14:paraId="7A0657C7" w14:textId="2336B032" w:rsidR="00E62D1B" w:rsidRPr="00545318" w:rsidRDefault="00E62D1B" w:rsidP="00E62D1B">
      <w:pPr>
        <w:autoSpaceDE w:val="0"/>
        <w:autoSpaceDN w:val="0"/>
        <w:adjustRightInd w:val="0"/>
        <w:spacing w:before="120" w:after="120"/>
        <w:rPr>
          <w:rFonts w:cs="Times New Roman"/>
          <w:color w:val="000000"/>
        </w:rPr>
      </w:pPr>
      <w:r w:rsidRPr="00545318">
        <w:rPr>
          <w:rFonts w:cs="Times New Roman"/>
          <w:color w:val="000000"/>
        </w:rPr>
        <w:t xml:space="preserve">In March 2016, the Australian government, through the Australian Rail Track Corporation, awarded Arrium a contract for </w:t>
      </w:r>
      <w:r w:rsidR="006F073A">
        <w:rPr>
          <w:rFonts w:cs="Times New Roman"/>
          <w:color w:val="000000"/>
        </w:rPr>
        <w:t>1 2</w:t>
      </w:r>
      <w:r w:rsidRPr="00545318">
        <w:rPr>
          <w:rFonts w:cs="Times New Roman"/>
          <w:color w:val="000000"/>
        </w:rPr>
        <w:t xml:space="preserve">00 km of rail track (estimated to be worth around $80 million). </w:t>
      </w:r>
    </w:p>
    <w:p w14:paraId="60626494" w14:textId="48941878" w:rsidR="00EB3F29" w:rsidRPr="00545318" w:rsidRDefault="00EB3F29" w:rsidP="00EB3F29">
      <w:pPr>
        <w:autoSpaceDE w:val="0"/>
        <w:autoSpaceDN w:val="0"/>
        <w:adjustRightInd w:val="0"/>
        <w:spacing w:before="120" w:after="120"/>
        <w:rPr>
          <w:rFonts w:cs="Times New Roman"/>
          <w:color w:val="000000"/>
        </w:rPr>
      </w:pPr>
      <w:r w:rsidRPr="00545318">
        <w:rPr>
          <w:rFonts w:cs="Times New Roman"/>
          <w:color w:val="000000"/>
        </w:rPr>
        <w:t>The government made an election commitment to provide a $49.2m loan to Arrium for beneficiation equipment for its iron ore operations. The loan is being implemented by the Export Finance and Insurance Corporation through its National Interest Account.</w:t>
      </w:r>
    </w:p>
    <w:p w14:paraId="39B96233" w14:textId="77777777" w:rsidR="00CA2191" w:rsidRPr="00545318" w:rsidRDefault="00CA2191" w:rsidP="0028410A">
      <w:pPr>
        <w:pStyle w:val="Heading3"/>
        <w:spacing w:after="120"/>
      </w:pPr>
      <w:r w:rsidRPr="00545318">
        <w:t xml:space="preserve">State government initiatives </w:t>
      </w:r>
    </w:p>
    <w:p w14:paraId="17F90F9A"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 xml:space="preserve">State governments are also responding to market developments where these developments impact state based facilities and employment. State and territory governments have developed their own local industry participation policies. </w:t>
      </w:r>
    </w:p>
    <w:p w14:paraId="48D84EF4" w14:textId="77777777" w:rsidR="00CA2191" w:rsidRPr="00545318" w:rsidRDefault="00CA2191" w:rsidP="00CA2191">
      <w:pPr>
        <w:autoSpaceDE w:val="0"/>
        <w:autoSpaceDN w:val="0"/>
        <w:adjustRightInd w:val="0"/>
        <w:spacing w:before="120" w:after="120"/>
        <w:rPr>
          <w:rFonts w:cs="Times New Roman"/>
          <w:color w:val="000000"/>
        </w:rPr>
      </w:pPr>
      <w:r w:rsidRPr="00545318">
        <w:rPr>
          <w:rFonts w:cs="Times New Roman"/>
          <w:color w:val="000000"/>
        </w:rPr>
        <w:t>In late 2015, the New South Wales government agreed to defer $60 million in payroll taxes over three years for BlueScope, which, along with concessions from unions and employees, contributed to BlueScope announcing its intention to continue steelmaking at Port Kembla.</w:t>
      </w:r>
      <w:r w:rsidRPr="00545318">
        <w:rPr>
          <w:rFonts w:cs="Times New Roman"/>
          <w:color w:val="000000"/>
          <w:vertAlign w:val="superscript"/>
        </w:rPr>
        <w:footnoteReference w:id="123"/>
      </w:r>
      <w:r w:rsidRPr="00545318">
        <w:rPr>
          <w:rFonts w:cs="Times New Roman"/>
          <w:color w:val="000000"/>
        </w:rPr>
        <w:t xml:space="preserve"> </w:t>
      </w:r>
    </w:p>
    <w:p w14:paraId="64AD7DB6" w14:textId="77777777" w:rsidR="00CA2191" w:rsidRPr="00545318" w:rsidRDefault="00CA2191" w:rsidP="00CA2191">
      <w:pPr>
        <w:spacing w:before="120" w:after="120"/>
        <w:rPr>
          <w:rFonts w:cs="Times New Roman"/>
          <w:color w:val="000000"/>
        </w:rPr>
      </w:pPr>
      <w:r w:rsidRPr="00545318">
        <w:t>The South Australian government has provided mining royalty concessions to Arrium, signed a Memorandum of Understanding with Arrium to create a multi-user port at Arrium’s wholly-owned Port of Whyalla and announced a $4.3 million Steel Taskforce that will work with Arrium and local fabricators in an effort to create a competitive and sustainable steel industry in South Australia and implement a third party audit that will monitor the South Australian Government’s commitment to use only steel which meets Australian standards and certification in all future state government projects.</w:t>
      </w:r>
      <w:r w:rsidRPr="00545318">
        <w:rPr>
          <w:vertAlign w:val="superscript"/>
        </w:rPr>
        <w:footnoteReference w:id="124"/>
      </w:r>
      <w:r w:rsidRPr="00545318">
        <w:t xml:space="preserve"> </w:t>
      </w:r>
      <w:r w:rsidRPr="00545318">
        <w:rPr>
          <w:rFonts w:cs="Times New Roman"/>
          <w:color w:val="000000"/>
        </w:rPr>
        <w:t>The South Australian government has provided funding through its Steel Taskforce to assist the South Australian steel fabrication sector to become compliant with the standards.</w:t>
      </w:r>
      <w:r w:rsidRPr="00545318">
        <w:rPr>
          <w:rFonts w:cs="Times New Roman"/>
          <w:color w:val="000000"/>
          <w:vertAlign w:val="superscript"/>
        </w:rPr>
        <w:footnoteReference w:id="125"/>
      </w:r>
    </w:p>
    <w:p w14:paraId="22BF8FD8" w14:textId="77777777" w:rsidR="00FE24CF" w:rsidRPr="00545318" w:rsidRDefault="00FE24CF" w:rsidP="00FE24CF">
      <w:pPr>
        <w:spacing w:before="120" w:after="120"/>
        <w:rPr>
          <w:rFonts w:cs="Times New Roman"/>
          <w:color w:val="000000"/>
        </w:rPr>
      </w:pPr>
      <w:r w:rsidRPr="00545318">
        <w:rPr>
          <w:rFonts w:cs="Times New Roman"/>
          <w:color w:val="000000"/>
        </w:rPr>
        <w:t>On 9 June 2016, the South Australian government committed $50 million to a new owner of the Whyalla steelworks. The funding will be placed in a facility that can only be accessed by a new owner if it is used to support the operations at Whyalla</w:t>
      </w:r>
      <w:r w:rsidRPr="00545318">
        <w:rPr>
          <w:rFonts w:cs="Times New Roman"/>
          <w:color w:val="000000"/>
          <w:vertAlign w:val="superscript"/>
        </w:rPr>
        <w:footnoteReference w:id="126"/>
      </w:r>
      <w:r w:rsidRPr="00545318">
        <w:rPr>
          <w:rFonts w:cs="Times New Roman"/>
          <w:color w:val="000000"/>
        </w:rPr>
        <w:t xml:space="preserve">. </w:t>
      </w:r>
    </w:p>
    <w:p w14:paraId="6EBC9744" w14:textId="77777777" w:rsidR="00CA2191" w:rsidRPr="00545318" w:rsidRDefault="00CA2191" w:rsidP="0028410A">
      <w:pPr>
        <w:pStyle w:val="Heading2"/>
      </w:pPr>
      <w:bookmarkStart w:id="59" w:name="_Toc458674168"/>
      <w:bookmarkStart w:id="60" w:name="_Toc460430498"/>
      <w:r w:rsidRPr="00545318">
        <w:t>Economic impacts of dumping and subsidisation on Australian industry</w:t>
      </w:r>
      <w:bookmarkEnd w:id="59"/>
      <w:bookmarkEnd w:id="60"/>
    </w:p>
    <w:p w14:paraId="5403F7F9" w14:textId="187BE73F" w:rsidR="00CA2191" w:rsidRPr="00545318" w:rsidRDefault="00CA2191" w:rsidP="00CA2191">
      <w:pPr>
        <w:autoSpaceDE w:val="0"/>
        <w:autoSpaceDN w:val="0"/>
        <w:spacing w:before="120" w:after="120"/>
        <w:rPr>
          <w:color w:val="000000"/>
        </w:rPr>
      </w:pPr>
      <w:r w:rsidRPr="00545318">
        <w:rPr>
          <w:color w:val="000000"/>
        </w:rPr>
        <w:t>WTO rules allow Australian producers to seek remedial action against dumped or subsidised goods that</w:t>
      </w:r>
      <w:r w:rsidR="00F13347" w:rsidRPr="00545318">
        <w:rPr>
          <w:color w:val="000000"/>
        </w:rPr>
        <w:t xml:space="preserve"> materially</w:t>
      </w:r>
      <w:r w:rsidRPr="00545318">
        <w:rPr>
          <w:color w:val="000000"/>
        </w:rPr>
        <w:t xml:space="preserve"> injure local industries. Australian producers have increasingly sought relief in recent years through Australia’s trade remedies system (see </w:t>
      </w:r>
      <w:r w:rsidR="00FE24CF" w:rsidRPr="00545318">
        <w:rPr>
          <w:color w:val="000000"/>
        </w:rPr>
        <w:t>chapter</w:t>
      </w:r>
      <w:r w:rsidRPr="00545318">
        <w:rPr>
          <w:color w:val="000000"/>
        </w:rPr>
        <w:t xml:space="preserve"> 5 of this report). </w:t>
      </w:r>
    </w:p>
    <w:p w14:paraId="374CF76E" w14:textId="77777777" w:rsidR="00CA2191" w:rsidRPr="00545318" w:rsidRDefault="00CA2191" w:rsidP="0028410A">
      <w:pPr>
        <w:pStyle w:val="Heading3"/>
        <w:spacing w:after="120"/>
      </w:pPr>
      <w:r w:rsidRPr="00545318">
        <w:t xml:space="preserve">Assessment of injury to Australian steel and aluminium industries from dumped and subsidised goods </w:t>
      </w:r>
    </w:p>
    <w:p w14:paraId="1EBD06FD" w14:textId="77777777" w:rsidR="00CA2191" w:rsidRPr="00545318" w:rsidRDefault="00CA2191" w:rsidP="00CA2191">
      <w:pPr>
        <w:autoSpaceDE w:val="0"/>
        <w:autoSpaceDN w:val="0"/>
        <w:spacing w:before="120" w:after="120"/>
      </w:pPr>
      <w:r w:rsidRPr="00545318">
        <w:t xml:space="preserve">Under Australia’s anti-dumping system, </w:t>
      </w:r>
      <w:r w:rsidR="00CB5E34" w:rsidRPr="00545318">
        <w:t xml:space="preserve">and consistent with WTO rules, </w:t>
      </w:r>
      <w:r w:rsidRPr="00545318">
        <w:t>measures may not generally be imposed unless there is evidence</w:t>
      </w:r>
      <w:r w:rsidR="00F13347" w:rsidRPr="00545318">
        <w:t>, and a positive finding, of</w:t>
      </w:r>
      <w:r w:rsidRPr="00545318">
        <w:t xml:space="preserve"> both of material injury to the Australian industry and of a causal link between such injury and the dumped or subsidised imports.</w:t>
      </w:r>
      <w:r w:rsidRPr="00545318">
        <w:rPr>
          <w:vertAlign w:val="superscript"/>
        </w:rPr>
        <w:footnoteReference w:id="127"/>
      </w:r>
      <w:r w:rsidRPr="00545318">
        <w:t xml:space="preserve"> The Australian legislation provides that the relevant decision maker: </w:t>
      </w:r>
    </w:p>
    <w:p w14:paraId="54C1CB16" w14:textId="77777777" w:rsidR="00CA2191" w:rsidRPr="00545318" w:rsidRDefault="00CA2191" w:rsidP="0028410A">
      <w:pPr>
        <w:numPr>
          <w:ilvl w:val="0"/>
          <w:numId w:val="22"/>
        </w:numPr>
        <w:autoSpaceDE w:val="0"/>
        <w:autoSpaceDN w:val="0"/>
        <w:spacing w:before="120" w:after="120"/>
      </w:pPr>
      <w:r w:rsidRPr="00545318">
        <w:t xml:space="preserve">may have regard to a number of matters in assessing whether material injury has been caused including the extent of the dumping margin, the quantity of dumped or </w:t>
      </w:r>
      <w:r w:rsidRPr="00545318">
        <w:rPr>
          <w:lang w:val="en-AU"/>
        </w:rPr>
        <w:t xml:space="preserve">subsidised </w:t>
      </w:r>
      <w:r w:rsidRPr="00545318">
        <w:t xml:space="preserve">goods imported to Australia and the difference in prices of the Australian produced goods and the dumped or </w:t>
      </w:r>
      <w:r w:rsidRPr="00545318">
        <w:rPr>
          <w:lang w:val="en-AU"/>
        </w:rPr>
        <w:t>subsidised</w:t>
      </w:r>
      <w:r w:rsidRPr="00545318">
        <w:t xml:space="preserve"> goods (</w:t>
      </w:r>
      <w:r w:rsidRPr="00545318">
        <w:rPr>
          <w:i/>
          <w:iCs/>
        </w:rPr>
        <w:t>Customs Act 1901</w:t>
      </w:r>
      <w:r w:rsidRPr="00545318">
        <w:t>, subsection 269TAE(1)); and</w:t>
      </w:r>
    </w:p>
    <w:p w14:paraId="34B526FC" w14:textId="77777777" w:rsidR="00135D4D" w:rsidRPr="00545318" w:rsidRDefault="00135D4D">
      <w:pPr>
        <w:spacing w:after="200" w:line="276" w:lineRule="auto"/>
      </w:pPr>
      <w:r w:rsidRPr="00545318">
        <w:br w:type="page"/>
      </w:r>
    </w:p>
    <w:p w14:paraId="2998E728" w14:textId="11C103A2" w:rsidR="00CA2191" w:rsidRPr="00545318" w:rsidRDefault="00CA2191" w:rsidP="0028410A">
      <w:pPr>
        <w:numPr>
          <w:ilvl w:val="0"/>
          <w:numId w:val="22"/>
        </w:numPr>
        <w:autoSpaceDE w:val="0"/>
        <w:autoSpaceDN w:val="0"/>
        <w:spacing w:before="120" w:after="120"/>
      </w:pPr>
      <w:r w:rsidRPr="00545318">
        <w:t>must consider whether any injury is being caused by a factor other than by the dumped or subsidised goods being imported to Australia, such as contractions in demand, the volume and price of imported goods that are not dumped or subsidised or developments in technology. Any injury caused by a factor other than by the dumped or subsidised goods being imported to Australia must not be attributed to those goods (</w:t>
      </w:r>
      <w:r w:rsidRPr="00545318">
        <w:rPr>
          <w:i/>
          <w:iCs/>
        </w:rPr>
        <w:t>Customs Act 1901</w:t>
      </w:r>
      <w:r w:rsidRPr="00545318">
        <w:t>, subsection 269TAE(2A)).</w:t>
      </w:r>
    </w:p>
    <w:p w14:paraId="69E8AD0A" w14:textId="77777777" w:rsidR="00CA2191" w:rsidRPr="00545318" w:rsidRDefault="00F13347" w:rsidP="00CA2191">
      <w:pPr>
        <w:autoSpaceDE w:val="0"/>
        <w:autoSpaceDN w:val="0"/>
        <w:spacing w:before="120" w:after="120"/>
      </w:pPr>
      <w:r w:rsidRPr="00545318">
        <w:t>T</w:t>
      </w:r>
      <w:r w:rsidR="00901621" w:rsidRPr="00545318">
        <w:t>he effect of t</w:t>
      </w:r>
      <w:r w:rsidRPr="00545318">
        <w:t>aking account of the</w:t>
      </w:r>
      <w:r w:rsidR="00CA2191" w:rsidRPr="00545318">
        <w:t xml:space="preserve">se provisions </w:t>
      </w:r>
      <w:r w:rsidR="00901621" w:rsidRPr="00545318">
        <w:t>is that</w:t>
      </w:r>
      <w:r w:rsidR="00CA2191" w:rsidRPr="00545318">
        <w:t xml:space="preserve"> trade remedies </w:t>
      </w:r>
      <w:r w:rsidR="00901621" w:rsidRPr="00545318">
        <w:t>will be</w:t>
      </w:r>
      <w:r w:rsidR="00CA2191" w:rsidRPr="00545318">
        <w:t xml:space="preserve"> imposed to remedy</w:t>
      </w:r>
      <w:r w:rsidRPr="00545318">
        <w:t xml:space="preserve"> material</w:t>
      </w:r>
      <w:r w:rsidR="00CA2191" w:rsidRPr="00545318">
        <w:t xml:space="preserve"> </w:t>
      </w:r>
      <w:r w:rsidR="00C20560" w:rsidRPr="00545318">
        <w:t xml:space="preserve">injury to Australian industry </w:t>
      </w:r>
      <w:r w:rsidRPr="00545318">
        <w:t xml:space="preserve">from dumping and subsidisation </w:t>
      </w:r>
      <w:r w:rsidR="00901621" w:rsidRPr="00545318">
        <w:t>and</w:t>
      </w:r>
      <w:r w:rsidR="00CA2191" w:rsidRPr="00545318">
        <w:t xml:space="preserve"> not to insulate Australian industries from vigorous competition or changing market conditions.</w:t>
      </w:r>
    </w:p>
    <w:p w14:paraId="1E434BBA" w14:textId="77777777" w:rsidR="00CA2191" w:rsidRPr="00545318" w:rsidRDefault="00E20861" w:rsidP="00CA2191">
      <w:pPr>
        <w:keepNext/>
        <w:pBdr>
          <w:top w:val="single" w:sz="4" w:space="1" w:color="auto"/>
          <w:left w:val="single" w:sz="4" w:space="4" w:color="auto"/>
          <w:bottom w:val="single" w:sz="4" w:space="1" w:color="auto"/>
          <w:right w:val="single" w:sz="4" w:space="4" w:color="auto"/>
        </w:pBdr>
        <w:shd w:val="clear" w:color="auto" w:fill="DAEEF3" w:themeFill="accent5" w:themeFillTint="33"/>
        <w:spacing w:after="120"/>
        <w:rPr>
          <w:b/>
        </w:rPr>
      </w:pPr>
      <w:r w:rsidRPr="00545318">
        <w:rPr>
          <w:b/>
        </w:rPr>
        <w:t>Case study:</w:t>
      </w:r>
      <w:r w:rsidR="00CA2191" w:rsidRPr="00545318">
        <w:rPr>
          <w:b/>
        </w:rPr>
        <w:t xml:space="preserve"> </w:t>
      </w:r>
      <w:r w:rsidRPr="00545318">
        <w:rPr>
          <w:b/>
        </w:rPr>
        <w:t>C</w:t>
      </w:r>
      <w:r w:rsidR="00CA2191" w:rsidRPr="00545318">
        <w:rPr>
          <w:b/>
        </w:rPr>
        <w:t>ausation in injury assessments</w:t>
      </w:r>
      <w:r w:rsidRPr="00545318">
        <w:rPr>
          <w:b/>
        </w:rPr>
        <w:t>—</w:t>
      </w:r>
      <w:r w:rsidR="00CA2191" w:rsidRPr="00545318">
        <w:rPr>
          <w:b/>
        </w:rPr>
        <w:t>Galvanised</w:t>
      </w:r>
      <w:r w:rsidRPr="00545318">
        <w:rPr>
          <w:b/>
        </w:rPr>
        <w:t xml:space="preserve"> </w:t>
      </w:r>
      <w:r w:rsidR="00CA2191" w:rsidRPr="00545318">
        <w:rPr>
          <w:b/>
        </w:rPr>
        <w:t>steel products from India and Vietnam</w:t>
      </w:r>
    </w:p>
    <w:p w14:paraId="16BCD20D" w14:textId="77777777" w:rsidR="00CA2191" w:rsidRPr="00545318" w:rsidRDefault="00CA2191" w:rsidP="0028410A">
      <w:pPr>
        <w:keepNext/>
        <w:pBdr>
          <w:top w:val="single" w:sz="4" w:space="1" w:color="auto"/>
          <w:left w:val="single" w:sz="4" w:space="4" w:color="auto"/>
          <w:bottom w:val="single" w:sz="4" w:space="1" w:color="auto"/>
          <w:right w:val="single" w:sz="4" w:space="4" w:color="auto"/>
        </w:pBdr>
        <w:shd w:val="clear" w:color="auto" w:fill="DAEEF3" w:themeFill="accent5" w:themeFillTint="33"/>
        <w:spacing w:after="120"/>
      </w:pPr>
      <w:r w:rsidRPr="00545318">
        <w:t xml:space="preserve">Causation </w:t>
      </w:r>
      <w:r w:rsidR="001F10BA" w:rsidRPr="00545318">
        <w:t>is</w:t>
      </w:r>
      <w:r w:rsidRPr="00545318">
        <w:t xml:space="preserve"> an important issue in the Commission</w:t>
      </w:r>
      <w:r w:rsidR="001F10BA" w:rsidRPr="00545318">
        <w:t>’s investigations</w:t>
      </w:r>
      <w:r w:rsidRPr="00545318">
        <w:t xml:space="preserve">. </w:t>
      </w:r>
      <w:r w:rsidR="001F10BA" w:rsidRPr="00545318">
        <w:t xml:space="preserve">An example is </w:t>
      </w:r>
      <w:r w:rsidRPr="00545318">
        <w:t>Investigation 249</w:t>
      </w:r>
      <w:r w:rsidR="001F10BA" w:rsidRPr="00545318">
        <w:t xml:space="preserve">, which </w:t>
      </w:r>
      <w:r w:rsidRPr="00545318">
        <w:t>was initiated in May 2014 following allegations by the Australian industry that certain galvanised steel products exported to Australia from India and Vietnam were being dumped.</w:t>
      </w:r>
    </w:p>
    <w:p w14:paraId="64D2E807" w14:textId="77777777" w:rsidR="00CA2191" w:rsidRPr="00545318" w:rsidRDefault="00CA2191" w:rsidP="0028410A">
      <w:pPr>
        <w:keepNext/>
        <w:pBdr>
          <w:top w:val="single" w:sz="4" w:space="1" w:color="auto"/>
          <w:left w:val="single" w:sz="4" w:space="4" w:color="auto"/>
          <w:bottom w:val="single" w:sz="4" w:space="1" w:color="auto"/>
          <w:right w:val="single" w:sz="4" w:space="4" w:color="auto"/>
        </w:pBdr>
        <w:shd w:val="clear" w:color="auto" w:fill="DAEEF3" w:themeFill="accent5" w:themeFillTint="33"/>
        <w:spacing w:after="120"/>
      </w:pPr>
      <w:r w:rsidRPr="00545318">
        <w:t>The Commission found that the Australian industry suffered injury</w:t>
      </w:r>
      <w:r w:rsidRPr="00545318">
        <w:rPr>
          <w:vertAlign w:val="superscript"/>
        </w:rPr>
        <w:footnoteReference w:id="128"/>
      </w:r>
      <w:r w:rsidRPr="00545318">
        <w:t xml:space="preserve"> and that goods were dumped by certain Indian exporters in quantities that were not negligible.</w:t>
      </w:r>
      <w:r w:rsidRPr="00545318">
        <w:rPr>
          <w:vertAlign w:val="superscript"/>
        </w:rPr>
        <w:footnoteReference w:id="129"/>
      </w:r>
    </w:p>
    <w:p w14:paraId="0A1C544D" w14:textId="697A42B8" w:rsidR="00CA2191" w:rsidRPr="00545318" w:rsidRDefault="00CA2191" w:rsidP="00A60E69">
      <w:pPr>
        <w:pStyle w:val="Style3"/>
      </w:pPr>
      <w:r w:rsidRPr="00545318">
        <w:t>However</w:t>
      </w:r>
      <w:r w:rsidR="00B46A49">
        <w:t>,</w:t>
      </w:r>
      <w:r w:rsidRPr="00545318">
        <w:t xml:space="preserve"> the Commission found that the Australian industry experienced a significant degree of price competition from undumped goods from India and Vietnam and that the aggregate volume of those undumped goods was greater than the volume of dumped goods from India.</w:t>
      </w:r>
      <w:r w:rsidRPr="00545318">
        <w:rPr>
          <w:vertAlign w:val="superscript"/>
        </w:rPr>
        <w:footnoteReference w:id="130"/>
      </w:r>
      <w:r w:rsidRPr="00545318">
        <w:t xml:space="preserve"> In those circumstances</w:t>
      </w:r>
      <w:r w:rsidR="005747BA" w:rsidRPr="00545318">
        <w:t>,</w:t>
      </w:r>
      <w:r w:rsidRPr="00545318">
        <w:t xml:space="preserve"> the Commission considered that the Australian selling prices of the dumped goods were not materially influencing the selling price of Australian industry.</w:t>
      </w:r>
      <w:r w:rsidRPr="00545318">
        <w:rPr>
          <w:vertAlign w:val="superscript"/>
        </w:rPr>
        <w:footnoteReference w:id="131"/>
      </w:r>
      <w:r w:rsidRPr="00545318">
        <w:t xml:space="preserve"> On that basis</w:t>
      </w:r>
      <w:r w:rsidR="005747BA" w:rsidRPr="00545318">
        <w:t>,</w:t>
      </w:r>
      <w:r w:rsidRPr="00545318">
        <w:t xml:space="preserve"> the injury suffered by Australian industry was not caused by the dumped goods and the investigation was accordingly terminated in relation to India.</w:t>
      </w:r>
      <w:r w:rsidRPr="00545318">
        <w:rPr>
          <w:vertAlign w:val="superscript"/>
        </w:rPr>
        <w:footnoteReference w:id="132"/>
      </w:r>
    </w:p>
    <w:p w14:paraId="7BDAB5D5" w14:textId="77777777" w:rsidR="00CA2191" w:rsidRPr="00545318" w:rsidRDefault="00CA2191" w:rsidP="0028410A">
      <w:pPr>
        <w:pStyle w:val="Heading3"/>
        <w:spacing w:after="120"/>
      </w:pPr>
      <w:r w:rsidRPr="00545318">
        <w:t>Quantitative estimates of the impacts of dumping and subsidisation on the Australian steel and aluminium industries</w:t>
      </w:r>
    </w:p>
    <w:p w14:paraId="107E9E7F" w14:textId="1E8A7D07" w:rsidR="00CA2191" w:rsidRPr="00545318" w:rsidRDefault="00FE24CF" w:rsidP="00CA2191">
      <w:pPr>
        <w:autoSpaceDE w:val="0"/>
        <w:autoSpaceDN w:val="0"/>
        <w:spacing w:before="120" w:after="120"/>
      </w:pPr>
      <w:r w:rsidRPr="00545318">
        <w:t>In March 2016, t</w:t>
      </w:r>
      <w:r w:rsidR="00CA2191" w:rsidRPr="00545318">
        <w:t xml:space="preserve">he Commission engaged Cadence Economics to estimate the economic impacts of dumping and subsidisation on the Australian steel and aluminium industries. Cadence Economics </w:t>
      </w:r>
      <w:r w:rsidRPr="00545318">
        <w:t xml:space="preserve">provided a </w:t>
      </w:r>
      <w:r w:rsidR="00CA2191" w:rsidRPr="00545318">
        <w:t>report</w:t>
      </w:r>
      <w:r w:rsidR="00864F8C" w:rsidRPr="00545318">
        <w:t xml:space="preserve"> </w:t>
      </w:r>
      <w:r w:rsidRPr="00545318">
        <w:t>to the Commission that explains in detail</w:t>
      </w:r>
      <w:r w:rsidR="00CA2191" w:rsidRPr="00545318">
        <w:t xml:space="preserve"> the methodology and assumptions used in the modelling, the scenarios tested, and the results. </w:t>
      </w:r>
    </w:p>
    <w:p w14:paraId="64933A30" w14:textId="77777777" w:rsidR="00CA2191" w:rsidRPr="00545318" w:rsidRDefault="00CA2191" w:rsidP="00CA2191">
      <w:pPr>
        <w:autoSpaceDE w:val="0"/>
        <w:autoSpaceDN w:val="0"/>
        <w:spacing w:before="120" w:after="120"/>
      </w:pPr>
      <w:r w:rsidRPr="00545318">
        <w:t>Cadence Economics used a dynamic (general equilibrium) model of the world economy to estimate the economic impacts of three different scenarios on production in the Australian steel and aluminium industries. For each scenario, the model also produced estimates of the consequential impacts on production for selected upstream and downstream industries as well as broader economy-wide effects (measured by changes in gross domestic product (GDP), gross national product (GNP), employment and investment).</w:t>
      </w:r>
    </w:p>
    <w:p w14:paraId="7F2C2B49" w14:textId="77777777" w:rsidR="004A6D4F" w:rsidRPr="00545318" w:rsidRDefault="004A6D4F" w:rsidP="004A6D4F">
      <w:pPr>
        <w:keepNext/>
        <w:keepLines/>
        <w:spacing w:before="200"/>
        <w:outlineLvl w:val="3"/>
        <w:rPr>
          <w:rFonts w:asciiTheme="majorHAnsi" w:eastAsiaTheme="majorEastAsia" w:hAnsiTheme="majorHAnsi" w:cstheme="majorBidi"/>
          <w:b/>
          <w:bCs/>
          <w:i/>
          <w:iCs/>
          <w:color w:val="4F81BD" w:themeColor="accent1"/>
          <w:lang w:val="en-AU"/>
        </w:rPr>
      </w:pPr>
      <w:r w:rsidRPr="00545318">
        <w:rPr>
          <w:rFonts w:asciiTheme="majorHAnsi" w:eastAsiaTheme="majorEastAsia" w:hAnsiTheme="majorHAnsi" w:cstheme="majorBidi"/>
          <w:b/>
          <w:bCs/>
          <w:i/>
          <w:iCs/>
          <w:color w:val="4F81BD" w:themeColor="accent1"/>
          <w:lang w:val="en-AU"/>
        </w:rPr>
        <w:t>Important qualifications</w:t>
      </w:r>
    </w:p>
    <w:p w14:paraId="5C858648" w14:textId="77777777" w:rsidR="00CA2191" w:rsidRPr="00545318" w:rsidRDefault="00CA2191" w:rsidP="00CA2191">
      <w:pPr>
        <w:autoSpaceDE w:val="0"/>
        <w:autoSpaceDN w:val="0"/>
        <w:spacing w:before="120" w:after="120"/>
      </w:pPr>
      <w:r w:rsidRPr="00545318">
        <w:t>Several important qualifications should be borne in mind in interpreting and using these results:</w:t>
      </w:r>
    </w:p>
    <w:p w14:paraId="097D4E41" w14:textId="77777777" w:rsidR="00CA2191" w:rsidRPr="00545318" w:rsidRDefault="00CA2191" w:rsidP="00F07A37">
      <w:pPr>
        <w:numPr>
          <w:ilvl w:val="0"/>
          <w:numId w:val="24"/>
        </w:numPr>
        <w:autoSpaceDE w:val="0"/>
        <w:autoSpaceDN w:val="0"/>
        <w:spacing w:before="120" w:after="120"/>
        <w:ind w:left="714" w:hanging="357"/>
      </w:pPr>
      <w:r w:rsidRPr="00545318">
        <w:t xml:space="preserve">The results are </w:t>
      </w:r>
      <w:r w:rsidRPr="00545318">
        <w:rPr>
          <w:u w:val="single"/>
        </w:rPr>
        <w:t>indicative estimates only</w:t>
      </w:r>
      <w:r w:rsidRPr="00545318">
        <w:t xml:space="preserve">. While the model aims to </w:t>
      </w:r>
      <w:r w:rsidR="00940E22" w:rsidRPr="00545318">
        <w:t>be</w:t>
      </w:r>
      <w:r w:rsidRPr="00545318">
        <w:t xml:space="preserve"> a simplified representation of reality, the results are only estimates produced by economic modelling, not actual measures of outcomes in the Australian economy</w:t>
      </w:r>
      <w:r w:rsidR="00D05982" w:rsidRPr="00545318">
        <w:t xml:space="preserve"> or for specific firms.</w:t>
      </w:r>
    </w:p>
    <w:p w14:paraId="272FBBC7" w14:textId="77777777" w:rsidR="00CA2191" w:rsidRPr="00545318" w:rsidRDefault="00CA2191" w:rsidP="00F07A37">
      <w:pPr>
        <w:numPr>
          <w:ilvl w:val="0"/>
          <w:numId w:val="24"/>
        </w:numPr>
        <w:autoSpaceDE w:val="0"/>
        <w:autoSpaceDN w:val="0"/>
        <w:spacing w:before="120" w:after="120"/>
        <w:ind w:left="714" w:hanging="357"/>
      </w:pPr>
      <w:r w:rsidRPr="00545318">
        <w:t xml:space="preserve">Using different assumptions could produce significantly different results. The Commission considers that the basic design features and assumptions used in the Cadence model are standard for simplified general equilibrium models. </w:t>
      </w:r>
    </w:p>
    <w:p w14:paraId="6D43828E" w14:textId="77777777" w:rsidR="00CA2191" w:rsidRPr="00545318" w:rsidRDefault="00CA2191" w:rsidP="00F07A37">
      <w:pPr>
        <w:numPr>
          <w:ilvl w:val="0"/>
          <w:numId w:val="24"/>
        </w:numPr>
        <w:autoSpaceDE w:val="0"/>
        <w:autoSpaceDN w:val="0"/>
        <w:spacing w:before="120" w:after="120"/>
        <w:ind w:left="714" w:hanging="357"/>
      </w:pPr>
      <w:r w:rsidRPr="00545318">
        <w:t xml:space="preserve">The magnitude of the results reflects the model inputs used in each scenario. Different inputs would give different results. Cadence Economics has advised that the results are scalable for different estimates of dumped and/or subsidised imports into Australia. </w:t>
      </w:r>
      <w:r w:rsidR="00F07A37" w:rsidRPr="00545318">
        <w:t>The Commission considers that the import volume and value assumptions used in modelling the scenarios are reasonable for the purpose of the modelling exercise but, as noted above, should not be interpreted as actual measures of outcomes in the Australian economy.</w:t>
      </w:r>
    </w:p>
    <w:p w14:paraId="51F46371" w14:textId="77777777" w:rsidR="00CA2191" w:rsidRPr="00545318" w:rsidRDefault="00CA2191" w:rsidP="00F07A37">
      <w:pPr>
        <w:numPr>
          <w:ilvl w:val="0"/>
          <w:numId w:val="24"/>
        </w:numPr>
        <w:autoSpaceDE w:val="0"/>
        <w:autoSpaceDN w:val="0"/>
        <w:spacing w:before="120" w:after="120"/>
        <w:ind w:left="714" w:hanging="357"/>
      </w:pPr>
      <w:r w:rsidRPr="00545318">
        <w:t xml:space="preserve">The model is used to separate out the economic effects of dumping and subsidisation, and the implementation of trade remedies to address dumping and subsidisation, from other economic and market influences on the growth and viability of the Australian steel and aluminium industries. In reality, a number of different factors would simultaneously determine these industries’ growth and viability. </w:t>
      </w:r>
    </w:p>
    <w:p w14:paraId="2797C895" w14:textId="77777777" w:rsidR="004A6D4F" w:rsidRPr="00545318" w:rsidRDefault="00B45930" w:rsidP="00B45930">
      <w:pPr>
        <w:keepNext/>
        <w:keepLines/>
        <w:spacing w:before="200"/>
        <w:outlineLvl w:val="3"/>
        <w:rPr>
          <w:rFonts w:asciiTheme="majorHAnsi" w:eastAsiaTheme="majorEastAsia" w:hAnsiTheme="majorHAnsi" w:cstheme="majorBidi"/>
          <w:b/>
          <w:bCs/>
          <w:i/>
          <w:iCs/>
          <w:color w:val="4F81BD" w:themeColor="accent1"/>
          <w:lang w:val="en-AU"/>
        </w:rPr>
      </w:pPr>
      <w:r w:rsidRPr="00545318">
        <w:rPr>
          <w:rFonts w:asciiTheme="majorHAnsi" w:eastAsiaTheme="majorEastAsia" w:hAnsiTheme="majorHAnsi" w:cstheme="majorBidi"/>
          <w:b/>
          <w:bCs/>
          <w:i/>
          <w:iCs/>
          <w:color w:val="4F81BD" w:themeColor="accent1"/>
          <w:lang w:val="en-AU"/>
        </w:rPr>
        <w:t>Modelling scenarios and main assumptions</w:t>
      </w:r>
    </w:p>
    <w:p w14:paraId="04F6D081" w14:textId="77777777" w:rsidR="00CA2191" w:rsidRPr="00545318" w:rsidRDefault="00CA2191" w:rsidP="00CA2191">
      <w:pPr>
        <w:autoSpaceDE w:val="0"/>
        <w:autoSpaceDN w:val="0"/>
        <w:spacing w:before="120" w:after="120"/>
      </w:pPr>
      <w:r w:rsidRPr="00545318">
        <w:t>Due to data limitations, Cadence Economics was unable to quantify the full extent of inefficient market interventions in Asian steel and aluminium markets or their impact of steel and aluminium production. For the purpose of modelling the scenarios, Cadence Economics assumed Asian market interventions resulted in $40</w:t>
      </w:r>
      <w:r w:rsidR="00F96B34" w:rsidRPr="00545318">
        <w:t>0</w:t>
      </w:r>
      <w:r w:rsidRPr="00545318">
        <w:t xml:space="preserve"> million of </w:t>
      </w:r>
      <w:r w:rsidR="0053254B" w:rsidRPr="00545318">
        <w:t>dumped/subsidised</w:t>
      </w:r>
      <w:r w:rsidRPr="00545318">
        <w:t xml:space="preserve"> steel imports into Australia (</w:t>
      </w:r>
      <w:r w:rsidR="0053254B" w:rsidRPr="00545318">
        <w:t>additional to</w:t>
      </w:r>
      <w:r w:rsidRPr="00545318">
        <w:t xml:space="preserve"> </w:t>
      </w:r>
      <w:r w:rsidR="0053254B" w:rsidRPr="00545318">
        <w:t>imports</w:t>
      </w:r>
      <w:r w:rsidRPr="00545318">
        <w:t xml:space="preserve"> levels in the baseline case where there is assumed to be no dumping or subsidisation). For aluminium, the consultant</w:t>
      </w:r>
      <w:r w:rsidR="0053254B" w:rsidRPr="00545318">
        <w:t xml:space="preserve"> also</w:t>
      </w:r>
      <w:r w:rsidRPr="00545318">
        <w:t xml:space="preserve"> assumed that market interventions resulted in $</w:t>
      </w:r>
      <w:r w:rsidR="0053254B" w:rsidRPr="00545318">
        <w:t>40</w:t>
      </w:r>
      <w:r w:rsidRPr="00545318">
        <w:t>0 million</w:t>
      </w:r>
      <w:r w:rsidR="0053254B" w:rsidRPr="00545318">
        <w:t xml:space="preserve"> </w:t>
      </w:r>
      <w:r w:rsidRPr="00545318">
        <w:t xml:space="preserve">of </w:t>
      </w:r>
      <w:r w:rsidR="0053254B" w:rsidRPr="00545318">
        <w:t>dumped/subsidised semi-processed</w:t>
      </w:r>
      <w:r w:rsidRPr="00545318">
        <w:t xml:space="preserve"> alumin</w:t>
      </w:r>
      <w:r w:rsidR="005038AE" w:rsidRPr="00545318">
        <w:t>i</w:t>
      </w:r>
      <w:r w:rsidRPr="00545318">
        <w:t xml:space="preserve">um imports into Australia (above the levels they would be in the baseline case). </w:t>
      </w:r>
      <w:r w:rsidR="0053254B" w:rsidRPr="00545318">
        <w:t>Due to the higher estimated average value of semi-processed aluminium products, this represents a smaller volume at a higher average price than for steel.</w:t>
      </w:r>
    </w:p>
    <w:p w14:paraId="0BA98636" w14:textId="77777777" w:rsidR="00931406" w:rsidRPr="00545318" w:rsidRDefault="00931406" w:rsidP="00CA2191">
      <w:pPr>
        <w:autoSpaceDE w:val="0"/>
        <w:autoSpaceDN w:val="0"/>
        <w:spacing w:before="120" w:after="120"/>
      </w:pPr>
      <w:r w:rsidRPr="00545318">
        <w:t>As noted above, the Commission considers that these assumptions are reasonable for the purpose</w:t>
      </w:r>
      <w:r w:rsidR="00584F14" w:rsidRPr="00545318">
        <w:t>s</w:t>
      </w:r>
      <w:r w:rsidRPr="00545318">
        <w:t xml:space="preserve"> of the modelling exercise but notes that they should not be interpreted as representing the actual values or volumes of imported steel and alumin</w:t>
      </w:r>
      <w:r w:rsidR="005038AE" w:rsidRPr="00545318">
        <w:t>i</w:t>
      </w:r>
      <w:r w:rsidRPr="00545318">
        <w:t xml:space="preserve">um products that have been found to be dumped or subsidised. </w:t>
      </w:r>
    </w:p>
    <w:p w14:paraId="018E7294" w14:textId="77777777" w:rsidR="00CA2191" w:rsidRPr="00545318" w:rsidRDefault="00CA2191" w:rsidP="00CA2191">
      <w:pPr>
        <w:autoSpaceDE w:val="0"/>
        <w:autoSpaceDN w:val="0"/>
        <w:spacing w:before="120" w:after="120"/>
      </w:pPr>
      <w:r w:rsidRPr="00545318">
        <w:t xml:space="preserve">The scenarios modeled by Cadence Economics are described below: </w:t>
      </w:r>
    </w:p>
    <w:p w14:paraId="50CE4AA4" w14:textId="77777777" w:rsidR="00CA2191" w:rsidRPr="00545318" w:rsidRDefault="00CA2191" w:rsidP="00F07A37">
      <w:pPr>
        <w:numPr>
          <w:ilvl w:val="0"/>
          <w:numId w:val="23"/>
        </w:numPr>
        <w:spacing w:before="120" w:after="120"/>
        <w:ind w:left="714" w:hanging="357"/>
        <w:jc w:val="both"/>
      </w:pPr>
      <w:r w:rsidRPr="00545318">
        <w:rPr>
          <w:b/>
        </w:rPr>
        <w:t>Baseline:</w:t>
      </w:r>
      <w:r w:rsidRPr="00545318">
        <w:t xml:space="preserve"> </w:t>
      </w:r>
      <w:r w:rsidR="0053254B" w:rsidRPr="00545318">
        <w:t>Normal t</w:t>
      </w:r>
      <w:r w:rsidRPr="00545318">
        <w:t>rade with no dumping or subsidisation of steel/aluminium products.</w:t>
      </w:r>
    </w:p>
    <w:p w14:paraId="15125C3C" w14:textId="77777777" w:rsidR="00CA2191" w:rsidRPr="00545318" w:rsidRDefault="00CA2191" w:rsidP="00F07A37">
      <w:pPr>
        <w:numPr>
          <w:ilvl w:val="0"/>
          <w:numId w:val="23"/>
        </w:numPr>
        <w:spacing w:before="120" w:after="120"/>
        <w:ind w:left="714" w:hanging="357"/>
        <w:jc w:val="both"/>
      </w:pPr>
      <w:r w:rsidRPr="00545318">
        <w:rPr>
          <w:b/>
        </w:rPr>
        <w:t>Scenario 1:</w:t>
      </w:r>
      <w:r w:rsidRPr="00545318">
        <w:t xml:space="preserve"> Ongoing dumping</w:t>
      </w:r>
      <w:r w:rsidR="0053254B" w:rsidRPr="00545318">
        <w:t>/</w:t>
      </w:r>
      <w:r w:rsidRPr="00545318">
        <w:t xml:space="preserve">subsidisation and excess production of </w:t>
      </w:r>
      <w:r w:rsidR="0053254B" w:rsidRPr="00545318">
        <w:t>Asian</w:t>
      </w:r>
      <w:r w:rsidRPr="00545318">
        <w:t xml:space="preserve"> steel/aluminium for the foreseeable future. No Australian trade remedies (that is, no anti-dumping or countervailing measures).</w:t>
      </w:r>
    </w:p>
    <w:p w14:paraId="7C6922E4" w14:textId="77777777" w:rsidR="00CA2191" w:rsidRPr="00545318" w:rsidRDefault="00CA2191" w:rsidP="00F07A37">
      <w:pPr>
        <w:numPr>
          <w:ilvl w:val="0"/>
          <w:numId w:val="23"/>
        </w:numPr>
        <w:spacing w:before="120" w:after="120"/>
        <w:ind w:left="714" w:hanging="357"/>
        <w:jc w:val="both"/>
      </w:pPr>
      <w:r w:rsidRPr="00545318">
        <w:rPr>
          <w:b/>
        </w:rPr>
        <w:t>Scenario 2:</w:t>
      </w:r>
      <w:r w:rsidRPr="00545318">
        <w:t xml:space="preserve"> Ongoing dumping</w:t>
      </w:r>
      <w:r w:rsidR="0053254B" w:rsidRPr="00545318">
        <w:t>/</w:t>
      </w:r>
      <w:r w:rsidRPr="00545318">
        <w:t xml:space="preserve">subsidisation and excess production of </w:t>
      </w:r>
      <w:r w:rsidR="0053254B" w:rsidRPr="00545318">
        <w:t>Asian</w:t>
      </w:r>
      <w:r w:rsidRPr="00545318">
        <w:t xml:space="preserve"> steel/aluminium for the foreseeable future. Australian remedies implemented to exactly offset the dumping margin and/or full extent of the subsidy.</w:t>
      </w:r>
    </w:p>
    <w:p w14:paraId="686C6E66" w14:textId="77777777" w:rsidR="00CA2191" w:rsidRPr="00545318" w:rsidRDefault="00CA2191" w:rsidP="00F07A37">
      <w:pPr>
        <w:numPr>
          <w:ilvl w:val="0"/>
          <w:numId w:val="23"/>
        </w:numPr>
        <w:spacing w:before="120" w:after="120"/>
        <w:ind w:left="714" w:hanging="357"/>
        <w:jc w:val="both"/>
      </w:pPr>
      <w:r w:rsidRPr="00545318">
        <w:rPr>
          <w:b/>
        </w:rPr>
        <w:t>Scenario 3:</w:t>
      </w:r>
      <w:r w:rsidRPr="00545318">
        <w:t xml:space="preserve"> Temporary dumping and subsidisation until excess steel/aluminium production ends in 2016-17. No Australian trade remedies. </w:t>
      </w:r>
      <w:r w:rsidR="0053254B" w:rsidRPr="00545318">
        <w:t>Some domestic production capacity is lost and does not return after global demand and supply return to balance.</w:t>
      </w:r>
    </w:p>
    <w:p w14:paraId="317D9538" w14:textId="77777777" w:rsidR="00D42129" w:rsidRDefault="00D42129">
      <w:pPr>
        <w:spacing w:after="200" w:line="276" w:lineRule="auto"/>
        <w:rPr>
          <w:rFonts w:asciiTheme="majorHAnsi" w:eastAsiaTheme="majorEastAsia" w:hAnsiTheme="majorHAnsi" w:cstheme="majorBidi"/>
          <w:b/>
          <w:bCs/>
          <w:i/>
          <w:iCs/>
          <w:color w:val="4F81BD" w:themeColor="accent1"/>
          <w:lang w:val="en-AU"/>
        </w:rPr>
      </w:pPr>
      <w:r>
        <w:rPr>
          <w:rFonts w:asciiTheme="majorHAnsi" w:eastAsiaTheme="majorEastAsia" w:hAnsiTheme="majorHAnsi" w:cstheme="majorBidi"/>
          <w:b/>
          <w:bCs/>
          <w:i/>
          <w:iCs/>
          <w:color w:val="4F81BD" w:themeColor="accent1"/>
          <w:lang w:val="en-AU"/>
        </w:rPr>
        <w:br w:type="page"/>
      </w:r>
    </w:p>
    <w:p w14:paraId="22D43CB6" w14:textId="78C17A4B" w:rsidR="00B45930" w:rsidRPr="00545318" w:rsidRDefault="00B45930" w:rsidP="00B45930">
      <w:pPr>
        <w:keepNext/>
        <w:keepLines/>
        <w:spacing w:before="200"/>
        <w:outlineLvl w:val="3"/>
        <w:rPr>
          <w:rFonts w:asciiTheme="majorHAnsi" w:eastAsiaTheme="majorEastAsia" w:hAnsiTheme="majorHAnsi" w:cstheme="majorBidi"/>
          <w:b/>
          <w:bCs/>
          <w:i/>
          <w:iCs/>
          <w:color w:val="4F81BD" w:themeColor="accent1"/>
          <w:lang w:val="en-AU"/>
        </w:rPr>
      </w:pPr>
      <w:r w:rsidRPr="00545318">
        <w:rPr>
          <w:rFonts w:asciiTheme="majorHAnsi" w:eastAsiaTheme="majorEastAsia" w:hAnsiTheme="majorHAnsi" w:cstheme="majorBidi"/>
          <w:b/>
          <w:bCs/>
          <w:i/>
          <w:iCs/>
          <w:color w:val="4F81BD" w:themeColor="accent1"/>
          <w:lang w:val="en-AU"/>
        </w:rPr>
        <w:t>Modelling outcomes</w:t>
      </w:r>
    </w:p>
    <w:p w14:paraId="4329DD0C" w14:textId="1C7C8742" w:rsidR="00CA2191" w:rsidRPr="00545318" w:rsidRDefault="00CA2191" w:rsidP="00CA2191">
      <w:pPr>
        <w:autoSpaceDE w:val="0"/>
        <w:autoSpaceDN w:val="0"/>
        <w:spacing w:before="120" w:after="120"/>
      </w:pPr>
      <w:r w:rsidRPr="00545318">
        <w:t xml:space="preserve">Table 4.1 shows, for the steel industry, the changes in the key economic outcomes for each scenario compared to the baseline. </w:t>
      </w:r>
    </w:p>
    <w:p w14:paraId="3811E16A" w14:textId="24A54FD0" w:rsidR="00CA2191" w:rsidRPr="00545318" w:rsidRDefault="00CA2191" w:rsidP="00CA2191">
      <w:pPr>
        <w:autoSpaceDE w:val="0"/>
        <w:autoSpaceDN w:val="0"/>
        <w:spacing w:before="120" w:after="120"/>
      </w:pPr>
      <w:r w:rsidRPr="00545318">
        <w:rPr>
          <w:b/>
        </w:rPr>
        <w:t>Scenario 1</w:t>
      </w:r>
      <w:r w:rsidRPr="00545318">
        <w:t xml:space="preserve"> estimates what could happen if economically inefficient market interventions and global steel overcapacity were assumed to continue indefinitely and no measures were implemented to address the impacts of dumping and subsidisation on the Australian steel industry. Cheap steel imports are estimated to result in small increases in overall economic growth and employment and production in the manufacturing and construction sectors. The negative impact on the local steel industry is more significant, where production is estimated to shrink by $1</w:t>
      </w:r>
      <w:r w:rsidR="0053254B" w:rsidRPr="00545318">
        <w:t>69</w:t>
      </w:r>
      <w:r w:rsidRPr="00545318">
        <w:t> million for every $40</w:t>
      </w:r>
      <w:r w:rsidR="0053254B" w:rsidRPr="00545318">
        <w:t>0</w:t>
      </w:r>
      <w:r w:rsidRPr="00545318">
        <w:t xml:space="preserve"> million of additional dumped or subsidised steel imports. </w:t>
      </w:r>
    </w:p>
    <w:p w14:paraId="210160FF" w14:textId="77777777" w:rsidR="00CA2191" w:rsidRPr="00545318" w:rsidRDefault="00CA2191" w:rsidP="00CA2191">
      <w:pPr>
        <w:autoSpaceDE w:val="0"/>
        <w:autoSpaceDN w:val="0"/>
        <w:spacing w:before="120" w:after="120"/>
      </w:pPr>
      <w:r w:rsidRPr="00545318">
        <w:t>The overall economic benefits estimated for Scenario 1 come about because dumping and subsidisation—which represent income transfers from Asian businesses and governments to Australians—are assumed to continue indefinitely.</w:t>
      </w:r>
    </w:p>
    <w:p w14:paraId="4CF2E709" w14:textId="77777777" w:rsidR="00CA2191" w:rsidRPr="00545318" w:rsidRDefault="00CA2191" w:rsidP="00CA2191">
      <w:pPr>
        <w:autoSpaceDE w:val="0"/>
        <w:autoSpaceDN w:val="0"/>
        <w:spacing w:before="120" w:after="120"/>
      </w:pPr>
      <w:r w:rsidRPr="00545318">
        <w:t xml:space="preserve">In contrast, </w:t>
      </w:r>
      <w:r w:rsidRPr="00545318">
        <w:rPr>
          <w:b/>
        </w:rPr>
        <w:t>Scenario 2</w:t>
      </w:r>
      <w:r w:rsidRPr="00545318">
        <w:t xml:space="preserve"> estimates what could happen if trade remedies were implemented that redress the impacts of dumping and subsidisation on the Australian steel industry, assuming that economically inefficient market interventions and global steel overcapacity continue indefinitely (as in Scenario 1). Trade remedies would prevent the steel sector from contracting but there would still be small increases in overall economic growth and in manufacturing production over time. While there is a small initial reduction in employment </w:t>
      </w:r>
      <w:r w:rsidR="00F07A37" w:rsidRPr="00545318">
        <w:t>reflecting the impact of</w:t>
      </w:r>
      <w:r w:rsidR="00931406" w:rsidRPr="00545318">
        <w:t xml:space="preserve"> dumped and/or subsidised imports prior to the imposition of measures</w:t>
      </w:r>
      <w:r w:rsidRPr="00545318">
        <w:t xml:space="preserve">, this is reversed over the subsequent three years. </w:t>
      </w:r>
    </w:p>
    <w:p w14:paraId="1D961A4A" w14:textId="77777777" w:rsidR="00CA2191" w:rsidRPr="00545318" w:rsidRDefault="00CA2191" w:rsidP="00CA2191">
      <w:pPr>
        <w:autoSpaceDE w:val="0"/>
        <w:autoSpaceDN w:val="0"/>
        <w:spacing w:before="120" w:after="120"/>
      </w:pPr>
      <w:r w:rsidRPr="00545318">
        <w:t>The overall economic benefits found in Scenario 2 result from the additional government revenues raised from anti-dumping (or countervailing) duties. The modest increase in government revenue is assumed to be used to fund government services, tax cuts or budget deficit reductions that have positive effects on overall economic growth. In effect, trade remedies lead to the transfer into government revenues of an amount equivalent to the dumping margin or foreign subsidy.</w:t>
      </w:r>
      <w:r w:rsidRPr="00545318">
        <w:rPr>
          <w:vertAlign w:val="superscript"/>
        </w:rPr>
        <w:footnoteReference w:id="133"/>
      </w:r>
      <w:r w:rsidRPr="00545318">
        <w:t xml:space="preserve"> </w:t>
      </w:r>
    </w:p>
    <w:p w14:paraId="227B5071" w14:textId="77777777" w:rsidR="00CA2191" w:rsidRPr="00545318" w:rsidRDefault="00CA2191" w:rsidP="004B0D38">
      <w:pPr>
        <w:keepNext/>
        <w:keepLines/>
        <w:pBdr>
          <w:top w:val="single" w:sz="2" w:space="0" w:color="595A5B"/>
        </w:pBdr>
        <w:spacing w:before="360" w:after="240" w:line="240" w:lineRule="atLeast"/>
        <w:jc w:val="both"/>
        <w:rPr>
          <w:rFonts w:ascii="Arial" w:hAnsi="Arial"/>
          <w:bCs/>
          <w:color w:val="4F81BD" w:themeColor="accent1"/>
          <w:sz w:val="18"/>
          <w:szCs w:val="18"/>
          <w:lang w:val="en-AU"/>
        </w:rPr>
      </w:pPr>
      <w:bookmarkStart w:id="61" w:name="_Ref446077923"/>
      <w:r w:rsidRPr="00545318">
        <w:rPr>
          <w:rFonts w:ascii="Arial" w:hAnsi="Arial"/>
          <w:bCs/>
          <w:color w:val="4F81BD" w:themeColor="accent1"/>
          <w:sz w:val="18"/>
          <w:szCs w:val="18"/>
          <w:lang w:val="en-AU"/>
        </w:rPr>
        <w:t xml:space="preserve">Table </w:t>
      </w:r>
      <w:bookmarkEnd w:id="61"/>
      <w:r w:rsidRPr="00545318">
        <w:rPr>
          <w:rFonts w:ascii="Arial" w:hAnsi="Arial"/>
          <w:bCs/>
          <w:color w:val="4F81BD" w:themeColor="accent1"/>
          <w:sz w:val="18"/>
          <w:szCs w:val="18"/>
          <w:lang w:val="en-AU"/>
        </w:rPr>
        <w:t xml:space="preserve">4.1: </w:t>
      </w:r>
      <w:r w:rsidR="0053254B" w:rsidRPr="00545318">
        <w:rPr>
          <w:rFonts w:ascii="Arial" w:hAnsi="Arial"/>
          <w:bCs/>
          <w:color w:val="4F81BD" w:themeColor="accent1"/>
          <w:sz w:val="18"/>
          <w:szCs w:val="18"/>
          <w:lang w:val="en-AU"/>
        </w:rPr>
        <w:t>S</w:t>
      </w:r>
      <w:r w:rsidRPr="00545318">
        <w:rPr>
          <w:rFonts w:ascii="Arial" w:hAnsi="Arial"/>
          <w:bCs/>
          <w:color w:val="4F81BD" w:themeColor="accent1"/>
          <w:sz w:val="18"/>
          <w:szCs w:val="18"/>
          <w:lang w:val="en-AU"/>
        </w:rPr>
        <w:t xml:space="preserve">teel </w:t>
      </w:r>
      <w:r w:rsidR="0053254B" w:rsidRPr="00545318">
        <w:rPr>
          <w:rFonts w:ascii="Arial" w:hAnsi="Arial"/>
          <w:bCs/>
          <w:color w:val="4F81BD" w:themeColor="accent1"/>
          <w:sz w:val="18"/>
          <w:szCs w:val="18"/>
          <w:lang w:val="en-AU"/>
        </w:rPr>
        <w:t>scenarios</w:t>
      </w:r>
      <w:r w:rsidRPr="00545318">
        <w:rPr>
          <w:rFonts w:ascii="Arial" w:hAnsi="Arial"/>
          <w:bCs/>
          <w:color w:val="4F81BD" w:themeColor="accent1"/>
          <w:sz w:val="18"/>
          <w:szCs w:val="18"/>
          <w:lang w:val="en-AU"/>
        </w:rPr>
        <w:t xml:space="preserve">, real </w:t>
      </w:r>
      <w:r w:rsidR="0053254B" w:rsidRPr="00545318">
        <w:rPr>
          <w:rFonts w:ascii="Arial" w:hAnsi="Arial"/>
          <w:bCs/>
          <w:color w:val="4F81BD" w:themeColor="accent1"/>
          <w:sz w:val="18"/>
          <w:szCs w:val="18"/>
          <w:lang w:val="en-AU"/>
        </w:rPr>
        <w:t>deviation</w:t>
      </w:r>
      <w:r w:rsidRPr="00545318">
        <w:rPr>
          <w:rFonts w:ascii="Arial" w:hAnsi="Arial"/>
          <w:bCs/>
          <w:color w:val="4F81BD" w:themeColor="accent1"/>
          <w:sz w:val="18"/>
          <w:szCs w:val="18"/>
          <w:lang w:val="en-AU"/>
        </w:rPr>
        <w:t xml:space="preserve"> from the baseline, AUD$ 2015/16</w:t>
      </w: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7"/>
        <w:gridCol w:w="1118"/>
        <w:gridCol w:w="1118"/>
        <w:gridCol w:w="1118"/>
        <w:gridCol w:w="1118"/>
        <w:gridCol w:w="1118"/>
      </w:tblGrid>
      <w:tr w:rsidR="003E4F70" w:rsidRPr="00545318" w14:paraId="3AB663B7" w14:textId="77777777" w:rsidTr="003E4F70">
        <w:tc>
          <w:tcPr>
            <w:tcW w:w="1904" w:type="pct"/>
            <w:tcBorders>
              <w:top w:val="single" w:sz="12" w:space="0" w:color="4F81BD" w:themeColor="accent1"/>
              <w:bottom w:val="single" w:sz="12" w:space="0" w:color="4F81BD" w:themeColor="accent1"/>
            </w:tcBorders>
          </w:tcPr>
          <w:p w14:paraId="6FC9C46F" w14:textId="77777777" w:rsidR="003E4F70" w:rsidRPr="00545318" w:rsidRDefault="003E4F70" w:rsidP="00CA2191">
            <w:pPr>
              <w:keepNext/>
              <w:rPr>
                <w:b/>
              </w:rPr>
            </w:pPr>
            <w:r w:rsidRPr="00545318">
              <w:rPr>
                <w:b/>
              </w:rPr>
              <w:t>Scenario 1</w:t>
            </w:r>
          </w:p>
        </w:tc>
        <w:tc>
          <w:tcPr>
            <w:tcW w:w="619" w:type="pct"/>
            <w:tcBorders>
              <w:top w:val="single" w:sz="12" w:space="0" w:color="4F81BD" w:themeColor="accent1"/>
              <w:bottom w:val="single" w:sz="12" w:space="0" w:color="4F81BD" w:themeColor="accent1"/>
            </w:tcBorders>
          </w:tcPr>
          <w:p w14:paraId="2A81B7CF" w14:textId="77777777" w:rsidR="003E4F70" w:rsidRPr="00545318" w:rsidRDefault="003E4F70" w:rsidP="00CA2191">
            <w:pPr>
              <w:keepNext/>
              <w:jc w:val="right"/>
              <w:rPr>
                <w:b/>
              </w:rPr>
            </w:pPr>
            <w:r w:rsidRPr="00545318">
              <w:rPr>
                <w:b/>
              </w:rPr>
              <w:t>2016/17</w:t>
            </w:r>
          </w:p>
        </w:tc>
        <w:tc>
          <w:tcPr>
            <w:tcW w:w="619" w:type="pct"/>
            <w:tcBorders>
              <w:top w:val="single" w:sz="12" w:space="0" w:color="4F81BD" w:themeColor="accent1"/>
              <w:bottom w:val="single" w:sz="12" w:space="0" w:color="4F81BD" w:themeColor="accent1"/>
            </w:tcBorders>
            <w:vAlign w:val="center"/>
          </w:tcPr>
          <w:p w14:paraId="4D753FD0" w14:textId="77777777" w:rsidR="003E4F70" w:rsidRPr="00545318" w:rsidRDefault="003E4F70"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261DF092" w14:textId="77777777" w:rsidR="003E4F70" w:rsidRPr="00545318" w:rsidRDefault="003E4F70"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65A2DAFE" w14:textId="77777777" w:rsidR="003E4F70" w:rsidRPr="00545318" w:rsidRDefault="003E4F70" w:rsidP="00CA2191">
            <w:pPr>
              <w:keepNext/>
              <w:jc w:val="right"/>
              <w:rPr>
                <w:b/>
              </w:rPr>
            </w:pPr>
            <w:r w:rsidRPr="00545318">
              <w:rPr>
                <w:b/>
              </w:rPr>
              <w:t>2019/20</w:t>
            </w:r>
          </w:p>
        </w:tc>
        <w:tc>
          <w:tcPr>
            <w:tcW w:w="619" w:type="pct"/>
            <w:tcBorders>
              <w:top w:val="single" w:sz="12" w:space="0" w:color="4F81BD" w:themeColor="accent1"/>
              <w:bottom w:val="single" w:sz="12" w:space="0" w:color="4F81BD" w:themeColor="accent1"/>
            </w:tcBorders>
            <w:vAlign w:val="center"/>
          </w:tcPr>
          <w:p w14:paraId="33B826D4" w14:textId="77777777" w:rsidR="003E4F70" w:rsidRPr="00545318" w:rsidRDefault="003E4F70" w:rsidP="00CA2191">
            <w:pPr>
              <w:keepNext/>
              <w:jc w:val="right"/>
              <w:rPr>
                <w:b/>
              </w:rPr>
            </w:pPr>
            <w:r w:rsidRPr="00545318">
              <w:rPr>
                <w:b/>
              </w:rPr>
              <w:t>2020/21</w:t>
            </w:r>
          </w:p>
        </w:tc>
      </w:tr>
      <w:tr w:rsidR="003E4F70" w:rsidRPr="00545318" w14:paraId="260A7601" w14:textId="77777777" w:rsidTr="003E4F70">
        <w:tc>
          <w:tcPr>
            <w:tcW w:w="1904" w:type="pct"/>
            <w:tcBorders>
              <w:top w:val="single" w:sz="12" w:space="0" w:color="4F81BD" w:themeColor="accent1"/>
              <w:bottom w:val="single" w:sz="4" w:space="0" w:color="4F81BD" w:themeColor="accent1"/>
            </w:tcBorders>
            <w:vAlign w:val="center"/>
          </w:tcPr>
          <w:p w14:paraId="021C2F03" w14:textId="77777777" w:rsidR="003E4F70" w:rsidRPr="00545318" w:rsidRDefault="003E4F70" w:rsidP="00CA2191">
            <w:pPr>
              <w:keepNext/>
              <w:jc w:val="center"/>
              <w:rPr>
                <w:b/>
              </w:rPr>
            </w:pPr>
            <w:r w:rsidRPr="00545318">
              <w:rPr>
                <w:b/>
              </w:rPr>
              <w:t>Key macro results</w:t>
            </w:r>
          </w:p>
        </w:tc>
        <w:tc>
          <w:tcPr>
            <w:tcW w:w="619" w:type="pct"/>
            <w:tcBorders>
              <w:top w:val="single" w:sz="12" w:space="0" w:color="4F81BD" w:themeColor="accent1"/>
              <w:bottom w:val="single" w:sz="4" w:space="0" w:color="4F81BD" w:themeColor="accent1"/>
            </w:tcBorders>
          </w:tcPr>
          <w:p w14:paraId="0E443D2A"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6AEB3B24"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5D48BE7A"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4AC02576"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486A0339" w14:textId="77777777" w:rsidR="003E4F70" w:rsidRPr="00545318" w:rsidRDefault="003E4F70" w:rsidP="00CA2191">
            <w:pPr>
              <w:keepNext/>
              <w:jc w:val="center"/>
            </w:pPr>
          </w:p>
        </w:tc>
      </w:tr>
      <w:tr w:rsidR="003E4F70" w:rsidRPr="00545318" w14:paraId="3E51AF27" w14:textId="77777777" w:rsidTr="002A0D3F">
        <w:tc>
          <w:tcPr>
            <w:tcW w:w="1904" w:type="pct"/>
            <w:tcBorders>
              <w:top w:val="single" w:sz="4" w:space="0" w:color="4F81BD" w:themeColor="accent1"/>
            </w:tcBorders>
          </w:tcPr>
          <w:p w14:paraId="7A5DC519" w14:textId="77777777" w:rsidR="003E4F70" w:rsidRPr="00545318" w:rsidRDefault="003E4F70" w:rsidP="00CA2191">
            <w:pPr>
              <w:keepNext/>
            </w:pPr>
            <w:r w:rsidRPr="00545318">
              <w:t>Real GDP</w:t>
            </w:r>
            <w:r w:rsidR="001F20B8" w:rsidRPr="00545318">
              <w:t xml:space="preserve"> ($m)</w:t>
            </w:r>
          </w:p>
        </w:tc>
        <w:tc>
          <w:tcPr>
            <w:tcW w:w="619" w:type="pct"/>
            <w:tcBorders>
              <w:top w:val="single" w:sz="4" w:space="0" w:color="4F81BD" w:themeColor="accent1"/>
            </w:tcBorders>
            <w:vAlign w:val="bottom"/>
          </w:tcPr>
          <w:p w14:paraId="7A5F4DE2" w14:textId="77777777" w:rsidR="003E4F70" w:rsidRPr="00545318" w:rsidRDefault="003E4F70" w:rsidP="002A0D3F">
            <w:pPr>
              <w:keepNext/>
              <w:jc w:val="right"/>
              <w:rPr>
                <w:rFonts w:ascii="Calibri" w:hAnsi="Calibri"/>
                <w:color w:val="000000"/>
              </w:rPr>
            </w:pPr>
            <w:r w:rsidRPr="00545318">
              <w:rPr>
                <w:rFonts w:ascii="Calibri" w:hAnsi="Calibri"/>
                <w:color w:val="000000"/>
              </w:rPr>
              <w:t>64.8</w:t>
            </w:r>
          </w:p>
        </w:tc>
        <w:tc>
          <w:tcPr>
            <w:tcW w:w="619" w:type="pct"/>
            <w:tcBorders>
              <w:top w:val="single" w:sz="4" w:space="0" w:color="4F81BD" w:themeColor="accent1"/>
            </w:tcBorders>
            <w:vAlign w:val="bottom"/>
          </w:tcPr>
          <w:p w14:paraId="353BD668" w14:textId="77777777" w:rsidR="003E4F70" w:rsidRPr="00545318" w:rsidRDefault="003E4F70" w:rsidP="002A0D3F">
            <w:pPr>
              <w:keepNext/>
              <w:jc w:val="right"/>
              <w:rPr>
                <w:rFonts w:ascii="Calibri" w:hAnsi="Calibri"/>
                <w:color w:val="000000"/>
              </w:rPr>
            </w:pPr>
            <w:r w:rsidRPr="00545318">
              <w:rPr>
                <w:rFonts w:ascii="Calibri" w:hAnsi="Calibri"/>
                <w:color w:val="000000"/>
              </w:rPr>
              <w:t>69.2</w:t>
            </w:r>
          </w:p>
        </w:tc>
        <w:tc>
          <w:tcPr>
            <w:tcW w:w="619" w:type="pct"/>
            <w:tcBorders>
              <w:top w:val="single" w:sz="4" w:space="0" w:color="4F81BD" w:themeColor="accent1"/>
            </w:tcBorders>
            <w:vAlign w:val="bottom"/>
          </w:tcPr>
          <w:p w14:paraId="539D1EA2" w14:textId="77777777" w:rsidR="003E4F70" w:rsidRPr="00545318" w:rsidRDefault="003E4F70" w:rsidP="002A0D3F">
            <w:pPr>
              <w:keepNext/>
              <w:jc w:val="right"/>
              <w:rPr>
                <w:rFonts w:ascii="Calibri" w:hAnsi="Calibri"/>
                <w:color w:val="000000"/>
              </w:rPr>
            </w:pPr>
            <w:r w:rsidRPr="00545318">
              <w:rPr>
                <w:rFonts w:ascii="Calibri" w:hAnsi="Calibri"/>
                <w:color w:val="000000"/>
              </w:rPr>
              <w:t>74.7</w:t>
            </w:r>
          </w:p>
        </w:tc>
        <w:tc>
          <w:tcPr>
            <w:tcW w:w="619" w:type="pct"/>
            <w:tcBorders>
              <w:top w:val="single" w:sz="4" w:space="0" w:color="4F81BD" w:themeColor="accent1"/>
            </w:tcBorders>
            <w:vAlign w:val="bottom"/>
          </w:tcPr>
          <w:p w14:paraId="4DAD184C" w14:textId="77777777" w:rsidR="003E4F70" w:rsidRPr="00545318" w:rsidRDefault="003E4F70" w:rsidP="002A0D3F">
            <w:pPr>
              <w:keepNext/>
              <w:jc w:val="right"/>
              <w:rPr>
                <w:rFonts w:ascii="Calibri" w:hAnsi="Calibri"/>
                <w:color w:val="000000"/>
              </w:rPr>
            </w:pPr>
            <w:r w:rsidRPr="00545318">
              <w:rPr>
                <w:rFonts w:ascii="Calibri" w:hAnsi="Calibri"/>
                <w:color w:val="000000"/>
              </w:rPr>
              <w:t>79.4</w:t>
            </w:r>
          </w:p>
        </w:tc>
        <w:tc>
          <w:tcPr>
            <w:tcW w:w="619" w:type="pct"/>
            <w:tcBorders>
              <w:top w:val="single" w:sz="4" w:space="0" w:color="4F81BD" w:themeColor="accent1"/>
            </w:tcBorders>
            <w:vAlign w:val="bottom"/>
          </w:tcPr>
          <w:p w14:paraId="048A0796" w14:textId="77777777" w:rsidR="003E4F70" w:rsidRPr="00545318" w:rsidRDefault="003E4F70" w:rsidP="002A0D3F">
            <w:pPr>
              <w:keepNext/>
              <w:jc w:val="right"/>
              <w:rPr>
                <w:rFonts w:ascii="Calibri" w:hAnsi="Calibri"/>
                <w:color w:val="000000"/>
              </w:rPr>
            </w:pPr>
            <w:r w:rsidRPr="00545318">
              <w:rPr>
                <w:rFonts w:ascii="Calibri" w:hAnsi="Calibri"/>
                <w:color w:val="000000"/>
              </w:rPr>
              <w:t>82.7</w:t>
            </w:r>
          </w:p>
        </w:tc>
      </w:tr>
      <w:tr w:rsidR="003E4F70" w:rsidRPr="00545318" w14:paraId="79B364D2" w14:textId="77777777" w:rsidTr="002A0D3F">
        <w:tc>
          <w:tcPr>
            <w:tcW w:w="1904" w:type="pct"/>
          </w:tcPr>
          <w:p w14:paraId="5EB944B5" w14:textId="77777777" w:rsidR="003E4F70" w:rsidRPr="00545318" w:rsidRDefault="003E4F70" w:rsidP="00CA2191">
            <w:pPr>
              <w:keepNext/>
            </w:pPr>
            <w:r w:rsidRPr="00545318">
              <w:t>Real GNP</w:t>
            </w:r>
            <w:r w:rsidR="001F20B8" w:rsidRPr="00545318">
              <w:t xml:space="preserve"> ($m)</w:t>
            </w:r>
          </w:p>
        </w:tc>
        <w:tc>
          <w:tcPr>
            <w:tcW w:w="619" w:type="pct"/>
            <w:vAlign w:val="bottom"/>
          </w:tcPr>
          <w:p w14:paraId="048DAFEB" w14:textId="77777777" w:rsidR="003E4F70" w:rsidRPr="00545318" w:rsidRDefault="003E4F70" w:rsidP="002A0D3F">
            <w:pPr>
              <w:keepNext/>
              <w:jc w:val="right"/>
              <w:rPr>
                <w:rFonts w:ascii="Calibri" w:hAnsi="Calibri"/>
                <w:color w:val="000000"/>
              </w:rPr>
            </w:pPr>
            <w:r w:rsidRPr="00545318">
              <w:rPr>
                <w:rFonts w:ascii="Calibri" w:hAnsi="Calibri"/>
                <w:color w:val="000000"/>
              </w:rPr>
              <w:t>115.4</w:t>
            </w:r>
          </w:p>
        </w:tc>
        <w:tc>
          <w:tcPr>
            <w:tcW w:w="619" w:type="pct"/>
            <w:vAlign w:val="bottom"/>
          </w:tcPr>
          <w:p w14:paraId="4AA28DE2" w14:textId="77777777" w:rsidR="003E4F70" w:rsidRPr="00545318" w:rsidRDefault="003E4F70" w:rsidP="002A0D3F">
            <w:pPr>
              <w:keepNext/>
              <w:jc w:val="right"/>
              <w:rPr>
                <w:rFonts w:ascii="Calibri" w:hAnsi="Calibri"/>
                <w:color w:val="000000"/>
              </w:rPr>
            </w:pPr>
            <w:r w:rsidRPr="00545318">
              <w:rPr>
                <w:rFonts w:ascii="Calibri" w:hAnsi="Calibri"/>
                <w:color w:val="000000"/>
              </w:rPr>
              <w:t>114.3</w:t>
            </w:r>
          </w:p>
        </w:tc>
        <w:tc>
          <w:tcPr>
            <w:tcW w:w="619" w:type="pct"/>
            <w:vAlign w:val="bottom"/>
          </w:tcPr>
          <w:p w14:paraId="5929E3D4" w14:textId="77777777" w:rsidR="003E4F70" w:rsidRPr="00545318" w:rsidRDefault="003E4F70" w:rsidP="002A0D3F">
            <w:pPr>
              <w:keepNext/>
              <w:jc w:val="right"/>
              <w:rPr>
                <w:rFonts w:ascii="Calibri" w:hAnsi="Calibri"/>
                <w:color w:val="000000"/>
              </w:rPr>
            </w:pPr>
            <w:r w:rsidRPr="00545318">
              <w:rPr>
                <w:rFonts w:ascii="Calibri" w:hAnsi="Calibri"/>
                <w:color w:val="000000"/>
              </w:rPr>
              <w:t>117.2</w:t>
            </w:r>
          </w:p>
        </w:tc>
        <w:tc>
          <w:tcPr>
            <w:tcW w:w="619" w:type="pct"/>
            <w:vAlign w:val="bottom"/>
          </w:tcPr>
          <w:p w14:paraId="371615DB" w14:textId="77777777" w:rsidR="003E4F70" w:rsidRPr="00545318" w:rsidRDefault="003E4F70" w:rsidP="002A0D3F">
            <w:pPr>
              <w:keepNext/>
              <w:jc w:val="right"/>
              <w:rPr>
                <w:rFonts w:ascii="Calibri" w:hAnsi="Calibri"/>
                <w:color w:val="000000"/>
              </w:rPr>
            </w:pPr>
            <w:r w:rsidRPr="00545318">
              <w:rPr>
                <w:rFonts w:ascii="Calibri" w:hAnsi="Calibri"/>
                <w:color w:val="000000"/>
              </w:rPr>
              <w:t>120.7</w:t>
            </w:r>
          </w:p>
        </w:tc>
        <w:tc>
          <w:tcPr>
            <w:tcW w:w="619" w:type="pct"/>
            <w:vAlign w:val="bottom"/>
          </w:tcPr>
          <w:p w14:paraId="6551443A" w14:textId="77777777" w:rsidR="003E4F70" w:rsidRPr="00545318" w:rsidRDefault="003E4F70" w:rsidP="002A0D3F">
            <w:pPr>
              <w:keepNext/>
              <w:jc w:val="right"/>
              <w:rPr>
                <w:rFonts w:ascii="Calibri" w:hAnsi="Calibri"/>
                <w:color w:val="000000"/>
              </w:rPr>
            </w:pPr>
            <w:r w:rsidRPr="00545318">
              <w:rPr>
                <w:rFonts w:ascii="Calibri" w:hAnsi="Calibri"/>
                <w:color w:val="000000"/>
              </w:rPr>
              <w:t>122.9</w:t>
            </w:r>
          </w:p>
        </w:tc>
      </w:tr>
      <w:tr w:rsidR="003E4F70" w:rsidRPr="00545318" w14:paraId="4F2ADFFA" w14:textId="77777777" w:rsidTr="002A0D3F">
        <w:tc>
          <w:tcPr>
            <w:tcW w:w="1904" w:type="pct"/>
          </w:tcPr>
          <w:p w14:paraId="722FC0E0" w14:textId="77777777" w:rsidR="003E4F70" w:rsidRPr="00545318" w:rsidRDefault="003E4F70" w:rsidP="00CA2191">
            <w:pPr>
              <w:keepNext/>
            </w:pPr>
            <w:r w:rsidRPr="00545318">
              <w:t>Employment (FTE)</w:t>
            </w:r>
          </w:p>
        </w:tc>
        <w:tc>
          <w:tcPr>
            <w:tcW w:w="619" w:type="pct"/>
            <w:vAlign w:val="bottom"/>
          </w:tcPr>
          <w:p w14:paraId="2D07437E" w14:textId="77777777" w:rsidR="003E4F70" w:rsidRPr="00545318" w:rsidRDefault="003E4F70" w:rsidP="002A0D3F">
            <w:pPr>
              <w:keepNext/>
              <w:jc w:val="right"/>
              <w:rPr>
                <w:rFonts w:ascii="Calibri" w:hAnsi="Calibri"/>
                <w:color w:val="000000"/>
              </w:rPr>
            </w:pPr>
            <w:r w:rsidRPr="00545318">
              <w:rPr>
                <w:rFonts w:ascii="Calibri" w:hAnsi="Calibri"/>
                <w:color w:val="000000"/>
              </w:rPr>
              <w:t>78.2</w:t>
            </w:r>
          </w:p>
        </w:tc>
        <w:tc>
          <w:tcPr>
            <w:tcW w:w="619" w:type="pct"/>
            <w:vAlign w:val="bottom"/>
          </w:tcPr>
          <w:p w14:paraId="0AB504D4" w14:textId="77777777" w:rsidR="003E4F70" w:rsidRPr="00545318" w:rsidRDefault="003E4F70" w:rsidP="002A0D3F">
            <w:pPr>
              <w:keepNext/>
              <w:jc w:val="right"/>
              <w:rPr>
                <w:rFonts w:ascii="Calibri" w:hAnsi="Calibri"/>
                <w:color w:val="000000"/>
              </w:rPr>
            </w:pPr>
            <w:r w:rsidRPr="00545318">
              <w:rPr>
                <w:rFonts w:ascii="Calibri" w:hAnsi="Calibri"/>
                <w:color w:val="000000"/>
              </w:rPr>
              <w:t>71.2</w:t>
            </w:r>
          </w:p>
        </w:tc>
        <w:tc>
          <w:tcPr>
            <w:tcW w:w="619" w:type="pct"/>
            <w:vAlign w:val="bottom"/>
          </w:tcPr>
          <w:p w14:paraId="5D86FA80" w14:textId="77777777" w:rsidR="003E4F70" w:rsidRPr="00545318" w:rsidRDefault="003E4F70" w:rsidP="002A0D3F">
            <w:pPr>
              <w:keepNext/>
              <w:jc w:val="right"/>
              <w:rPr>
                <w:rFonts w:ascii="Calibri" w:hAnsi="Calibri"/>
                <w:color w:val="000000"/>
              </w:rPr>
            </w:pPr>
            <w:r w:rsidRPr="00545318">
              <w:rPr>
                <w:rFonts w:ascii="Calibri" w:hAnsi="Calibri"/>
                <w:color w:val="000000"/>
              </w:rPr>
              <w:t>69.1</w:t>
            </w:r>
          </w:p>
        </w:tc>
        <w:tc>
          <w:tcPr>
            <w:tcW w:w="619" w:type="pct"/>
            <w:vAlign w:val="bottom"/>
          </w:tcPr>
          <w:p w14:paraId="1E44F744" w14:textId="77777777" w:rsidR="003E4F70" w:rsidRPr="00545318" w:rsidRDefault="003E4F70" w:rsidP="002A0D3F">
            <w:pPr>
              <w:keepNext/>
              <w:jc w:val="right"/>
              <w:rPr>
                <w:rFonts w:ascii="Calibri" w:hAnsi="Calibri"/>
                <w:color w:val="000000"/>
              </w:rPr>
            </w:pPr>
            <w:r w:rsidRPr="00545318">
              <w:rPr>
                <w:rFonts w:ascii="Calibri" w:hAnsi="Calibri"/>
                <w:color w:val="000000"/>
              </w:rPr>
              <w:t>69.0</w:t>
            </w:r>
          </w:p>
        </w:tc>
        <w:tc>
          <w:tcPr>
            <w:tcW w:w="619" w:type="pct"/>
            <w:vAlign w:val="bottom"/>
          </w:tcPr>
          <w:p w14:paraId="56CE9B5B" w14:textId="77777777" w:rsidR="003E4F70" w:rsidRPr="00545318" w:rsidRDefault="003E4F70" w:rsidP="002A0D3F">
            <w:pPr>
              <w:keepNext/>
              <w:jc w:val="right"/>
              <w:rPr>
                <w:rFonts w:ascii="Calibri" w:hAnsi="Calibri"/>
                <w:color w:val="000000"/>
              </w:rPr>
            </w:pPr>
            <w:r w:rsidRPr="00545318">
              <w:rPr>
                <w:rFonts w:ascii="Calibri" w:hAnsi="Calibri"/>
                <w:color w:val="000000"/>
              </w:rPr>
              <w:t>68.8</w:t>
            </w:r>
          </w:p>
        </w:tc>
      </w:tr>
      <w:tr w:rsidR="003E4F70" w:rsidRPr="00545318" w14:paraId="6AC7E8AA" w14:textId="77777777" w:rsidTr="002A0D3F">
        <w:tc>
          <w:tcPr>
            <w:tcW w:w="1904" w:type="pct"/>
          </w:tcPr>
          <w:p w14:paraId="3ADF6591" w14:textId="77777777" w:rsidR="003E4F70" w:rsidRPr="00545318" w:rsidRDefault="003E4F70" w:rsidP="00CA2191">
            <w:pPr>
              <w:keepNext/>
            </w:pPr>
            <w:r w:rsidRPr="00545318">
              <w:t>Investment ($m)</w:t>
            </w:r>
          </w:p>
        </w:tc>
        <w:tc>
          <w:tcPr>
            <w:tcW w:w="619" w:type="pct"/>
            <w:vAlign w:val="bottom"/>
          </w:tcPr>
          <w:p w14:paraId="27484D29" w14:textId="77777777" w:rsidR="003E4F70" w:rsidRPr="00545318" w:rsidRDefault="003E4F70" w:rsidP="002A0D3F">
            <w:pPr>
              <w:keepNext/>
              <w:jc w:val="right"/>
              <w:rPr>
                <w:rFonts w:ascii="Calibri" w:hAnsi="Calibri"/>
                <w:color w:val="000000"/>
              </w:rPr>
            </w:pPr>
            <w:r w:rsidRPr="00545318">
              <w:rPr>
                <w:rFonts w:ascii="Calibri" w:hAnsi="Calibri"/>
                <w:color w:val="000000"/>
              </w:rPr>
              <w:t>113.2</w:t>
            </w:r>
          </w:p>
        </w:tc>
        <w:tc>
          <w:tcPr>
            <w:tcW w:w="619" w:type="pct"/>
            <w:vAlign w:val="bottom"/>
          </w:tcPr>
          <w:p w14:paraId="1BC4DD70" w14:textId="77777777" w:rsidR="003E4F70" w:rsidRPr="00545318" w:rsidRDefault="003E4F70" w:rsidP="002A0D3F">
            <w:pPr>
              <w:keepNext/>
              <w:jc w:val="right"/>
              <w:rPr>
                <w:rFonts w:ascii="Calibri" w:hAnsi="Calibri"/>
                <w:color w:val="000000"/>
              </w:rPr>
            </w:pPr>
            <w:r w:rsidRPr="00545318">
              <w:rPr>
                <w:rFonts w:ascii="Calibri" w:hAnsi="Calibri"/>
                <w:color w:val="000000"/>
              </w:rPr>
              <w:t>88.0</w:t>
            </w:r>
          </w:p>
        </w:tc>
        <w:tc>
          <w:tcPr>
            <w:tcW w:w="619" w:type="pct"/>
            <w:vAlign w:val="bottom"/>
          </w:tcPr>
          <w:p w14:paraId="6A6FC65C" w14:textId="77777777" w:rsidR="003E4F70" w:rsidRPr="00545318" w:rsidRDefault="003E4F70" w:rsidP="002A0D3F">
            <w:pPr>
              <w:keepNext/>
              <w:jc w:val="right"/>
              <w:rPr>
                <w:rFonts w:ascii="Calibri" w:hAnsi="Calibri"/>
                <w:color w:val="000000"/>
              </w:rPr>
            </w:pPr>
            <w:r w:rsidRPr="00545318">
              <w:rPr>
                <w:rFonts w:ascii="Calibri" w:hAnsi="Calibri"/>
                <w:color w:val="000000"/>
              </w:rPr>
              <w:t>74.4</w:t>
            </w:r>
          </w:p>
        </w:tc>
        <w:tc>
          <w:tcPr>
            <w:tcW w:w="619" w:type="pct"/>
            <w:vAlign w:val="bottom"/>
          </w:tcPr>
          <w:p w14:paraId="5D19ABDC" w14:textId="77777777" w:rsidR="003E4F70" w:rsidRPr="00545318" w:rsidRDefault="003E4F70" w:rsidP="002A0D3F">
            <w:pPr>
              <w:keepNext/>
              <w:jc w:val="right"/>
              <w:rPr>
                <w:rFonts w:ascii="Calibri" w:hAnsi="Calibri"/>
                <w:color w:val="000000"/>
              </w:rPr>
            </w:pPr>
            <w:r w:rsidRPr="00545318">
              <w:rPr>
                <w:rFonts w:ascii="Calibri" w:hAnsi="Calibri"/>
                <w:color w:val="000000"/>
              </w:rPr>
              <w:t>66.4</w:t>
            </w:r>
          </w:p>
        </w:tc>
        <w:tc>
          <w:tcPr>
            <w:tcW w:w="619" w:type="pct"/>
            <w:vAlign w:val="bottom"/>
          </w:tcPr>
          <w:p w14:paraId="3CE2FB1A" w14:textId="77777777" w:rsidR="003E4F70" w:rsidRPr="00545318" w:rsidRDefault="003E4F70" w:rsidP="002A0D3F">
            <w:pPr>
              <w:keepNext/>
              <w:jc w:val="right"/>
              <w:rPr>
                <w:rFonts w:ascii="Calibri" w:hAnsi="Calibri"/>
                <w:color w:val="000000"/>
              </w:rPr>
            </w:pPr>
            <w:r w:rsidRPr="00545318">
              <w:rPr>
                <w:rFonts w:ascii="Calibri" w:hAnsi="Calibri"/>
                <w:color w:val="000000"/>
              </w:rPr>
              <w:t>60.0</w:t>
            </w:r>
          </w:p>
        </w:tc>
      </w:tr>
      <w:tr w:rsidR="003E4F70" w:rsidRPr="00545318" w14:paraId="5D744F6C" w14:textId="77777777" w:rsidTr="003E4F70">
        <w:tc>
          <w:tcPr>
            <w:tcW w:w="1904" w:type="pct"/>
            <w:tcBorders>
              <w:top w:val="single" w:sz="12" w:space="0" w:color="4F81BD" w:themeColor="accent1"/>
              <w:bottom w:val="single" w:sz="4" w:space="0" w:color="4F81BD" w:themeColor="accent1"/>
            </w:tcBorders>
            <w:vAlign w:val="center"/>
          </w:tcPr>
          <w:p w14:paraId="1235A1E5" w14:textId="77777777" w:rsidR="003E4F70" w:rsidRPr="00545318" w:rsidRDefault="003E4F70" w:rsidP="00CA2191">
            <w:pPr>
              <w:keepNext/>
              <w:jc w:val="center"/>
              <w:rPr>
                <w:b/>
              </w:rPr>
            </w:pPr>
            <w:r w:rsidRPr="00545318">
              <w:rPr>
                <w:b/>
              </w:rPr>
              <w:t>Key sectoral output results</w:t>
            </w:r>
          </w:p>
        </w:tc>
        <w:tc>
          <w:tcPr>
            <w:tcW w:w="619" w:type="pct"/>
            <w:tcBorders>
              <w:top w:val="single" w:sz="12" w:space="0" w:color="4F81BD" w:themeColor="accent1"/>
              <w:bottom w:val="single" w:sz="4" w:space="0" w:color="4F81BD" w:themeColor="accent1"/>
            </w:tcBorders>
          </w:tcPr>
          <w:p w14:paraId="2E908378"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79104BB0"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01348884"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5765E0E1"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7A710907" w14:textId="77777777" w:rsidR="003E4F70" w:rsidRPr="00545318" w:rsidRDefault="003E4F70" w:rsidP="00CA2191">
            <w:pPr>
              <w:keepNext/>
              <w:jc w:val="center"/>
            </w:pPr>
          </w:p>
        </w:tc>
      </w:tr>
      <w:tr w:rsidR="003E4F70" w:rsidRPr="00545318" w14:paraId="3AE47C6C" w14:textId="77777777" w:rsidTr="002A0D3F">
        <w:tc>
          <w:tcPr>
            <w:tcW w:w="1904" w:type="pct"/>
            <w:tcBorders>
              <w:top w:val="single" w:sz="4" w:space="0" w:color="4F81BD" w:themeColor="accent1"/>
            </w:tcBorders>
          </w:tcPr>
          <w:p w14:paraId="5217C211" w14:textId="77777777" w:rsidR="003E4F70" w:rsidRPr="00545318" w:rsidRDefault="003E4F70" w:rsidP="00CA2191">
            <w:pPr>
              <w:keepNext/>
            </w:pPr>
            <w:r w:rsidRPr="00545318">
              <w:t>Steel</w:t>
            </w:r>
            <w:r w:rsidR="001F20B8" w:rsidRPr="00545318">
              <w:t xml:space="preserve"> ($m)</w:t>
            </w:r>
          </w:p>
        </w:tc>
        <w:tc>
          <w:tcPr>
            <w:tcW w:w="619" w:type="pct"/>
            <w:tcBorders>
              <w:top w:val="single" w:sz="4" w:space="0" w:color="4F81BD" w:themeColor="accent1"/>
            </w:tcBorders>
            <w:vAlign w:val="bottom"/>
          </w:tcPr>
          <w:p w14:paraId="747CEC3A"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777F560B" w14:textId="77777777" w:rsidR="003E4F70" w:rsidRPr="00545318" w:rsidRDefault="003E4F70" w:rsidP="002A0D3F">
            <w:pPr>
              <w:keepNext/>
              <w:jc w:val="right"/>
              <w:rPr>
                <w:rFonts w:ascii="Calibri" w:hAnsi="Calibri"/>
                <w:color w:val="000000"/>
              </w:rPr>
            </w:pPr>
            <w:r w:rsidRPr="00545318">
              <w:rPr>
                <w:rFonts w:ascii="Calibri" w:hAnsi="Calibri"/>
                <w:color w:val="000000"/>
              </w:rPr>
              <w:t>-170.3</w:t>
            </w:r>
          </w:p>
        </w:tc>
        <w:tc>
          <w:tcPr>
            <w:tcW w:w="619" w:type="pct"/>
            <w:tcBorders>
              <w:top w:val="single" w:sz="4" w:space="0" w:color="4F81BD" w:themeColor="accent1"/>
            </w:tcBorders>
            <w:vAlign w:val="bottom"/>
          </w:tcPr>
          <w:p w14:paraId="6B14D044" w14:textId="77777777" w:rsidR="003E4F70" w:rsidRPr="00545318" w:rsidRDefault="003E4F70" w:rsidP="002A0D3F">
            <w:pPr>
              <w:keepNext/>
              <w:jc w:val="right"/>
              <w:rPr>
                <w:rFonts w:ascii="Calibri" w:hAnsi="Calibri"/>
                <w:color w:val="000000"/>
              </w:rPr>
            </w:pPr>
            <w:r w:rsidRPr="00545318">
              <w:rPr>
                <w:rFonts w:ascii="Calibri" w:hAnsi="Calibri"/>
                <w:color w:val="000000"/>
              </w:rPr>
              <w:t>-172.4</w:t>
            </w:r>
          </w:p>
        </w:tc>
        <w:tc>
          <w:tcPr>
            <w:tcW w:w="619" w:type="pct"/>
            <w:tcBorders>
              <w:top w:val="single" w:sz="4" w:space="0" w:color="4F81BD" w:themeColor="accent1"/>
            </w:tcBorders>
            <w:vAlign w:val="bottom"/>
          </w:tcPr>
          <w:p w14:paraId="1886ACAD" w14:textId="77777777" w:rsidR="003E4F70" w:rsidRPr="00545318" w:rsidRDefault="003E4F70" w:rsidP="002A0D3F">
            <w:pPr>
              <w:keepNext/>
              <w:jc w:val="right"/>
              <w:rPr>
                <w:rFonts w:ascii="Calibri" w:hAnsi="Calibri"/>
                <w:color w:val="000000"/>
              </w:rPr>
            </w:pPr>
            <w:r w:rsidRPr="00545318">
              <w:rPr>
                <w:rFonts w:ascii="Calibri" w:hAnsi="Calibri"/>
                <w:color w:val="000000"/>
              </w:rPr>
              <w:t>-173.9</w:t>
            </w:r>
          </w:p>
        </w:tc>
        <w:tc>
          <w:tcPr>
            <w:tcW w:w="619" w:type="pct"/>
            <w:tcBorders>
              <w:top w:val="single" w:sz="4" w:space="0" w:color="4F81BD" w:themeColor="accent1"/>
            </w:tcBorders>
            <w:vAlign w:val="bottom"/>
          </w:tcPr>
          <w:p w14:paraId="019B38F3" w14:textId="77777777" w:rsidR="003E4F70" w:rsidRPr="00545318" w:rsidRDefault="003E4F70" w:rsidP="002A0D3F">
            <w:pPr>
              <w:keepNext/>
              <w:jc w:val="right"/>
              <w:rPr>
                <w:rFonts w:ascii="Calibri" w:hAnsi="Calibri"/>
                <w:color w:val="000000"/>
              </w:rPr>
            </w:pPr>
            <w:r w:rsidRPr="00545318">
              <w:rPr>
                <w:rFonts w:ascii="Calibri" w:hAnsi="Calibri"/>
                <w:color w:val="000000"/>
              </w:rPr>
              <w:t>-174.7</w:t>
            </w:r>
          </w:p>
        </w:tc>
      </w:tr>
      <w:tr w:rsidR="003E4F70" w:rsidRPr="00545318" w14:paraId="56158014" w14:textId="77777777" w:rsidTr="002A0D3F">
        <w:tc>
          <w:tcPr>
            <w:tcW w:w="1904" w:type="pct"/>
          </w:tcPr>
          <w:p w14:paraId="6A861346" w14:textId="77777777" w:rsidR="003E4F70" w:rsidRPr="00545318" w:rsidRDefault="003E4F70" w:rsidP="00CA2191">
            <w:pPr>
              <w:keepNext/>
            </w:pPr>
            <w:r w:rsidRPr="00545318">
              <w:t>Manufacturing</w:t>
            </w:r>
            <w:r w:rsidR="001F20B8" w:rsidRPr="00545318">
              <w:t xml:space="preserve"> ($m)</w:t>
            </w:r>
          </w:p>
        </w:tc>
        <w:tc>
          <w:tcPr>
            <w:tcW w:w="619" w:type="pct"/>
            <w:vAlign w:val="bottom"/>
          </w:tcPr>
          <w:p w14:paraId="349E5A25" w14:textId="77777777" w:rsidR="003E4F70" w:rsidRPr="00545318" w:rsidRDefault="003E4F70" w:rsidP="002A0D3F">
            <w:pPr>
              <w:keepNext/>
              <w:jc w:val="right"/>
              <w:rPr>
                <w:rFonts w:ascii="Calibri" w:hAnsi="Calibri"/>
                <w:color w:val="000000"/>
              </w:rPr>
            </w:pPr>
            <w:r w:rsidRPr="00545318">
              <w:rPr>
                <w:rFonts w:ascii="Calibri" w:hAnsi="Calibri"/>
                <w:color w:val="000000"/>
              </w:rPr>
              <w:t>114.8</w:t>
            </w:r>
          </w:p>
        </w:tc>
        <w:tc>
          <w:tcPr>
            <w:tcW w:w="619" w:type="pct"/>
            <w:vAlign w:val="bottom"/>
          </w:tcPr>
          <w:p w14:paraId="39F4FEA1" w14:textId="77777777" w:rsidR="003E4F70" w:rsidRPr="00545318" w:rsidRDefault="003E4F70" w:rsidP="002A0D3F">
            <w:pPr>
              <w:keepNext/>
              <w:jc w:val="right"/>
              <w:rPr>
                <w:rFonts w:ascii="Calibri" w:hAnsi="Calibri"/>
                <w:color w:val="000000"/>
              </w:rPr>
            </w:pPr>
            <w:r w:rsidRPr="00545318">
              <w:rPr>
                <w:rFonts w:ascii="Calibri" w:hAnsi="Calibri"/>
                <w:color w:val="000000"/>
              </w:rPr>
              <w:t>126.0</w:t>
            </w:r>
          </w:p>
        </w:tc>
        <w:tc>
          <w:tcPr>
            <w:tcW w:w="619" w:type="pct"/>
            <w:vAlign w:val="bottom"/>
          </w:tcPr>
          <w:p w14:paraId="06D94161" w14:textId="77777777" w:rsidR="003E4F70" w:rsidRPr="00545318" w:rsidRDefault="003E4F70" w:rsidP="002A0D3F">
            <w:pPr>
              <w:keepNext/>
              <w:jc w:val="right"/>
              <w:rPr>
                <w:rFonts w:ascii="Calibri" w:hAnsi="Calibri"/>
                <w:color w:val="000000"/>
              </w:rPr>
            </w:pPr>
            <w:r w:rsidRPr="00545318">
              <w:rPr>
                <w:rFonts w:ascii="Calibri" w:hAnsi="Calibri"/>
                <w:color w:val="000000"/>
              </w:rPr>
              <w:t>134.3</w:t>
            </w:r>
          </w:p>
        </w:tc>
        <w:tc>
          <w:tcPr>
            <w:tcW w:w="619" w:type="pct"/>
            <w:vAlign w:val="bottom"/>
          </w:tcPr>
          <w:p w14:paraId="57ADE660" w14:textId="77777777" w:rsidR="003E4F70" w:rsidRPr="00545318" w:rsidRDefault="003E4F70" w:rsidP="002A0D3F">
            <w:pPr>
              <w:keepNext/>
              <w:jc w:val="right"/>
              <w:rPr>
                <w:rFonts w:ascii="Calibri" w:hAnsi="Calibri"/>
                <w:color w:val="000000"/>
              </w:rPr>
            </w:pPr>
            <w:r w:rsidRPr="00545318">
              <w:rPr>
                <w:rFonts w:ascii="Calibri" w:hAnsi="Calibri"/>
                <w:color w:val="000000"/>
              </w:rPr>
              <w:t>140.4</w:t>
            </w:r>
          </w:p>
        </w:tc>
        <w:tc>
          <w:tcPr>
            <w:tcW w:w="619" w:type="pct"/>
            <w:vAlign w:val="bottom"/>
          </w:tcPr>
          <w:p w14:paraId="456BDD4C" w14:textId="77777777" w:rsidR="003E4F70" w:rsidRPr="00545318" w:rsidRDefault="003E4F70" w:rsidP="002A0D3F">
            <w:pPr>
              <w:keepNext/>
              <w:jc w:val="right"/>
              <w:rPr>
                <w:rFonts w:ascii="Calibri" w:hAnsi="Calibri"/>
                <w:color w:val="000000"/>
              </w:rPr>
            </w:pPr>
            <w:r w:rsidRPr="00545318">
              <w:rPr>
                <w:rFonts w:ascii="Calibri" w:hAnsi="Calibri"/>
                <w:color w:val="000000"/>
              </w:rPr>
              <w:t>144.7</w:t>
            </w:r>
          </w:p>
        </w:tc>
      </w:tr>
      <w:tr w:rsidR="003E4F70" w:rsidRPr="00545318" w14:paraId="230A1B29" w14:textId="77777777" w:rsidTr="002A0D3F">
        <w:tc>
          <w:tcPr>
            <w:tcW w:w="1904" w:type="pct"/>
            <w:tcBorders>
              <w:bottom w:val="single" w:sz="12" w:space="0" w:color="4F81BD" w:themeColor="accent1"/>
            </w:tcBorders>
          </w:tcPr>
          <w:p w14:paraId="11DF6672" w14:textId="77777777" w:rsidR="003E4F70" w:rsidRPr="00545318" w:rsidRDefault="003E4F70" w:rsidP="00CA2191">
            <w:pPr>
              <w:keepNext/>
            </w:pPr>
            <w:r w:rsidRPr="00545318">
              <w:t>Construction</w:t>
            </w:r>
            <w:r w:rsidR="001F20B8" w:rsidRPr="00545318">
              <w:t xml:space="preserve"> ($m)</w:t>
            </w:r>
          </w:p>
        </w:tc>
        <w:tc>
          <w:tcPr>
            <w:tcW w:w="619" w:type="pct"/>
            <w:tcBorders>
              <w:bottom w:val="single" w:sz="12" w:space="0" w:color="4F81BD" w:themeColor="accent1"/>
            </w:tcBorders>
            <w:vAlign w:val="bottom"/>
          </w:tcPr>
          <w:p w14:paraId="4269DB76" w14:textId="77777777" w:rsidR="003E4F70" w:rsidRPr="00545318" w:rsidRDefault="003E4F70" w:rsidP="002A0D3F">
            <w:pPr>
              <w:keepNext/>
              <w:jc w:val="right"/>
              <w:rPr>
                <w:rFonts w:ascii="Calibri" w:hAnsi="Calibri"/>
                <w:color w:val="000000"/>
              </w:rPr>
            </w:pPr>
            <w:r w:rsidRPr="00545318">
              <w:rPr>
                <w:rFonts w:ascii="Calibri" w:hAnsi="Calibri"/>
                <w:color w:val="000000"/>
              </w:rPr>
              <w:t>76.4</w:t>
            </w:r>
          </w:p>
        </w:tc>
        <w:tc>
          <w:tcPr>
            <w:tcW w:w="619" w:type="pct"/>
            <w:tcBorders>
              <w:bottom w:val="single" w:sz="12" w:space="0" w:color="4F81BD" w:themeColor="accent1"/>
            </w:tcBorders>
            <w:vAlign w:val="bottom"/>
          </w:tcPr>
          <w:p w14:paraId="7215129C" w14:textId="77777777" w:rsidR="003E4F70" w:rsidRPr="00545318" w:rsidRDefault="003E4F70" w:rsidP="002A0D3F">
            <w:pPr>
              <w:keepNext/>
              <w:jc w:val="right"/>
              <w:rPr>
                <w:rFonts w:ascii="Calibri" w:hAnsi="Calibri"/>
                <w:color w:val="000000"/>
              </w:rPr>
            </w:pPr>
            <w:r w:rsidRPr="00545318">
              <w:rPr>
                <w:rFonts w:ascii="Calibri" w:hAnsi="Calibri"/>
                <w:color w:val="000000"/>
              </w:rPr>
              <w:t>60.0</w:t>
            </w:r>
          </w:p>
        </w:tc>
        <w:tc>
          <w:tcPr>
            <w:tcW w:w="619" w:type="pct"/>
            <w:tcBorders>
              <w:bottom w:val="single" w:sz="12" w:space="0" w:color="4F81BD" w:themeColor="accent1"/>
            </w:tcBorders>
            <w:vAlign w:val="bottom"/>
          </w:tcPr>
          <w:p w14:paraId="2D77D539" w14:textId="77777777" w:rsidR="003E4F70" w:rsidRPr="00545318" w:rsidRDefault="003E4F70" w:rsidP="002A0D3F">
            <w:pPr>
              <w:keepNext/>
              <w:jc w:val="right"/>
              <w:rPr>
                <w:rFonts w:ascii="Calibri" w:hAnsi="Calibri"/>
                <w:color w:val="000000"/>
              </w:rPr>
            </w:pPr>
            <w:r w:rsidRPr="00545318">
              <w:rPr>
                <w:rFonts w:ascii="Calibri" w:hAnsi="Calibri"/>
                <w:color w:val="000000"/>
              </w:rPr>
              <w:t>51.2</w:t>
            </w:r>
          </w:p>
        </w:tc>
        <w:tc>
          <w:tcPr>
            <w:tcW w:w="619" w:type="pct"/>
            <w:tcBorders>
              <w:bottom w:val="single" w:sz="12" w:space="0" w:color="4F81BD" w:themeColor="accent1"/>
            </w:tcBorders>
            <w:vAlign w:val="bottom"/>
          </w:tcPr>
          <w:p w14:paraId="693BAA92" w14:textId="77777777" w:rsidR="003E4F70" w:rsidRPr="00545318" w:rsidRDefault="003E4F70" w:rsidP="002A0D3F">
            <w:pPr>
              <w:keepNext/>
              <w:jc w:val="right"/>
              <w:rPr>
                <w:rFonts w:ascii="Calibri" w:hAnsi="Calibri"/>
                <w:color w:val="000000"/>
              </w:rPr>
            </w:pPr>
            <w:r w:rsidRPr="00545318">
              <w:rPr>
                <w:rFonts w:ascii="Calibri" w:hAnsi="Calibri"/>
                <w:color w:val="000000"/>
              </w:rPr>
              <w:t>46.1</w:t>
            </w:r>
          </w:p>
        </w:tc>
        <w:tc>
          <w:tcPr>
            <w:tcW w:w="619" w:type="pct"/>
            <w:tcBorders>
              <w:bottom w:val="single" w:sz="12" w:space="0" w:color="4F81BD" w:themeColor="accent1"/>
            </w:tcBorders>
            <w:vAlign w:val="bottom"/>
          </w:tcPr>
          <w:p w14:paraId="310B8C17" w14:textId="77777777" w:rsidR="003E4F70" w:rsidRPr="00545318" w:rsidRDefault="003E4F70" w:rsidP="002A0D3F">
            <w:pPr>
              <w:keepNext/>
              <w:jc w:val="right"/>
              <w:rPr>
                <w:rFonts w:ascii="Calibri" w:hAnsi="Calibri"/>
                <w:color w:val="000000"/>
              </w:rPr>
            </w:pPr>
            <w:r w:rsidRPr="00545318">
              <w:rPr>
                <w:rFonts w:ascii="Calibri" w:hAnsi="Calibri"/>
                <w:color w:val="000000"/>
              </w:rPr>
              <w:t>42.0</w:t>
            </w:r>
          </w:p>
        </w:tc>
      </w:tr>
      <w:tr w:rsidR="003E4F70" w:rsidRPr="00545318" w14:paraId="72855EE2" w14:textId="77777777" w:rsidTr="003E4F70">
        <w:tc>
          <w:tcPr>
            <w:tcW w:w="1904" w:type="pct"/>
            <w:tcBorders>
              <w:top w:val="single" w:sz="12" w:space="0" w:color="4F81BD" w:themeColor="accent1"/>
              <w:bottom w:val="single" w:sz="12" w:space="0" w:color="4F81BD" w:themeColor="accent1"/>
            </w:tcBorders>
          </w:tcPr>
          <w:p w14:paraId="55C0AE56" w14:textId="77777777" w:rsidR="003E4F70" w:rsidRPr="00545318" w:rsidRDefault="003E4F70" w:rsidP="00CA2191">
            <w:pPr>
              <w:keepNext/>
              <w:rPr>
                <w:b/>
              </w:rPr>
            </w:pPr>
            <w:r w:rsidRPr="00545318">
              <w:rPr>
                <w:b/>
              </w:rPr>
              <w:t>Scenario 2</w:t>
            </w:r>
          </w:p>
        </w:tc>
        <w:tc>
          <w:tcPr>
            <w:tcW w:w="619" w:type="pct"/>
            <w:tcBorders>
              <w:top w:val="single" w:sz="12" w:space="0" w:color="4F81BD" w:themeColor="accent1"/>
              <w:bottom w:val="single" w:sz="12" w:space="0" w:color="4F81BD" w:themeColor="accent1"/>
            </w:tcBorders>
          </w:tcPr>
          <w:p w14:paraId="5BED0D28" w14:textId="77777777" w:rsidR="003E4F70" w:rsidRPr="00545318" w:rsidRDefault="008F64F0" w:rsidP="00CA2191">
            <w:pPr>
              <w:keepNext/>
              <w:jc w:val="right"/>
              <w:rPr>
                <w:b/>
              </w:rPr>
            </w:pPr>
            <w:r w:rsidRPr="00545318">
              <w:rPr>
                <w:b/>
              </w:rPr>
              <w:t>2016/17</w:t>
            </w:r>
          </w:p>
        </w:tc>
        <w:tc>
          <w:tcPr>
            <w:tcW w:w="619" w:type="pct"/>
            <w:tcBorders>
              <w:top w:val="single" w:sz="12" w:space="0" w:color="4F81BD" w:themeColor="accent1"/>
              <w:bottom w:val="single" w:sz="12" w:space="0" w:color="4F81BD" w:themeColor="accent1"/>
            </w:tcBorders>
            <w:vAlign w:val="center"/>
          </w:tcPr>
          <w:p w14:paraId="301E914C" w14:textId="77777777" w:rsidR="003E4F70" w:rsidRPr="00545318" w:rsidRDefault="003E4F70"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1FB8DB51" w14:textId="77777777" w:rsidR="003E4F70" w:rsidRPr="00545318" w:rsidRDefault="003E4F70"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11C26993" w14:textId="77777777" w:rsidR="003E4F70" w:rsidRPr="00545318" w:rsidRDefault="003E4F70" w:rsidP="00CA2191">
            <w:pPr>
              <w:keepNext/>
              <w:jc w:val="right"/>
              <w:rPr>
                <w:b/>
              </w:rPr>
            </w:pPr>
            <w:r w:rsidRPr="00545318">
              <w:rPr>
                <w:b/>
              </w:rPr>
              <w:t>2019/20</w:t>
            </w:r>
          </w:p>
        </w:tc>
        <w:tc>
          <w:tcPr>
            <w:tcW w:w="619" w:type="pct"/>
            <w:tcBorders>
              <w:top w:val="single" w:sz="12" w:space="0" w:color="4F81BD" w:themeColor="accent1"/>
              <w:bottom w:val="single" w:sz="12" w:space="0" w:color="4F81BD" w:themeColor="accent1"/>
            </w:tcBorders>
            <w:vAlign w:val="center"/>
          </w:tcPr>
          <w:p w14:paraId="6A58FA40" w14:textId="77777777" w:rsidR="003E4F70" w:rsidRPr="00545318" w:rsidRDefault="003E4F70" w:rsidP="00CA2191">
            <w:pPr>
              <w:keepNext/>
              <w:jc w:val="right"/>
              <w:rPr>
                <w:b/>
              </w:rPr>
            </w:pPr>
            <w:r w:rsidRPr="00545318">
              <w:rPr>
                <w:b/>
              </w:rPr>
              <w:t>2020/21</w:t>
            </w:r>
          </w:p>
        </w:tc>
      </w:tr>
      <w:tr w:rsidR="003E4F70" w:rsidRPr="00545318" w14:paraId="2518E3E6" w14:textId="77777777" w:rsidTr="003E4F70">
        <w:tc>
          <w:tcPr>
            <w:tcW w:w="1904" w:type="pct"/>
            <w:tcBorders>
              <w:top w:val="single" w:sz="12" w:space="0" w:color="4F81BD" w:themeColor="accent1"/>
              <w:bottom w:val="single" w:sz="4" w:space="0" w:color="4F81BD" w:themeColor="accent1"/>
            </w:tcBorders>
            <w:vAlign w:val="center"/>
          </w:tcPr>
          <w:p w14:paraId="01960B0D" w14:textId="77777777" w:rsidR="003E4F70" w:rsidRPr="00545318" w:rsidRDefault="003E4F70" w:rsidP="00CA2191">
            <w:pPr>
              <w:keepNext/>
              <w:jc w:val="center"/>
              <w:rPr>
                <w:b/>
              </w:rPr>
            </w:pPr>
            <w:r w:rsidRPr="00545318">
              <w:rPr>
                <w:b/>
              </w:rPr>
              <w:t>Key macro results</w:t>
            </w:r>
          </w:p>
        </w:tc>
        <w:tc>
          <w:tcPr>
            <w:tcW w:w="619" w:type="pct"/>
            <w:tcBorders>
              <w:top w:val="single" w:sz="12" w:space="0" w:color="4F81BD" w:themeColor="accent1"/>
              <w:bottom w:val="single" w:sz="4" w:space="0" w:color="4F81BD" w:themeColor="accent1"/>
            </w:tcBorders>
          </w:tcPr>
          <w:p w14:paraId="7432AA71"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56C19E25"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5CDCE8CD"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21DBE7E0"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0C5B4954" w14:textId="77777777" w:rsidR="003E4F70" w:rsidRPr="00545318" w:rsidRDefault="003E4F70" w:rsidP="00CA2191">
            <w:pPr>
              <w:keepNext/>
              <w:jc w:val="center"/>
            </w:pPr>
          </w:p>
        </w:tc>
      </w:tr>
      <w:tr w:rsidR="003E4F70" w:rsidRPr="00545318" w14:paraId="07EEFFCB" w14:textId="77777777" w:rsidTr="002A0D3F">
        <w:tc>
          <w:tcPr>
            <w:tcW w:w="1904" w:type="pct"/>
            <w:tcBorders>
              <w:top w:val="single" w:sz="4" w:space="0" w:color="4F81BD" w:themeColor="accent1"/>
            </w:tcBorders>
          </w:tcPr>
          <w:p w14:paraId="46EBB3DD" w14:textId="77777777" w:rsidR="003E4F70" w:rsidRPr="00545318" w:rsidRDefault="003E4F70" w:rsidP="00CA2191">
            <w:pPr>
              <w:keepNext/>
            </w:pPr>
            <w:r w:rsidRPr="00545318">
              <w:t>Real GDP</w:t>
            </w:r>
            <w:r w:rsidR="001F20B8" w:rsidRPr="00545318">
              <w:t>($m)</w:t>
            </w:r>
          </w:p>
        </w:tc>
        <w:tc>
          <w:tcPr>
            <w:tcW w:w="619" w:type="pct"/>
            <w:tcBorders>
              <w:top w:val="single" w:sz="4" w:space="0" w:color="4F81BD" w:themeColor="accent1"/>
            </w:tcBorders>
            <w:vAlign w:val="bottom"/>
          </w:tcPr>
          <w:p w14:paraId="5B5FFFCC" w14:textId="77777777" w:rsidR="003E4F70" w:rsidRPr="00545318" w:rsidRDefault="003E4F70" w:rsidP="002A0D3F">
            <w:pPr>
              <w:keepNext/>
              <w:jc w:val="right"/>
              <w:rPr>
                <w:rFonts w:ascii="Calibri" w:hAnsi="Calibri"/>
                <w:color w:val="000000"/>
              </w:rPr>
            </w:pPr>
            <w:r w:rsidRPr="00545318">
              <w:rPr>
                <w:rFonts w:ascii="Calibri" w:hAnsi="Calibri"/>
                <w:color w:val="000000"/>
              </w:rPr>
              <w:t>64.8</w:t>
            </w:r>
          </w:p>
        </w:tc>
        <w:tc>
          <w:tcPr>
            <w:tcW w:w="619" w:type="pct"/>
            <w:tcBorders>
              <w:top w:val="single" w:sz="4" w:space="0" w:color="4F81BD" w:themeColor="accent1"/>
            </w:tcBorders>
            <w:vAlign w:val="bottom"/>
          </w:tcPr>
          <w:p w14:paraId="0CE51F23" w14:textId="77777777" w:rsidR="003E4F70" w:rsidRPr="00545318" w:rsidRDefault="003E4F70" w:rsidP="002A0D3F">
            <w:pPr>
              <w:keepNext/>
              <w:jc w:val="right"/>
              <w:rPr>
                <w:rFonts w:ascii="Calibri" w:hAnsi="Calibri"/>
                <w:color w:val="000000"/>
              </w:rPr>
            </w:pPr>
            <w:r w:rsidRPr="00545318">
              <w:rPr>
                <w:rFonts w:ascii="Calibri" w:hAnsi="Calibri"/>
                <w:color w:val="000000"/>
              </w:rPr>
              <w:t>23.6</w:t>
            </w:r>
          </w:p>
        </w:tc>
        <w:tc>
          <w:tcPr>
            <w:tcW w:w="619" w:type="pct"/>
            <w:tcBorders>
              <w:top w:val="single" w:sz="4" w:space="0" w:color="4F81BD" w:themeColor="accent1"/>
            </w:tcBorders>
            <w:vAlign w:val="bottom"/>
          </w:tcPr>
          <w:p w14:paraId="4CE83604" w14:textId="77777777" w:rsidR="003E4F70" w:rsidRPr="00545318" w:rsidRDefault="003E4F70" w:rsidP="002A0D3F">
            <w:pPr>
              <w:keepNext/>
              <w:jc w:val="right"/>
              <w:rPr>
                <w:rFonts w:ascii="Calibri" w:hAnsi="Calibri"/>
                <w:color w:val="000000"/>
              </w:rPr>
            </w:pPr>
            <w:r w:rsidRPr="00545318">
              <w:rPr>
                <w:rFonts w:ascii="Calibri" w:hAnsi="Calibri"/>
                <w:color w:val="000000"/>
              </w:rPr>
              <w:t>25.8</w:t>
            </w:r>
          </w:p>
        </w:tc>
        <w:tc>
          <w:tcPr>
            <w:tcW w:w="619" w:type="pct"/>
            <w:tcBorders>
              <w:top w:val="single" w:sz="4" w:space="0" w:color="4F81BD" w:themeColor="accent1"/>
            </w:tcBorders>
            <w:vAlign w:val="bottom"/>
          </w:tcPr>
          <w:p w14:paraId="036D090E" w14:textId="77777777" w:rsidR="003E4F70" w:rsidRPr="00545318" w:rsidRDefault="003E4F70" w:rsidP="002A0D3F">
            <w:pPr>
              <w:keepNext/>
              <w:jc w:val="right"/>
              <w:rPr>
                <w:rFonts w:ascii="Calibri" w:hAnsi="Calibri"/>
                <w:color w:val="000000"/>
              </w:rPr>
            </w:pPr>
            <w:r w:rsidRPr="00545318">
              <w:rPr>
                <w:rFonts w:ascii="Calibri" w:hAnsi="Calibri"/>
                <w:color w:val="000000"/>
              </w:rPr>
              <w:t>26.5</w:t>
            </w:r>
          </w:p>
        </w:tc>
        <w:tc>
          <w:tcPr>
            <w:tcW w:w="619" w:type="pct"/>
            <w:tcBorders>
              <w:top w:val="single" w:sz="4" w:space="0" w:color="4F81BD" w:themeColor="accent1"/>
            </w:tcBorders>
            <w:vAlign w:val="bottom"/>
          </w:tcPr>
          <w:p w14:paraId="09010A26" w14:textId="77777777" w:rsidR="003E4F70" w:rsidRPr="00545318" w:rsidRDefault="003E4F70" w:rsidP="002A0D3F">
            <w:pPr>
              <w:keepNext/>
              <w:jc w:val="right"/>
              <w:rPr>
                <w:rFonts w:ascii="Calibri" w:hAnsi="Calibri"/>
                <w:color w:val="000000"/>
              </w:rPr>
            </w:pPr>
            <w:r w:rsidRPr="00545318">
              <w:rPr>
                <w:rFonts w:ascii="Calibri" w:hAnsi="Calibri"/>
                <w:color w:val="000000"/>
              </w:rPr>
              <w:t>26.7</w:t>
            </w:r>
          </w:p>
        </w:tc>
      </w:tr>
      <w:tr w:rsidR="003E4F70" w:rsidRPr="00545318" w14:paraId="244F293E" w14:textId="77777777" w:rsidTr="002A0D3F">
        <w:tc>
          <w:tcPr>
            <w:tcW w:w="1904" w:type="pct"/>
          </w:tcPr>
          <w:p w14:paraId="76D7B3C2" w14:textId="77777777" w:rsidR="003E4F70" w:rsidRPr="00545318" w:rsidRDefault="003E4F70" w:rsidP="00CA2191">
            <w:pPr>
              <w:keepNext/>
            </w:pPr>
            <w:r w:rsidRPr="00545318">
              <w:t>Real GNP</w:t>
            </w:r>
            <w:r w:rsidR="001F20B8" w:rsidRPr="00545318">
              <w:t xml:space="preserve"> ($m)</w:t>
            </w:r>
          </w:p>
        </w:tc>
        <w:tc>
          <w:tcPr>
            <w:tcW w:w="619" w:type="pct"/>
            <w:vAlign w:val="bottom"/>
          </w:tcPr>
          <w:p w14:paraId="4C180F57" w14:textId="77777777" w:rsidR="003E4F70" w:rsidRPr="00545318" w:rsidRDefault="003E4F70" w:rsidP="002A0D3F">
            <w:pPr>
              <w:keepNext/>
              <w:jc w:val="right"/>
              <w:rPr>
                <w:rFonts w:ascii="Calibri" w:hAnsi="Calibri"/>
                <w:color w:val="000000"/>
              </w:rPr>
            </w:pPr>
            <w:r w:rsidRPr="00545318">
              <w:rPr>
                <w:rFonts w:ascii="Calibri" w:hAnsi="Calibri"/>
                <w:color w:val="000000"/>
              </w:rPr>
              <w:t>115.4</w:t>
            </w:r>
          </w:p>
        </w:tc>
        <w:tc>
          <w:tcPr>
            <w:tcW w:w="619" w:type="pct"/>
            <w:vAlign w:val="bottom"/>
          </w:tcPr>
          <w:p w14:paraId="52114BCE" w14:textId="77777777" w:rsidR="003E4F70" w:rsidRPr="00545318" w:rsidRDefault="003E4F70" w:rsidP="002A0D3F">
            <w:pPr>
              <w:keepNext/>
              <w:jc w:val="right"/>
              <w:rPr>
                <w:rFonts w:ascii="Calibri" w:hAnsi="Calibri"/>
                <w:color w:val="000000"/>
              </w:rPr>
            </w:pPr>
            <w:r w:rsidRPr="00545318">
              <w:rPr>
                <w:rFonts w:ascii="Calibri" w:hAnsi="Calibri"/>
                <w:color w:val="000000"/>
              </w:rPr>
              <w:t>67.2</w:t>
            </w:r>
          </w:p>
        </w:tc>
        <w:tc>
          <w:tcPr>
            <w:tcW w:w="619" w:type="pct"/>
            <w:vAlign w:val="bottom"/>
          </w:tcPr>
          <w:p w14:paraId="7C95F772" w14:textId="77777777" w:rsidR="003E4F70" w:rsidRPr="00545318" w:rsidRDefault="003E4F70" w:rsidP="002A0D3F">
            <w:pPr>
              <w:keepNext/>
              <w:jc w:val="right"/>
              <w:rPr>
                <w:rFonts w:ascii="Calibri" w:hAnsi="Calibri"/>
                <w:color w:val="000000"/>
              </w:rPr>
            </w:pPr>
            <w:r w:rsidRPr="00545318">
              <w:rPr>
                <w:rFonts w:ascii="Calibri" w:hAnsi="Calibri"/>
                <w:color w:val="000000"/>
              </w:rPr>
              <w:t>79.9</w:t>
            </w:r>
          </w:p>
        </w:tc>
        <w:tc>
          <w:tcPr>
            <w:tcW w:w="619" w:type="pct"/>
            <w:vAlign w:val="bottom"/>
          </w:tcPr>
          <w:p w14:paraId="2042D9E9" w14:textId="77777777" w:rsidR="003E4F70" w:rsidRPr="00545318" w:rsidRDefault="003E4F70" w:rsidP="002A0D3F">
            <w:pPr>
              <w:keepNext/>
              <w:jc w:val="right"/>
              <w:rPr>
                <w:rFonts w:ascii="Calibri" w:hAnsi="Calibri"/>
                <w:color w:val="000000"/>
              </w:rPr>
            </w:pPr>
            <w:r w:rsidRPr="00545318">
              <w:rPr>
                <w:rFonts w:ascii="Calibri" w:hAnsi="Calibri"/>
                <w:color w:val="000000"/>
              </w:rPr>
              <w:t>87.1</w:t>
            </w:r>
          </w:p>
        </w:tc>
        <w:tc>
          <w:tcPr>
            <w:tcW w:w="619" w:type="pct"/>
            <w:vAlign w:val="bottom"/>
          </w:tcPr>
          <w:p w14:paraId="3FAE7F1C" w14:textId="77777777" w:rsidR="003E4F70" w:rsidRPr="00545318" w:rsidRDefault="003E4F70" w:rsidP="002A0D3F">
            <w:pPr>
              <w:keepNext/>
              <w:jc w:val="right"/>
              <w:rPr>
                <w:rFonts w:ascii="Calibri" w:hAnsi="Calibri"/>
                <w:color w:val="000000"/>
              </w:rPr>
            </w:pPr>
            <w:r w:rsidRPr="00545318">
              <w:rPr>
                <w:rFonts w:ascii="Calibri" w:hAnsi="Calibri"/>
                <w:color w:val="000000"/>
              </w:rPr>
              <w:t>91.4</w:t>
            </w:r>
          </w:p>
        </w:tc>
      </w:tr>
      <w:tr w:rsidR="003E4F70" w:rsidRPr="00545318" w14:paraId="2CB9F293" w14:textId="77777777" w:rsidTr="002A0D3F">
        <w:tc>
          <w:tcPr>
            <w:tcW w:w="1904" w:type="pct"/>
          </w:tcPr>
          <w:p w14:paraId="0BEE01B9" w14:textId="77777777" w:rsidR="003E4F70" w:rsidRPr="00545318" w:rsidRDefault="003E4F70" w:rsidP="00CA2191">
            <w:pPr>
              <w:keepNext/>
            </w:pPr>
            <w:r w:rsidRPr="00545318">
              <w:t>Employment (FTE)</w:t>
            </w:r>
          </w:p>
        </w:tc>
        <w:tc>
          <w:tcPr>
            <w:tcW w:w="619" w:type="pct"/>
            <w:vAlign w:val="bottom"/>
          </w:tcPr>
          <w:p w14:paraId="44C4D3A6" w14:textId="77777777" w:rsidR="003E4F70" w:rsidRPr="00545318" w:rsidRDefault="003E4F70" w:rsidP="002A0D3F">
            <w:pPr>
              <w:keepNext/>
              <w:jc w:val="right"/>
              <w:rPr>
                <w:rFonts w:ascii="Calibri" w:hAnsi="Calibri"/>
                <w:color w:val="000000"/>
              </w:rPr>
            </w:pPr>
            <w:r w:rsidRPr="00545318">
              <w:rPr>
                <w:rFonts w:ascii="Calibri" w:hAnsi="Calibri"/>
                <w:color w:val="000000"/>
              </w:rPr>
              <w:t>78.2</w:t>
            </w:r>
          </w:p>
        </w:tc>
        <w:tc>
          <w:tcPr>
            <w:tcW w:w="619" w:type="pct"/>
            <w:vAlign w:val="bottom"/>
          </w:tcPr>
          <w:p w14:paraId="4DF85F0C" w14:textId="77777777" w:rsidR="003E4F70" w:rsidRPr="00545318" w:rsidRDefault="003E4F70" w:rsidP="002A0D3F">
            <w:pPr>
              <w:keepNext/>
              <w:jc w:val="right"/>
              <w:rPr>
                <w:rFonts w:ascii="Calibri" w:hAnsi="Calibri"/>
                <w:color w:val="000000"/>
              </w:rPr>
            </w:pPr>
            <w:r w:rsidRPr="00545318">
              <w:rPr>
                <w:rFonts w:ascii="Calibri" w:hAnsi="Calibri"/>
                <w:color w:val="000000"/>
              </w:rPr>
              <w:t>-15.2</w:t>
            </w:r>
          </w:p>
        </w:tc>
        <w:tc>
          <w:tcPr>
            <w:tcW w:w="619" w:type="pct"/>
            <w:vAlign w:val="bottom"/>
          </w:tcPr>
          <w:p w14:paraId="4C631DBC" w14:textId="77777777" w:rsidR="003E4F70" w:rsidRPr="00545318" w:rsidRDefault="003E4F70" w:rsidP="002A0D3F">
            <w:pPr>
              <w:keepNext/>
              <w:jc w:val="right"/>
              <w:rPr>
                <w:rFonts w:ascii="Calibri" w:hAnsi="Calibri"/>
                <w:color w:val="000000"/>
              </w:rPr>
            </w:pPr>
            <w:r w:rsidRPr="00545318">
              <w:rPr>
                <w:rFonts w:ascii="Calibri" w:hAnsi="Calibri"/>
                <w:color w:val="000000"/>
              </w:rPr>
              <w:t>-0.8</w:t>
            </w:r>
          </w:p>
        </w:tc>
        <w:tc>
          <w:tcPr>
            <w:tcW w:w="619" w:type="pct"/>
            <w:vAlign w:val="bottom"/>
          </w:tcPr>
          <w:p w14:paraId="11788EFD" w14:textId="77777777" w:rsidR="003E4F70" w:rsidRPr="00545318" w:rsidRDefault="003E4F70" w:rsidP="002A0D3F">
            <w:pPr>
              <w:keepNext/>
              <w:jc w:val="right"/>
              <w:rPr>
                <w:rFonts w:ascii="Calibri" w:hAnsi="Calibri"/>
                <w:color w:val="000000"/>
              </w:rPr>
            </w:pPr>
            <w:r w:rsidRPr="00545318">
              <w:rPr>
                <w:rFonts w:ascii="Calibri" w:hAnsi="Calibri"/>
                <w:color w:val="000000"/>
              </w:rPr>
              <w:t>5.9</w:t>
            </w:r>
          </w:p>
        </w:tc>
        <w:tc>
          <w:tcPr>
            <w:tcW w:w="619" w:type="pct"/>
            <w:vAlign w:val="bottom"/>
          </w:tcPr>
          <w:p w14:paraId="591243A5" w14:textId="77777777" w:rsidR="003E4F70" w:rsidRPr="00545318" w:rsidRDefault="003E4F70" w:rsidP="002A0D3F">
            <w:pPr>
              <w:keepNext/>
              <w:jc w:val="right"/>
              <w:rPr>
                <w:rFonts w:ascii="Calibri" w:hAnsi="Calibri"/>
                <w:color w:val="000000"/>
              </w:rPr>
            </w:pPr>
            <w:r w:rsidRPr="00545318">
              <w:rPr>
                <w:rFonts w:ascii="Calibri" w:hAnsi="Calibri"/>
                <w:color w:val="000000"/>
              </w:rPr>
              <w:t>9.3</w:t>
            </w:r>
          </w:p>
        </w:tc>
      </w:tr>
      <w:tr w:rsidR="003E4F70" w:rsidRPr="00545318" w14:paraId="55A33F2F" w14:textId="77777777" w:rsidTr="002A0D3F">
        <w:tc>
          <w:tcPr>
            <w:tcW w:w="1904" w:type="pct"/>
          </w:tcPr>
          <w:p w14:paraId="749BBEE0" w14:textId="77777777" w:rsidR="003E4F70" w:rsidRPr="00545318" w:rsidRDefault="003E4F70" w:rsidP="00CA2191">
            <w:pPr>
              <w:keepNext/>
            </w:pPr>
            <w:r w:rsidRPr="00545318">
              <w:t>Investment ($m)</w:t>
            </w:r>
          </w:p>
        </w:tc>
        <w:tc>
          <w:tcPr>
            <w:tcW w:w="619" w:type="pct"/>
            <w:vAlign w:val="bottom"/>
          </w:tcPr>
          <w:p w14:paraId="15F69089" w14:textId="77777777" w:rsidR="003E4F70" w:rsidRPr="00545318" w:rsidRDefault="003E4F70" w:rsidP="002A0D3F">
            <w:pPr>
              <w:keepNext/>
              <w:jc w:val="right"/>
              <w:rPr>
                <w:rFonts w:ascii="Calibri" w:hAnsi="Calibri"/>
                <w:color w:val="000000"/>
              </w:rPr>
            </w:pPr>
            <w:r w:rsidRPr="00545318">
              <w:rPr>
                <w:rFonts w:ascii="Calibri" w:hAnsi="Calibri"/>
                <w:color w:val="000000"/>
              </w:rPr>
              <w:t>113.2</w:t>
            </w:r>
          </w:p>
        </w:tc>
        <w:tc>
          <w:tcPr>
            <w:tcW w:w="619" w:type="pct"/>
            <w:vAlign w:val="bottom"/>
          </w:tcPr>
          <w:p w14:paraId="2F13A6AC" w14:textId="77777777" w:rsidR="003E4F70" w:rsidRPr="00545318" w:rsidRDefault="003E4F70" w:rsidP="002A0D3F">
            <w:pPr>
              <w:keepNext/>
              <w:jc w:val="right"/>
              <w:rPr>
                <w:rFonts w:ascii="Calibri" w:hAnsi="Calibri"/>
                <w:color w:val="000000"/>
              </w:rPr>
            </w:pPr>
            <w:r w:rsidRPr="00545318">
              <w:rPr>
                <w:rFonts w:ascii="Calibri" w:hAnsi="Calibri"/>
                <w:color w:val="000000"/>
              </w:rPr>
              <w:t>-118.5</w:t>
            </w:r>
          </w:p>
        </w:tc>
        <w:tc>
          <w:tcPr>
            <w:tcW w:w="619" w:type="pct"/>
            <w:vAlign w:val="bottom"/>
          </w:tcPr>
          <w:p w14:paraId="1FEDD23A" w14:textId="77777777" w:rsidR="003E4F70" w:rsidRPr="00545318" w:rsidRDefault="003E4F70" w:rsidP="002A0D3F">
            <w:pPr>
              <w:keepNext/>
              <w:jc w:val="right"/>
              <w:rPr>
                <w:rFonts w:ascii="Calibri" w:hAnsi="Calibri"/>
                <w:color w:val="000000"/>
              </w:rPr>
            </w:pPr>
            <w:r w:rsidRPr="00545318">
              <w:rPr>
                <w:rFonts w:ascii="Calibri" w:hAnsi="Calibri"/>
                <w:color w:val="000000"/>
              </w:rPr>
              <w:t>-72.7</w:t>
            </w:r>
          </w:p>
        </w:tc>
        <w:tc>
          <w:tcPr>
            <w:tcW w:w="619" w:type="pct"/>
            <w:vAlign w:val="bottom"/>
          </w:tcPr>
          <w:p w14:paraId="01A6C853" w14:textId="77777777" w:rsidR="003E4F70" w:rsidRPr="00545318" w:rsidRDefault="003E4F70" w:rsidP="002A0D3F">
            <w:pPr>
              <w:keepNext/>
              <w:jc w:val="right"/>
              <w:rPr>
                <w:rFonts w:ascii="Calibri" w:hAnsi="Calibri"/>
                <w:color w:val="000000"/>
              </w:rPr>
            </w:pPr>
            <w:r w:rsidRPr="00545318">
              <w:rPr>
                <w:rFonts w:ascii="Calibri" w:hAnsi="Calibri"/>
                <w:color w:val="000000"/>
              </w:rPr>
              <w:t>-48.4</w:t>
            </w:r>
          </w:p>
        </w:tc>
        <w:tc>
          <w:tcPr>
            <w:tcW w:w="619" w:type="pct"/>
            <w:vAlign w:val="bottom"/>
          </w:tcPr>
          <w:p w14:paraId="765FD60A" w14:textId="77777777" w:rsidR="003E4F70" w:rsidRPr="00545318" w:rsidRDefault="003E4F70" w:rsidP="002A0D3F">
            <w:pPr>
              <w:keepNext/>
              <w:jc w:val="right"/>
              <w:rPr>
                <w:rFonts w:ascii="Calibri" w:hAnsi="Calibri"/>
                <w:color w:val="000000"/>
              </w:rPr>
            </w:pPr>
            <w:r w:rsidRPr="00545318">
              <w:rPr>
                <w:rFonts w:ascii="Calibri" w:hAnsi="Calibri"/>
                <w:color w:val="000000"/>
              </w:rPr>
              <w:t>-34.4</w:t>
            </w:r>
          </w:p>
        </w:tc>
      </w:tr>
      <w:tr w:rsidR="003E4F70" w:rsidRPr="00545318" w14:paraId="4B557941" w14:textId="77777777" w:rsidTr="003E4F70">
        <w:tc>
          <w:tcPr>
            <w:tcW w:w="1904" w:type="pct"/>
            <w:tcBorders>
              <w:top w:val="single" w:sz="12" w:space="0" w:color="4F81BD" w:themeColor="accent1"/>
              <w:bottom w:val="single" w:sz="4" w:space="0" w:color="4F81BD" w:themeColor="accent1"/>
            </w:tcBorders>
            <w:vAlign w:val="center"/>
          </w:tcPr>
          <w:p w14:paraId="72BBD5B3" w14:textId="77777777" w:rsidR="003E4F70" w:rsidRPr="00545318" w:rsidRDefault="003E4F70" w:rsidP="00CA2191">
            <w:pPr>
              <w:keepNext/>
              <w:jc w:val="center"/>
              <w:rPr>
                <w:b/>
              </w:rPr>
            </w:pPr>
            <w:r w:rsidRPr="00545318">
              <w:rPr>
                <w:b/>
              </w:rPr>
              <w:t>Key sectoral output results</w:t>
            </w:r>
          </w:p>
        </w:tc>
        <w:tc>
          <w:tcPr>
            <w:tcW w:w="619" w:type="pct"/>
            <w:tcBorders>
              <w:top w:val="single" w:sz="12" w:space="0" w:color="4F81BD" w:themeColor="accent1"/>
              <w:bottom w:val="single" w:sz="4" w:space="0" w:color="4F81BD" w:themeColor="accent1"/>
            </w:tcBorders>
          </w:tcPr>
          <w:p w14:paraId="2B0215E3"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vAlign w:val="center"/>
          </w:tcPr>
          <w:p w14:paraId="0A0E61A3"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tcPr>
          <w:p w14:paraId="64C45838"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tcPr>
          <w:p w14:paraId="5B794A69"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vAlign w:val="center"/>
          </w:tcPr>
          <w:p w14:paraId="572897D4" w14:textId="77777777" w:rsidR="003E4F70" w:rsidRPr="00545318" w:rsidRDefault="003E4F70" w:rsidP="00CA2191">
            <w:pPr>
              <w:keepNext/>
              <w:jc w:val="right"/>
            </w:pPr>
          </w:p>
        </w:tc>
      </w:tr>
      <w:tr w:rsidR="003E4F70" w:rsidRPr="00545318" w14:paraId="1090657E" w14:textId="77777777" w:rsidTr="002A0D3F">
        <w:tc>
          <w:tcPr>
            <w:tcW w:w="1904" w:type="pct"/>
            <w:tcBorders>
              <w:top w:val="single" w:sz="4" w:space="0" w:color="4F81BD" w:themeColor="accent1"/>
            </w:tcBorders>
          </w:tcPr>
          <w:p w14:paraId="29199944" w14:textId="77777777" w:rsidR="003E4F70" w:rsidRPr="00545318" w:rsidRDefault="003E4F70" w:rsidP="00CA2191">
            <w:pPr>
              <w:keepNext/>
            </w:pPr>
            <w:r w:rsidRPr="00545318">
              <w:t>Steel</w:t>
            </w:r>
            <w:r w:rsidR="001F20B8" w:rsidRPr="00545318">
              <w:t xml:space="preserve"> ($m)</w:t>
            </w:r>
          </w:p>
        </w:tc>
        <w:tc>
          <w:tcPr>
            <w:tcW w:w="619" w:type="pct"/>
            <w:tcBorders>
              <w:top w:val="single" w:sz="4" w:space="0" w:color="4F81BD" w:themeColor="accent1"/>
            </w:tcBorders>
            <w:vAlign w:val="bottom"/>
          </w:tcPr>
          <w:p w14:paraId="561999B2"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2F2A3342" w14:textId="77777777" w:rsidR="003E4F70" w:rsidRPr="00545318" w:rsidRDefault="003E4F70" w:rsidP="002A0D3F">
            <w:pPr>
              <w:keepNext/>
              <w:jc w:val="right"/>
              <w:rPr>
                <w:rFonts w:ascii="Calibri" w:hAnsi="Calibri"/>
                <w:color w:val="000000"/>
              </w:rPr>
            </w:pPr>
            <w:r w:rsidRPr="00545318">
              <w:rPr>
                <w:rFonts w:ascii="Calibri" w:hAnsi="Calibri"/>
                <w:color w:val="000000"/>
              </w:rPr>
              <w:t>-1.0</w:t>
            </w:r>
          </w:p>
        </w:tc>
        <w:tc>
          <w:tcPr>
            <w:tcW w:w="619" w:type="pct"/>
            <w:tcBorders>
              <w:top w:val="single" w:sz="4" w:space="0" w:color="4F81BD" w:themeColor="accent1"/>
            </w:tcBorders>
            <w:vAlign w:val="bottom"/>
          </w:tcPr>
          <w:p w14:paraId="00FD2C8B" w14:textId="77777777" w:rsidR="003E4F70" w:rsidRPr="00545318" w:rsidRDefault="003E4F70" w:rsidP="002A0D3F">
            <w:pPr>
              <w:keepNext/>
              <w:jc w:val="right"/>
              <w:rPr>
                <w:rFonts w:ascii="Calibri" w:hAnsi="Calibri"/>
                <w:color w:val="000000"/>
              </w:rPr>
            </w:pPr>
            <w:r w:rsidRPr="00545318">
              <w:rPr>
                <w:rFonts w:ascii="Calibri" w:hAnsi="Calibri"/>
                <w:color w:val="000000"/>
              </w:rPr>
              <w:t>-2.5</w:t>
            </w:r>
          </w:p>
        </w:tc>
        <w:tc>
          <w:tcPr>
            <w:tcW w:w="619" w:type="pct"/>
            <w:tcBorders>
              <w:top w:val="single" w:sz="4" w:space="0" w:color="4F81BD" w:themeColor="accent1"/>
            </w:tcBorders>
            <w:vAlign w:val="bottom"/>
          </w:tcPr>
          <w:p w14:paraId="0BA28181" w14:textId="77777777" w:rsidR="003E4F70" w:rsidRPr="00545318" w:rsidRDefault="003E4F70" w:rsidP="002A0D3F">
            <w:pPr>
              <w:keepNext/>
              <w:jc w:val="right"/>
              <w:rPr>
                <w:rFonts w:ascii="Calibri" w:hAnsi="Calibri"/>
                <w:color w:val="000000"/>
              </w:rPr>
            </w:pPr>
            <w:r w:rsidRPr="00545318">
              <w:rPr>
                <w:rFonts w:ascii="Calibri" w:hAnsi="Calibri"/>
                <w:color w:val="000000"/>
              </w:rPr>
              <w:t>-3.5</w:t>
            </w:r>
          </w:p>
        </w:tc>
        <w:tc>
          <w:tcPr>
            <w:tcW w:w="619" w:type="pct"/>
            <w:tcBorders>
              <w:top w:val="single" w:sz="4" w:space="0" w:color="4F81BD" w:themeColor="accent1"/>
            </w:tcBorders>
            <w:vAlign w:val="bottom"/>
          </w:tcPr>
          <w:p w14:paraId="744EDD65" w14:textId="77777777" w:rsidR="003E4F70" w:rsidRPr="00545318" w:rsidRDefault="003E4F70" w:rsidP="002A0D3F">
            <w:pPr>
              <w:keepNext/>
              <w:jc w:val="right"/>
              <w:rPr>
                <w:rFonts w:ascii="Calibri" w:hAnsi="Calibri"/>
                <w:color w:val="000000"/>
              </w:rPr>
            </w:pPr>
            <w:r w:rsidRPr="00545318">
              <w:rPr>
                <w:rFonts w:ascii="Calibri" w:hAnsi="Calibri"/>
                <w:color w:val="000000"/>
              </w:rPr>
              <w:t>-4.1</w:t>
            </w:r>
          </w:p>
        </w:tc>
      </w:tr>
      <w:tr w:rsidR="003E4F70" w:rsidRPr="00545318" w14:paraId="5262D158" w14:textId="77777777" w:rsidTr="002A0D3F">
        <w:tc>
          <w:tcPr>
            <w:tcW w:w="1904" w:type="pct"/>
          </w:tcPr>
          <w:p w14:paraId="0E923CF6" w14:textId="77777777" w:rsidR="003E4F70" w:rsidRPr="00545318" w:rsidRDefault="003E4F70" w:rsidP="00CA2191">
            <w:pPr>
              <w:keepNext/>
            </w:pPr>
            <w:r w:rsidRPr="00545318">
              <w:t>Manufacturing</w:t>
            </w:r>
            <w:r w:rsidR="001F20B8" w:rsidRPr="00545318">
              <w:t xml:space="preserve"> ($m)</w:t>
            </w:r>
          </w:p>
        </w:tc>
        <w:tc>
          <w:tcPr>
            <w:tcW w:w="619" w:type="pct"/>
            <w:vAlign w:val="bottom"/>
          </w:tcPr>
          <w:p w14:paraId="1B3966F6" w14:textId="77777777" w:rsidR="003E4F70" w:rsidRPr="00545318" w:rsidRDefault="003E4F70" w:rsidP="002A0D3F">
            <w:pPr>
              <w:keepNext/>
              <w:jc w:val="right"/>
              <w:rPr>
                <w:rFonts w:ascii="Calibri" w:hAnsi="Calibri"/>
                <w:color w:val="000000"/>
              </w:rPr>
            </w:pPr>
            <w:r w:rsidRPr="00545318">
              <w:rPr>
                <w:rFonts w:ascii="Calibri" w:hAnsi="Calibri"/>
                <w:color w:val="000000"/>
              </w:rPr>
              <w:t>114.8</w:t>
            </w:r>
          </w:p>
        </w:tc>
        <w:tc>
          <w:tcPr>
            <w:tcW w:w="619" w:type="pct"/>
            <w:vAlign w:val="bottom"/>
          </w:tcPr>
          <w:p w14:paraId="042FAAB0" w14:textId="77777777" w:rsidR="003E4F70" w:rsidRPr="00545318" w:rsidRDefault="003E4F70" w:rsidP="002A0D3F">
            <w:pPr>
              <w:keepNext/>
              <w:jc w:val="right"/>
              <w:rPr>
                <w:rFonts w:ascii="Calibri" w:hAnsi="Calibri"/>
                <w:color w:val="000000"/>
              </w:rPr>
            </w:pPr>
            <w:r w:rsidRPr="00545318">
              <w:rPr>
                <w:rFonts w:ascii="Calibri" w:hAnsi="Calibri"/>
                <w:color w:val="000000"/>
              </w:rPr>
              <w:t>27.3</w:t>
            </w:r>
          </w:p>
        </w:tc>
        <w:tc>
          <w:tcPr>
            <w:tcW w:w="619" w:type="pct"/>
            <w:vAlign w:val="bottom"/>
          </w:tcPr>
          <w:p w14:paraId="33B3C1B5" w14:textId="77777777" w:rsidR="003E4F70" w:rsidRPr="00545318" w:rsidRDefault="003E4F70" w:rsidP="002A0D3F">
            <w:pPr>
              <w:keepNext/>
              <w:jc w:val="right"/>
              <w:rPr>
                <w:rFonts w:ascii="Calibri" w:hAnsi="Calibri"/>
                <w:color w:val="000000"/>
              </w:rPr>
            </w:pPr>
            <w:r w:rsidRPr="00545318">
              <w:rPr>
                <w:rFonts w:ascii="Calibri" w:hAnsi="Calibri"/>
                <w:color w:val="000000"/>
              </w:rPr>
              <w:t>13.1</w:t>
            </w:r>
          </w:p>
        </w:tc>
        <w:tc>
          <w:tcPr>
            <w:tcW w:w="619" w:type="pct"/>
            <w:vAlign w:val="bottom"/>
          </w:tcPr>
          <w:p w14:paraId="121B1732" w14:textId="77777777" w:rsidR="003E4F70" w:rsidRPr="00545318" w:rsidRDefault="003E4F70" w:rsidP="002A0D3F">
            <w:pPr>
              <w:keepNext/>
              <w:jc w:val="right"/>
              <w:rPr>
                <w:rFonts w:ascii="Calibri" w:hAnsi="Calibri"/>
                <w:color w:val="000000"/>
              </w:rPr>
            </w:pPr>
            <w:r w:rsidRPr="00545318">
              <w:rPr>
                <w:rFonts w:ascii="Calibri" w:hAnsi="Calibri"/>
                <w:color w:val="000000"/>
              </w:rPr>
              <w:t>5.5</w:t>
            </w:r>
          </w:p>
        </w:tc>
        <w:tc>
          <w:tcPr>
            <w:tcW w:w="619" w:type="pct"/>
            <w:vAlign w:val="bottom"/>
          </w:tcPr>
          <w:p w14:paraId="345595DB" w14:textId="77777777" w:rsidR="003E4F70" w:rsidRPr="00545318" w:rsidRDefault="003E4F70" w:rsidP="002A0D3F">
            <w:pPr>
              <w:keepNext/>
              <w:jc w:val="right"/>
              <w:rPr>
                <w:rFonts w:ascii="Calibri" w:hAnsi="Calibri"/>
                <w:color w:val="000000"/>
              </w:rPr>
            </w:pPr>
            <w:r w:rsidRPr="00545318">
              <w:rPr>
                <w:rFonts w:ascii="Calibri" w:hAnsi="Calibri"/>
                <w:color w:val="000000"/>
              </w:rPr>
              <w:t>1.2</w:t>
            </w:r>
          </w:p>
        </w:tc>
      </w:tr>
      <w:tr w:rsidR="003E4F70" w:rsidRPr="00545318" w14:paraId="7C2900B2" w14:textId="77777777" w:rsidTr="002A0D3F">
        <w:tc>
          <w:tcPr>
            <w:tcW w:w="1904" w:type="pct"/>
            <w:tcBorders>
              <w:bottom w:val="single" w:sz="12" w:space="0" w:color="4F81BD" w:themeColor="accent1"/>
            </w:tcBorders>
          </w:tcPr>
          <w:p w14:paraId="3405EE31" w14:textId="77777777" w:rsidR="003E4F70" w:rsidRPr="00545318" w:rsidRDefault="003E4F70" w:rsidP="00CA2191">
            <w:pPr>
              <w:keepNext/>
            </w:pPr>
            <w:r w:rsidRPr="00545318">
              <w:t>Construction</w:t>
            </w:r>
            <w:r w:rsidR="001F20B8" w:rsidRPr="00545318">
              <w:t xml:space="preserve"> ($m)</w:t>
            </w:r>
          </w:p>
        </w:tc>
        <w:tc>
          <w:tcPr>
            <w:tcW w:w="619" w:type="pct"/>
            <w:tcBorders>
              <w:bottom w:val="single" w:sz="12" w:space="0" w:color="4F81BD" w:themeColor="accent1"/>
            </w:tcBorders>
            <w:vAlign w:val="bottom"/>
          </w:tcPr>
          <w:p w14:paraId="628FA3BE" w14:textId="77777777" w:rsidR="003E4F70" w:rsidRPr="00545318" w:rsidRDefault="003E4F70" w:rsidP="002A0D3F">
            <w:pPr>
              <w:keepNext/>
              <w:jc w:val="right"/>
              <w:rPr>
                <w:rFonts w:ascii="Calibri" w:hAnsi="Calibri"/>
                <w:color w:val="000000"/>
              </w:rPr>
            </w:pPr>
            <w:r w:rsidRPr="00545318">
              <w:rPr>
                <w:rFonts w:ascii="Calibri" w:hAnsi="Calibri"/>
                <w:color w:val="000000"/>
              </w:rPr>
              <w:t>76.4</w:t>
            </w:r>
          </w:p>
        </w:tc>
        <w:tc>
          <w:tcPr>
            <w:tcW w:w="619" w:type="pct"/>
            <w:tcBorders>
              <w:bottom w:val="single" w:sz="12" w:space="0" w:color="4F81BD" w:themeColor="accent1"/>
            </w:tcBorders>
            <w:vAlign w:val="bottom"/>
          </w:tcPr>
          <w:p w14:paraId="3B8996FA" w14:textId="77777777" w:rsidR="003E4F70" w:rsidRPr="00545318" w:rsidRDefault="003E4F70" w:rsidP="002A0D3F">
            <w:pPr>
              <w:keepNext/>
              <w:jc w:val="right"/>
              <w:rPr>
                <w:rFonts w:ascii="Calibri" w:hAnsi="Calibri"/>
                <w:color w:val="000000"/>
              </w:rPr>
            </w:pPr>
            <w:r w:rsidRPr="00545318">
              <w:rPr>
                <w:rFonts w:ascii="Calibri" w:hAnsi="Calibri"/>
                <w:color w:val="000000"/>
              </w:rPr>
              <w:t>-77.0</w:t>
            </w:r>
          </w:p>
        </w:tc>
        <w:tc>
          <w:tcPr>
            <w:tcW w:w="619" w:type="pct"/>
            <w:tcBorders>
              <w:bottom w:val="single" w:sz="12" w:space="0" w:color="4F81BD" w:themeColor="accent1"/>
            </w:tcBorders>
            <w:vAlign w:val="bottom"/>
          </w:tcPr>
          <w:p w14:paraId="2871BE54" w14:textId="77777777" w:rsidR="003E4F70" w:rsidRPr="00545318" w:rsidRDefault="003E4F70" w:rsidP="002A0D3F">
            <w:pPr>
              <w:keepNext/>
              <w:jc w:val="right"/>
              <w:rPr>
                <w:rFonts w:ascii="Calibri" w:hAnsi="Calibri"/>
                <w:color w:val="000000"/>
              </w:rPr>
            </w:pPr>
            <w:r w:rsidRPr="00545318">
              <w:rPr>
                <w:rFonts w:ascii="Calibri" w:hAnsi="Calibri"/>
                <w:color w:val="000000"/>
              </w:rPr>
              <w:t>-47.0</w:t>
            </w:r>
          </w:p>
        </w:tc>
        <w:tc>
          <w:tcPr>
            <w:tcW w:w="619" w:type="pct"/>
            <w:tcBorders>
              <w:bottom w:val="single" w:sz="12" w:space="0" w:color="4F81BD" w:themeColor="accent1"/>
            </w:tcBorders>
            <w:vAlign w:val="bottom"/>
          </w:tcPr>
          <w:p w14:paraId="2E9F5743" w14:textId="77777777" w:rsidR="003E4F70" w:rsidRPr="00545318" w:rsidRDefault="003E4F70" w:rsidP="002A0D3F">
            <w:pPr>
              <w:keepNext/>
              <w:jc w:val="right"/>
              <w:rPr>
                <w:rFonts w:ascii="Calibri" w:hAnsi="Calibri"/>
                <w:color w:val="000000"/>
              </w:rPr>
            </w:pPr>
            <w:r w:rsidRPr="00545318">
              <w:rPr>
                <w:rFonts w:ascii="Calibri" w:hAnsi="Calibri"/>
                <w:color w:val="000000"/>
              </w:rPr>
              <w:t>-31.1</w:t>
            </w:r>
          </w:p>
        </w:tc>
        <w:tc>
          <w:tcPr>
            <w:tcW w:w="619" w:type="pct"/>
            <w:tcBorders>
              <w:bottom w:val="single" w:sz="12" w:space="0" w:color="4F81BD" w:themeColor="accent1"/>
            </w:tcBorders>
            <w:vAlign w:val="bottom"/>
          </w:tcPr>
          <w:p w14:paraId="31E36867" w14:textId="77777777" w:rsidR="003E4F70" w:rsidRPr="00545318" w:rsidRDefault="003E4F70" w:rsidP="002A0D3F">
            <w:pPr>
              <w:keepNext/>
              <w:jc w:val="right"/>
              <w:rPr>
                <w:rFonts w:ascii="Calibri" w:hAnsi="Calibri"/>
                <w:color w:val="000000"/>
              </w:rPr>
            </w:pPr>
            <w:r w:rsidRPr="00545318">
              <w:rPr>
                <w:rFonts w:ascii="Calibri" w:hAnsi="Calibri"/>
                <w:color w:val="000000"/>
              </w:rPr>
              <w:t>-21.9</w:t>
            </w:r>
          </w:p>
        </w:tc>
      </w:tr>
      <w:tr w:rsidR="003E4F70" w:rsidRPr="00545318" w14:paraId="647FF0CB" w14:textId="77777777" w:rsidTr="003E4F70">
        <w:tc>
          <w:tcPr>
            <w:tcW w:w="1904" w:type="pct"/>
            <w:tcBorders>
              <w:top w:val="single" w:sz="12" w:space="0" w:color="4F81BD" w:themeColor="accent1"/>
              <w:bottom w:val="single" w:sz="12" w:space="0" w:color="4F81BD" w:themeColor="accent1"/>
            </w:tcBorders>
          </w:tcPr>
          <w:p w14:paraId="4C0C9F3B" w14:textId="77777777" w:rsidR="003E4F70" w:rsidRPr="00545318" w:rsidRDefault="003E4F70" w:rsidP="00CA2191">
            <w:pPr>
              <w:keepNext/>
              <w:rPr>
                <w:b/>
              </w:rPr>
            </w:pPr>
            <w:r w:rsidRPr="00545318">
              <w:rPr>
                <w:b/>
              </w:rPr>
              <w:t>Scenario 3</w:t>
            </w:r>
          </w:p>
        </w:tc>
        <w:tc>
          <w:tcPr>
            <w:tcW w:w="619" w:type="pct"/>
            <w:tcBorders>
              <w:top w:val="single" w:sz="12" w:space="0" w:color="4F81BD" w:themeColor="accent1"/>
              <w:bottom w:val="single" w:sz="12" w:space="0" w:color="4F81BD" w:themeColor="accent1"/>
            </w:tcBorders>
          </w:tcPr>
          <w:p w14:paraId="1B4569EF" w14:textId="77777777" w:rsidR="003E4F70" w:rsidRPr="00545318" w:rsidRDefault="008F64F0" w:rsidP="00CA2191">
            <w:pPr>
              <w:keepNext/>
              <w:jc w:val="right"/>
              <w:rPr>
                <w:b/>
              </w:rPr>
            </w:pPr>
            <w:r w:rsidRPr="00545318">
              <w:rPr>
                <w:b/>
              </w:rPr>
              <w:t>2016/17</w:t>
            </w:r>
          </w:p>
        </w:tc>
        <w:tc>
          <w:tcPr>
            <w:tcW w:w="619" w:type="pct"/>
            <w:tcBorders>
              <w:top w:val="single" w:sz="12" w:space="0" w:color="4F81BD" w:themeColor="accent1"/>
              <w:bottom w:val="single" w:sz="12" w:space="0" w:color="4F81BD" w:themeColor="accent1"/>
            </w:tcBorders>
            <w:vAlign w:val="center"/>
          </w:tcPr>
          <w:p w14:paraId="50FDC4F3" w14:textId="77777777" w:rsidR="003E4F70" w:rsidRPr="00545318" w:rsidRDefault="003E4F70"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327970ED" w14:textId="77777777" w:rsidR="003E4F70" w:rsidRPr="00545318" w:rsidRDefault="003E4F70"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77EDF4FC" w14:textId="77777777" w:rsidR="003E4F70" w:rsidRPr="00545318" w:rsidRDefault="003E4F70" w:rsidP="00CA2191">
            <w:pPr>
              <w:keepNext/>
              <w:jc w:val="right"/>
              <w:rPr>
                <w:b/>
              </w:rPr>
            </w:pPr>
            <w:r w:rsidRPr="00545318">
              <w:rPr>
                <w:b/>
              </w:rPr>
              <w:t>2019/20</w:t>
            </w:r>
          </w:p>
        </w:tc>
        <w:tc>
          <w:tcPr>
            <w:tcW w:w="619" w:type="pct"/>
            <w:tcBorders>
              <w:top w:val="single" w:sz="12" w:space="0" w:color="4F81BD" w:themeColor="accent1"/>
              <w:bottom w:val="single" w:sz="12" w:space="0" w:color="4F81BD" w:themeColor="accent1"/>
            </w:tcBorders>
            <w:vAlign w:val="center"/>
          </w:tcPr>
          <w:p w14:paraId="7EDC4CEC" w14:textId="77777777" w:rsidR="003E4F70" w:rsidRPr="00545318" w:rsidRDefault="003E4F70" w:rsidP="00CA2191">
            <w:pPr>
              <w:keepNext/>
              <w:jc w:val="right"/>
              <w:rPr>
                <w:b/>
              </w:rPr>
            </w:pPr>
            <w:r w:rsidRPr="00545318">
              <w:rPr>
                <w:b/>
              </w:rPr>
              <w:t>2020/21</w:t>
            </w:r>
          </w:p>
        </w:tc>
      </w:tr>
      <w:tr w:rsidR="003E4F70" w:rsidRPr="00545318" w14:paraId="342D15A1" w14:textId="77777777" w:rsidTr="003E4F70">
        <w:tc>
          <w:tcPr>
            <w:tcW w:w="1904" w:type="pct"/>
            <w:tcBorders>
              <w:top w:val="single" w:sz="12" w:space="0" w:color="4F81BD" w:themeColor="accent1"/>
              <w:bottom w:val="single" w:sz="4" w:space="0" w:color="4F81BD" w:themeColor="accent1"/>
            </w:tcBorders>
            <w:vAlign w:val="center"/>
          </w:tcPr>
          <w:p w14:paraId="1B458DB7" w14:textId="77777777" w:rsidR="003E4F70" w:rsidRPr="00545318" w:rsidRDefault="003E4F70" w:rsidP="00CA2191">
            <w:pPr>
              <w:keepNext/>
              <w:jc w:val="center"/>
              <w:rPr>
                <w:b/>
              </w:rPr>
            </w:pPr>
            <w:r w:rsidRPr="00545318">
              <w:rPr>
                <w:b/>
              </w:rPr>
              <w:t>Key macro results</w:t>
            </w:r>
          </w:p>
        </w:tc>
        <w:tc>
          <w:tcPr>
            <w:tcW w:w="619" w:type="pct"/>
            <w:tcBorders>
              <w:top w:val="single" w:sz="12" w:space="0" w:color="4F81BD" w:themeColor="accent1"/>
              <w:bottom w:val="single" w:sz="4" w:space="0" w:color="4F81BD" w:themeColor="accent1"/>
            </w:tcBorders>
          </w:tcPr>
          <w:p w14:paraId="565A6385"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64A8CE70"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3B0498D2"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tcPr>
          <w:p w14:paraId="3A678CFA" w14:textId="77777777" w:rsidR="003E4F70" w:rsidRPr="00545318" w:rsidRDefault="003E4F70" w:rsidP="00CA2191">
            <w:pPr>
              <w:keepNext/>
              <w:jc w:val="center"/>
            </w:pPr>
          </w:p>
        </w:tc>
        <w:tc>
          <w:tcPr>
            <w:tcW w:w="619" w:type="pct"/>
            <w:tcBorders>
              <w:top w:val="single" w:sz="12" w:space="0" w:color="4F81BD" w:themeColor="accent1"/>
              <w:bottom w:val="single" w:sz="4" w:space="0" w:color="4F81BD" w:themeColor="accent1"/>
            </w:tcBorders>
            <w:vAlign w:val="center"/>
          </w:tcPr>
          <w:p w14:paraId="319820BF" w14:textId="77777777" w:rsidR="003E4F70" w:rsidRPr="00545318" w:rsidRDefault="003E4F70" w:rsidP="00CA2191">
            <w:pPr>
              <w:keepNext/>
              <w:jc w:val="center"/>
            </w:pPr>
          </w:p>
        </w:tc>
      </w:tr>
      <w:tr w:rsidR="003E4F70" w:rsidRPr="00545318" w14:paraId="4EC222BF" w14:textId="77777777" w:rsidTr="002A0D3F">
        <w:tc>
          <w:tcPr>
            <w:tcW w:w="1904" w:type="pct"/>
            <w:tcBorders>
              <w:top w:val="single" w:sz="4" w:space="0" w:color="4F81BD" w:themeColor="accent1"/>
            </w:tcBorders>
          </w:tcPr>
          <w:p w14:paraId="40A39DF3" w14:textId="77777777" w:rsidR="003E4F70" w:rsidRPr="00545318" w:rsidRDefault="003E4F70" w:rsidP="00CA2191">
            <w:pPr>
              <w:keepNext/>
            </w:pPr>
            <w:r w:rsidRPr="00545318">
              <w:t>Real GDP</w:t>
            </w:r>
            <w:r w:rsidR="001F20B8" w:rsidRPr="00545318">
              <w:t xml:space="preserve"> ($m)</w:t>
            </w:r>
          </w:p>
        </w:tc>
        <w:tc>
          <w:tcPr>
            <w:tcW w:w="619" w:type="pct"/>
            <w:tcBorders>
              <w:top w:val="single" w:sz="4" w:space="0" w:color="4F81BD" w:themeColor="accent1"/>
            </w:tcBorders>
            <w:vAlign w:val="bottom"/>
          </w:tcPr>
          <w:p w14:paraId="5FEF52A9" w14:textId="77777777" w:rsidR="003E4F70" w:rsidRPr="00545318" w:rsidRDefault="003E4F70" w:rsidP="002A0D3F">
            <w:pPr>
              <w:keepNext/>
              <w:jc w:val="right"/>
              <w:rPr>
                <w:rFonts w:ascii="Calibri" w:hAnsi="Calibri"/>
                <w:color w:val="000000"/>
              </w:rPr>
            </w:pPr>
            <w:r w:rsidRPr="00545318">
              <w:rPr>
                <w:rFonts w:ascii="Calibri" w:hAnsi="Calibri"/>
                <w:color w:val="000000"/>
              </w:rPr>
              <w:t>64.8</w:t>
            </w:r>
          </w:p>
        </w:tc>
        <w:tc>
          <w:tcPr>
            <w:tcW w:w="619" w:type="pct"/>
            <w:tcBorders>
              <w:top w:val="single" w:sz="4" w:space="0" w:color="4F81BD" w:themeColor="accent1"/>
            </w:tcBorders>
            <w:vAlign w:val="bottom"/>
          </w:tcPr>
          <w:p w14:paraId="7B42FFFF" w14:textId="77777777" w:rsidR="003E4F70" w:rsidRPr="00545318" w:rsidRDefault="003E4F70" w:rsidP="002A0D3F">
            <w:pPr>
              <w:keepNext/>
              <w:jc w:val="right"/>
              <w:rPr>
                <w:rFonts w:ascii="Calibri" w:hAnsi="Calibri"/>
                <w:color w:val="000000"/>
              </w:rPr>
            </w:pPr>
            <w:r w:rsidRPr="00545318">
              <w:rPr>
                <w:rFonts w:ascii="Calibri" w:hAnsi="Calibri"/>
                <w:color w:val="000000"/>
              </w:rPr>
              <w:t>-73.5</w:t>
            </w:r>
          </w:p>
        </w:tc>
        <w:tc>
          <w:tcPr>
            <w:tcW w:w="619" w:type="pct"/>
            <w:tcBorders>
              <w:top w:val="single" w:sz="4" w:space="0" w:color="4F81BD" w:themeColor="accent1"/>
            </w:tcBorders>
            <w:vAlign w:val="bottom"/>
          </w:tcPr>
          <w:p w14:paraId="5463DB56" w14:textId="77777777" w:rsidR="003E4F70" w:rsidRPr="00545318" w:rsidRDefault="003E4F70" w:rsidP="002A0D3F">
            <w:pPr>
              <w:keepNext/>
              <w:jc w:val="right"/>
              <w:rPr>
                <w:rFonts w:ascii="Calibri" w:hAnsi="Calibri"/>
                <w:color w:val="000000"/>
              </w:rPr>
            </w:pPr>
            <w:r w:rsidRPr="00545318">
              <w:rPr>
                <w:rFonts w:ascii="Calibri" w:hAnsi="Calibri"/>
                <w:color w:val="000000"/>
              </w:rPr>
              <w:t>-67.0</w:t>
            </w:r>
          </w:p>
        </w:tc>
        <w:tc>
          <w:tcPr>
            <w:tcW w:w="619" w:type="pct"/>
            <w:tcBorders>
              <w:top w:val="single" w:sz="4" w:space="0" w:color="4F81BD" w:themeColor="accent1"/>
            </w:tcBorders>
            <w:vAlign w:val="bottom"/>
          </w:tcPr>
          <w:p w14:paraId="15E25C45" w14:textId="77777777" w:rsidR="003E4F70" w:rsidRPr="00545318" w:rsidRDefault="003E4F70" w:rsidP="002A0D3F">
            <w:pPr>
              <w:keepNext/>
              <w:jc w:val="right"/>
              <w:rPr>
                <w:rFonts w:ascii="Calibri" w:hAnsi="Calibri"/>
                <w:color w:val="000000"/>
              </w:rPr>
            </w:pPr>
            <w:r w:rsidRPr="00545318">
              <w:rPr>
                <w:rFonts w:ascii="Calibri" w:hAnsi="Calibri"/>
                <w:color w:val="000000"/>
              </w:rPr>
              <w:t>-66.9</w:t>
            </w:r>
          </w:p>
        </w:tc>
        <w:tc>
          <w:tcPr>
            <w:tcW w:w="619" w:type="pct"/>
            <w:tcBorders>
              <w:top w:val="single" w:sz="4" w:space="0" w:color="4F81BD" w:themeColor="accent1"/>
            </w:tcBorders>
            <w:vAlign w:val="bottom"/>
          </w:tcPr>
          <w:p w14:paraId="27FA775E" w14:textId="77777777" w:rsidR="003E4F70" w:rsidRPr="00545318" w:rsidRDefault="003E4F70" w:rsidP="002A0D3F">
            <w:pPr>
              <w:keepNext/>
              <w:jc w:val="right"/>
              <w:rPr>
                <w:rFonts w:ascii="Calibri" w:hAnsi="Calibri"/>
                <w:color w:val="000000"/>
              </w:rPr>
            </w:pPr>
            <w:r w:rsidRPr="00545318">
              <w:rPr>
                <w:rFonts w:ascii="Calibri" w:hAnsi="Calibri"/>
                <w:color w:val="000000"/>
              </w:rPr>
              <w:t>-70.3</w:t>
            </w:r>
          </w:p>
        </w:tc>
      </w:tr>
      <w:tr w:rsidR="003E4F70" w:rsidRPr="00545318" w14:paraId="6C2BE382" w14:textId="77777777" w:rsidTr="002A0D3F">
        <w:tc>
          <w:tcPr>
            <w:tcW w:w="1904" w:type="pct"/>
          </w:tcPr>
          <w:p w14:paraId="08BBCBD0" w14:textId="77777777" w:rsidR="003E4F70" w:rsidRPr="00545318" w:rsidRDefault="003E4F70" w:rsidP="00CA2191">
            <w:pPr>
              <w:keepNext/>
            </w:pPr>
            <w:r w:rsidRPr="00545318">
              <w:t>Real GNP</w:t>
            </w:r>
            <w:r w:rsidR="001F20B8" w:rsidRPr="00545318">
              <w:t xml:space="preserve"> ($m)</w:t>
            </w:r>
          </w:p>
        </w:tc>
        <w:tc>
          <w:tcPr>
            <w:tcW w:w="619" w:type="pct"/>
            <w:vAlign w:val="bottom"/>
          </w:tcPr>
          <w:p w14:paraId="2786968C" w14:textId="77777777" w:rsidR="003E4F70" w:rsidRPr="00545318" w:rsidRDefault="003E4F70" w:rsidP="002A0D3F">
            <w:pPr>
              <w:keepNext/>
              <w:jc w:val="right"/>
              <w:rPr>
                <w:rFonts w:ascii="Calibri" w:hAnsi="Calibri"/>
                <w:b/>
                <w:color w:val="000000"/>
              </w:rPr>
            </w:pPr>
            <w:r w:rsidRPr="00545318">
              <w:rPr>
                <w:rFonts w:ascii="Calibri" w:hAnsi="Calibri"/>
                <w:b/>
                <w:color w:val="000000"/>
              </w:rPr>
              <w:t>115.4</w:t>
            </w:r>
          </w:p>
        </w:tc>
        <w:tc>
          <w:tcPr>
            <w:tcW w:w="619" w:type="pct"/>
            <w:vAlign w:val="bottom"/>
          </w:tcPr>
          <w:p w14:paraId="714A443C" w14:textId="77777777" w:rsidR="003E4F70" w:rsidRPr="00545318" w:rsidRDefault="003E4F70" w:rsidP="002A0D3F">
            <w:pPr>
              <w:keepNext/>
              <w:jc w:val="right"/>
              <w:rPr>
                <w:rFonts w:ascii="Calibri" w:hAnsi="Calibri"/>
                <w:b/>
                <w:color w:val="000000"/>
              </w:rPr>
            </w:pPr>
            <w:r w:rsidRPr="00545318">
              <w:rPr>
                <w:rFonts w:ascii="Calibri" w:hAnsi="Calibri"/>
                <w:b/>
                <w:color w:val="000000"/>
              </w:rPr>
              <w:t>-198.3</w:t>
            </w:r>
          </w:p>
        </w:tc>
        <w:tc>
          <w:tcPr>
            <w:tcW w:w="619" w:type="pct"/>
            <w:vAlign w:val="bottom"/>
          </w:tcPr>
          <w:p w14:paraId="4928A7A9" w14:textId="77777777" w:rsidR="003E4F70" w:rsidRPr="00545318" w:rsidRDefault="003E4F70" w:rsidP="002A0D3F">
            <w:pPr>
              <w:keepNext/>
              <w:jc w:val="right"/>
              <w:rPr>
                <w:rFonts w:ascii="Calibri" w:hAnsi="Calibri"/>
                <w:b/>
                <w:color w:val="000000"/>
              </w:rPr>
            </w:pPr>
            <w:r w:rsidRPr="00545318">
              <w:rPr>
                <w:rFonts w:ascii="Calibri" w:hAnsi="Calibri"/>
                <w:b/>
                <w:color w:val="000000"/>
              </w:rPr>
              <w:t>-121.8</w:t>
            </w:r>
          </w:p>
        </w:tc>
        <w:tc>
          <w:tcPr>
            <w:tcW w:w="619" w:type="pct"/>
            <w:vAlign w:val="bottom"/>
          </w:tcPr>
          <w:p w14:paraId="37B4CD98" w14:textId="77777777" w:rsidR="003E4F70" w:rsidRPr="00545318" w:rsidRDefault="003E4F70" w:rsidP="002A0D3F">
            <w:pPr>
              <w:keepNext/>
              <w:jc w:val="right"/>
              <w:rPr>
                <w:rFonts w:ascii="Calibri" w:hAnsi="Calibri"/>
                <w:b/>
                <w:color w:val="000000"/>
              </w:rPr>
            </w:pPr>
            <w:r w:rsidRPr="00545318">
              <w:rPr>
                <w:rFonts w:ascii="Calibri" w:hAnsi="Calibri"/>
                <w:b/>
                <w:color w:val="000000"/>
              </w:rPr>
              <w:t>-83.9</w:t>
            </w:r>
          </w:p>
        </w:tc>
        <w:tc>
          <w:tcPr>
            <w:tcW w:w="619" w:type="pct"/>
            <w:vAlign w:val="bottom"/>
          </w:tcPr>
          <w:p w14:paraId="2E4019D6" w14:textId="77777777" w:rsidR="003E4F70" w:rsidRPr="00545318" w:rsidRDefault="003E4F70" w:rsidP="002A0D3F">
            <w:pPr>
              <w:keepNext/>
              <w:jc w:val="right"/>
              <w:rPr>
                <w:rFonts w:ascii="Calibri" w:hAnsi="Calibri"/>
                <w:b/>
                <w:color w:val="000000"/>
              </w:rPr>
            </w:pPr>
            <w:r w:rsidRPr="00545318">
              <w:rPr>
                <w:rFonts w:ascii="Calibri" w:hAnsi="Calibri"/>
                <w:b/>
                <w:color w:val="000000"/>
              </w:rPr>
              <w:t>-65.4</w:t>
            </w:r>
          </w:p>
        </w:tc>
      </w:tr>
      <w:tr w:rsidR="003E4F70" w:rsidRPr="00545318" w14:paraId="48DD44AF" w14:textId="77777777" w:rsidTr="002A0D3F">
        <w:tc>
          <w:tcPr>
            <w:tcW w:w="1904" w:type="pct"/>
          </w:tcPr>
          <w:p w14:paraId="6AC3D7FA" w14:textId="77777777" w:rsidR="003E4F70" w:rsidRPr="00545318" w:rsidRDefault="003E4F70" w:rsidP="00CA2191">
            <w:pPr>
              <w:keepNext/>
            </w:pPr>
            <w:r w:rsidRPr="00545318">
              <w:t>Employment (FTE)</w:t>
            </w:r>
          </w:p>
        </w:tc>
        <w:tc>
          <w:tcPr>
            <w:tcW w:w="619" w:type="pct"/>
            <w:vAlign w:val="bottom"/>
          </w:tcPr>
          <w:p w14:paraId="7641856F" w14:textId="77777777" w:rsidR="003E4F70" w:rsidRPr="00545318" w:rsidRDefault="003E4F70" w:rsidP="002A0D3F">
            <w:pPr>
              <w:keepNext/>
              <w:jc w:val="right"/>
              <w:rPr>
                <w:rFonts w:ascii="Calibri" w:hAnsi="Calibri"/>
                <w:color w:val="000000"/>
              </w:rPr>
            </w:pPr>
            <w:r w:rsidRPr="00545318">
              <w:rPr>
                <w:rFonts w:ascii="Calibri" w:hAnsi="Calibri"/>
                <w:color w:val="000000"/>
              </w:rPr>
              <w:t>78.2</w:t>
            </w:r>
          </w:p>
        </w:tc>
        <w:tc>
          <w:tcPr>
            <w:tcW w:w="619" w:type="pct"/>
            <w:vAlign w:val="bottom"/>
          </w:tcPr>
          <w:p w14:paraId="4AA8D794" w14:textId="77777777" w:rsidR="003E4F70" w:rsidRPr="00545318" w:rsidRDefault="003E4F70" w:rsidP="002A0D3F">
            <w:pPr>
              <w:keepNext/>
              <w:jc w:val="right"/>
              <w:rPr>
                <w:rFonts w:ascii="Calibri" w:hAnsi="Calibri"/>
                <w:color w:val="000000"/>
              </w:rPr>
            </w:pPr>
            <w:r w:rsidRPr="00545318">
              <w:rPr>
                <w:rFonts w:ascii="Calibri" w:hAnsi="Calibri"/>
                <w:color w:val="000000"/>
              </w:rPr>
              <w:t>-351.9</w:t>
            </w:r>
          </w:p>
        </w:tc>
        <w:tc>
          <w:tcPr>
            <w:tcW w:w="619" w:type="pct"/>
            <w:vAlign w:val="bottom"/>
          </w:tcPr>
          <w:p w14:paraId="4A63241A" w14:textId="77777777" w:rsidR="003E4F70" w:rsidRPr="00545318" w:rsidRDefault="003E4F70" w:rsidP="002A0D3F">
            <w:pPr>
              <w:keepNext/>
              <w:jc w:val="right"/>
              <w:rPr>
                <w:rFonts w:ascii="Calibri" w:hAnsi="Calibri"/>
                <w:color w:val="000000"/>
              </w:rPr>
            </w:pPr>
            <w:r w:rsidRPr="00545318">
              <w:rPr>
                <w:rFonts w:ascii="Calibri" w:hAnsi="Calibri"/>
                <w:color w:val="000000"/>
              </w:rPr>
              <w:t>-243.3</w:t>
            </w:r>
          </w:p>
        </w:tc>
        <w:tc>
          <w:tcPr>
            <w:tcW w:w="619" w:type="pct"/>
            <w:vAlign w:val="bottom"/>
          </w:tcPr>
          <w:p w14:paraId="586CE365" w14:textId="77777777" w:rsidR="003E4F70" w:rsidRPr="00545318" w:rsidRDefault="003E4F70" w:rsidP="002A0D3F">
            <w:pPr>
              <w:keepNext/>
              <w:jc w:val="right"/>
              <w:rPr>
                <w:rFonts w:ascii="Calibri" w:hAnsi="Calibri"/>
                <w:color w:val="000000"/>
              </w:rPr>
            </w:pPr>
            <w:r w:rsidRPr="00545318">
              <w:rPr>
                <w:rFonts w:ascii="Calibri" w:hAnsi="Calibri"/>
                <w:color w:val="000000"/>
              </w:rPr>
              <w:t>-193.5</w:t>
            </w:r>
          </w:p>
        </w:tc>
        <w:tc>
          <w:tcPr>
            <w:tcW w:w="619" w:type="pct"/>
            <w:vAlign w:val="bottom"/>
          </w:tcPr>
          <w:p w14:paraId="645C6D62" w14:textId="77777777" w:rsidR="003E4F70" w:rsidRPr="00545318" w:rsidRDefault="003E4F70" w:rsidP="002A0D3F">
            <w:pPr>
              <w:keepNext/>
              <w:jc w:val="right"/>
              <w:rPr>
                <w:rFonts w:ascii="Calibri" w:hAnsi="Calibri"/>
                <w:color w:val="000000"/>
              </w:rPr>
            </w:pPr>
            <w:r w:rsidRPr="00545318">
              <w:rPr>
                <w:rFonts w:ascii="Calibri" w:hAnsi="Calibri"/>
                <w:color w:val="000000"/>
              </w:rPr>
              <w:t>-169.8</w:t>
            </w:r>
          </w:p>
        </w:tc>
      </w:tr>
      <w:tr w:rsidR="003E4F70" w:rsidRPr="00545318" w14:paraId="6F724045" w14:textId="77777777" w:rsidTr="002A0D3F">
        <w:tc>
          <w:tcPr>
            <w:tcW w:w="1904" w:type="pct"/>
          </w:tcPr>
          <w:p w14:paraId="6BA0BF9E" w14:textId="77777777" w:rsidR="003E4F70" w:rsidRPr="00545318" w:rsidRDefault="003E4F70" w:rsidP="00CA2191">
            <w:pPr>
              <w:keepNext/>
            </w:pPr>
            <w:r w:rsidRPr="00545318">
              <w:t>Investment ($m)</w:t>
            </w:r>
          </w:p>
        </w:tc>
        <w:tc>
          <w:tcPr>
            <w:tcW w:w="619" w:type="pct"/>
            <w:vAlign w:val="bottom"/>
          </w:tcPr>
          <w:p w14:paraId="10E40CA2" w14:textId="77777777" w:rsidR="003E4F70" w:rsidRPr="00545318" w:rsidRDefault="003E4F70" w:rsidP="002A0D3F">
            <w:pPr>
              <w:keepNext/>
              <w:jc w:val="right"/>
              <w:rPr>
                <w:rFonts w:ascii="Calibri" w:hAnsi="Calibri"/>
                <w:color w:val="000000"/>
              </w:rPr>
            </w:pPr>
            <w:r w:rsidRPr="00545318">
              <w:rPr>
                <w:rFonts w:ascii="Calibri" w:hAnsi="Calibri"/>
                <w:color w:val="000000"/>
              </w:rPr>
              <w:t>113.2</w:t>
            </w:r>
          </w:p>
        </w:tc>
        <w:tc>
          <w:tcPr>
            <w:tcW w:w="619" w:type="pct"/>
            <w:vAlign w:val="bottom"/>
          </w:tcPr>
          <w:p w14:paraId="17C55CA0" w14:textId="77777777" w:rsidR="003E4F70" w:rsidRPr="00545318" w:rsidRDefault="003E4F70" w:rsidP="002A0D3F">
            <w:pPr>
              <w:keepNext/>
              <w:jc w:val="right"/>
              <w:rPr>
                <w:rFonts w:ascii="Calibri" w:hAnsi="Calibri"/>
                <w:color w:val="000000"/>
              </w:rPr>
            </w:pPr>
            <w:r w:rsidRPr="00545318">
              <w:rPr>
                <w:rFonts w:ascii="Calibri" w:hAnsi="Calibri"/>
                <w:color w:val="000000"/>
              </w:rPr>
              <w:t>-722.8</w:t>
            </w:r>
          </w:p>
        </w:tc>
        <w:tc>
          <w:tcPr>
            <w:tcW w:w="619" w:type="pct"/>
            <w:vAlign w:val="bottom"/>
          </w:tcPr>
          <w:p w14:paraId="097F1B54" w14:textId="77777777" w:rsidR="003E4F70" w:rsidRPr="00545318" w:rsidRDefault="003E4F70" w:rsidP="002A0D3F">
            <w:pPr>
              <w:keepNext/>
              <w:jc w:val="right"/>
              <w:rPr>
                <w:rFonts w:ascii="Calibri" w:hAnsi="Calibri"/>
                <w:color w:val="000000"/>
              </w:rPr>
            </w:pPr>
            <w:r w:rsidRPr="00545318">
              <w:rPr>
                <w:rFonts w:ascii="Calibri" w:hAnsi="Calibri"/>
                <w:color w:val="000000"/>
              </w:rPr>
              <w:t>-416.8</w:t>
            </w:r>
          </w:p>
        </w:tc>
        <w:tc>
          <w:tcPr>
            <w:tcW w:w="619" w:type="pct"/>
            <w:vAlign w:val="bottom"/>
          </w:tcPr>
          <w:p w14:paraId="6C4817A4" w14:textId="77777777" w:rsidR="003E4F70" w:rsidRPr="00545318" w:rsidRDefault="003E4F70" w:rsidP="002A0D3F">
            <w:pPr>
              <w:keepNext/>
              <w:jc w:val="right"/>
              <w:rPr>
                <w:rFonts w:ascii="Calibri" w:hAnsi="Calibri"/>
                <w:color w:val="000000"/>
              </w:rPr>
            </w:pPr>
            <w:r w:rsidRPr="00545318">
              <w:rPr>
                <w:rFonts w:ascii="Calibri" w:hAnsi="Calibri"/>
                <w:color w:val="000000"/>
              </w:rPr>
              <w:t>-266.4</w:t>
            </w:r>
          </w:p>
        </w:tc>
        <w:tc>
          <w:tcPr>
            <w:tcW w:w="619" w:type="pct"/>
            <w:vAlign w:val="bottom"/>
          </w:tcPr>
          <w:p w14:paraId="24BFDC46" w14:textId="77777777" w:rsidR="003E4F70" w:rsidRPr="00545318" w:rsidRDefault="003E4F70" w:rsidP="002A0D3F">
            <w:pPr>
              <w:keepNext/>
              <w:jc w:val="right"/>
              <w:rPr>
                <w:rFonts w:ascii="Calibri" w:hAnsi="Calibri"/>
                <w:color w:val="000000"/>
              </w:rPr>
            </w:pPr>
            <w:r w:rsidRPr="00545318">
              <w:rPr>
                <w:rFonts w:ascii="Calibri" w:hAnsi="Calibri"/>
                <w:color w:val="000000"/>
              </w:rPr>
              <w:t>-189.7</w:t>
            </w:r>
          </w:p>
        </w:tc>
      </w:tr>
      <w:tr w:rsidR="003E4F70" w:rsidRPr="00545318" w14:paraId="0B907AE2" w14:textId="77777777" w:rsidTr="003E4F70">
        <w:tc>
          <w:tcPr>
            <w:tcW w:w="1904" w:type="pct"/>
            <w:tcBorders>
              <w:top w:val="single" w:sz="12" w:space="0" w:color="4F81BD" w:themeColor="accent1"/>
              <w:bottom w:val="single" w:sz="4" w:space="0" w:color="4F81BD" w:themeColor="accent1"/>
            </w:tcBorders>
            <w:vAlign w:val="center"/>
          </w:tcPr>
          <w:p w14:paraId="0D1884EA" w14:textId="77777777" w:rsidR="003E4F70" w:rsidRPr="00545318" w:rsidRDefault="003E4F70" w:rsidP="00CA2191">
            <w:pPr>
              <w:keepNext/>
              <w:jc w:val="center"/>
              <w:rPr>
                <w:b/>
              </w:rPr>
            </w:pPr>
            <w:r w:rsidRPr="00545318">
              <w:rPr>
                <w:b/>
              </w:rPr>
              <w:t>Key sectoral output results</w:t>
            </w:r>
          </w:p>
        </w:tc>
        <w:tc>
          <w:tcPr>
            <w:tcW w:w="619" w:type="pct"/>
            <w:tcBorders>
              <w:top w:val="single" w:sz="12" w:space="0" w:color="4F81BD" w:themeColor="accent1"/>
              <w:bottom w:val="single" w:sz="4" w:space="0" w:color="4F81BD" w:themeColor="accent1"/>
            </w:tcBorders>
          </w:tcPr>
          <w:p w14:paraId="00AFC394"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vAlign w:val="center"/>
          </w:tcPr>
          <w:p w14:paraId="71EEAB93"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tcPr>
          <w:p w14:paraId="6C392A0D"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tcPr>
          <w:p w14:paraId="680F1FA5" w14:textId="77777777" w:rsidR="003E4F70" w:rsidRPr="00545318" w:rsidRDefault="003E4F70" w:rsidP="00CA2191">
            <w:pPr>
              <w:keepNext/>
              <w:jc w:val="right"/>
            </w:pPr>
          </w:p>
        </w:tc>
        <w:tc>
          <w:tcPr>
            <w:tcW w:w="619" w:type="pct"/>
            <w:tcBorders>
              <w:top w:val="single" w:sz="12" w:space="0" w:color="4F81BD" w:themeColor="accent1"/>
              <w:bottom w:val="single" w:sz="4" w:space="0" w:color="4F81BD" w:themeColor="accent1"/>
            </w:tcBorders>
            <w:vAlign w:val="center"/>
          </w:tcPr>
          <w:p w14:paraId="273DDE93" w14:textId="77777777" w:rsidR="003E4F70" w:rsidRPr="00545318" w:rsidRDefault="003E4F70" w:rsidP="00CA2191">
            <w:pPr>
              <w:keepNext/>
              <w:jc w:val="right"/>
            </w:pPr>
          </w:p>
        </w:tc>
      </w:tr>
      <w:tr w:rsidR="003E4F70" w:rsidRPr="00545318" w14:paraId="126CF32F" w14:textId="77777777" w:rsidTr="002A0D3F">
        <w:tc>
          <w:tcPr>
            <w:tcW w:w="1904" w:type="pct"/>
            <w:tcBorders>
              <w:top w:val="single" w:sz="4" w:space="0" w:color="4F81BD" w:themeColor="accent1"/>
            </w:tcBorders>
          </w:tcPr>
          <w:p w14:paraId="40C6DC89" w14:textId="77777777" w:rsidR="003E4F70" w:rsidRPr="00545318" w:rsidRDefault="003E4F70" w:rsidP="00CA2191">
            <w:pPr>
              <w:keepNext/>
            </w:pPr>
            <w:r w:rsidRPr="00545318">
              <w:t>Steel</w:t>
            </w:r>
            <w:r w:rsidR="001F20B8" w:rsidRPr="00545318">
              <w:t xml:space="preserve"> ($m)</w:t>
            </w:r>
          </w:p>
        </w:tc>
        <w:tc>
          <w:tcPr>
            <w:tcW w:w="619" w:type="pct"/>
            <w:tcBorders>
              <w:top w:val="single" w:sz="4" w:space="0" w:color="4F81BD" w:themeColor="accent1"/>
            </w:tcBorders>
            <w:vAlign w:val="bottom"/>
          </w:tcPr>
          <w:p w14:paraId="28074299"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39929E5B"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48D1DA6E"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35B591D7"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c>
          <w:tcPr>
            <w:tcW w:w="619" w:type="pct"/>
            <w:tcBorders>
              <w:top w:val="single" w:sz="4" w:space="0" w:color="4F81BD" w:themeColor="accent1"/>
            </w:tcBorders>
            <w:vAlign w:val="bottom"/>
          </w:tcPr>
          <w:p w14:paraId="11A8C3D1" w14:textId="77777777" w:rsidR="003E4F70" w:rsidRPr="00545318" w:rsidRDefault="003E4F70" w:rsidP="002A0D3F">
            <w:pPr>
              <w:keepNext/>
              <w:jc w:val="right"/>
              <w:rPr>
                <w:rFonts w:ascii="Calibri" w:hAnsi="Calibri"/>
                <w:color w:val="000000"/>
              </w:rPr>
            </w:pPr>
            <w:r w:rsidRPr="00545318">
              <w:rPr>
                <w:rFonts w:ascii="Calibri" w:hAnsi="Calibri"/>
                <w:color w:val="000000"/>
              </w:rPr>
              <w:t>-168.6</w:t>
            </w:r>
          </w:p>
        </w:tc>
      </w:tr>
      <w:tr w:rsidR="003E4F70" w:rsidRPr="00545318" w14:paraId="50A03AD9" w14:textId="77777777" w:rsidTr="002A0D3F">
        <w:tc>
          <w:tcPr>
            <w:tcW w:w="1904" w:type="pct"/>
          </w:tcPr>
          <w:p w14:paraId="78BA05C6" w14:textId="77777777" w:rsidR="003E4F70" w:rsidRPr="00545318" w:rsidRDefault="003E4F70" w:rsidP="00CA2191">
            <w:pPr>
              <w:keepNext/>
            </w:pPr>
            <w:r w:rsidRPr="00545318">
              <w:t>Manufacturing</w:t>
            </w:r>
            <w:r w:rsidR="001F20B8" w:rsidRPr="00545318">
              <w:t xml:space="preserve"> ($m)</w:t>
            </w:r>
          </w:p>
        </w:tc>
        <w:tc>
          <w:tcPr>
            <w:tcW w:w="619" w:type="pct"/>
            <w:vAlign w:val="bottom"/>
          </w:tcPr>
          <w:p w14:paraId="137C6382" w14:textId="77777777" w:rsidR="003E4F70" w:rsidRPr="00545318" w:rsidRDefault="003E4F70" w:rsidP="002A0D3F">
            <w:pPr>
              <w:keepNext/>
              <w:jc w:val="right"/>
              <w:rPr>
                <w:rFonts w:ascii="Calibri" w:hAnsi="Calibri"/>
                <w:color w:val="000000"/>
              </w:rPr>
            </w:pPr>
            <w:r w:rsidRPr="00545318">
              <w:rPr>
                <w:rFonts w:ascii="Calibri" w:hAnsi="Calibri"/>
                <w:color w:val="000000"/>
              </w:rPr>
              <w:t>114.8</w:t>
            </w:r>
          </w:p>
        </w:tc>
        <w:tc>
          <w:tcPr>
            <w:tcW w:w="619" w:type="pct"/>
            <w:vAlign w:val="bottom"/>
          </w:tcPr>
          <w:p w14:paraId="26023F54" w14:textId="77777777" w:rsidR="003E4F70" w:rsidRPr="00545318" w:rsidRDefault="003E4F70" w:rsidP="002A0D3F">
            <w:pPr>
              <w:keepNext/>
              <w:jc w:val="right"/>
              <w:rPr>
                <w:rFonts w:ascii="Calibri" w:hAnsi="Calibri"/>
                <w:color w:val="000000"/>
              </w:rPr>
            </w:pPr>
            <w:r w:rsidRPr="00545318">
              <w:rPr>
                <w:rFonts w:ascii="Calibri" w:hAnsi="Calibri"/>
                <w:color w:val="000000"/>
              </w:rPr>
              <w:t>103.1</w:t>
            </w:r>
          </w:p>
        </w:tc>
        <w:tc>
          <w:tcPr>
            <w:tcW w:w="619" w:type="pct"/>
            <w:vAlign w:val="bottom"/>
          </w:tcPr>
          <w:p w14:paraId="3F444FD5" w14:textId="77777777" w:rsidR="003E4F70" w:rsidRPr="00545318" w:rsidRDefault="003E4F70" w:rsidP="002A0D3F">
            <w:pPr>
              <w:keepNext/>
              <w:jc w:val="right"/>
              <w:rPr>
                <w:rFonts w:ascii="Calibri" w:hAnsi="Calibri"/>
                <w:color w:val="000000"/>
              </w:rPr>
            </w:pPr>
            <w:r w:rsidRPr="00545318">
              <w:rPr>
                <w:rFonts w:ascii="Calibri" w:hAnsi="Calibri"/>
                <w:color w:val="000000"/>
              </w:rPr>
              <w:t>16.3</w:t>
            </w:r>
          </w:p>
        </w:tc>
        <w:tc>
          <w:tcPr>
            <w:tcW w:w="619" w:type="pct"/>
            <w:vAlign w:val="bottom"/>
          </w:tcPr>
          <w:p w14:paraId="3AB781CF" w14:textId="77777777" w:rsidR="003E4F70" w:rsidRPr="00545318" w:rsidRDefault="003E4F70" w:rsidP="002A0D3F">
            <w:pPr>
              <w:keepNext/>
              <w:jc w:val="right"/>
              <w:rPr>
                <w:rFonts w:ascii="Calibri" w:hAnsi="Calibri"/>
                <w:color w:val="000000"/>
              </w:rPr>
            </w:pPr>
            <w:r w:rsidRPr="00545318">
              <w:rPr>
                <w:rFonts w:ascii="Calibri" w:hAnsi="Calibri"/>
                <w:color w:val="000000"/>
              </w:rPr>
              <w:t>-25.5</w:t>
            </w:r>
          </w:p>
        </w:tc>
        <w:tc>
          <w:tcPr>
            <w:tcW w:w="619" w:type="pct"/>
            <w:vAlign w:val="bottom"/>
          </w:tcPr>
          <w:p w14:paraId="2CFBBD77" w14:textId="77777777" w:rsidR="003E4F70" w:rsidRPr="00545318" w:rsidRDefault="003E4F70" w:rsidP="002A0D3F">
            <w:pPr>
              <w:keepNext/>
              <w:jc w:val="right"/>
              <w:rPr>
                <w:rFonts w:ascii="Calibri" w:hAnsi="Calibri"/>
                <w:color w:val="000000"/>
              </w:rPr>
            </w:pPr>
            <w:r w:rsidRPr="00545318">
              <w:rPr>
                <w:rFonts w:ascii="Calibri" w:hAnsi="Calibri"/>
                <w:color w:val="000000"/>
              </w:rPr>
              <w:t>-46.7</w:t>
            </w:r>
          </w:p>
        </w:tc>
      </w:tr>
      <w:tr w:rsidR="003E4F70" w:rsidRPr="00545318" w14:paraId="036384E0" w14:textId="77777777" w:rsidTr="002A0D3F">
        <w:tc>
          <w:tcPr>
            <w:tcW w:w="1904" w:type="pct"/>
            <w:tcBorders>
              <w:bottom w:val="single" w:sz="12" w:space="0" w:color="4F81BD" w:themeColor="accent1"/>
            </w:tcBorders>
          </w:tcPr>
          <w:p w14:paraId="2DFE6EA6" w14:textId="77777777" w:rsidR="003E4F70" w:rsidRPr="00545318" w:rsidRDefault="003E4F70" w:rsidP="00CA2191">
            <w:pPr>
              <w:keepNext/>
            </w:pPr>
            <w:r w:rsidRPr="00545318">
              <w:t>Construction</w:t>
            </w:r>
            <w:r w:rsidR="001F20B8" w:rsidRPr="00545318">
              <w:t xml:space="preserve"> ($m)</w:t>
            </w:r>
          </w:p>
        </w:tc>
        <w:tc>
          <w:tcPr>
            <w:tcW w:w="619" w:type="pct"/>
            <w:tcBorders>
              <w:bottom w:val="single" w:sz="12" w:space="0" w:color="4F81BD" w:themeColor="accent1"/>
            </w:tcBorders>
            <w:vAlign w:val="bottom"/>
          </w:tcPr>
          <w:p w14:paraId="14E7ABA7" w14:textId="77777777" w:rsidR="003E4F70" w:rsidRPr="00545318" w:rsidRDefault="003E4F70" w:rsidP="002A0D3F">
            <w:pPr>
              <w:keepNext/>
              <w:jc w:val="right"/>
              <w:rPr>
                <w:rFonts w:ascii="Calibri" w:hAnsi="Calibri"/>
                <w:color w:val="000000"/>
              </w:rPr>
            </w:pPr>
            <w:r w:rsidRPr="00545318">
              <w:rPr>
                <w:rFonts w:ascii="Calibri" w:hAnsi="Calibri"/>
                <w:color w:val="000000"/>
              </w:rPr>
              <w:t>76.4</w:t>
            </w:r>
          </w:p>
        </w:tc>
        <w:tc>
          <w:tcPr>
            <w:tcW w:w="619" w:type="pct"/>
            <w:tcBorders>
              <w:bottom w:val="single" w:sz="12" w:space="0" w:color="4F81BD" w:themeColor="accent1"/>
            </w:tcBorders>
            <w:vAlign w:val="bottom"/>
          </w:tcPr>
          <w:p w14:paraId="16B0D4E0" w14:textId="77777777" w:rsidR="003E4F70" w:rsidRPr="00545318" w:rsidRDefault="003E4F70" w:rsidP="002A0D3F">
            <w:pPr>
              <w:keepNext/>
              <w:jc w:val="right"/>
              <w:rPr>
                <w:rFonts w:ascii="Calibri" w:hAnsi="Calibri"/>
                <w:color w:val="000000"/>
              </w:rPr>
            </w:pPr>
            <w:r w:rsidRPr="00545318">
              <w:rPr>
                <w:rFonts w:ascii="Calibri" w:hAnsi="Calibri"/>
                <w:color w:val="000000"/>
              </w:rPr>
              <w:t>-479.3</w:t>
            </w:r>
          </w:p>
        </w:tc>
        <w:tc>
          <w:tcPr>
            <w:tcW w:w="619" w:type="pct"/>
            <w:tcBorders>
              <w:bottom w:val="single" w:sz="12" w:space="0" w:color="4F81BD" w:themeColor="accent1"/>
            </w:tcBorders>
            <w:vAlign w:val="bottom"/>
          </w:tcPr>
          <w:p w14:paraId="18E3597D" w14:textId="77777777" w:rsidR="003E4F70" w:rsidRPr="00545318" w:rsidRDefault="003E4F70" w:rsidP="002A0D3F">
            <w:pPr>
              <w:keepNext/>
              <w:jc w:val="right"/>
              <w:rPr>
                <w:rFonts w:ascii="Calibri" w:hAnsi="Calibri"/>
                <w:color w:val="000000"/>
              </w:rPr>
            </w:pPr>
            <w:r w:rsidRPr="00545318">
              <w:rPr>
                <w:rFonts w:ascii="Calibri" w:hAnsi="Calibri"/>
                <w:color w:val="000000"/>
              </w:rPr>
              <w:t>-278.0</w:t>
            </w:r>
          </w:p>
        </w:tc>
        <w:tc>
          <w:tcPr>
            <w:tcW w:w="619" w:type="pct"/>
            <w:tcBorders>
              <w:bottom w:val="single" w:sz="12" w:space="0" w:color="4F81BD" w:themeColor="accent1"/>
            </w:tcBorders>
            <w:vAlign w:val="bottom"/>
          </w:tcPr>
          <w:p w14:paraId="64ECC828" w14:textId="77777777" w:rsidR="003E4F70" w:rsidRPr="00545318" w:rsidRDefault="003E4F70" w:rsidP="002A0D3F">
            <w:pPr>
              <w:keepNext/>
              <w:jc w:val="right"/>
              <w:rPr>
                <w:rFonts w:ascii="Calibri" w:hAnsi="Calibri"/>
                <w:color w:val="000000"/>
              </w:rPr>
            </w:pPr>
            <w:r w:rsidRPr="00545318">
              <w:rPr>
                <w:rFonts w:ascii="Calibri" w:hAnsi="Calibri"/>
                <w:color w:val="000000"/>
              </w:rPr>
              <w:t>-179.2</w:t>
            </w:r>
          </w:p>
        </w:tc>
        <w:tc>
          <w:tcPr>
            <w:tcW w:w="619" w:type="pct"/>
            <w:tcBorders>
              <w:bottom w:val="single" w:sz="12" w:space="0" w:color="4F81BD" w:themeColor="accent1"/>
            </w:tcBorders>
            <w:vAlign w:val="bottom"/>
          </w:tcPr>
          <w:p w14:paraId="6AC785C3" w14:textId="77777777" w:rsidR="003E4F70" w:rsidRPr="00545318" w:rsidRDefault="003E4F70" w:rsidP="002A0D3F">
            <w:pPr>
              <w:keepNext/>
              <w:jc w:val="right"/>
              <w:rPr>
                <w:rFonts w:ascii="Calibri" w:hAnsi="Calibri"/>
                <w:color w:val="000000"/>
              </w:rPr>
            </w:pPr>
            <w:r w:rsidRPr="00545318">
              <w:rPr>
                <w:rFonts w:ascii="Calibri" w:hAnsi="Calibri"/>
                <w:color w:val="000000"/>
              </w:rPr>
              <w:t>-129.0</w:t>
            </w:r>
          </w:p>
        </w:tc>
      </w:tr>
    </w:tbl>
    <w:p w14:paraId="1BED42BE" w14:textId="77777777" w:rsidR="00CA2191" w:rsidRPr="00545318" w:rsidRDefault="00CA2191" w:rsidP="004B0D38">
      <w:pPr>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Cadence Economics estimates</w:t>
      </w:r>
    </w:p>
    <w:p w14:paraId="782643CB" w14:textId="77777777" w:rsidR="00CA2191" w:rsidRPr="00545318" w:rsidRDefault="00CA2191" w:rsidP="00CA2191">
      <w:pPr>
        <w:autoSpaceDE w:val="0"/>
        <w:autoSpaceDN w:val="0"/>
        <w:spacing w:before="120" w:after="120"/>
      </w:pPr>
      <w:r w:rsidRPr="00545318">
        <w:rPr>
          <w:b/>
        </w:rPr>
        <w:t>Scenario 3</w:t>
      </w:r>
      <w:r w:rsidRPr="00545318">
        <w:t xml:space="preserve"> differs from the first two scenarios in that dumping and subsidisation are assumed to be temporary, rather than permanent income transfers from Asian businesses and governments to Australians. While dumping and subsidisation are temporary (and reflect a period of slow structural adjustment to overcapacity), they are of sufficient magnitude and duration to cause the Australian steel industry to contract. </w:t>
      </w:r>
    </w:p>
    <w:p w14:paraId="6F03BB9A" w14:textId="21D430D2" w:rsidR="00CA2191" w:rsidRPr="00545318" w:rsidRDefault="00CA2191" w:rsidP="00CA2191">
      <w:pPr>
        <w:autoSpaceDE w:val="0"/>
        <w:autoSpaceDN w:val="0"/>
        <w:spacing w:before="120" w:after="120"/>
      </w:pPr>
      <w:r w:rsidRPr="00545318">
        <w:t>Domestic steel production capacity declines and does not return to its previous levels after global production capacity returns to balance with global demand and the period of dumping and subsidisation ends. This is because the large sunk costs of steel furnaces create large entry and expansion barriers which would deter investments in rebuilding capacity once it is lost.</w:t>
      </w:r>
      <w:r w:rsidRPr="00545318">
        <w:rPr>
          <w:vertAlign w:val="superscript"/>
        </w:rPr>
        <w:footnoteReference w:id="134"/>
      </w:r>
      <w:r w:rsidRPr="00545318">
        <w:t xml:space="preserve"> The risk of renewed dumping and subsidisation in the next cyclical industry downturn could also deter investments in rebuilding capacity</w:t>
      </w:r>
      <w:r w:rsidR="00422B4A" w:rsidRPr="00545318">
        <w:t xml:space="preserve"> particularly where there are large sunk costs However, if profit margins were large number that could offset the business risks associated with dumping and subsidisation. </w:t>
      </w:r>
    </w:p>
    <w:p w14:paraId="7D4102B2" w14:textId="44A2BCD7" w:rsidR="00CA2191" w:rsidRPr="00545318" w:rsidRDefault="00CA2191" w:rsidP="00CA2191">
      <w:pPr>
        <w:autoSpaceDE w:val="0"/>
        <w:autoSpaceDN w:val="0"/>
        <w:spacing w:before="120" w:after="120"/>
      </w:pPr>
      <w:r w:rsidRPr="00545318">
        <w:t>In this scenario, there is no ongoing ben</w:t>
      </w:r>
      <w:r w:rsidR="00CB6094" w:rsidRPr="00545318">
        <w:t xml:space="preserve">efit from obtaining cheap steel. After global demand and supply return to balance, average steel import prices </w:t>
      </w:r>
      <w:r w:rsidRPr="00545318">
        <w:t xml:space="preserve">return to the undumped/unsubsidised price, plus </w:t>
      </w:r>
      <w:r w:rsidR="00CB6094" w:rsidRPr="00545318">
        <w:t xml:space="preserve">the </w:t>
      </w:r>
      <w:r w:rsidRPr="00545318">
        <w:t>transport costs of importing steel products</w:t>
      </w:r>
      <w:r w:rsidR="00CB6094" w:rsidRPr="00545318">
        <w:t>—which is higher than the price for locally-produced steel due to lower transport costs</w:t>
      </w:r>
      <w:r w:rsidRPr="00545318">
        <w:t>. The results are negative both for the steel industry and the economy as a whole.</w:t>
      </w:r>
    </w:p>
    <w:p w14:paraId="42115B54" w14:textId="77777777" w:rsidR="00CA2191" w:rsidRPr="00545318" w:rsidRDefault="00CA2191" w:rsidP="00CA2191">
      <w:pPr>
        <w:autoSpaceDE w:val="0"/>
        <w:autoSpaceDN w:val="0"/>
        <w:spacing w:before="120" w:after="120"/>
      </w:pPr>
      <w:r w:rsidRPr="00545318">
        <w:t xml:space="preserve">Table 4.2 shows the changes in the key economic outcomes for each scenario compared to the baseline for the aluminium industry. The pattern of economic impacts and the causal mechanisms in each of the three scenarios are comparable to those observed for the steel industry. </w:t>
      </w:r>
    </w:p>
    <w:p w14:paraId="2EE97850" w14:textId="77777777" w:rsidR="00CB6094" w:rsidRPr="00545318" w:rsidRDefault="00CB6094" w:rsidP="00CB6094">
      <w:pPr>
        <w:autoSpaceDE w:val="0"/>
        <w:autoSpaceDN w:val="0"/>
        <w:spacing w:before="120" w:after="120"/>
      </w:pPr>
      <w:r w:rsidRPr="00545318">
        <w:t xml:space="preserve">Similar to Scenario 3 for the steel industry, there is no ongoing benefit from obtaining cheap aluminium products. After global demand and supply return to balance, average steel import prices return to the undumped/unsubsidised price, plus the transport costs of importing aluminium products (which is higher than for locally-produced goods). The results are negative both for the aluminium industry and the economy as a whole. </w:t>
      </w:r>
    </w:p>
    <w:p w14:paraId="4DB963E3" w14:textId="77777777" w:rsidR="00CB6094" w:rsidRPr="00545318" w:rsidRDefault="00CB6094" w:rsidP="00CB6094">
      <w:pPr>
        <w:autoSpaceDE w:val="0"/>
        <w:autoSpaceDN w:val="0"/>
        <w:spacing w:before="120" w:after="120"/>
      </w:pPr>
      <w:r w:rsidRPr="00545318">
        <w:t xml:space="preserve">In Scenario 3, domestic production capacity for primary aluminium products declines and is assumed not return to its previous levels after global production capacity returns to balance with global demand and the period of dumping and subsidisation ends. The Commission understands that sunk costs are not as significant for the production of aluminium extrusions as they are for the steel industry or for aluminium smelting. Therefore, Scenario 3 may represent a worst case scenario for the aluminium industry as, due to lower entry and expansion barriers, there would be a greater likelihood that investments in rebuilding capacity would occur over time after the period of dumping and subsidisation ended. </w:t>
      </w:r>
    </w:p>
    <w:p w14:paraId="5C39D899" w14:textId="77777777" w:rsidR="00CA2191" w:rsidRPr="00545318" w:rsidRDefault="00CA2191" w:rsidP="004B0D38">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Table 4.2: </w:t>
      </w:r>
      <w:r w:rsidR="0053254B" w:rsidRPr="00545318">
        <w:rPr>
          <w:rFonts w:ascii="Arial" w:hAnsi="Arial"/>
          <w:bCs/>
          <w:color w:val="4F81BD" w:themeColor="accent1"/>
          <w:sz w:val="18"/>
          <w:szCs w:val="18"/>
          <w:lang w:val="en-AU"/>
        </w:rPr>
        <w:t>A</w:t>
      </w:r>
      <w:r w:rsidRPr="00545318">
        <w:rPr>
          <w:rFonts w:ascii="Arial" w:hAnsi="Arial"/>
          <w:bCs/>
          <w:color w:val="4F81BD" w:themeColor="accent1"/>
          <w:sz w:val="18"/>
          <w:szCs w:val="18"/>
          <w:lang w:val="en-AU"/>
        </w:rPr>
        <w:t xml:space="preserve">luminium </w:t>
      </w:r>
      <w:r w:rsidR="0053254B" w:rsidRPr="00545318">
        <w:rPr>
          <w:rFonts w:ascii="Arial" w:hAnsi="Arial"/>
          <w:bCs/>
          <w:color w:val="4F81BD" w:themeColor="accent1"/>
          <w:sz w:val="18"/>
          <w:szCs w:val="18"/>
          <w:lang w:val="en-AU"/>
        </w:rPr>
        <w:t>scenarios</w:t>
      </w:r>
      <w:r w:rsidRPr="00545318">
        <w:rPr>
          <w:rFonts w:ascii="Arial" w:hAnsi="Arial"/>
          <w:bCs/>
          <w:color w:val="4F81BD" w:themeColor="accent1"/>
          <w:sz w:val="18"/>
          <w:szCs w:val="18"/>
          <w:lang w:val="en-AU"/>
        </w:rPr>
        <w:t xml:space="preserve">, real </w:t>
      </w:r>
      <w:r w:rsidR="0053254B" w:rsidRPr="00545318">
        <w:rPr>
          <w:rFonts w:ascii="Arial" w:hAnsi="Arial"/>
          <w:bCs/>
          <w:color w:val="4F81BD" w:themeColor="accent1"/>
          <w:sz w:val="18"/>
          <w:szCs w:val="18"/>
          <w:lang w:val="en-AU"/>
        </w:rPr>
        <w:t>deviations</w:t>
      </w:r>
      <w:r w:rsidRPr="00545318">
        <w:rPr>
          <w:rFonts w:ascii="Arial" w:hAnsi="Arial"/>
          <w:bCs/>
          <w:color w:val="4F81BD" w:themeColor="accent1"/>
          <w:sz w:val="18"/>
          <w:szCs w:val="18"/>
          <w:lang w:val="en-AU"/>
        </w:rPr>
        <w:t xml:space="preserve"> from the baseline, AUD$ 2015/16</w:t>
      </w: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5"/>
        <w:gridCol w:w="1121"/>
        <w:gridCol w:w="1119"/>
        <w:gridCol w:w="1118"/>
        <w:gridCol w:w="1118"/>
        <w:gridCol w:w="1116"/>
      </w:tblGrid>
      <w:tr w:rsidR="001F20B8" w:rsidRPr="00545318" w14:paraId="4F39373D" w14:textId="77777777" w:rsidTr="001F20B8">
        <w:tc>
          <w:tcPr>
            <w:tcW w:w="1903" w:type="pct"/>
            <w:tcBorders>
              <w:top w:val="single" w:sz="12" w:space="0" w:color="4F81BD" w:themeColor="accent1"/>
              <w:bottom w:val="single" w:sz="12" w:space="0" w:color="4F81BD" w:themeColor="accent1"/>
            </w:tcBorders>
          </w:tcPr>
          <w:p w14:paraId="32375D52" w14:textId="77777777" w:rsidR="001F20B8" w:rsidRPr="00545318" w:rsidRDefault="001F20B8" w:rsidP="00CA2191">
            <w:pPr>
              <w:keepNext/>
              <w:rPr>
                <w:b/>
              </w:rPr>
            </w:pPr>
            <w:r w:rsidRPr="00545318">
              <w:rPr>
                <w:b/>
              </w:rPr>
              <w:t>Scenario 1</w:t>
            </w:r>
          </w:p>
        </w:tc>
        <w:tc>
          <w:tcPr>
            <w:tcW w:w="621" w:type="pct"/>
            <w:tcBorders>
              <w:top w:val="single" w:sz="12" w:space="0" w:color="4F81BD" w:themeColor="accent1"/>
              <w:bottom w:val="single" w:sz="12" w:space="0" w:color="4F81BD" w:themeColor="accent1"/>
            </w:tcBorders>
          </w:tcPr>
          <w:p w14:paraId="1103D04F" w14:textId="77777777" w:rsidR="001F20B8" w:rsidRPr="00545318" w:rsidRDefault="00A63F2A" w:rsidP="00CA2191">
            <w:pPr>
              <w:keepNext/>
              <w:jc w:val="right"/>
              <w:rPr>
                <w:b/>
              </w:rPr>
            </w:pPr>
            <w:r w:rsidRPr="00545318">
              <w:rPr>
                <w:b/>
              </w:rPr>
              <w:t>2016/17</w:t>
            </w:r>
          </w:p>
        </w:tc>
        <w:tc>
          <w:tcPr>
            <w:tcW w:w="620" w:type="pct"/>
            <w:tcBorders>
              <w:top w:val="single" w:sz="12" w:space="0" w:color="4F81BD" w:themeColor="accent1"/>
              <w:bottom w:val="single" w:sz="12" w:space="0" w:color="4F81BD" w:themeColor="accent1"/>
            </w:tcBorders>
            <w:vAlign w:val="center"/>
          </w:tcPr>
          <w:p w14:paraId="5A5B1F0B" w14:textId="77777777" w:rsidR="001F20B8" w:rsidRPr="00545318" w:rsidRDefault="001F20B8"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74C2D99C" w14:textId="77777777" w:rsidR="001F20B8" w:rsidRPr="00545318" w:rsidRDefault="001F20B8"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72233619" w14:textId="77777777" w:rsidR="001F20B8" w:rsidRPr="00545318" w:rsidRDefault="001F20B8" w:rsidP="00CA2191">
            <w:pPr>
              <w:keepNext/>
              <w:jc w:val="right"/>
              <w:rPr>
                <w:b/>
              </w:rPr>
            </w:pPr>
            <w:r w:rsidRPr="00545318">
              <w:rPr>
                <w:b/>
              </w:rPr>
              <w:t>2019/20</w:t>
            </w:r>
          </w:p>
        </w:tc>
        <w:tc>
          <w:tcPr>
            <w:tcW w:w="618" w:type="pct"/>
            <w:tcBorders>
              <w:top w:val="single" w:sz="12" w:space="0" w:color="4F81BD" w:themeColor="accent1"/>
              <w:bottom w:val="single" w:sz="12" w:space="0" w:color="4F81BD" w:themeColor="accent1"/>
            </w:tcBorders>
            <w:vAlign w:val="center"/>
          </w:tcPr>
          <w:p w14:paraId="4BDF43CF" w14:textId="77777777" w:rsidR="001F20B8" w:rsidRPr="00545318" w:rsidRDefault="001F20B8" w:rsidP="00CA2191">
            <w:pPr>
              <w:keepNext/>
              <w:jc w:val="right"/>
              <w:rPr>
                <w:b/>
              </w:rPr>
            </w:pPr>
            <w:r w:rsidRPr="00545318">
              <w:rPr>
                <w:b/>
              </w:rPr>
              <w:t>2020/21</w:t>
            </w:r>
          </w:p>
        </w:tc>
      </w:tr>
      <w:tr w:rsidR="001F20B8" w:rsidRPr="00545318" w14:paraId="514F40BD" w14:textId="77777777" w:rsidTr="001F20B8">
        <w:tc>
          <w:tcPr>
            <w:tcW w:w="1903" w:type="pct"/>
            <w:tcBorders>
              <w:top w:val="single" w:sz="12" w:space="0" w:color="4F81BD" w:themeColor="accent1"/>
              <w:bottom w:val="single" w:sz="4" w:space="0" w:color="4F81BD" w:themeColor="accent1"/>
            </w:tcBorders>
            <w:vAlign w:val="center"/>
          </w:tcPr>
          <w:p w14:paraId="6108ED3C" w14:textId="77777777" w:rsidR="001F20B8" w:rsidRPr="00545318" w:rsidRDefault="001F20B8" w:rsidP="00CA2191">
            <w:pPr>
              <w:keepNext/>
              <w:jc w:val="center"/>
              <w:rPr>
                <w:b/>
              </w:rPr>
            </w:pPr>
            <w:r w:rsidRPr="00545318">
              <w:rPr>
                <w:b/>
              </w:rPr>
              <w:t>Key macro results</w:t>
            </w:r>
          </w:p>
        </w:tc>
        <w:tc>
          <w:tcPr>
            <w:tcW w:w="621" w:type="pct"/>
            <w:tcBorders>
              <w:top w:val="single" w:sz="12" w:space="0" w:color="4F81BD" w:themeColor="accent1"/>
              <w:bottom w:val="single" w:sz="4" w:space="0" w:color="4F81BD" w:themeColor="accent1"/>
            </w:tcBorders>
          </w:tcPr>
          <w:p w14:paraId="2E81FAFA" w14:textId="77777777" w:rsidR="001F20B8" w:rsidRPr="00545318" w:rsidRDefault="001F20B8" w:rsidP="00CA2191">
            <w:pPr>
              <w:keepNext/>
              <w:jc w:val="center"/>
            </w:pPr>
          </w:p>
        </w:tc>
        <w:tc>
          <w:tcPr>
            <w:tcW w:w="620" w:type="pct"/>
            <w:tcBorders>
              <w:top w:val="single" w:sz="12" w:space="0" w:color="4F81BD" w:themeColor="accent1"/>
              <w:bottom w:val="single" w:sz="4" w:space="0" w:color="4F81BD" w:themeColor="accent1"/>
            </w:tcBorders>
            <w:vAlign w:val="center"/>
          </w:tcPr>
          <w:p w14:paraId="4B861D0A"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7314E8C3"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043282C5" w14:textId="77777777" w:rsidR="001F20B8" w:rsidRPr="00545318" w:rsidRDefault="001F20B8" w:rsidP="00CA2191">
            <w:pPr>
              <w:keepNext/>
              <w:jc w:val="center"/>
            </w:pPr>
          </w:p>
        </w:tc>
        <w:tc>
          <w:tcPr>
            <w:tcW w:w="618" w:type="pct"/>
            <w:tcBorders>
              <w:top w:val="single" w:sz="12" w:space="0" w:color="4F81BD" w:themeColor="accent1"/>
              <w:bottom w:val="single" w:sz="4" w:space="0" w:color="4F81BD" w:themeColor="accent1"/>
            </w:tcBorders>
            <w:vAlign w:val="center"/>
          </w:tcPr>
          <w:p w14:paraId="20CF71D8" w14:textId="77777777" w:rsidR="001F20B8" w:rsidRPr="00545318" w:rsidRDefault="001F20B8" w:rsidP="00CA2191">
            <w:pPr>
              <w:keepNext/>
              <w:jc w:val="center"/>
            </w:pPr>
          </w:p>
        </w:tc>
      </w:tr>
      <w:tr w:rsidR="00A63F2A" w:rsidRPr="00545318" w14:paraId="67980993" w14:textId="77777777" w:rsidTr="002A0D3F">
        <w:tc>
          <w:tcPr>
            <w:tcW w:w="1903" w:type="pct"/>
            <w:tcBorders>
              <w:top w:val="single" w:sz="4" w:space="0" w:color="4F81BD" w:themeColor="accent1"/>
            </w:tcBorders>
          </w:tcPr>
          <w:p w14:paraId="68736142" w14:textId="77777777" w:rsidR="00A63F2A" w:rsidRPr="00545318" w:rsidRDefault="00A63F2A" w:rsidP="00CA2191">
            <w:pPr>
              <w:keepNext/>
            </w:pPr>
            <w:r w:rsidRPr="00545318">
              <w:t xml:space="preserve">Real GDP ($m) </w:t>
            </w:r>
          </w:p>
        </w:tc>
        <w:tc>
          <w:tcPr>
            <w:tcW w:w="621" w:type="pct"/>
            <w:tcBorders>
              <w:top w:val="single" w:sz="4" w:space="0" w:color="4F81BD" w:themeColor="accent1"/>
            </w:tcBorders>
            <w:vAlign w:val="bottom"/>
          </w:tcPr>
          <w:p w14:paraId="2D670F92" w14:textId="77777777" w:rsidR="00A63F2A" w:rsidRPr="00545318" w:rsidRDefault="00A63F2A" w:rsidP="002A0D3F">
            <w:pPr>
              <w:keepNext/>
              <w:jc w:val="right"/>
              <w:rPr>
                <w:rFonts w:ascii="Calibri" w:hAnsi="Calibri"/>
                <w:color w:val="000000"/>
              </w:rPr>
            </w:pPr>
            <w:r w:rsidRPr="00545318">
              <w:rPr>
                <w:rFonts w:ascii="Calibri" w:hAnsi="Calibri"/>
                <w:color w:val="000000"/>
              </w:rPr>
              <w:t>86.2</w:t>
            </w:r>
          </w:p>
        </w:tc>
        <w:tc>
          <w:tcPr>
            <w:tcW w:w="620" w:type="pct"/>
            <w:tcBorders>
              <w:top w:val="single" w:sz="4" w:space="0" w:color="4F81BD" w:themeColor="accent1"/>
            </w:tcBorders>
            <w:vAlign w:val="bottom"/>
          </w:tcPr>
          <w:p w14:paraId="65CD31C6" w14:textId="77777777" w:rsidR="00A63F2A" w:rsidRPr="00545318" w:rsidRDefault="00A63F2A" w:rsidP="002A0D3F">
            <w:pPr>
              <w:keepNext/>
              <w:jc w:val="right"/>
              <w:rPr>
                <w:rFonts w:ascii="Calibri" w:hAnsi="Calibri"/>
                <w:color w:val="000000"/>
              </w:rPr>
            </w:pPr>
            <w:r w:rsidRPr="00545318">
              <w:rPr>
                <w:rFonts w:ascii="Calibri" w:hAnsi="Calibri"/>
                <w:color w:val="000000"/>
              </w:rPr>
              <w:t>93.7</w:t>
            </w:r>
          </w:p>
        </w:tc>
        <w:tc>
          <w:tcPr>
            <w:tcW w:w="619" w:type="pct"/>
            <w:tcBorders>
              <w:top w:val="single" w:sz="4" w:space="0" w:color="4F81BD" w:themeColor="accent1"/>
            </w:tcBorders>
            <w:vAlign w:val="bottom"/>
          </w:tcPr>
          <w:p w14:paraId="0BFB5BB0" w14:textId="77777777" w:rsidR="00A63F2A" w:rsidRPr="00545318" w:rsidRDefault="00A63F2A" w:rsidP="002A0D3F">
            <w:pPr>
              <w:keepNext/>
              <w:jc w:val="right"/>
              <w:rPr>
                <w:rFonts w:ascii="Calibri" w:hAnsi="Calibri"/>
                <w:color w:val="000000"/>
              </w:rPr>
            </w:pPr>
            <w:r w:rsidRPr="00545318">
              <w:rPr>
                <w:rFonts w:ascii="Calibri" w:hAnsi="Calibri"/>
                <w:color w:val="000000"/>
              </w:rPr>
              <w:t>103.2</w:t>
            </w:r>
          </w:p>
        </w:tc>
        <w:tc>
          <w:tcPr>
            <w:tcW w:w="619" w:type="pct"/>
            <w:tcBorders>
              <w:top w:val="single" w:sz="4" w:space="0" w:color="4F81BD" w:themeColor="accent1"/>
            </w:tcBorders>
            <w:vAlign w:val="bottom"/>
          </w:tcPr>
          <w:p w14:paraId="44F931D9" w14:textId="77777777" w:rsidR="00A63F2A" w:rsidRPr="00545318" w:rsidRDefault="00A63F2A" w:rsidP="002A0D3F">
            <w:pPr>
              <w:keepNext/>
              <w:jc w:val="right"/>
              <w:rPr>
                <w:rFonts w:ascii="Calibri" w:hAnsi="Calibri"/>
                <w:color w:val="000000"/>
              </w:rPr>
            </w:pPr>
            <w:r w:rsidRPr="00545318">
              <w:rPr>
                <w:rFonts w:ascii="Calibri" w:hAnsi="Calibri"/>
                <w:color w:val="000000"/>
              </w:rPr>
              <w:t>111.3</w:t>
            </w:r>
          </w:p>
        </w:tc>
        <w:tc>
          <w:tcPr>
            <w:tcW w:w="618" w:type="pct"/>
            <w:tcBorders>
              <w:top w:val="single" w:sz="4" w:space="0" w:color="4F81BD" w:themeColor="accent1"/>
            </w:tcBorders>
            <w:vAlign w:val="bottom"/>
          </w:tcPr>
          <w:p w14:paraId="26FA338A" w14:textId="77777777" w:rsidR="00A63F2A" w:rsidRPr="00545318" w:rsidRDefault="00A63F2A" w:rsidP="002A0D3F">
            <w:pPr>
              <w:keepNext/>
              <w:jc w:val="right"/>
              <w:rPr>
                <w:rFonts w:ascii="Calibri" w:hAnsi="Calibri"/>
                <w:color w:val="000000"/>
              </w:rPr>
            </w:pPr>
            <w:r w:rsidRPr="00545318">
              <w:rPr>
                <w:rFonts w:ascii="Calibri" w:hAnsi="Calibri"/>
                <w:color w:val="000000"/>
              </w:rPr>
              <w:t>117.3</w:t>
            </w:r>
          </w:p>
        </w:tc>
      </w:tr>
      <w:tr w:rsidR="00A63F2A" w:rsidRPr="00545318" w14:paraId="071F9C72" w14:textId="77777777" w:rsidTr="002A0D3F">
        <w:tc>
          <w:tcPr>
            <w:tcW w:w="1903" w:type="pct"/>
          </w:tcPr>
          <w:p w14:paraId="4EB44171" w14:textId="77777777" w:rsidR="00A63F2A" w:rsidRPr="00545318" w:rsidRDefault="00A63F2A" w:rsidP="00CA2191">
            <w:pPr>
              <w:keepNext/>
            </w:pPr>
            <w:r w:rsidRPr="00545318">
              <w:t>Real GNP ($m)</w:t>
            </w:r>
          </w:p>
        </w:tc>
        <w:tc>
          <w:tcPr>
            <w:tcW w:w="621" w:type="pct"/>
            <w:vAlign w:val="bottom"/>
          </w:tcPr>
          <w:p w14:paraId="743F5B3F" w14:textId="77777777" w:rsidR="00A63F2A" w:rsidRPr="00545318" w:rsidRDefault="00A63F2A" w:rsidP="002A0D3F">
            <w:pPr>
              <w:keepNext/>
              <w:jc w:val="right"/>
              <w:rPr>
                <w:rFonts w:ascii="Calibri" w:hAnsi="Calibri"/>
                <w:color w:val="000000"/>
              </w:rPr>
            </w:pPr>
            <w:r w:rsidRPr="00545318">
              <w:rPr>
                <w:rFonts w:ascii="Calibri" w:hAnsi="Calibri"/>
                <w:color w:val="000000"/>
              </w:rPr>
              <w:t>122.8</w:t>
            </w:r>
          </w:p>
        </w:tc>
        <w:tc>
          <w:tcPr>
            <w:tcW w:w="620" w:type="pct"/>
            <w:vAlign w:val="bottom"/>
          </w:tcPr>
          <w:p w14:paraId="3D9C7FDD" w14:textId="77777777" w:rsidR="00A63F2A" w:rsidRPr="00545318" w:rsidRDefault="00A63F2A" w:rsidP="002A0D3F">
            <w:pPr>
              <w:keepNext/>
              <w:jc w:val="right"/>
              <w:rPr>
                <w:rFonts w:ascii="Calibri" w:hAnsi="Calibri"/>
                <w:color w:val="000000"/>
              </w:rPr>
            </w:pPr>
            <w:r w:rsidRPr="00545318">
              <w:rPr>
                <w:rFonts w:ascii="Calibri" w:hAnsi="Calibri"/>
                <w:color w:val="000000"/>
              </w:rPr>
              <w:t>124.3</w:t>
            </w:r>
          </w:p>
        </w:tc>
        <w:tc>
          <w:tcPr>
            <w:tcW w:w="619" w:type="pct"/>
            <w:vAlign w:val="bottom"/>
          </w:tcPr>
          <w:p w14:paraId="37E2246B" w14:textId="77777777" w:rsidR="00A63F2A" w:rsidRPr="00545318" w:rsidRDefault="00A63F2A" w:rsidP="002A0D3F">
            <w:pPr>
              <w:keepNext/>
              <w:jc w:val="right"/>
              <w:rPr>
                <w:rFonts w:ascii="Calibri" w:hAnsi="Calibri"/>
                <w:color w:val="000000"/>
              </w:rPr>
            </w:pPr>
            <w:r w:rsidRPr="00545318">
              <w:rPr>
                <w:rFonts w:ascii="Calibri" w:hAnsi="Calibri"/>
                <w:color w:val="000000"/>
              </w:rPr>
              <w:t>132.0</w:t>
            </w:r>
          </w:p>
        </w:tc>
        <w:tc>
          <w:tcPr>
            <w:tcW w:w="619" w:type="pct"/>
            <w:vAlign w:val="bottom"/>
          </w:tcPr>
          <w:p w14:paraId="799BDC42" w14:textId="77777777" w:rsidR="00A63F2A" w:rsidRPr="00545318" w:rsidRDefault="00A63F2A" w:rsidP="002A0D3F">
            <w:pPr>
              <w:keepNext/>
              <w:jc w:val="right"/>
              <w:rPr>
                <w:rFonts w:ascii="Calibri" w:hAnsi="Calibri"/>
                <w:color w:val="000000"/>
              </w:rPr>
            </w:pPr>
            <w:r w:rsidRPr="00545318">
              <w:rPr>
                <w:rFonts w:ascii="Calibri" w:hAnsi="Calibri"/>
                <w:color w:val="000000"/>
              </w:rPr>
              <w:t>139.2</w:t>
            </w:r>
          </w:p>
        </w:tc>
        <w:tc>
          <w:tcPr>
            <w:tcW w:w="618" w:type="pct"/>
            <w:vAlign w:val="bottom"/>
          </w:tcPr>
          <w:p w14:paraId="6B5DC370" w14:textId="77777777" w:rsidR="00A63F2A" w:rsidRPr="00545318" w:rsidRDefault="00A63F2A" w:rsidP="002A0D3F">
            <w:pPr>
              <w:keepNext/>
              <w:jc w:val="right"/>
              <w:rPr>
                <w:rFonts w:ascii="Calibri" w:hAnsi="Calibri"/>
                <w:color w:val="000000"/>
              </w:rPr>
            </w:pPr>
            <w:r w:rsidRPr="00545318">
              <w:rPr>
                <w:rFonts w:ascii="Calibri" w:hAnsi="Calibri"/>
                <w:color w:val="000000"/>
              </w:rPr>
              <w:t>143.5</w:t>
            </w:r>
          </w:p>
        </w:tc>
      </w:tr>
      <w:tr w:rsidR="00A63F2A" w:rsidRPr="00545318" w14:paraId="02B02896" w14:textId="77777777" w:rsidTr="002A0D3F">
        <w:tc>
          <w:tcPr>
            <w:tcW w:w="1903" w:type="pct"/>
          </w:tcPr>
          <w:p w14:paraId="62C18586" w14:textId="77777777" w:rsidR="00A63F2A" w:rsidRPr="00545318" w:rsidRDefault="00A63F2A" w:rsidP="001F20B8">
            <w:pPr>
              <w:keepNext/>
            </w:pPr>
            <w:r w:rsidRPr="00545318">
              <w:t>Employment (FTE)</w:t>
            </w:r>
          </w:p>
        </w:tc>
        <w:tc>
          <w:tcPr>
            <w:tcW w:w="621" w:type="pct"/>
            <w:vAlign w:val="bottom"/>
          </w:tcPr>
          <w:p w14:paraId="352C43CA" w14:textId="77777777" w:rsidR="00A63F2A" w:rsidRPr="00545318" w:rsidRDefault="00A63F2A" w:rsidP="002A0D3F">
            <w:pPr>
              <w:keepNext/>
              <w:jc w:val="right"/>
              <w:rPr>
                <w:rFonts w:ascii="Calibri" w:hAnsi="Calibri"/>
                <w:color w:val="000000"/>
              </w:rPr>
            </w:pPr>
            <w:r w:rsidRPr="00545318">
              <w:rPr>
                <w:rFonts w:ascii="Calibri" w:hAnsi="Calibri"/>
                <w:color w:val="000000"/>
              </w:rPr>
              <w:t>45.2</w:t>
            </w:r>
          </w:p>
        </w:tc>
        <w:tc>
          <w:tcPr>
            <w:tcW w:w="620" w:type="pct"/>
            <w:vAlign w:val="bottom"/>
          </w:tcPr>
          <w:p w14:paraId="7E317B9D" w14:textId="77777777" w:rsidR="00A63F2A" w:rsidRPr="00545318" w:rsidRDefault="00A63F2A" w:rsidP="002A0D3F">
            <w:pPr>
              <w:keepNext/>
              <w:jc w:val="right"/>
              <w:rPr>
                <w:rFonts w:ascii="Calibri" w:hAnsi="Calibri"/>
                <w:color w:val="000000"/>
              </w:rPr>
            </w:pPr>
            <w:r w:rsidRPr="00545318">
              <w:rPr>
                <w:rFonts w:ascii="Calibri" w:hAnsi="Calibri"/>
                <w:color w:val="000000"/>
              </w:rPr>
              <w:t>39.3</w:t>
            </w:r>
          </w:p>
        </w:tc>
        <w:tc>
          <w:tcPr>
            <w:tcW w:w="619" w:type="pct"/>
            <w:vAlign w:val="bottom"/>
          </w:tcPr>
          <w:p w14:paraId="4B603111" w14:textId="77777777" w:rsidR="00A63F2A" w:rsidRPr="00545318" w:rsidRDefault="00A63F2A" w:rsidP="002A0D3F">
            <w:pPr>
              <w:keepNext/>
              <w:jc w:val="right"/>
              <w:rPr>
                <w:rFonts w:ascii="Calibri" w:hAnsi="Calibri"/>
                <w:color w:val="000000"/>
              </w:rPr>
            </w:pPr>
            <w:r w:rsidRPr="00545318">
              <w:rPr>
                <w:rFonts w:ascii="Calibri" w:hAnsi="Calibri"/>
                <w:color w:val="000000"/>
              </w:rPr>
              <w:t>39.9</w:t>
            </w:r>
          </w:p>
        </w:tc>
        <w:tc>
          <w:tcPr>
            <w:tcW w:w="619" w:type="pct"/>
            <w:vAlign w:val="bottom"/>
          </w:tcPr>
          <w:p w14:paraId="44473CE8" w14:textId="77777777" w:rsidR="00A63F2A" w:rsidRPr="00545318" w:rsidRDefault="00A63F2A" w:rsidP="002A0D3F">
            <w:pPr>
              <w:keepNext/>
              <w:jc w:val="right"/>
              <w:rPr>
                <w:rFonts w:ascii="Calibri" w:hAnsi="Calibri"/>
                <w:color w:val="000000"/>
              </w:rPr>
            </w:pPr>
            <w:r w:rsidRPr="00545318">
              <w:rPr>
                <w:rFonts w:ascii="Calibri" w:hAnsi="Calibri"/>
                <w:color w:val="000000"/>
              </w:rPr>
              <w:t>41.8</w:t>
            </w:r>
          </w:p>
        </w:tc>
        <w:tc>
          <w:tcPr>
            <w:tcW w:w="618" w:type="pct"/>
            <w:vAlign w:val="bottom"/>
          </w:tcPr>
          <w:p w14:paraId="7BF8610D" w14:textId="77777777" w:rsidR="00A63F2A" w:rsidRPr="00545318" w:rsidRDefault="00A63F2A" w:rsidP="002A0D3F">
            <w:pPr>
              <w:keepNext/>
              <w:jc w:val="right"/>
              <w:rPr>
                <w:rFonts w:ascii="Calibri" w:hAnsi="Calibri"/>
                <w:color w:val="000000"/>
              </w:rPr>
            </w:pPr>
            <w:r w:rsidRPr="00545318">
              <w:rPr>
                <w:rFonts w:ascii="Calibri" w:hAnsi="Calibri"/>
                <w:color w:val="000000"/>
              </w:rPr>
              <w:t>42.5</w:t>
            </w:r>
          </w:p>
        </w:tc>
      </w:tr>
      <w:tr w:rsidR="00A63F2A" w:rsidRPr="00545318" w14:paraId="0EA512D3" w14:textId="77777777" w:rsidTr="002A0D3F">
        <w:tc>
          <w:tcPr>
            <w:tcW w:w="1903" w:type="pct"/>
          </w:tcPr>
          <w:p w14:paraId="3B11B585" w14:textId="77777777" w:rsidR="00A63F2A" w:rsidRPr="00545318" w:rsidRDefault="00A63F2A" w:rsidP="001F20B8">
            <w:pPr>
              <w:keepNext/>
            </w:pPr>
            <w:r w:rsidRPr="00545318">
              <w:t>Investment ($m)</w:t>
            </w:r>
          </w:p>
        </w:tc>
        <w:tc>
          <w:tcPr>
            <w:tcW w:w="621" w:type="pct"/>
            <w:vAlign w:val="bottom"/>
          </w:tcPr>
          <w:p w14:paraId="316D7D8C" w14:textId="77777777" w:rsidR="00A63F2A" w:rsidRPr="00545318" w:rsidRDefault="00A63F2A" w:rsidP="002A0D3F">
            <w:pPr>
              <w:keepNext/>
              <w:jc w:val="right"/>
              <w:rPr>
                <w:rFonts w:ascii="Calibri" w:hAnsi="Calibri"/>
                <w:color w:val="000000"/>
              </w:rPr>
            </w:pPr>
            <w:r w:rsidRPr="00545318">
              <w:rPr>
                <w:rFonts w:ascii="Calibri" w:hAnsi="Calibri"/>
                <w:color w:val="000000"/>
              </w:rPr>
              <w:t>146.6</w:t>
            </w:r>
          </w:p>
        </w:tc>
        <w:tc>
          <w:tcPr>
            <w:tcW w:w="620" w:type="pct"/>
            <w:vAlign w:val="bottom"/>
          </w:tcPr>
          <w:p w14:paraId="50762040" w14:textId="77777777" w:rsidR="00A63F2A" w:rsidRPr="00545318" w:rsidRDefault="00A63F2A" w:rsidP="002A0D3F">
            <w:pPr>
              <w:keepNext/>
              <w:jc w:val="right"/>
              <w:rPr>
                <w:rFonts w:ascii="Calibri" w:hAnsi="Calibri"/>
                <w:color w:val="000000"/>
              </w:rPr>
            </w:pPr>
            <w:r w:rsidRPr="00545318">
              <w:rPr>
                <w:rFonts w:ascii="Calibri" w:hAnsi="Calibri"/>
                <w:color w:val="000000"/>
              </w:rPr>
              <w:t>119.8</w:t>
            </w:r>
          </w:p>
        </w:tc>
        <w:tc>
          <w:tcPr>
            <w:tcW w:w="619" w:type="pct"/>
            <w:vAlign w:val="bottom"/>
          </w:tcPr>
          <w:p w14:paraId="5EC02086" w14:textId="77777777" w:rsidR="00A63F2A" w:rsidRPr="00545318" w:rsidRDefault="00A63F2A" w:rsidP="002A0D3F">
            <w:pPr>
              <w:keepNext/>
              <w:jc w:val="right"/>
              <w:rPr>
                <w:rFonts w:ascii="Calibri" w:hAnsi="Calibri"/>
                <w:color w:val="000000"/>
              </w:rPr>
            </w:pPr>
            <w:r w:rsidRPr="00545318">
              <w:rPr>
                <w:rFonts w:ascii="Calibri" w:hAnsi="Calibri"/>
                <w:color w:val="000000"/>
              </w:rPr>
              <w:t>108.5</w:t>
            </w:r>
          </w:p>
        </w:tc>
        <w:tc>
          <w:tcPr>
            <w:tcW w:w="619" w:type="pct"/>
            <w:vAlign w:val="bottom"/>
          </w:tcPr>
          <w:p w14:paraId="0BAC9664" w14:textId="77777777" w:rsidR="00A63F2A" w:rsidRPr="00545318" w:rsidRDefault="00A63F2A" w:rsidP="002A0D3F">
            <w:pPr>
              <w:keepNext/>
              <w:jc w:val="right"/>
              <w:rPr>
                <w:rFonts w:ascii="Calibri" w:hAnsi="Calibri"/>
                <w:color w:val="000000"/>
              </w:rPr>
            </w:pPr>
            <w:r w:rsidRPr="00545318">
              <w:rPr>
                <w:rFonts w:ascii="Calibri" w:hAnsi="Calibri"/>
                <w:color w:val="000000"/>
              </w:rPr>
              <w:t>101.2</w:t>
            </w:r>
          </w:p>
        </w:tc>
        <w:tc>
          <w:tcPr>
            <w:tcW w:w="618" w:type="pct"/>
            <w:vAlign w:val="bottom"/>
          </w:tcPr>
          <w:p w14:paraId="77122868" w14:textId="77777777" w:rsidR="00A63F2A" w:rsidRPr="00545318" w:rsidRDefault="00A63F2A" w:rsidP="002A0D3F">
            <w:pPr>
              <w:keepNext/>
              <w:jc w:val="right"/>
              <w:rPr>
                <w:rFonts w:ascii="Calibri" w:hAnsi="Calibri"/>
                <w:color w:val="000000"/>
              </w:rPr>
            </w:pPr>
            <w:r w:rsidRPr="00545318">
              <w:rPr>
                <w:rFonts w:ascii="Calibri" w:hAnsi="Calibri"/>
                <w:color w:val="000000"/>
              </w:rPr>
              <w:t>92.8</w:t>
            </w:r>
          </w:p>
        </w:tc>
      </w:tr>
      <w:tr w:rsidR="001F20B8" w:rsidRPr="00545318" w14:paraId="2F07F095" w14:textId="77777777" w:rsidTr="001F20B8">
        <w:tc>
          <w:tcPr>
            <w:tcW w:w="1903" w:type="pct"/>
            <w:tcBorders>
              <w:top w:val="single" w:sz="12" w:space="0" w:color="4F81BD" w:themeColor="accent1"/>
              <w:bottom w:val="single" w:sz="4" w:space="0" w:color="4F81BD" w:themeColor="accent1"/>
            </w:tcBorders>
            <w:vAlign w:val="center"/>
          </w:tcPr>
          <w:p w14:paraId="6DCFD1A3" w14:textId="77777777" w:rsidR="001F20B8" w:rsidRPr="00545318" w:rsidRDefault="001F20B8" w:rsidP="00CA2191">
            <w:pPr>
              <w:keepNext/>
              <w:jc w:val="center"/>
              <w:rPr>
                <w:b/>
              </w:rPr>
            </w:pPr>
            <w:r w:rsidRPr="00545318">
              <w:rPr>
                <w:b/>
              </w:rPr>
              <w:t>Key sectoral output results</w:t>
            </w:r>
          </w:p>
        </w:tc>
        <w:tc>
          <w:tcPr>
            <w:tcW w:w="621" w:type="pct"/>
            <w:tcBorders>
              <w:top w:val="single" w:sz="12" w:space="0" w:color="4F81BD" w:themeColor="accent1"/>
              <w:bottom w:val="single" w:sz="4" w:space="0" w:color="4F81BD" w:themeColor="accent1"/>
            </w:tcBorders>
          </w:tcPr>
          <w:p w14:paraId="58AA41C4" w14:textId="77777777" w:rsidR="001F20B8" w:rsidRPr="00545318" w:rsidRDefault="001F20B8" w:rsidP="00CA2191">
            <w:pPr>
              <w:keepNext/>
              <w:jc w:val="right"/>
            </w:pPr>
          </w:p>
        </w:tc>
        <w:tc>
          <w:tcPr>
            <w:tcW w:w="620" w:type="pct"/>
            <w:tcBorders>
              <w:top w:val="single" w:sz="12" w:space="0" w:color="4F81BD" w:themeColor="accent1"/>
              <w:bottom w:val="single" w:sz="4" w:space="0" w:color="4F81BD" w:themeColor="accent1"/>
            </w:tcBorders>
          </w:tcPr>
          <w:p w14:paraId="16A9D73E"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0CB3339A"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51CF58C3" w14:textId="77777777" w:rsidR="001F20B8" w:rsidRPr="00545318" w:rsidRDefault="001F20B8" w:rsidP="00CA2191">
            <w:pPr>
              <w:keepNext/>
              <w:jc w:val="right"/>
            </w:pPr>
          </w:p>
        </w:tc>
        <w:tc>
          <w:tcPr>
            <w:tcW w:w="618" w:type="pct"/>
            <w:tcBorders>
              <w:top w:val="single" w:sz="12" w:space="0" w:color="4F81BD" w:themeColor="accent1"/>
              <w:bottom w:val="single" w:sz="4" w:space="0" w:color="4F81BD" w:themeColor="accent1"/>
            </w:tcBorders>
          </w:tcPr>
          <w:p w14:paraId="1A8D0510" w14:textId="77777777" w:rsidR="001F20B8" w:rsidRPr="00545318" w:rsidRDefault="001F20B8" w:rsidP="00CA2191">
            <w:pPr>
              <w:keepNext/>
              <w:jc w:val="right"/>
            </w:pPr>
          </w:p>
        </w:tc>
      </w:tr>
      <w:tr w:rsidR="00A63F2A" w:rsidRPr="00545318" w14:paraId="4707F905" w14:textId="77777777" w:rsidTr="002A0D3F">
        <w:tc>
          <w:tcPr>
            <w:tcW w:w="1903" w:type="pct"/>
          </w:tcPr>
          <w:p w14:paraId="5EA55FB1" w14:textId="77777777" w:rsidR="00A63F2A" w:rsidRPr="00545318" w:rsidRDefault="00A63F2A" w:rsidP="00CA2191">
            <w:pPr>
              <w:keepNext/>
            </w:pPr>
            <w:r w:rsidRPr="00545318">
              <w:t>Aluminium ($m)</w:t>
            </w:r>
          </w:p>
        </w:tc>
        <w:tc>
          <w:tcPr>
            <w:tcW w:w="621" w:type="pct"/>
            <w:vAlign w:val="bottom"/>
          </w:tcPr>
          <w:p w14:paraId="0954E1CB"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20" w:type="pct"/>
            <w:vAlign w:val="bottom"/>
          </w:tcPr>
          <w:p w14:paraId="1866F015" w14:textId="77777777" w:rsidR="00A63F2A" w:rsidRPr="00545318" w:rsidRDefault="00A63F2A" w:rsidP="002A0D3F">
            <w:pPr>
              <w:keepNext/>
              <w:jc w:val="right"/>
              <w:rPr>
                <w:rFonts w:ascii="Calibri" w:hAnsi="Calibri"/>
                <w:color w:val="000000"/>
              </w:rPr>
            </w:pPr>
            <w:r w:rsidRPr="00545318">
              <w:rPr>
                <w:rFonts w:ascii="Calibri" w:hAnsi="Calibri"/>
                <w:color w:val="000000"/>
              </w:rPr>
              <w:t>-264.8</w:t>
            </w:r>
          </w:p>
        </w:tc>
        <w:tc>
          <w:tcPr>
            <w:tcW w:w="619" w:type="pct"/>
            <w:vAlign w:val="bottom"/>
          </w:tcPr>
          <w:p w14:paraId="4015061C" w14:textId="77777777" w:rsidR="00A63F2A" w:rsidRPr="00545318" w:rsidRDefault="00A63F2A" w:rsidP="002A0D3F">
            <w:pPr>
              <w:keepNext/>
              <w:jc w:val="right"/>
              <w:rPr>
                <w:rFonts w:ascii="Calibri" w:hAnsi="Calibri"/>
                <w:color w:val="000000"/>
              </w:rPr>
            </w:pPr>
            <w:r w:rsidRPr="00545318">
              <w:rPr>
                <w:rFonts w:ascii="Calibri" w:hAnsi="Calibri"/>
                <w:color w:val="000000"/>
              </w:rPr>
              <w:t>-268.6</w:t>
            </w:r>
          </w:p>
        </w:tc>
        <w:tc>
          <w:tcPr>
            <w:tcW w:w="619" w:type="pct"/>
            <w:vAlign w:val="bottom"/>
          </w:tcPr>
          <w:p w14:paraId="019827A8" w14:textId="77777777" w:rsidR="00A63F2A" w:rsidRPr="00545318" w:rsidRDefault="00A63F2A" w:rsidP="002A0D3F">
            <w:pPr>
              <w:keepNext/>
              <w:jc w:val="right"/>
              <w:rPr>
                <w:rFonts w:ascii="Calibri" w:hAnsi="Calibri"/>
                <w:color w:val="000000"/>
              </w:rPr>
            </w:pPr>
            <w:r w:rsidRPr="00545318">
              <w:rPr>
                <w:rFonts w:ascii="Calibri" w:hAnsi="Calibri"/>
                <w:color w:val="000000"/>
              </w:rPr>
              <w:t>-271.4</w:t>
            </w:r>
          </w:p>
        </w:tc>
        <w:tc>
          <w:tcPr>
            <w:tcW w:w="618" w:type="pct"/>
            <w:vAlign w:val="bottom"/>
          </w:tcPr>
          <w:p w14:paraId="45361672" w14:textId="77777777" w:rsidR="00A63F2A" w:rsidRPr="00545318" w:rsidRDefault="00A63F2A" w:rsidP="002A0D3F">
            <w:pPr>
              <w:keepNext/>
              <w:jc w:val="right"/>
              <w:rPr>
                <w:rFonts w:ascii="Calibri" w:hAnsi="Calibri"/>
                <w:color w:val="000000"/>
              </w:rPr>
            </w:pPr>
            <w:r w:rsidRPr="00545318">
              <w:rPr>
                <w:rFonts w:ascii="Calibri" w:hAnsi="Calibri"/>
                <w:color w:val="000000"/>
              </w:rPr>
              <w:t>-273.4</w:t>
            </w:r>
          </w:p>
        </w:tc>
      </w:tr>
      <w:tr w:rsidR="00A63F2A" w:rsidRPr="00545318" w14:paraId="2F980130" w14:textId="77777777" w:rsidTr="002A0D3F">
        <w:tc>
          <w:tcPr>
            <w:tcW w:w="1903" w:type="pct"/>
          </w:tcPr>
          <w:p w14:paraId="17E8FF73" w14:textId="77777777" w:rsidR="00A63F2A" w:rsidRPr="00545318" w:rsidRDefault="00A63F2A" w:rsidP="001F20B8">
            <w:pPr>
              <w:keepNext/>
            </w:pPr>
            <w:r w:rsidRPr="00545318">
              <w:t>Manufacturing ($m)</w:t>
            </w:r>
          </w:p>
        </w:tc>
        <w:tc>
          <w:tcPr>
            <w:tcW w:w="621" w:type="pct"/>
            <w:vAlign w:val="bottom"/>
          </w:tcPr>
          <w:p w14:paraId="609C8EF4" w14:textId="77777777" w:rsidR="00A63F2A" w:rsidRPr="00545318" w:rsidRDefault="00A63F2A" w:rsidP="002A0D3F">
            <w:pPr>
              <w:keepNext/>
              <w:jc w:val="right"/>
              <w:rPr>
                <w:rFonts w:ascii="Calibri" w:hAnsi="Calibri"/>
                <w:color w:val="000000"/>
              </w:rPr>
            </w:pPr>
            <w:r w:rsidRPr="00545318">
              <w:rPr>
                <w:rFonts w:ascii="Calibri" w:hAnsi="Calibri"/>
                <w:color w:val="000000"/>
              </w:rPr>
              <w:t>78.1</w:t>
            </w:r>
          </w:p>
        </w:tc>
        <w:tc>
          <w:tcPr>
            <w:tcW w:w="620" w:type="pct"/>
            <w:vAlign w:val="bottom"/>
          </w:tcPr>
          <w:p w14:paraId="71251EF9" w14:textId="77777777" w:rsidR="00A63F2A" w:rsidRPr="00545318" w:rsidRDefault="00A63F2A" w:rsidP="002A0D3F">
            <w:pPr>
              <w:keepNext/>
              <w:jc w:val="right"/>
              <w:rPr>
                <w:rFonts w:ascii="Calibri" w:hAnsi="Calibri"/>
                <w:color w:val="000000"/>
              </w:rPr>
            </w:pPr>
            <w:r w:rsidRPr="00545318">
              <w:rPr>
                <w:rFonts w:ascii="Calibri" w:hAnsi="Calibri"/>
                <w:color w:val="000000"/>
              </w:rPr>
              <w:t>94.8</w:t>
            </w:r>
          </w:p>
        </w:tc>
        <w:tc>
          <w:tcPr>
            <w:tcW w:w="619" w:type="pct"/>
            <w:vAlign w:val="bottom"/>
          </w:tcPr>
          <w:p w14:paraId="38222BB8" w14:textId="77777777" w:rsidR="00A63F2A" w:rsidRPr="00545318" w:rsidRDefault="00A63F2A" w:rsidP="002A0D3F">
            <w:pPr>
              <w:keepNext/>
              <w:jc w:val="right"/>
              <w:rPr>
                <w:rFonts w:ascii="Calibri" w:hAnsi="Calibri"/>
                <w:color w:val="000000"/>
              </w:rPr>
            </w:pPr>
            <w:r w:rsidRPr="00545318">
              <w:rPr>
                <w:rFonts w:ascii="Calibri" w:hAnsi="Calibri"/>
                <w:color w:val="000000"/>
              </w:rPr>
              <w:t>104.4</w:t>
            </w:r>
          </w:p>
        </w:tc>
        <w:tc>
          <w:tcPr>
            <w:tcW w:w="619" w:type="pct"/>
            <w:vAlign w:val="bottom"/>
          </w:tcPr>
          <w:p w14:paraId="11F41607" w14:textId="77777777" w:rsidR="00A63F2A" w:rsidRPr="00545318" w:rsidRDefault="00A63F2A" w:rsidP="002A0D3F">
            <w:pPr>
              <w:keepNext/>
              <w:jc w:val="right"/>
              <w:rPr>
                <w:rFonts w:ascii="Calibri" w:hAnsi="Calibri"/>
                <w:color w:val="000000"/>
              </w:rPr>
            </w:pPr>
            <w:r w:rsidRPr="00545318">
              <w:rPr>
                <w:rFonts w:ascii="Calibri" w:hAnsi="Calibri"/>
                <w:color w:val="000000"/>
              </w:rPr>
              <w:t>111.6</w:t>
            </w:r>
          </w:p>
        </w:tc>
        <w:tc>
          <w:tcPr>
            <w:tcW w:w="618" w:type="pct"/>
            <w:vAlign w:val="bottom"/>
          </w:tcPr>
          <w:p w14:paraId="5BFDB866" w14:textId="77777777" w:rsidR="00A63F2A" w:rsidRPr="00545318" w:rsidRDefault="00A63F2A" w:rsidP="002A0D3F">
            <w:pPr>
              <w:keepNext/>
              <w:jc w:val="right"/>
              <w:rPr>
                <w:rFonts w:ascii="Calibri" w:hAnsi="Calibri"/>
                <w:color w:val="000000"/>
              </w:rPr>
            </w:pPr>
            <w:r w:rsidRPr="00545318">
              <w:rPr>
                <w:rFonts w:ascii="Calibri" w:hAnsi="Calibri"/>
                <w:color w:val="000000"/>
              </w:rPr>
              <w:t>118.2</w:t>
            </w:r>
          </w:p>
        </w:tc>
      </w:tr>
      <w:tr w:rsidR="00A63F2A" w:rsidRPr="00545318" w14:paraId="6F1A0219" w14:textId="77777777" w:rsidTr="002A0D3F">
        <w:tc>
          <w:tcPr>
            <w:tcW w:w="1903" w:type="pct"/>
            <w:tcBorders>
              <w:bottom w:val="single" w:sz="12" w:space="0" w:color="4F81BD" w:themeColor="accent1"/>
            </w:tcBorders>
          </w:tcPr>
          <w:p w14:paraId="757269FF" w14:textId="77777777" w:rsidR="00A63F2A" w:rsidRPr="00545318" w:rsidRDefault="00A63F2A" w:rsidP="00CA2191">
            <w:pPr>
              <w:keepNext/>
            </w:pPr>
            <w:r w:rsidRPr="00545318">
              <w:t>Construction ($m)</w:t>
            </w:r>
          </w:p>
        </w:tc>
        <w:tc>
          <w:tcPr>
            <w:tcW w:w="621" w:type="pct"/>
            <w:tcBorders>
              <w:bottom w:val="single" w:sz="12" w:space="0" w:color="4F81BD" w:themeColor="accent1"/>
            </w:tcBorders>
            <w:vAlign w:val="bottom"/>
          </w:tcPr>
          <w:p w14:paraId="41595A7E" w14:textId="77777777" w:rsidR="00A63F2A" w:rsidRPr="00545318" w:rsidRDefault="00A63F2A" w:rsidP="002A0D3F">
            <w:pPr>
              <w:keepNext/>
              <w:jc w:val="right"/>
              <w:rPr>
                <w:rFonts w:ascii="Calibri" w:hAnsi="Calibri"/>
                <w:color w:val="000000"/>
              </w:rPr>
            </w:pPr>
            <w:r w:rsidRPr="00545318">
              <w:rPr>
                <w:rFonts w:ascii="Calibri" w:hAnsi="Calibri"/>
                <w:color w:val="000000"/>
              </w:rPr>
              <w:t>100.4</w:t>
            </w:r>
          </w:p>
        </w:tc>
        <w:tc>
          <w:tcPr>
            <w:tcW w:w="620" w:type="pct"/>
            <w:tcBorders>
              <w:bottom w:val="single" w:sz="12" w:space="0" w:color="4F81BD" w:themeColor="accent1"/>
            </w:tcBorders>
            <w:vAlign w:val="bottom"/>
          </w:tcPr>
          <w:p w14:paraId="1BF15B2F" w14:textId="77777777" w:rsidR="00A63F2A" w:rsidRPr="00545318" w:rsidRDefault="00A63F2A" w:rsidP="002A0D3F">
            <w:pPr>
              <w:keepNext/>
              <w:jc w:val="right"/>
              <w:rPr>
                <w:rFonts w:ascii="Calibri" w:hAnsi="Calibri"/>
                <w:color w:val="000000"/>
              </w:rPr>
            </w:pPr>
            <w:r w:rsidRPr="00545318">
              <w:rPr>
                <w:rFonts w:ascii="Calibri" w:hAnsi="Calibri"/>
                <w:color w:val="000000"/>
              </w:rPr>
              <w:t>82.9</w:t>
            </w:r>
          </w:p>
        </w:tc>
        <w:tc>
          <w:tcPr>
            <w:tcW w:w="619" w:type="pct"/>
            <w:tcBorders>
              <w:bottom w:val="single" w:sz="12" w:space="0" w:color="4F81BD" w:themeColor="accent1"/>
            </w:tcBorders>
            <w:vAlign w:val="bottom"/>
          </w:tcPr>
          <w:p w14:paraId="1543D186" w14:textId="77777777" w:rsidR="00A63F2A" w:rsidRPr="00545318" w:rsidRDefault="00A63F2A" w:rsidP="002A0D3F">
            <w:pPr>
              <w:keepNext/>
              <w:jc w:val="right"/>
              <w:rPr>
                <w:rFonts w:ascii="Calibri" w:hAnsi="Calibri"/>
                <w:color w:val="000000"/>
              </w:rPr>
            </w:pPr>
            <w:r w:rsidRPr="00545318">
              <w:rPr>
                <w:rFonts w:ascii="Calibri" w:hAnsi="Calibri"/>
                <w:color w:val="000000"/>
              </w:rPr>
              <w:t>75.7</w:t>
            </w:r>
          </w:p>
        </w:tc>
        <w:tc>
          <w:tcPr>
            <w:tcW w:w="619" w:type="pct"/>
            <w:tcBorders>
              <w:bottom w:val="single" w:sz="12" w:space="0" w:color="4F81BD" w:themeColor="accent1"/>
            </w:tcBorders>
            <w:vAlign w:val="bottom"/>
          </w:tcPr>
          <w:p w14:paraId="65C9C50A" w14:textId="77777777" w:rsidR="00A63F2A" w:rsidRPr="00545318" w:rsidRDefault="00A63F2A" w:rsidP="002A0D3F">
            <w:pPr>
              <w:keepNext/>
              <w:jc w:val="right"/>
              <w:rPr>
                <w:rFonts w:ascii="Calibri" w:hAnsi="Calibri"/>
                <w:color w:val="000000"/>
              </w:rPr>
            </w:pPr>
            <w:r w:rsidRPr="00545318">
              <w:rPr>
                <w:rFonts w:ascii="Calibri" w:hAnsi="Calibri"/>
                <w:color w:val="000000"/>
              </w:rPr>
              <w:t>71.2</w:t>
            </w:r>
          </w:p>
        </w:tc>
        <w:tc>
          <w:tcPr>
            <w:tcW w:w="618" w:type="pct"/>
            <w:tcBorders>
              <w:bottom w:val="single" w:sz="12" w:space="0" w:color="4F81BD" w:themeColor="accent1"/>
            </w:tcBorders>
            <w:vAlign w:val="bottom"/>
          </w:tcPr>
          <w:p w14:paraId="0898F5CA" w14:textId="77777777" w:rsidR="00A63F2A" w:rsidRPr="00545318" w:rsidRDefault="00A63F2A" w:rsidP="002A0D3F">
            <w:pPr>
              <w:keepNext/>
              <w:jc w:val="right"/>
              <w:rPr>
                <w:rFonts w:ascii="Calibri" w:hAnsi="Calibri"/>
                <w:color w:val="000000"/>
              </w:rPr>
            </w:pPr>
            <w:r w:rsidRPr="00545318">
              <w:rPr>
                <w:rFonts w:ascii="Calibri" w:hAnsi="Calibri"/>
                <w:color w:val="000000"/>
              </w:rPr>
              <w:t>65.9</w:t>
            </w:r>
          </w:p>
        </w:tc>
      </w:tr>
      <w:tr w:rsidR="001F20B8" w:rsidRPr="00545318" w14:paraId="542F47E2" w14:textId="77777777" w:rsidTr="001F20B8">
        <w:tc>
          <w:tcPr>
            <w:tcW w:w="1903" w:type="pct"/>
            <w:tcBorders>
              <w:top w:val="single" w:sz="12" w:space="0" w:color="4F81BD" w:themeColor="accent1"/>
              <w:bottom w:val="single" w:sz="12" w:space="0" w:color="4F81BD" w:themeColor="accent1"/>
            </w:tcBorders>
          </w:tcPr>
          <w:p w14:paraId="53CF705E" w14:textId="77777777" w:rsidR="001F20B8" w:rsidRPr="00545318" w:rsidRDefault="001F20B8" w:rsidP="00CA2191">
            <w:pPr>
              <w:keepNext/>
              <w:rPr>
                <w:b/>
              </w:rPr>
            </w:pPr>
            <w:r w:rsidRPr="00545318">
              <w:rPr>
                <w:b/>
              </w:rPr>
              <w:t>Scenario 2</w:t>
            </w:r>
          </w:p>
        </w:tc>
        <w:tc>
          <w:tcPr>
            <w:tcW w:w="621" w:type="pct"/>
            <w:tcBorders>
              <w:top w:val="single" w:sz="12" w:space="0" w:color="4F81BD" w:themeColor="accent1"/>
              <w:bottom w:val="single" w:sz="12" w:space="0" w:color="4F81BD" w:themeColor="accent1"/>
            </w:tcBorders>
          </w:tcPr>
          <w:p w14:paraId="5816A694" w14:textId="77777777" w:rsidR="001F20B8" w:rsidRPr="00545318" w:rsidRDefault="00A63F2A" w:rsidP="00CA2191">
            <w:pPr>
              <w:keepNext/>
              <w:jc w:val="right"/>
              <w:rPr>
                <w:b/>
              </w:rPr>
            </w:pPr>
            <w:r w:rsidRPr="00545318">
              <w:rPr>
                <w:b/>
              </w:rPr>
              <w:t>2016/17</w:t>
            </w:r>
          </w:p>
        </w:tc>
        <w:tc>
          <w:tcPr>
            <w:tcW w:w="620" w:type="pct"/>
            <w:tcBorders>
              <w:top w:val="single" w:sz="12" w:space="0" w:color="4F81BD" w:themeColor="accent1"/>
              <w:bottom w:val="single" w:sz="12" w:space="0" w:color="4F81BD" w:themeColor="accent1"/>
            </w:tcBorders>
            <w:vAlign w:val="center"/>
          </w:tcPr>
          <w:p w14:paraId="78017333" w14:textId="77777777" w:rsidR="001F20B8" w:rsidRPr="00545318" w:rsidRDefault="001F20B8"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6AAD59E5" w14:textId="77777777" w:rsidR="001F20B8" w:rsidRPr="00545318" w:rsidRDefault="001F20B8"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175E9576" w14:textId="77777777" w:rsidR="001F20B8" w:rsidRPr="00545318" w:rsidRDefault="001F20B8" w:rsidP="00CA2191">
            <w:pPr>
              <w:keepNext/>
              <w:jc w:val="right"/>
              <w:rPr>
                <w:b/>
              </w:rPr>
            </w:pPr>
            <w:r w:rsidRPr="00545318">
              <w:rPr>
                <w:b/>
              </w:rPr>
              <w:t>2019/20</w:t>
            </w:r>
          </w:p>
        </w:tc>
        <w:tc>
          <w:tcPr>
            <w:tcW w:w="618" w:type="pct"/>
            <w:tcBorders>
              <w:top w:val="single" w:sz="12" w:space="0" w:color="4F81BD" w:themeColor="accent1"/>
              <w:bottom w:val="single" w:sz="12" w:space="0" w:color="4F81BD" w:themeColor="accent1"/>
            </w:tcBorders>
            <w:vAlign w:val="center"/>
          </w:tcPr>
          <w:p w14:paraId="22989F98" w14:textId="77777777" w:rsidR="001F20B8" w:rsidRPr="00545318" w:rsidRDefault="001F20B8" w:rsidP="00CA2191">
            <w:pPr>
              <w:keepNext/>
              <w:jc w:val="right"/>
              <w:rPr>
                <w:b/>
              </w:rPr>
            </w:pPr>
            <w:r w:rsidRPr="00545318">
              <w:rPr>
                <w:b/>
              </w:rPr>
              <w:t>2020/21</w:t>
            </w:r>
          </w:p>
        </w:tc>
      </w:tr>
      <w:tr w:rsidR="001F20B8" w:rsidRPr="00545318" w14:paraId="112E088D" w14:textId="77777777" w:rsidTr="001F20B8">
        <w:tc>
          <w:tcPr>
            <w:tcW w:w="1903" w:type="pct"/>
            <w:tcBorders>
              <w:top w:val="single" w:sz="12" w:space="0" w:color="4F81BD" w:themeColor="accent1"/>
              <w:bottom w:val="single" w:sz="4" w:space="0" w:color="4F81BD" w:themeColor="accent1"/>
            </w:tcBorders>
            <w:vAlign w:val="center"/>
          </w:tcPr>
          <w:p w14:paraId="34E595C0" w14:textId="77777777" w:rsidR="001F20B8" w:rsidRPr="00545318" w:rsidRDefault="001F20B8" w:rsidP="00CA2191">
            <w:pPr>
              <w:keepNext/>
              <w:jc w:val="center"/>
              <w:rPr>
                <w:b/>
              </w:rPr>
            </w:pPr>
            <w:r w:rsidRPr="00545318">
              <w:rPr>
                <w:b/>
              </w:rPr>
              <w:t>Key macro results</w:t>
            </w:r>
          </w:p>
        </w:tc>
        <w:tc>
          <w:tcPr>
            <w:tcW w:w="621" w:type="pct"/>
            <w:tcBorders>
              <w:top w:val="single" w:sz="12" w:space="0" w:color="4F81BD" w:themeColor="accent1"/>
              <w:bottom w:val="single" w:sz="4" w:space="0" w:color="4F81BD" w:themeColor="accent1"/>
            </w:tcBorders>
          </w:tcPr>
          <w:p w14:paraId="66AEA8C3" w14:textId="77777777" w:rsidR="001F20B8" w:rsidRPr="00545318" w:rsidRDefault="001F20B8" w:rsidP="00CA2191">
            <w:pPr>
              <w:keepNext/>
              <w:jc w:val="center"/>
            </w:pPr>
          </w:p>
        </w:tc>
        <w:tc>
          <w:tcPr>
            <w:tcW w:w="620" w:type="pct"/>
            <w:tcBorders>
              <w:top w:val="single" w:sz="12" w:space="0" w:color="4F81BD" w:themeColor="accent1"/>
              <w:bottom w:val="single" w:sz="4" w:space="0" w:color="4F81BD" w:themeColor="accent1"/>
            </w:tcBorders>
            <w:vAlign w:val="center"/>
          </w:tcPr>
          <w:p w14:paraId="558D1BA7"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216AB534"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15B65613" w14:textId="77777777" w:rsidR="001F20B8" w:rsidRPr="00545318" w:rsidRDefault="001F20B8" w:rsidP="00CA2191">
            <w:pPr>
              <w:keepNext/>
              <w:jc w:val="center"/>
            </w:pPr>
          </w:p>
        </w:tc>
        <w:tc>
          <w:tcPr>
            <w:tcW w:w="618" w:type="pct"/>
            <w:tcBorders>
              <w:top w:val="single" w:sz="12" w:space="0" w:color="4F81BD" w:themeColor="accent1"/>
              <w:bottom w:val="single" w:sz="4" w:space="0" w:color="4F81BD" w:themeColor="accent1"/>
            </w:tcBorders>
            <w:vAlign w:val="center"/>
          </w:tcPr>
          <w:p w14:paraId="0F10C3A3" w14:textId="77777777" w:rsidR="001F20B8" w:rsidRPr="00545318" w:rsidRDefault="001F20B8" w:rsidP="00CA2191">
            <w:pPr>
              <w:keepNext/>
              <w:jc w:val="center"/>
            </w:pPr>
          </w:p>
        </w:tc>
      </w:tr>
      <w:tr w:rsidR="00A63F2A" w:rsidRPr="00545318" w14:paraId="0DFED3B8" w14:textId="77777777" w:rsidTr="002A0D3F">
        <w:tc>
          <w:tcPr>
            <w:tcW w:w="1903" w:type="pct"/>
            <w:tcBorders>
              <w:top w:val="single" w:sz="4" w:space="0" w:color="4F81BD" w:themeColor="accent1"/>
            </w:tcBorders>
          </w:tcPr>
          <w:p w14:paraId="2E0AD5E0" w14:textId="77777777" w:rsidR="00A63F2A" w:rsidRPr="00545318" w:rsidRDefault="00A63F2A" w:rsidP="00CA2191">
            <w:pPr>
              <w:keepNext/>
            </w:pPr>
            <w:r w:rsidRPr="00545318">
              <w:t>Real GDP ($m)</w:t>
            </w:r>
          </w:p>
        </w:tc>
        <w:tc>
          <w:tcPr>
            <w:tcW w:w="621" w:type="pct"/>
            <w:tcBorders>
              <w:top w:val="single" w:sz="4" w:space="0" w:color="4F81BD" w:themeColor="accent1"/>
            </w:tcBorders>
            <w:vAlign w:val="bottom"/>
          </w:tcPr>
          <w:p w14:paraId="70BBC53E" w14:textId="77777777" w:rsidR="00A63F2A" w:rsidRPr="00545318" w:rsidRDefault="00A63F2A" w:rsidP="002A0D3F">
            <w:pPr>
              <w:keepNext/>
              <w:jc w:val="right"/>
              <w:rPr>
                <w:rFonts w:ascii="Calibri" w:hAnsi="Calibri"/>
                <w:color w:val="000000"/>
              </w:rPr>
            </w:pPr>
            <w:r w:rsidRPr="00545318">
              <w:rPr>
                <w:rFonts w:ascii="Calibri" w:hAnsi="Calibri"/>
                <w:color w:val="000000"/>
              </w:rPr>
              <w:t>86.2</w:t>
            </w:r>
          </w:p>
        </w:tc>
        <w:tc>
          <w:tcPr>
            <w:tcW w:w="620" w:type="pct"/>
            <w:tcBorders>
              <w:top w:val="single" w:sz="4" w:space="0" w:color="4F81BD" w:themeColor="accent1"/>
            </w:tcBorders>
            <w:vAlign w:val="bottom"/>
          </w:tcPr>
          <w:p w14:paraId="6E8AD7AD" w14:textId="77777777" w:rsidR="00A63F2A" w:rsidRPr="00545318" w:rsidRDefault="00A63F2A" w:rsidP="002A0D3F">
            <w:pPr>
              <w:keepNext/>
              <w:jc w:val="right"/>
              <w:rPr>
                <w:rFonts w:ascii="Calibri" w:hAnsi="Calibri"/>
                <w:color w:val="000000"/>
              </w:rPr>
            </w:pPr>
            <w:r w:rsidRPr="00545318">
              <w:rPr>
                <w:rFonts w:ascii="Calibri" w:hAnsi="Calibri"/>
                <w:color w:val="000000"/>
              </w:rPr>
              <w:t>11.7</w:t>
            </w:r>
          </w:p>
        </w:tc>
        <w:tc>
          <w:tcPr>
            <w:tcW w:w="619" w:type="pct"/>
            <w:tcBorders>
              <w:top w:val="single" w:sz="4" w:space="0" w:color="4F81BD" w:themeColor="accent1"/>
            </w:tcBorders>
            <w:vAlign w:val="bottom"/>
          </w:tcPr>
          <w:p w14:paraId="5F81074D" w14:textId="77777777" w:rsidR="00A63F2A" w:rsidRPr="00545318" w:rsidRDefault="00A63F2A" w:rsidP="002A0D3F">
            <w:pPr>
              <w:keepNext/>
              <w:jc w:val="right"/>
              <w:rPr>
                <w:rFonts w:ascii="Calibri" w:hAnsi="Calibri"/>
                <w:color w:val="000000"/>
              </w:rPr>
            </w:pPr>
            <w:r w:rsidRPr="00545318">
              <w:rPr>
                <w:rFonts w:ascii="Calibri" w:hAnsi="Calibri"/>
                <w:color w:val="000000"/>
              </w:rPr>
              <w:t>17.8</w:t>
            </w:r>
          </w:p>
        </w:tc>
        <w:tc>
          <w:tcPr>
            <w:tcW w:w="619" w:type="pct"/>
            <w:tcBorders>
              <w:top w:val="single" w:sz="4" w:space="0" w:color="4F81BD" w:themeColor="accent1"/>
            </w:tcBorders>
            <w:vAlign w:val="bottom"/>
          </w:tcPr>
          <w:p w14:paraId="7401EDC3" w14:textId="77777777" w:rsidR="00A63F2A" w:rsidRPr="00545318" w:rsidRDefault="00A63F2A" w:rsidP="002A0D3F">
            <w:pPr>
              <w:keepNext/>
              <w:jc w:val="right"/>
              <w:rPr>
                <w:rFonts w:ascii="Calibri" w:hAnsi="Calibri"/>
                <w:color w:val="000000"/>
              </w:rPr>
            </w:pPr>
            <w:r w:rsidRPr="00545318">
              <w:rPr>
                <w:rFonts w:ascii="Calibri" w:hAnsi="Calibri"/>
                <w:color w:val="000000"/>
              </w:rPr>
              <w:t>22.4</w:t>
            </w:r>
          </w:p>
        </w:tc>
        <w:tc>
          <w:tcPr>
            <w:tcW w:w="618" w:type="pct"/>
            <w:tcBorders>
              <w:top w:val="single" w:sz="4" w:space="0" w:color="4F81BD" w:themeColor="accent1"/>
            </w:tcBorders>
            <w:vAlign w:val="bottom"/>
          </w:tcPr>
          <w:p w14:paraId="090B350C" w14:textId="77777777" w:rsidR="00A63F2A" w:rsidRPr="00545318" w:rsidRDefault="00A63F2A" w:rsidP="002A0D3F">
            <w:pPr>
              <w:keepNext/>
              <w:jc w:val="right"/>
              <w:rPr>
                <w:rFonts w:ascii="Calibri" w:hAnsi="Calibri"/>
                <w:color w:val="000000"/>
              </w:rPr>
            </w:pPr>
            <w:r w:rsidRPr="00545318">
              <w:rPr>
                <w:rFonts w:ascii="Calibri" w:hAnsi="Calibri"/>
                <w:color w:val="000000"/>
              </w:rPr>
              <w:t>27.6</w:t>
            </w:r>
          </w:p>
        </w:tc>
      </w:tr>
      <w:tr w:rsidR="00A63F2A" w:rsidRPr="00545318" w14:paraId="70373E03" w14:textId="77777777" w:rsidTr="002A0D3F">
        <w:tc>
          <w:tcPr>
            <w:tcW w:w="1903" w:type="pct"/>
          </w:tcPr>
          <w:p w14:paraId="040D02D4" w14:textId="77777777" w:rsidR="00A63F2A" w:rsidRPr="00545318" w:rsidRDefault="00A63F2A" w:rsidP="00CA2191">
            <w:pPr>
              <w:keepNext/>
            </w:pPr>
            <w:r w:rsidRPr="00545318">
              <w:t>Real GNP ($m)</w:t>
            </w:r>
          </w:p>
        </w:tc>
        <w:tc>
          <w:tcPr>
            <w:tcW w:w="621" w:type="pct"/>
            <w:vAlign w:val="bottom"/>
          </w:tcPr>
          <w:p w14:paraId="02322F59" w14:textId="77777777" w:rsidR="00A63F2A" w:rsidRPr="00545318" w:rsidRDefault="00A63F2A" w:rsidP="002A0D3F">
            <w:pPr>
              <w:keepNext/>
              <w:jc w:val="right"/>
              <w:rPr>
                <w:rFonts w:ascii="Calibri" w:hAnsi="Calibri"/>
                <w:color w:val="000000"/>
              </w:rPr>
            </w:pPr>
            <w:r w:rsidRPr="00545318">
              <w:rPr>
                <w:rFonts w:ascii="Calibri" w:hAnsi="Calibri"/>
                <w:color w:val="000000"/>
              </w:rPr>
              <w:t>122.8</w:t>
            </w:r>
          </w:p>
        </w:tc>
        <w:tc>
          <w:tcPr>
            <w:tcW w:w="620" w:type="pct"/>
            <w:vAlign w:val="bottom"/>
          </w:tcPr>
          <w:p w14:paraId="5A4F22E0" w14:textId="77777777" w:rsidR="00A63F2A" w:rsidRPr="00545318" w:rsidRDefault="00A63F2A" w:rsidP="002A0D3F">
            <w:pPr>
              <w:keepNext/>
              <w:jc w:val="right"/>
              <w:rPr>
                <w:rFonts w:ascii="Calibri" w:hAnsi="Calibri"/>
                <w:color w:val="000000"/>
              </w:rPr>
            </w:pPr>
            <w:r w:rsidRPr="00545318">
              <w:rPr>
                <w:rFonts w:ascii="Calibri" w:hAnsi="Calibri"/>
                <w:color w:val="000000"/>
              </w:rPr>
              <w:t>60.7</w:t>
            </w:r>
          </w:p>
        </w:tc>
        <w:tc>
          <w:tcPr>
            <w:tcW w:w="619" w:type="pct"/>
            <w:vAlign w:val="bottom"/>
          </w:tcPr>
          <w:p w14:paraId="28F9D866" w14:textId="77777777" w:rsidR="00A63F2A" w:rsidRPr="00545318" w:rsidRDefault="00A63F2A" w:rsidP="002A0D3F">
            <w:pPr>
              <w:keepNext/>
              <w:jc w:val="right"/>
              <w:rPr>
                <w:rFonts w:ascii="Calibri" w:hAnsi="Calibri"/>
                <w:color w:val="000000"/>
              </w:rPr>
            </w:pPr>
            <w:r w:rsidRPr="00545318">
              <w:rPr>
                <w:rFonts w:ascii="Calibri" w:hAnsi="Calibri"/>
                <w:color w:val="000000"/>
              </w:rPr>
              <w:t>78.6</w:t>
            </w:r>
          </w:p>
        </w:tc>
        <w:tc>
          <w:tcPr>
            <w:tcW w:w="619" w:type="pct"/>
            <w:vAlign w:val="bottom"/>
          </w:tcPr>
          <w:p w14:paraId="13EF968D" w14:textId="77777777" w:rsidR="00A63F2A" w:rsidRPr="00545318" w:rsidRDefault="00A63F2A" w:rsidP="002A0D3F">
            <w:pPr>
              <w:keepNext/>
              <w:jc w:val="right"/>
              <w:rPr>
                <w:rFonts w:ascii="Calibri" w:hAnsi="Calibri"/>
                <w:color w:val="000000"/>
              </w:rPr>
            </w:pPr>
            <w:r w:rsidRPr="00545318">
              <w:rPr>
                <w:rFonts w:ascii="Calibri" w:hAnsi="Calibri"/>
                <w:color w:val="000000"/>
              </w:rPr>
              <w:t>87.3</w:t>
            </w:r>
          </w:p>
        </w:tc>
        <w:tc>
          <w:tcPr>
            <w:tcW w:w="618" w:type="pct"/>
            <w:vAlign w:val="bottom"/>
          </w:tcPr>
          <w:p w14:paraId="696F5C5D" w14:textId="77777777" w:rsidR="00A63F2A" w:rsidRPr="00545318" w:rsidRDefault="00A63F2A" w:rsidP="002A0D3F">
            <w:pPr>
              <w:keepNext/>
              <w:jc w:val="right"/>
              <w:rPr>
                <w:rFonts w:ascii="Calibri" w:hAnsi="Calibri"/>
                <w:color w:val="000000"/>
              </w:rPr>
            </w:pPr>
            <w:r w:rsidRPr="00545318">
              <w:rPr>
                <w:rFonts w:ascii="Calibri" w:hAnsi="Calibri"/>
                <w:color w:val="000000"/>
              </w:rPr>
              <w:t>93.4</w:t>
            </w:r>
          </w:p>
        </w:tc>
      </w:tr>
      <w:tr w:rsidR="00A63F2A" w:rsidRPr="00545318" w14:paraId="6FAC20BB" w14:textId="77777777" w:rsidTr="002A0D3F">
        <w:tc>
          <w:tcPr>
            <w:tcW w:w="1903" w:type="pct"/>
          </w:tcPr>
          <w:p w14:paraId="1252FE51" w14:textId="77777777" w:rsidR="00A63F2A" w:rsidRPr="00545318" w:rsidRDefault="00A63F2A" w:rsidP="001F20B8">
            <w:pPr>
              <w:keepNext/>
            </w:pPr>
            <w:r w:rsidRPr="00545318">
              <w:t>Employment (FTE)</w:t>
            </w:r>
          </w:p>
        </w:tc>
        <w:tc>
          <w:tcPr>
            <w:tcW w:w="621" w:type="pct"/>
            <w:vAlign w:val="bottom"/>
          </w:tcPr>
          <w:p w14:paraId="14F31B68" w14:textId="77777777" w:rsidR="00A63F2A" w:rsidRPr="00545318" w:rsidRDefault="00A63F2A" w:rsidP="002A0D3F">
            <w:pPr>
              <w:keepNext/>
              <w:jc w:val="right"/>
              <w:rPr>
                <w:rFonts w:ascii="Calibri" w:hAnsi="Calibri"/>
                <w:color w:val="000000"/>
              </w:rPr>
            </w:pPr>
            <w:r w:rsidRPr="00545318">
              <w:rPr>
                <w:rFonts w:ascii="Calibri" w:hAnsi="Calibri"/>
                <w:color w:val="000000"/>
              </w:rPr>
              <w:t>45.2</w:t>
            </w:r>
          </w:p>
        </w:tc>
        <w:tc>
          <w:tcPr>
            <w:tcW w:w="620" w:type="pct"/>
            <w:vAlign w:val="bottom"/>
          </w:tcPr>
          <w:p w14:paraId="4D6F1E2D" w14:textId="77777777" w:rsidR="00A63F2A" w:rsidRPr="00545318" w:rsidRDefault="00A63F2A" w:rsidP="002A0D3F">
            <w:pPr>
              <w:keepNext/>
              <w:jc w:val="right"/>
              <w:rPr>
                <w:rFonts w:ascii="Calibri" w:hAnsi="Calibri"/>
                <w:color w:val="000000"/>
              </w:rPr>
            </w:pPr>
            <w:r w:rsidRPr="00545318">
              <w:rPr>
                <w:rFonts w:ascii="Calibri" w:hAnsi="Calibri"/>
                <w:color w:val="000000"/>
              </w:rPr>
              <w:t>17.4</w:t>
            </w:r>
          </w:p>
        </w:tc>
        <w:tc>
          <w:tcPr>
            <w:tcW w:w="619" w:type="pct"/>
            <w:vAlign w:val="bottom"/>
          </w:tcPr>
          <w:p w14:paraId="3AE5836F" w14:textId="77777777" w:rsidR="00A63F2A" w:rsidRPr="00545318" w:rsidRDefault="00A63F2A" w:rsidP="002A0D3F">
            <w:pPr>
              <w:keepNext/>
              <w:jc w:val="right"/>
              <w:rPr>
                <w:rFonts w:ascii="Calibri" w:hAnsi="Calibri"/>
                <w:color w:val="000000"/>
              </w:rPr>
            </w:pPr>
            <w:r w:rsidRPr="00545318">
              <w:rPr>
                <w:rFonts w:ascii="Calibri" w:hAnsi="Calibri"/>
                <w:color w:val="000000"/>
              </w:rPr>
              <w:t>37.6</w:t>
            </w:r>
          </w:p>
        </w:tc>
        <w:tc>
          <w:tcPr>
            <w:tcW w:w="619" w:type="pct"/>
            <w:vAlign w:val="bottom"/>
          </w:tcPr>
          <w:p w14:paraId="11F0000F" w14:textId="77777777" w:rsidR="00A63F2A" w:rsidRPr="00545318" w:rsidRDefault="00A63F2A" w:rsidP="002A0D3F">
            <w:pPr>
              <w:keepNext/>
              <w:jc w:val="right"/>
              <w:rPr>
                <w:rFonts w:ascii="Calibri" w:hAnsi="Calibri"/>
                <w:color w:val="000000"/>
              </w:rPr>
            </w:pPr>
            <w:r w:rsidRPr="00545318">
              <w:rPr>
                <w:rFonts w:ascii="Calibri" w:hAnsi="Calibri"/>
                <w:color w:val="000000"/>
              </w:rPr>
              <w:t>46.7</w:t>
            </w:r>
          </w:p>
        </w:tc>
        <w:tc>
          <w:tcPr>
            <w:tcW w:w="618" w:type="pct"/>
            <w:vAlign w:val="bottom"/>
          </w:tcPr>
          <w:p w14:paraId="3F3F04E8" w14:textId="77777777" w:rsidR="00A63F2A" w:rsidRPr="00545318" w:rsidRDefault="00A63F2A" w:rsidP="002A0D3F">
            <w:pPr>
              <w:keepNext/>
              <w:jc w:val="right"/>
              <w:rPr>
                <w:rFonts w:ascii="Calibri" w:hAnsi="Calibri"/>
                <w:color w:val="000000"/>
              </w:rPr>
            </w:pPr>
            <w:r w:rsidRPr="00545318">
              <w:rPr>
                <w:rFonts w:ascii="Calibri" w:hAnsi="Calibri"/>
                <w:color w:val="000000"/>
              </w:rPr>
              <w:t>52.5</w:t>
            </w:r>
          </w:p>
        </w:tc>
      </w:tr>
      <w:tr w:rsidR="00A63F2A" w:rsidRPr="00545318" w14:paraId="187C35F0" w14:textId="77777777" w:rsidTr="002A0D3F">
        <w:tc>
          <w:tcPr>
            <w:tcW w:w="1903" w:type="pct"/>
          </w:tcPr>
          <w:p w14:paraId="397087B7" w14:textId="77777777" w:rsidR="00A63F2A" w:rsidRPr="00545318" w:rsidRDefault="00A63F2A" w:rsidP="001F20B8">
            <w:pPr>
              <w:keepNext/>
            </w:pPr>
            <w:r w:rsidRPr="00545318">
              <w:t>Investment ($m)</w:t>
            </w:r>
          </w:p>
        </w:tc>
        <w:tc>
          <w:tcPr>
            <w:tcW w:w="621" w:type="pct"/>
            <w:vAlign w:val="bottom"/>
          </w:tcPr>
          <w:p w14:paraId="2D1352F8" w14:textId="77777777" w:rsidR="00A63F2A" w:rsidRPr="00545318" w:rsidRDefault="00A63F2A" w:rsidP="002A0D3F">
            <w:pPr>
              <w:keepNext/>
              <w:jc w:val="right"/>
              <w:rPr>
                <w:rFonts w:ascii="Calibri" w:hAnsi="Calibri"/>
                <w:color w:val="000000"/>
              </w:rPr>
            </w:pPr>
            <w:r w:rsidRPr="00545318">
              <w:rPr>
                <w:rFonts w:ascii="Calibri" w:hAnsi="Calibri"/>
                <w:color w:val="000000"/>
              </w:rPr>
              <w:t>146.6</w:t>
            </w:r>
          </w:p>
        </w:tc>
        <w:tc>
          <w:tcPr>
            <w:tcW w:w="620" w:type="pct"/>
            <w:vAlign w:val="bottom"/>
          </w:tcPr>
          <w:p w14:paraId="5962C59D" w14:textId="77777777" w:rsidR="00A63F2A" w:rsidRPr="00545318" w:rsidRDefault="00A63F2A" w:rsidP="002A0D3F">
            <w:pPr>
              <w:keepNext/>
              <w:jc w:val="right"/>
              <w:rPr>
                <w:rFonts w:ascii="Calibri" w:hAnsi="Calibri"/>
                <w:color w:val="000000"/>
              </w:rPr>
            </w:pPr>
            <w:r w:rsidRPr="00545318">
              <w:rPr>
                <w:rFonts w:ascii="Calibri" w:hAnsi="Calibri"/>
                <w:color w:val="000000"/>
              </w:rPr>
              <w:t>-18.5</w:t>
            </w:r>
          </w:p>
        </w:tc>
        <w:tc>
          <w:tcPr>
            <w:tcW w:w="619" w:type="pct"/>
            <w:vAlign w:val="bottom"/>
          </w:tcPr>
          <w:p w14:paraId="3D4409DA" w14:textId="77777777" w:rsidR="00A63F2A" w:rsidRPr="00545318" w:rsidRDefault="00A63F2A" w:rsidP="002A0D3F">
            <w:pPr>
              <w:keepNext/>
              <w:jc w:val="right"/>
              <w:rPr>
                <w:rFonts w:ascii="Calibri" w:hAnsi="Calibri"/>
                <w:color w:val="000000"/>
              </w:rPr>
            </w:pPr>
            <w:r w:rsidRPr="00545318">
              <w:rPr>
                <w:rFonts w:ascii="Calibri" w:hAnsi="Calibri"/>
                <w:color w:val="000000"/>
              </w:rPr>
              <w:t>43.9</w:t>
            </w:r>
          </w:p>
        </w:tc>
        <w:tc>
          <w:tcPr>
            <w:tcW w:w="619" w:type="pct"/>
            <w:vAlign w:val="bottom"/>
          </w:tcPr>
          <w:p w14:paraId="763AC6A9" w14:textId="77777777" w:rsidR="00A63F2A" w:rsidRPr="00545318" w:rsidRDefault="00A63F2A" w:rsidP="002A0D3F">
            <w:pPr>
              <w:keepNext/>
              <w:jc w:val="right"/>
              <w:rPr>
                <w:rFonts w:ascii="Calibri" w:hAnsi="Calibri"/>
                <w:color w:val="000000"/>
              </w:rPr>
            </w:pPr>
            <w:r w:rsidRPr="00545318">
              <w:rPr>
                <w:rFonts w:ascii="Calibri" w:hAnsi="Calibri"/>
                <w:color w:val="000000"/>
              </w:rPr>
              <w:t>73.6</w:t>
            </w:r>
          </w:p>
        </w:tc>
        <w:tc>
          <w:tcPr>
            <w:tcW w:w="618" w:type="pct"/>
            <w:vAlign w:val="bottom"/>
          </w:tcPr>
          <w:p w14:paraId="47E432C3" w14:textId="77777777" w:rsidR="00A63F2A" w:rsidRPr="00545318" w:rsidRDefault="00A63F2A" w:rsidP="002A0D3F">
            <w:pPr>
              <w:keepNext/>
              <w:jc w:val="right"/>
              <w:rPr>
                <w:rFonts w:ascii="Calibri" w:hAnsi="Calibri"/>
                <w:color w:val="000000"/>
              </w:rPr>
            </w:pPr>
            <w:r w:rsidRPr="00545318">
              <w:rPr>
                <w:rFonts w:ascii="Calibri" w:hAnsi="Calibri"/>
                <w:color w:val="000000"/>
              </w:rPr>
              <w:t>91.2</w:t>
            </w:r>
          </w:p>
        </w:tc>
      </w:tr>
      <w:tr w:rsidR="001F20B8" w:rsidRPr="00545318" w14:paraId="0AF8FCFA" w14:textId="77777777" w:rsidTr="001F20B8">
        <w:tc>
          <w:tcPr>
            <w:tcW w:w="1903" w:type="pct"/>
            <w:tcBorders>
              <w:top w:val="single" w:sz="12" w:space="0" w:color="4F81BD" w:themeColor="accent1"/>
              <w:bottom w:val="single" w:sz="4" w:space="0" w:color="4F81BD" w:themeColor="accent1"/>
            </w:tcBorders>
            <w:vAlign w:val="center"/>
          </w:tcPr>
          <w:p w14:paraId="702DFC85" w14:textId="77777777" w:rsidR="001F20B8" w:rsidRPr="00545318" w:rsidRDefault="001F20B8" w:rsidP="00CA2191">
            <w:pPr>
              <w:keepNext/>
              <w:jc w:val="center"/>
              <w:rPr>
                <w:b/>
              </w:rPr>
            </w:pPr>
            <w:r w:rsidRPr="00545318">
              <w:rPr>
                <w:b/>
              </w:rPr>
              <w:t>Key sectoral output results</w:t>
            </w:r>
          </w:p>
        </w:tc>
        <w:tc>
          <w:tcPr>
            <w:tcW w:w="621" w:type="pct"/>
            <w:tcBorders>
              <w:top w:val="single" w:sz="12" w:space="0" w:color="4F81BD" w:themeColor="accent1"/>
              <w:bottom w:val="single" w:sz="4" w:space="0" w:color="4F81BD" w:themeColor="accent1"/>
            </w:tcBorders>
          </w:tcPr>
          <w:p w14:paraId="2F3D6D55" w14:textId="77777777" w:rsidR="001F20B8" w:rsidRPr="00545318" w:rsidRDefault="001F20B8" w:rsidP="00CA2191">
            <w:pPr>
              <w:keepNext/>
              <w:jc w:val="right"/>
            </w:pPr>
          </w:p>
        </w:tc>
        <w:tc>
          <w:tcPr>
            <w:tcW w:w="620" w:type="pct"/>
            <w:tcBorders>
              <w:top w:val="single" w:sz="12" w:space="0" w:color="4F81BD" w:themeColor="accent1"/>
              <w:bottom w:val="single" w:sz="4" w:space="0" w:color="4F81BD" w:themeColor="accent1"/>
            </w:tcBorders>
          </w:tcPr>
          <w:p w14:paraId="629828D3"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0263036B"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2B86CE67" w14:textId="77777777" w:rsidR="001F20B8" w:rsidRPr="00545318" w:rsidRDefault="001F20B8" w:rsidP="00CA2191">
            <w:pPr>
              <w:keepNext/>
              <w:jc w:val="right"/>
            </w:pPr>
          </w:p>
        </w:tc>
        <w:tc>
          <w:tcPr>
            <w:tcW w:w="618" w:type="pct"/>
            <w:tcBorders>
              <w:top w:val="single" w:sz="12" w:space="0" w:color="4F81BD" w:themeColor="accent1"/>
              <w:bottom w:val="single" w:sz="4" w:space="0" w:color="4F81BD" w:themeColor="accent1"/>
            </w:tcBorders>
          </w:tcPr>
          <w:p w14:paraId="6DA9178A" w14:textId="77777777" w:rsidR="001F20B8" w:rsidRPr="00545318" w:rsidRDefault="001F20B8" w:rsidP="00CA2191">
            <w:pPr>
              <w:keepNext/>
              <w:jc w:val="right"/>
            </w:pPr>
          </w:p>
        </w:tc>
      </w:tr>
      <w:tr w:rsidR="00A63F2A" w:rsidRPr="00545318" w14:paraId="20516768" w14:textId="77777777" w:rsidTr="002A0D3F">
        <w:tc>
          <w:tcPr>
            <w:tcW w:w="1903" w:type="pct"/>
          </w:tcPr>
          <w:p w14:paraId="0D0DAF68" w14:textId="77777777" w:rsidR="00A63F2A" w:rsidRPr="00545318" w:rsidRDefault="00A63F2A" w:rsidP="00CA2191">
            <w:pPr>
              <w:keepNext/>
            </w:pPr>
            <w:r w:rsidRPr="00545318">
              <w:t>Aluminium ($m)</w:t>
            </w:r>
          </w:p>
        </w:tc>
        <w:tc>
          <w:tcPr>
            <w:tcW w:w="621" w:type="pct"/>
            <w:vAlign w:val="bottom"/>
          </w:tcPr>
          <w:p w14:paraId="610EDF2D"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20" w:type="pct"/>
            <w:vAlign w:val="bottom"/>
          </w:tcPr>
          <w:p w14:paraId="1294BC9C" w14:textId="77777777" w:rsidR="00A63F2A" w:rsidRPr="00545318" w:rsidRDefault="00A63F2A" w:rsidP="002A0D3F">
            <w:pPr>
              <w:keepNext/>
              <w:jc w:val="right"/>
              <w:rPr>
                <w:rFonts w:ascii="Calibri" w:hAnsi="Calibri"/>
                <w:color w:val="000000"/>
              </w:rPr>
            </w:pPr>
            <w:r w:rsidRPr="00545318">
              <w:rPr>
                <w:rFonts w:ascii="Calibri" w:hAnsi="Calibri"/>
                <w:color w:val="000000"/>
              </w:rPr>
              <w:t>3.0</w:t>
            </w:r>
          </w:p>
        </w:tc>
        <w:tc>
          <w:tcPr>
            <w:tcW w:w="619" w:type="pct"/>
            <w:vAlign w:val="bottom"/>
          </w:tcPr>
          <w:p w14:paraId="6F14586D" w14:textId="77777777" w:rsidR="00A63F2A" w:rsidRPr="00545318" w:rsidRDefault="00A63F2A" w:rsidP="002A0D3F">
            <w:pPr>
              <w:keepNext/>
              <w:jc w:val="right"/>
              <w:rPr>
                <w:rFonts w:ascii="Calibri" w:hAnsi="Calibri"/>
                <w:color w:val="000000"/>
              </w:rPr>
            </w:pPr>
            <w:r w:rsidRPr="00545318">
              <w:rPr>
                <w:rFonts w:ascii="Calibri" w:hAnsi="Calibri"/>
                <w:color w:val="000000"/>
              </w:rPr>
              <w:t>0.2</w:t>
            </w:r>
          </w:p>
        </w:tc>
        <w:tc>
          <w:tcPr>
            <w:tcW w:w="619" w:type="pct"/>
            <w:vAlign w:val="bottom"/>
          </w:tcPr>
          <w:p w14:paraId="7A9150CB" w14:textId="77777777" w:rsidR="00A63F2A" w:rsidRPr="00545318" w:rsidRDefault="00A63F2A" w:rsidP="002A0D3F">
            <w:pPr>
              <w:keepNext/>
              <w:jc w:val="right"/>
              <w:rPr>
                <w:rFonts w:ascii="Calibri" w:hAnsi="Calibri"/>
                <w:color w:val="000000"/>
              </w:rPr>
            </w:pPr>
            <w:r w:rsidRPr="00545318">
              <w:rPr>
                <w:rFonts w:ascii="Calibri" w:hAnsi="Calibri"/>
                <w:color w:val="000000"/>
              </w:rPr>
              <w:t>-2.0</w:t>
            </w:r>
          </w:p>
        </w:tc>
        <w:tc>
          <w:tcPr>
            <w:tcW w:w="618" w:type="pct"/>
            <w:vAlign w:val="bottom"/>
          </w:tcPr>
          <w:p w14:paraId="33D57E0C" w14:textId="77777777" w:rsidR="00A63F2A" w:rsidRPr="00545318" w:rsidRDefault="00A63F2A" w:rsidP="002A0D3F">
            <w:pPr>
              <w:keepNext/>
              <w:jc w:val="right"/>
              <w:rPr>
                <w:rFonts w:ascii="Calibri" w:hAnsi="Calibri"/>
                <w:color w:val="000000"/>
              </w:rPr>
            </w:pPr>
            <w:r w:rsidRPr="00545318">
              <w:rPr>
                <w:rFonts w:ascii="Calibri" w:hAnsi="Calibri"/>
                <w:color w:val="000000"/>
              </w:rPr>
              <w:t>-3.8</w:t>
            </w:r>
          </w:p>
        </w:tc>
      </w:tr>
      <w:tr w:rsidR="00A63F2A" w:rsidRPr="00545318" w14:paraId="2B83B716" w14:textId="77777777" w:rsidTr="002A0D3F">
        <w:tc>
          <w:tcPr>
            <w:tcW w:w="1903" w:type="pct"/>
          </w:tcPr>
          <w:p w14:paraId="6DF8BA79" w14:textId="77777777" w:rsidR="00A63F2A" w:rsidRPr="00545318" w:rsidRDefault="00A63F2A" w:rsidP="00CA2191">
            <w:pPr>
              <w:keepNext/>
            </w:pPr>
            <w:r w:rsidRPr="00545318">
              <w:t>Manufacturing ($m)</w:t>
            </w:r>
          </w:p>
        </w:tc>
        <w:tc>
          <w:tcPr>
            <w:tcW w:w="621" w:type="pct"/>
            <w:vAlign w:val="bottom"/>
          </w:tcPr>
          <w:p w14:paraId="7A16AEE9" w14:textId="77777777" w:rsidR="00A63F2A" w:rsidRPr="00545318" w:rsidRDefault="00A63F2A" w:rsidP="002A0D3F">
            <w:pPr>
              <w:keepNext/>
              <w:jc w:val="right"/>
              <w:rPr>
                <w:rFonts w:ascii="Calibri" w:hAnsi="Calibri"/>
                <w:color w:val="000000"/>
              </w:rPr>
            </w:pPr>
            <w:r w:rsidRPr="00545318">
              <w:rPr>
                <w:rFonts w:ascii="Calibri" w:hAnsi="Calibri"/>
                <w:color w:val="000000"/>
              </w:rPr>
              <w:t>78.1</w:t>
            </w:r>
          </w:p>
        </w:tc>
        <w:tc>
          <w:tcPr>
            <w:tcW w:w="620" w:type="pct"/>
            <w:vAlign w:val="bottom"/>
          </w:tcPr>
          <w:p w14:paraId="534123B1" w14:textId="77777777" w:rsidR="00A63F2A" w:rsidRPr="00545318" w:rsidRDefault="00A63F2A" w:rsidP="002A0D3F">
            <w:pPr>
              <w:keepNext/>
              <w:jc w:val="right"/>
              <w:rPr>
                <w:rFonts w:ascii="Calibri" w:hAnsi="Calibri"/>
                <w:color w:val="000000"/>
              </w:rPr>
            </w:pPr>
            <w:r w:rsidRPr="00545318">
              <w:rPr>
                <w:rFonts w:ascii="Calibri" w:hAnsi="Calibri"/>
                <w:color w:val="000000"/>
              </w:rPr>
              <w:t>16.9</w:t>
            </w:r>
          </w:p>
        </w:tc>
        <w:tc>
          <w:tcPr>
            <w:tcW w:w="619" w:type="pct"/>
            <w:vAlign w:val="bottom"/>
          </w:tcPr>
          <w:p w14:paraId="050331AB" w14:textId="77777777" w:rsidR="00A63F2A" w:rsidRPr="00545318" w:rsidRDefault="00A63F2A" w:rsidP="002A0D3F">
            <w:pPr>
              <w:keepNext/>
              <w:jc w:val="right"/>
              <w:rPr>
                <w:rFonts w:ascii="Calibri" w:hAnsi="Calibri"/>
                <w:color w:val="000000"/>
              </w:rPr>
            </w:pPr>
            <w:r w:rsidRPr="00545318">
              <w:rPr>
                <w:rFonts w:ascii="Calibri" w:hAnsi="Calibri"/>
                <w:color w:val="000000"/>
              </w:rPr>
              <w:t>-6.4</w:t>
            </w:r>
          </w:p>
        </w:tc>
        <w:tc>
          <w:tcPr>
            <w:tcW w:w="619" w:type="pct"/>
            <w:vAlign w:val="bottom"/>
          </w:tcPr>
          <w:p w14:paraId="669523F7" w14:textId="77777777" w:rsidR="00A63F2A" w:rsidRPr="00545318" w:rsidRDefault="00A63F2A" w:rsidP="002A0D3F">
            <w:pPr>
              <w:keepNext/>
              <w:jc w:val="right"/>
              <w:rPr>
                <w:rFonts w:ascii="Calibri" w:hAnsi="Calibri"/>
                <w:color w:val="000000"/>
              </w:rPr>
            </w:pPr>
            <w:r w:rsidRPr="00545318">
              <w:rPr>
                <w:rFonts w:ascii="Calibri" w:hAnsi="Calibri"/>
                <w:color w:val="000000"/>
              </w:rPr>
              <w:t>-14.9</w:t>
            </w:r>
          </w:p>
        </w:tc>
        <w:tc>
          <w:tcPr>
            <w:tcW w:w="618" w:type="pct"/>
            <w:vAlign w:val="bottom"/>
          </w:tcPr>
          <w:p w14:paraId="0291B970" w14:textId="77777777" w:rsidR="00A63F2A" w:rsidRPr="00545318" w:rsidRDefault="00A63F2A" w:rsidP="002A0D3F">
            <w:pPr>
              <w:keepNext/>
              <w:jc w:val="right"/>
              <w:rPr>
                <w:rFonts w:ascii="Calibri" w:hAnsi="Calibri"/>
                <w:color w:val="000000"/>
              </w:rPr>
            </w:pPr>
            <w:r w:rsidRPr="00545318">
              <w:rPr>
                <w:rFonts w:ascii="Calibri" w:hAnsi="Calibri"/>
                <w:color w:val="000000"/>
              </w:rPr>
              <w:t>-18.1</w:t>
            </w:r>
          </w:p>
        </w:tc>
      </w:tr>
      <w:tr w:rsidR="00A63F2A" w:rsidRPr="00545318" w14:paraId="61831C6C" w14:textId="77777777" w:rsidTr="002A0D3F">
        <w:tc>
          <w:tcPr>
            <w:tcW w:w="1903" w:type="pct"/>
            <w:tcBorders>
              <w:bottom w:val="single" w:sz="12" w:space="0" w:color="4F81BD" w:themeColor="accent1"/>
            </w:tcBorders>
          </w:tcPr>
          <w:p w14:paraId="77137FB6" w14:textId="77777777" w:rsidR="00A63F2A" w:rsidRPr="00545318" w:rsidRDefault="00A63F2A" w:rsidP="00CA2191">
            <w:pPr>
              <w:keepNext/>
            </w:pPr>
            <w:r w:rsidRPr="00545318">
              <w:t>Construction ($m)</w:t>
            </w:r>
          </w:p>
        </w:tc>
        <w:tc>
          <w:tcPr>
            <w:tcW w:w="621" w:type="pct"/>
            <w:tcBorders>
              <w:bottom w:val="single" w:sz="12" w:space="0" w:color="4F81BD" w:themeColor="accent1"/>
            </w:tcBorders>
            <w:vAlign w:val="bottom"/>
          </w:tcPr>
          <w:p w14:paraId="42176D37" w14:textId="77777777" w:rsidR="00A63F2A" w:rsidRPr="00545318" w:rsidRDefault="00A63F2A" w:rsidP="002A0D3F">
            <w:pPr>
              <w:keepNext/>
              <w:jc w:val="right"/>
              <w:rPr>
                <w:rFonts w:ascii="Calibri" w:hAnsi="Calibri"/>
                <w:color w:val="000000"/>
              </w:rPr>
            </w:pPr>
            <w:r w:rsidRPr="00545318">
              <w:rPr>
                <w:rFonts w:ascii="Calibri" w:hAnsi="Calibri"/>
                <w:color w:val="000000"/>
              </w:rPr>
              <w:t>100.4</w:t>
            </w:r>
          </w:p>
        </w:tc>
        <w:tc>
          <w:tcPr>
            <w:tcW w:w="620" w:type="pct"/>
            <w:tcBorders>
              <w:bottom w:val="single" w:sz="12" w:space="0" w:color="4F81BD" w:themeColor="accent1"/>
            </w:tcBorders>
            <w:vAlign w:val="bottom"/>
          </w:tcPr>
          <w:p w14:paraId="17C5B9D0" w14:textId="77777777" w:rsidR="00A63F2A" w:rsidRPr="00545318" w:rsidRDefault="00A63F2A" w:rsidP="002A0D3F">
            <w:pPr>
              <w:keepNext/>
              <w:jc w:val="right"/>
              <w:rPr>
                <w:rFonts w:ascii="Calibri" w:hAnsi="Calibri"/>
                <w:color w:val="000000"/>
              </w:rPr>
            </w:pPr>
            <w:r w:rsidRPr="00545318">
              <w:rPr>
                <w:rFonts w:ascii="Calibri" w:hAnsi="Calibri"/>
                <w:color w:val="000000"/>
              </w:rPr>
              <w:t>-10.5</w:t>
            </w:r>
          </w:p>
        </w:tc>
        <w:tc>
          <w:tcPr>
            <w:tcW w:w="619" w:type="pct"/>
            <w:tcBorders>
              <w:bottom w:val="single" w:sz="12" w:space="0" w:color="4F81BD" w:themeColor="accent1"/>
            </w:tcBorders>
            <w:vAlign w:val="bottom"/>
          </w:tcPr>
          <w:p w14:paraId="17762A72" w14:textId="77777777" w:rsidR="00A63F2A" w:rsidRPr="00545318" w:rsidRDefault="00A63F2A" w:rsidP="002A0D3F">
            <w:pPr>
              <w:keepNext/>
              <w:jc w:val="right"/>
              <w:rPr>
                <w:rFonts w:ascii="Calibri" w:hAnsi="Calibri"/>
                <w:color w:val="000000"/>
              </w:rPr>
            </w:pPr>
            <w:r w:rsidRPr="00545318">
              <w:rPr>
                <w:rFonts w:ascii="Calibri" w:hAnsi="Calibri"/>
                <w:color w:val="000000"/>
              </w:rPr>
              <w:t>31.0</w:t>
            </w:r>
          </w:p>
        </w:tc>
        <w:tc>
          <w:tcPr>
            <w:tcW w:w="619" w:type="pct"/>
            <w:tcBorders>
              <w:bottom w:val="single" w:sz="12" w:space="0" w:color="4F81BD" w:themeColor="accent1"/>
            </w:tcBorders>
            <w:vAlign w:val="bottom"/>
          </w:tcPr>
          <w:p w14:paraId="2B470EA3" w14:textId="77777777" w:rsidR="00A63F2A" w:rsidRPr="00545318" w:rsidRDefault="00A63F2A" w:rsidP="002A0D3F">
            <w:pPr>
              <w:keepNext/>
              <w:jc w:val="right"/>
              <w:rPr>
                <w:rFonts w:ascii="Calibri" w:hAnsi="Calibri"/>
                <w:color w:val="000000"/>
              </w:rPr>
            </w:pPr>
            <w:r w:rsidRPr="00545318">
              <w:rPr>
                <w:rFonts w:ascii="Calibri" w:hAnsi="Calibri"/>
                <w:color w:val="000000"/>
              </w:rPr>
              <w:t>50.8</w:t>
            </w:r>
          </w:p>
        </w:tc>
        <w:tc>
          <w:tcPr>
            <w:tcW w:w="618" w:type="pct"/>
            <w:tcBorders>
              <w:bottom w:val="single" w:sz="12" w:space="0" w:color="4F81BD" w:themeColor="accent1"/>
            </w:tcBorders>
            <w:vAlign w:val="bottom"/>
          </w:tcPr>
          <w:p w14:paraId="60095808" w14:textId="77777777" w:rsidR="00A63F2A" w:rsidRPr="00545318" w:rsidRDefault="00A63F2A" w:rsidP="002A0D3F">
            <w:pPr>
              <w:keepNext/>
              <w:jc w:val="right"/>
              <w:rPr>
                <w:rFonts w:ascii="Calibri" w:hAnsi="Calibri"/>
                <w:color w:val="000000"/>
              </w:rPr>
            </w:pPr>
            <w:r w:rsidRPr="00545318">
              <w:rPr>
                <w:rFonts w:ascii="Calibri" w:hAnsi="Calibri"/>
                <w:color w:val="000000"/>
              </w:rPr>
              <w:t>62.7</w:t>
            </w:r>
          </w:p>
        </w:tc>
      </w:tr>
      <w:tr w:rsidR="001F20B8" w:rsidRPr="00545318" w14:paraId="6CA0D89B" w14:textId="77777777" w:rsidTr="001F20B8">
        <w:tc>
          <w:tcPr>
            <w:tcW w:w="1903" w:type="pct"/>
            <w:tcBorders>
              <w:top w:val="single" w:sz="12" w:space="0" w:color="4F81BD" w:themeColor="accent1"/>
              <w:bottom w:val="single" w:sz="12" w:space="0" w:color="4F81BD" w:themeColor="accent1"/>
            </w:tcBorders>
          </w:tcPr>
          <w:p w14:paraId="7DE63C30" w14:textId="77777777" w:rsidR="001F20B8" w:rsidRPr="00545318" w:rsidRDefault="001F20B8" w:rsidP="00CA2191">
            <w:pPr>
              <w:keepNext/>
            </w:pPr>
            <w:r w:rsidRPr="00545318">
              <w:rPr>
                <w:b/>
              </w:rPr>
              <w:t>Scenario 3</w:t>
            </w:r>
          </w:p>
        </w:tc>
        <w:tc>
          <w:tcPr>
            <w:tcW w:w="621" w:type="pct"/>
            <w:tcBorders>
              <w:top w:val="single" w:sz="12" w:space="0" w:color="4F81BD" w:themeColor="accent1"/>
              <w:bottom w:val="single" w:sz="12" w:space="0" w:color="4F81BD" w:themeColor="accent1"/>
            </w:tcBorders>
          </w:tcPr>
          <w:p w14:paraId="049FFF4B" w14:textId="77777777" w:rsidR="001F20B8" w:rsidRPr="00545318" w:rsidRDefault="00A63F2A" w:rsidP="00CA2191">
            <w:pPr>
              <w:keepNext/>
              <w:jc w:val="right"/>
              <w:rPr>
                <w:b/>
              </w:rPr>
            </w:pPr>
            <w:r w:rsidRPr="00545318">
              <w:rPr>
                <w:b/>
              </w:rPr>
              <w:t>2016/17</w:t>
            </w:r>
          </w:p>
        </w:tc>
        <w:tc>
          <w:tcPr>
            <w:tcW w:w="620" w:type="pct"/>
            <w:tcBorders>
              <w:top w:val="single" w:sz="12" w:space="0" w:color="4F81BD" w:themeColor="accent1"/>
              <w:bottom w:val="single" w:sz="12" w:space="0" w:color="4F81BD" w:themeColor="accent1"/>
            </w:tcBorders>
            <w:vAlign w:val="center"/>
          </w:tcPr>
          <w:p w14:paraId="09118B7C" w14:textId="77777777" w:rsidR="001F20B8" w:rsidRPr="00545318" w:rsidRDefault="001F20B8" w:rsidP="00CA2191">
            <w:pPr>
              <w:keepNext/>
              <w:jc w:val="right"/>
              <w:rPr>
                <w:b/>
              </w:rPr>
            </w:pPr>
            <w:r w:rsidRPr="00545318">
              <w:rPr>
                <w:b/>
              </w:rPr>
              <w:t>2017/18</w:t>
            </w:r>
          </w:p>
        </w:tc>
        <w:tc>
          <w:tcPr>
            <w:tcW w:w="619" w:type="pct"/>
            <w:tcBorders>
              <w:top w:val="single" w:sz="12" w:space="0" w:color="4F81BD" w:themeColor="accent1"/>
              <w:bottom w:val="single" w:sz="12" w:space="0" w:color="4F81BD" w:themeColor="accent1"/>
            </w:tcBorders>
          </w:tcPr>
          <w:p w14:paraId="0120C01C" w14:textId="77777777" w:rsidR="001F20B8" w:rsidRPr="00545318" w:rsidRDefault="001F20B8" w:rsidP="00CA2191">
            <w:pPr>
              <w:keepNext/>
              <w:jc w:val="right"/>
              <w:rPr>
                <w:b/>
              </w:rPr>
            </w:pPr>
            <w:r w:rsidRPr="00545318">
              <w:rPr>
                <w:b/>
              </w:rPr>
              <w:t>2018/19</w:t>
            </w:r>
          </w:p>
        </w:tc>
        <w:tc>
          <w:tcPr>
            <w:tcW w:w="619" w:type="pct"/>
            <w:tcBorders>
              <w:top w:val="single" w:sz="12" w:space="0" w:color="4F81BD" w:themeColor="accent1"/>
              <w:bottom w:val="single" w:sz="12" w:space="0" w:color="4F81BD" w:themeColor="accent1"/>
            </w:tcBorders>
          </w:tcPr>
          <w:p w14:paraId="60769E27" w14:textId="77777777" w:rsidR="001F20B8" w:rsidRPr="00545318" w:rsidRDefault="001F20B8" w:rsidP="00CA2191">
            <w:pPr>
              <w:keepNext/>
              <w:jc w:val="right"/>
              <w:rPr>
                <w:b/>
              </w:rPr>
            </w:pPr>
            <w:r w:rsidRPr="00545318">
              <w:rPr>
                <w:b/>
              </w:rPr>
              <w:t>2019/20</w:t>
            </w:r>
          </w:p>
        </w:tc>
        <w:tc>
          <w:tcPr>
            <w:tcW w:w="618" w:type="pct"/>
            <w:tcBorders>
              <w:top w:val="single" w:sz="12" w:space="0" w:color="4F81BD" w:themeColor="accent1"/>
              <w:bottom w:val="single" w:sz="12" w:space="0" w:color="4F81BD" w:themeColor="accent1"/>
            </w:tcBorders>
            <w:vAlign w:val="center"/>
          </w:tcPr>
          <w:p w14:paraId="419E2FE9" w14:textId="77777777" w:rsidR="001F20B8" w:rsidRPr="00545318" w:rsidRDefault="001F20B8" w:rsidP="00CA2191">
            <w:pPr>
              <w:keepNext/>
              <w:jc w:val="right"/>
              <w:rPr>
                <w:b/>
              </w:rPr>
            </w:pPr>
            <w:r w:rsidRPr="00545318">
              <w:rPr>
                <w:b/>
              </w:rPr>
              <w:t>2020/21</w:t>
            </w:r>
          </w:p>
        </w:tc>
      </w:tr>
      <w:tr w:rsidR="001F20B8" w:rsidRPr="00545318" w14:paraId="34935AB3" w14:textId="77777777" w:rsidTr="001F20B8">
        <w:tc>
          <w:tcPr>
            <w:tcW w:w="1903" w:type="pct"/>
            <w:tcBorders>
              <w:top w:val="single" w:sz="12" w:space="0" w:color="4F81BD" w:themeColor="accent1"/>
              <w:bottom w:val="single" w:sz="4" w:space="0" w:color="4F81BD" w:themeColor="accent1"/>
            </w:tcBorders>
            <w:vAlign w:val="center"/>
          </w:tcPr>
          <w:p w14:paraId="71A29FC7" w14:textId="77777777" w:rsidR="001F20B8" w:rsidRPr="00545318" w:rsidRDefault="001F20B8" w:rsidP="00CA2191">
            <w:pPr>
              <w:keepNext/>
              <w:jc w:val="center"/>
              <w:rPr>
                <w:b/>
              </w:rPr>
            </w:pPr>
            <w:r w:rsidRPr="00545318">
              <w:rPr>
                <w:b/>
              </w:rPr>
              <w:t>Key macro results</w:t>
            </w:r>
          </w:p>
        </w:tc>
        <w:tc>
          <w:tcPr>
            <w:tcW w:w="621" w:type="pct"/>
            <w:tcBorders>
              <w:top w:val="single" w:sz="12" w:space="0" w:color="4F81BD" w:themeColor="accent1"/>
              <w:bottom w:val="single" w:sz="4" w:space="0" w:color="4F81BD" w:themeColor="accent1"/>
            </w:tcBorders>
          </w:tcPr>
          <w:p w14:paraId="06D87DAC" w14:textId="77777777" w:rsidR="001F20B8" w:rsidRPr="00545318" w:rsidRDefault="001F20B8" w:rsidP="00CA2191">
            <w:pPr>
              <w:keepNext/>
              <w:jc w:val="center"/>
            </w:pPr>
          </w:p>
        </w:tc>
        <w:tc>
          <w:tcPr>
            <w:tcW w:w="620" w:type="pct"/>
            <w:tcBorders>
              <w:top w:val="single" w:sz="12" w:space="0" w:color="4F81BD" w:themeColor="accent1"/>
              <w:bottom w:val="single" w:sz="4" w:space="0" w:color="4F81BD" w:themeColor="accent1"/>
            </w:tcBorders>
            <w:vAlign w:val="center"/>
          </w:tcPr>
          <w:p w14:paraId="3A59E403"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258D073B" w14:textId="77777777" w:rsidR="001F20B8" w:rsidRPr="00545318" w:rsidRDefault="001F20B8" w:rsidP="00CA2191">
            <w:pPr>
              <w:keepNext/>
              <w:jc w:val="center"/>
            </w:pPr>
          </w:p>
        </w:tc>
        <w:tc>
          <w:tcPr>
            <w:tcW w:w="619" w:type="pct"/>
            <w:tcBorders>
              <w:top w:val="single" w:sz="12" w:space="0" w:color="4F81BD" w:themeColor="accent1"/>
              <w:bottom w:val="single" w:sz="4" w:space="0" w:color="4F81BD" w:themeColor="accent1"/>
            </w:tcBorders>
          </w:tcPr>
          <w:p w14:paraId="2E5B287E" w14:textId="77777777" w:rsidR="001F20B8" w:rsidRPr="00545318" w:rsidRDefault="001F20B8" w:rsidP="00CA2191">
            <w:pPr>
              <w:keepNext/>
              <w:jc w:val="center"/>
            </w:pPr>
          </w:p>
        </w:tc>
        <w:tc>
          <w:tcPr>
            <w:tcW w:w="618" w:type="pct"/>
            <w:tcBorders>
              <w:top w:val="single" w:sz="12" w:space="0" w:color="4F81BD" w:themeColor="accent1"/>
              <w:bottom w:val="single" w:sz="4" w:space="0" w:color="4F81BD" w:themeColor="accent1"/>
            </w:tcBorders>
            <w:vAlign w:val="center"/>
          </w:tcPr>
          <w:p w14:paraId="7A2D3D3E" w14:textId="77777777" w:rsidR="001F20B8" w:rsidRPr="00545318" w:rsidRDefault="001F20B8" w:rsidP="00CA2191">
            <w:pPr>
              <w:keepNext/>
              <w:jc w:val="center"/>
            </w:pPr>
          </w:p>
        </w:tc>
      </w:tr>
      <w:tr w:rsidR="00A63F2A" w:rsidRPr="00545318" w14:paraId="5E604C81" w14:textId="77777777" w:rsidTr="002A0D3F">
        <w:tc>
          <w:tcPr>
            <w:tcW w:w="1903" w:type="pct"/>
            <w:tcBorders>
              <w:top w:val="single" w:sz="4" w:space="0" w:color="4F81BD" w:themeColor="accent1"/>
            </w:tcBorders>
          </w:tcPr>
          <w:p w14:paraId="140B6384" w14:textId="77777777" w:rsidR="00A63F2A" w:rsidRPr="00545318" w:rsidRDefault="00A63F2A" w:rsidP="00CA2191">
            <w:pPr>
              <w:keepNext/>
            </w:pPr>
            <w:r w:rsidRPr="00545318">
              <w:t>Real GDP ($m)</w:t>
            </w:r>
          </w:p>
        </w:tc>
        <w:tc>
          <w:tcPr>
            <w:tcW w:w="621" w:type="pct"/>
            <w:tcBorders>
              <w:top w:val="single" w:sz="4" w:space="0" w:color="4F81BD" w:themeColor="accent1"/>
            </w:tcBorders>
            <w:vAlign w:val="bottom"/>
          </w:tcPr>
          <w:p w14:paraId="13F5744E" w14:textId="77777777" w:rsidR="00A63F2A" w:rsidRPr="00545318" w:rsidRDefault="00A63F2A" w:rsidP="002A0D3F">
            <w:pPr>
              <w:keepNext/>
              <w:jc w:val="right"/>
              <w:rPr>
                <w:rFonts w:ascii="Calibri" w:hAnsi="Calibri"/>
                <w:color w:val="000000"/>
              </w:rPr>
            </w:pPr>
            <w:r w:rsidRPr="00545318">
              <w:rPr>
                <w:rFonts w:ascii="Calibri" w:hAnsi="Calibri"/>
                <w:color w:val="000000"/>
              </w:rPr>
              <w:t>86.2</w:t>
            </w:r>
          </w:p>
        </w:tc>
        <w:tc>
          <w:tcPr>
            <w:tcW w:w="620" w:type="pct"/>
            <w:tcBorders>
              <w:top w:val="single" w:sz="4" w:space="0" w:color="4F81BD" w:themeColor="accent1"/>
            </w:tcBorders>
            <w:vAlign w:val="bottom"/>
          </w:tcPr>
          <w:p w14:paraId="4A7B9466" w14:textId="77777777" w:rsidR="00A63F2A" w:rsidRPr="00545318" w:rsidRDefault="00A63F2A" w:rsidP="002A0D3F">
            <w:pPr>
              <w:keepNext/>
              <w:jc w:val="right"/>
              <w:rPr>
                <w:rFonts w:ascii="Calibri" w:hAnsi="Calibri"/>
                <w:color w:val="000000"/>
              </w:rPr>
            </w:pPr>
            <w:r w:rsidRPr="00545318">
              <w:rPr>
                <w:rFonts w:ascii="Calibri" w:hAnsi="Calibri"/>
                <w:color w:val="000000"/>
              </w:rPr>
              <w:t>-8.5</w:t>
            </w:r>
          </w:p>
        </w:tc>
        <w:tc>
          <w:tcPr>
            <w:tcW w:w="619" w:type="pct"/>
            <w:tcBorders>
              <w:top w:val="single" w:sz="4" w:space="0" w:color="4F81BD" w:themeColor="accent1"/>
            </w:tcBorders>
            <w:vAlign w:val="bottom"/>
          </w:tcPr>
          <w:p w14:paraId="01F8F283" w14:textId="77777777" w:rsidR="00A63F2A" w:rsidRPr="00545318" w:rsidRDefault="00A63F2A" w:rsidP="002A0D3F">
            <w:pPr>
              <w:keepNext/>
              <w:jc w:val="right"/>
              <w:rPr>
                <w:rFonts w:ascii="Calibri" w:hAnsi="Calibri"/>
                <w:color w:val="000000"/>
              </w:rPr>
            </w:pPr>
            <w:r w:rsidRPr="00545318">
              <w:rPr>
                <w:rFonts w:ascii="Calibri" w:hAnsi="Calibri"/>
                <w:color w:val="000000"/>
              </w:rPr>
              <w:t>-27.9</w:t>
            </w:r>
          </w:p>
        </w:tc>
        <w:tc>
          <w:tcPr>
            <w:tcW w:w="619" w:type="pct"/>
            <w:tcBorders>
              <w:top w:val="single" w:sz="4" w:space="0" w:color="4F81BD" w:themeColor="accent1"/>
            </w:tcBorders>
            <w:vAlign w:val="bottom"/>
          </w:tcPr>
          <w:p w14:paraId="467C3CD1" w14:textId="77777777" w:rsidR="00A63F2A" w:rsidRPr="00545318" w:rsidRDefault="00A63F2A" w:rsidP="002A0D3F">
            <w:pPr>
              <w:keepNext/>
              <w:jc w:val="right"/>
              <w:rPr>
                <w:rFonts w:ascii="Calibri" w:hAnsi="Calibri"/>
                <w:color w:val="000000"/>
              </w:rPr>
            </w:pPr>
            <w:r w:rsidRPr="00545318">
              <w:rPr>
                <w:rFonts w:ascii="Calibri" w:hAnsi="Calibri"/>
                <w:color w:val="000000"/>
              </w:rPr>
              <w:t>-48.7</w:t>
            </w:r>
          </w:p>
        </w:tc>
        <w:tc>
          <w:tcPr>
            <w:tcW w:w="618" w:type="pct"/>
            <w:tcBorders>
              <w:top w:val="single" w:sz="4" w:space="0" w:color="4F81BD" w:themeColor="accent1"/>
            </w:tcBorders>
            <w:vAlign w:val="bottom"/>
          </w:tcPr>
          <w:p w14:paraId="273604BB" w14:textId="77777777" w:rsidR="00A63F2A" w:rsidRPr="00545318" w:rsidRDefault="00A63F2A" w:rsidP="002A0D3F">
            <w:pPr>
              <w:keepNext/>
              <w:jc w:val="right"/>
              <w:rPr>
                <w:rFonts w:ascii="Calibri" w:hAnsi="Calibri"/>
                <w:color w:val="000000"/>
              </w:rPr>
            </w:pPr>
            <w:r w:rsidRPr="00545318">
              <w:rPr>
                <w:rFonts w:ascii="Calibri" w:hAnsi="Calibri"/>
                <w:color w:val="000000"/>
              </w:rPr>
              <w:t>-63.6</w:t>
            </w:r>
          </w:p>
        </w:tc>
      </w:tr>
      <w:tr w:rsidR="00A63F2A" w:rsidRPr="00545318" w14:paraId="79C0A11B" w14:textId="77777777" w:rsidTr="002A0D3F">
        <w:tc>
          <w:tcPr>
            <w:tcW w:w="1903" w:type="pct"/>
          </w:tcPr>
          <w:p w14:paraId="2F63D126" w14:textId="77777777" w:rsidR="00A63F2A" w:rsidRPr="00545318" w:rsidRDefault="00A63F2A" w:rsidP="00CA2191">
            <w:pPr>
              <w:keepNext/>
            </w:pPr>
            <w:r w:rsidRPr="00545318">
              <w:t>Real GNP ($m)</w:t>
            </w:r>
          </w:p>
        </w:tc>
        <w:tc>
          <w:tcPr>
            <w:tcW w:w="621" w:type="pct"/>
            <w:vAlign w:val="bottom"/>
          </w:tcPr>
          <w:p w14:paraId="235B61F1" w14:textId="77777777" w:rsidR="00A63F2A" w:rsidRPr="00545318" w:rsidRDefault="00A63F2A" w:rsidP="002A0D3F">
            <w:pPr>
              <w:keepNext/>
              <w:jc w:val="right"/>
              <w:rPr>
                <w:rFonts w:ascii="Calibri" w:hAnsi="Calibri"/>
                <w:color w:val="000000"/>
              </w:rPr>
            </w:pPr>
            <w:r w:rsidRPr="00545318">
              <w:rPr>
                <w:rFonts w:ascii="Calibri" w:hAnsi="Calibri"/>
                <w:color w:val="000000"/>
              </w:rPr>
              <w:t>122.8</w:t>
            </w:r>
          </w:p>
        </w:tc>
        <w:tc>
          <w:tcPr>
            <w:tcW w:w="620" w:type="pct"/>
            <w:vAlign w:val="bottom"/>
          </w:tcPr>
          <w:p w14:paraId="03C92ACE" w14:textId="77777777" w:rsidR="00A63F2A" w:rsidRPr="00545318" w:rsidRDefault="00A63F2A" w:rsidP="002A0D3F">
            <w:pPr>
              <w:keepNext/>
              <w:jc w:val="right"/>
              <w:rPr>
                <w:rFonts w:ascii="Calibri" w:hAnsi="Calibri"/>
                <w:color w:val="000000"/>
              </w:rPr>
            </w:pPr>
            <w:r w:rsidRPr="00545318">
              <w:rPr>
                <w:rFonts w:ascii="Calibri" w:hAnsi="Calibri"/>
                <w:color w:val="000000"/>
              </w:rPr>
              <w:t>-105.8</w:t>
            </w:r>
          </w:p>
        </w:tc>
        <w:tc>
          <w:tcPr>
            <w:tcW w:w="619" w:type="pct"/>
            <w:vAlign w:val="bottom"/>
          </w:tcPr>
          <w:p w14:paraId="577BC28D" w14:textId="77777777" w:rsidR="00A63F2A" w:rsidRPr="00545318" w:rsidRDefault="00A63F2A" w:rsidP="002A0D3F">
            <w:pPr>
              <w:keepNext/>
              <w:jc w:val="right"/>
              <w:rPr>
                <w:rFonts w:ascii="Calibri" w:hAnsi="Calibri"/>
                <w:color w:val="000000"/>
              </w:rPr>
            </w:pPr>
            <w:r w:rsidRPr="00545318">
              <w:rPr>
                <w:rFonts w:ascii="Calibri" w:hAnsi="Calibri"/>
                <w:color w:val="000000"/>
              </w:rPr>
              <w:t>-119.8</w:t>
            </w:r>
          </w:p>
        </w:tc>
        <w:tc>
          <w:tcPr>
            <w:tcW w:w="619" w:type="pct"/>
            <w:vAlign w:val="bottom"/>
          </w:tcPr>
          <w:p w14:paraId="41E39163" w14:textId="77777777" w:rsidR="00A63F2A" w:rsidRPr="00545318" w:rsidRDefault="00A63F2A" w:rsidP="002A0D3F">
            <w:pPr>
              <w:keepNext/>
              <w:jc w:val="right"/>
              <w:rPr>
                <w:rFonts w:ascii="Calibri" w:hAnsi="Calibri"/>
                <w:color w:val="000000"/>
              </w:rPr>
            </w:pPr>
            <w:r w:rsidRPr="00545318">
              <w:rPr>
                <w:rFonts w:ascii="Calibri" w:hAnsi="Calibri"/>
                <w:color w:val="000000"/>
              </w:rPr>
              <w:t>-147.3</w:t>
            </w:r>
          </w:p>
        </w:tc>
        <w:tc>
          <w:tcPr>
            <w:tcW w:w="618" w:type="pct"/>
            <w:vAlign w:val="bottom"/>
          </w:tcPr>
          <w:p w14:paraId="524D4799" w14:textId="77777777" w:rsidR="00A63F2A" w:rsidRPr="00545318" w:rsidRDefault="00A63F2A" w:rsidP="002A0D3F">
            <w:pPr>
              <w:keepNext/>
              <w:jc w:val="right"/>
              <w:rPr>
                <w:rFonts w:ascii="Calibri" w:hAnsi="Calibri"/>
                <w:color w:val="000000"/>
              </w:rPr>
            </w:pPr>
            <w:r w:rsidRPr="00545318">
              <w:rPr>
                <w:rFonts w:ascii="Calibri" w:hAnsi="Calibri"/>
                <w:color w:val="000000"/>
              </w:rPr>
              <w:t>-175.6</w:t>
            </w:r>
          </w:p>
        </w:tc>
      </w:tr>
      <w:tr w:rsidR="00A63F2A" w:rsidRPr="00545318" w14:paraId="31E61A28" w14:textId="77777777" w:rsidTr="002A0D3F">
        <w:tc>
          <w:tcPr>
            <w:tcW w:w="1903" w:type="pct"/>
          </w:tcPr>
          <w:p w14:paraId="6DF1718E" w14:textId="77777777" w:rsidR="00A63F2A" w:rsidRPr="00545318" w:rsidRDefault="00A63F2A" w:rsidP="001F20B8">
            <w:pPr>
              <w:keepNext/>
            </w:pPr>
            <w:r w:rsidRPr="00545318">
              <w:t>Employment (FTE)</w:t>
            </w:r>
          </w:p>
        </w:tc>
        <w:tc>
          <w:tcPr>
            <w:tcW w:w="621" w:type="pct"/>
            <w:vAlign w:val="bottom"/>
          </w:tcPr>
          <w:p w14:paraId="629E5264" w14:textId="77777777" w:rsidR="00A63F2A" w:rsidRPr="00545318" w:rsidRDefault="00A63F2A" w:rsidP="002A0D3F">
            <w:pPr>
              <w:keepNext/>
              <w:jc w:val="right"/>
              <w:rPr>
                <w:rFonts w:ascii="Calibri" w:hAnsi="Calibri"/>
                <w:color w:val="000000"/>
              </w:rPr>
            </w:pPr>
            <w:r w:rsidRPr="00545318">
              <w:rPr>
                <w:rFonts w:ascii="Calibri" w:hAnsi="Calibri"/>
                <w:color w:val="000000"/>
              </w:rPr>
              <w:t>45.2</w:t>
            </w:r>
          </w:p>
        </w:tc>
        <w:tc>
          <w:tcPr>
            <w:tcW w:w="620" w:type="pct"/>
            <w:vAlign w:val="bottom"/>
          </w:tcPr>
          <w:p w14:paraId="6ECB9F44" w14:textId="77777777" w:rsidR="00A63F2A" w:rsidRPr="00545318" w:rsidRDefault="00A63F2A" w:rsidP="002A0D3F">
            <w:pPr>
              <w:keepNext/>
              <w:jc w:val="right"/>
              <w:rPr>
                <w:rFonts w:ascii="Calibri" w:hAnsi="Calibri"/>
                <w:color w:val="000000"/>
              </w:rPr>
            </w:pPr>
            <w:r w:rsidRPr="00545318">
              <w:rPr>
                <w:rFonts w:ascii="Calibri" w:hAnsi="Calibri"/>
                <w:color w:val="000000"/>
              </w:rPr>
              <w:t>-413.6</w:t>
            </w:r>
          </w:p>
        </w:tc>
        <w:tc>
          <w:tcPr>
            <w:tcW w:w="619" w:type="pct"/>
            <w:vAlign w:val="bottom"/>
          </w:tcPr>
          <w:p w14:paraId="14A9E4D9" w14:textId="77777777" w:rsidR="00A63F2A" w:rsidRPr="00545318" w:rsidRDefault="00A63F2A" w:rsidP="002A0D3F">
            <w:pPr>
              <w:keepNext/>
              <w:jc w:val="right"/>
              <w:rPr>
                <w:rFonts w:ascii="Calibri" w:hAnsi="Calibri"/>
                <w:color w:val="000000"/>
              </w:rPr>
            </w:pPr>
            <w:r w:rsidRPr="00545318">
              <w:rPr>
                <w:rFonts w:ascii="Calibri" w:hAnsi="Calibri"/>
                <w:color w:val="000000"/>
              </w:rPr>
              <w:t>-394.5</w:t>
            </w:r>
          </w:p>
        </w:tc>
        <w:tc>
          <w:tcPr>
            <w:tcW w:w="619" w:type="pct"/>
            <w:vAlign w:val="bottom"/>
          </w:tcPr>
          <w:p w14:paraId="54BD1719" w14:textId="77777777" w:rsidR="00A63F2A" w:rsidRPr="00545318" w:rsidRDefault="00A63F2A" w:rsidP="002A0D3F">
            <w:pPr>
              <w:keepNext/>
              <w:jc w:val="right"/>
              <w:rPr>
                <w:rFonts w:ascii="Calibri" w:hAnsi="Calibri"/>
                <w:color w:val="000000"/>
              </w:rPr>
            </w:pPr>
            <w:r w:rsidRPr="00545318">
              <w:rPr>
                <w:rFonts w:ascii="Calibri" w:hAnsi="Calibri"/>
                <w:color w:val="000000"/>
              </w:rPr>
              <w:t>-392.1</w:t>
            </w:r>
          </w:p>
        </w:tc>
        <w:tc>
          <w:tcPr>
            <w:tcW w:w="618" w:type="pct"/>
            <w:vAlign w:val="bottom"/>
          </w:tcPr>
          <w:p w14:paraId="752BF1BF" w14:textId="77777777" w:rsidR="00A63F2A" w:rsidRPr="00545318" w:rsidRDefault="00A63F2A" w:rsidP="002A0D3F">
            <w:pPr>
              <w:keepNext/>
              <w:jc w:val="right"/>
              <w:rPr>
                <w:rFonts w:ascii="Calibri" w:hAnsi="Calibri"/>
                <w:color w:val="000000"/>
              </w:rPr>
            </w:pPr>
            <w:r w:rsidRPr="00545318">
              <w:rPr>
                <w:rFonts w:ascii="Calibri" w:hAnsi="Calibri"/>
                <w:color w:val="000000"/>
              </w:rPr>
              <w:t>-390.9</w:t>
            </w:r>
          </w:p>
        </w:tc>
      </w:tr>
      <w:tr w:rsidR="00A63F2A" w:rsidRPr="00545318" w14:paraId="4E1903DD" w14:textId="77777777" w:rsidTr="002A0D3F">
        <w:tc>
          <w:tcPr>
            <w:tcW w:w="1903" w:type="pct"/>
          </w:tcPr>
          <w:p w14:paraId="63864E6A" w14:textId="77777777" w:rsidR="00A63F2A" w:rsidRPr="00545318" w:rsidRDefault="00A63F2A" w:rsidP="001F20B8">
            <w:pPr>
              <w:keepNext/>
            </w:pPr>
            <w:r w:rsidRPr="00545318">
              <w:t>Investment ($m)</w:t>
            </w:r>
          </w:p>
        </w:tc>
        <w:tc>
          <w:tcPr>
            <w:tcW w:w="621" w:type="pct"/>
            <w:vAlign w:val="bottom"/>
          </w:tcPr>
          <w:p w14:paraId="327B2933" w14:textId="77777777" w:rsidR="00A63F2A" w:rsidRPr="00545318" w:rsidRDefault="00A63F2A" w:rsidP="002A0D3F">
            <w:pPr>
              <w:keepNext/>
              <w:jc w:val="right"/>
              <w:rPr>
                <w:rFonts w:ascii="Calibri" w:hAnsi="Calibri"/>
                <w:color w:val="000000"/>
              </w:rPr>
            </w:pPr>
            <w:r w:rsidRPr="00545318">
              <w:rPr>
                <w:rFonts w:ascii="Calibri" w:hAnsi="Calibri"/>
                <w:color w:val="000000"/>
              </w:rPr>
              <w:t>146.6</w:t>
            </w:r>
          </w:p>
        </w:tc>
        <w:tc>
          <w:tcPr>
            <w:tcW w:w="620" w:type="pct"/>
            <w:vAlign w:val="bottom"/>
          </w:tcPr>
          <w:p w14:paraId="39E86A8F" w14:textId="77777777" w:rsidR="00A63F2A" w:rsidRPr="00545318" w:rsidRDefault="00A63F2A" w:rsidP="002A0D3F">
            <w:pPr>
              <w:keepNext/>
              <w:jc w:val="right"/>
              <w:rPr>
                <w:rFonts w:ascii="Calibri" w:hAnsi="Calibri"/>
                <w:color w:val="000000"/>
              </w:rPr>
            </w:pPr>
            <w:r w:rsidRPr="00545318">
              <w:rPr>
                <w:rFonts w:ascii="Calibri" w:hAnsi="Calibri"/>
                <w:color w:val="000000"/>
              </w:rPr>
              <w:t>-218.5</w:t>
            </w:r>
          </w:p>
        </w:tc>
        <w:tc>
          <w:tcPr>
            <w:tcW w:w="619" w:type="pct"/>
            <w:vAlign w:val="bottom"/>
          </w:tcPr>
          <w:p w14:paraId="244CD268" w14:textId="77777777" w:rsidR="00A63F2A" w:rsidRPr="00545318" w:rsidRDefault="00A63F2A" w:rsidP="002A0D3F">
            <w:pPr>
              <w:keepNext/>
              <w:jc w:val="right"/>
              <w:rPr>
                <w:rFonts w:ascii="Calibri" w:hAnsi="Calibri"/>
                <w:color w:val="000000"/>
              </w:rPr>
            </w:pPr>
            <w:r w:rsidRPr="00545318">
              <w:rPr>
                <w:rFonts w:ascii="Calibri" w:hAnsi="Calibri"/>
                <w:color w:val="000000"/>
              </w:rPr>
              <w:t>-123.9</w:t>
            </w:r>
          </w:p>
        </w:tc>
        <w:tc>
          <w:tcPr>
            <w:tcW w:w="619" w:type="pct"/>
            <w:vAlign w:val="bottom"/>
          </w:tcPr>
          <w:p w14:paraId="3230AD2F" w14:textId="77777777" w:rsidR="00A63F2A" w:rsidRPr="00545318" w:rsidRDefault="00A63F2A" w:rsidP="002A0D3F">
            <w:pPr>
              <w:keepNext/>
              <w:jc w:val="right"/>
              <w:rPr>
                <w:rFonts w:ascii="Calibri" w:hAnsi="Calibri"/>
                <w:color w:val="000000"/>
              </w:rPr>
            </w:pPr>
            <w:r w:rsidRPr="00545318">
              <w:rPr>
                <w:rFonts w:ascii="Calibri" w:hAnsi="Calibri"/>
                <w:color w:val="000000"/>
              </w:rPr>
              <w:t>-77.5</w:t>
            </w:r>
          </w:p>
        </w:tc>
        <w:tc>
          <w:tcPr>
            <w:tcW w:w="618" w:type="pct"/>
            <w:vAlign w:val="bottom"/>
          </w:tcPr>
          <w:p w14:paraId="1070AFE8" w14:textId="77777777" w:rsidR="00A63F2A" w:rsidRPr="00545318" w:rsidRDefault="00A63F2A" w:rsidP="002A0D3F">
            <w:pPr>
              <w:keepNext/>
              <w:jc w:val="right"/>
              <w:rPr>
                <w:rFonts w:ascii="Calibri" w:hAnsi="Calibri"/>
                <w:color w:val="000000"/>
              </w:rPr>
            </w:pPr>
            <w:r w:rsidRPr="00545318">
              <w:rPr>
                <w:rFonts w:ascii="Calibri" w:hAnsi="Calibri"/>
                <w:color w:val="000000"/>
              </w:rPr>
              <w:t>-52.3</w:t>
            </w:r>
          </w:p>
        </w:tc>
      </w:tr>
      <w:tr w:rsidR="001F20B8" w:rsidRPr="00545318" w14:paraId="75B38822" w14:textId="77777777" w:rsidTr="001F20B8">
        <w:tc>
          <w:tcPr>
            <w:tcW w:w="1903" w:type="pct"/>
            <w:tcBorders>
              <w:top w:val="single" w:sz="12" w:space="0" w:color="4F81BD" w:themeColor="accent1"/>
              <w:bottom w:val="single" w:sz="4" w:space="0" w:color="4F81BD" w:themeColor="accent1"/>
            </w:tcBorders>
            <w:vAlign w:val="center"/>
          </w:tcPr>
          <w:p w14:paraId="30B6120C" w14:textId="77777777" w:rsidR="001F20B8" w:rsidRPr="00545318" w:rsidRDefault="001F20B8" w:rsidP="00CA2191">
            <w:pPr>
              <w:keepNext/>
              <w:jc w:val="center"/>
              <w:rPr>
                <w:b/>
              </w:rPr>
            </w:pPr>
            <w:r w:rsidRPr="00545318">
              <w:rPr>
                <w:b/>
              </w:rPr>
              <w:t>Key sectoral output results</w:t>
            </w:r>
          </w:p>
        </w:tc>
        <w:tc>
          <w:tcPr>
            <w:tcW w:w="621" w:type="pct"/>
            <w:tcBorders>
              <w:top w:val="single" w:sz="12" w:space="0" w:color="4F81BD" w:themeColor="accent1"/>
              <w:bottom w:val="single" w:sz="4" w:space="0" w:color="4F81BD" w:themeColor="accent1"/>
            </w:tcBorders>
          </w:tcPr>
          <w:p w14:paraId="53DF2B41" w14:textId="77777777" w:rsidR="001F20B8" w:rsidRPr="00545318" w:rsidRDefault="001F20B8" w:rsidP="00CA2191">
            <w:pPr>
              <w:keepNext/>
              <w:jc w:val="right"/>
            </w:pPr>
          </w:p>
        </w:tc>
        <w:tc>
          <w:tcPr>
            <w:tcW w:w="620" w:type="pct"/>
            <w:tcBorders>
              <w:top w:val="single" w:sz="12" w:space="0" w:color="4F81BD" w:themeColor="accent1"/>
              <w:bottom w:val="single" w:sz="4" w:space="0" w:color="4F81BD" w:themeColor="accent1"/>
            </w:tcBorders>
          </w:tcPr>
          <w:p w14:paraId="338B2EBC"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7D8CBF21" w14:textId="77777777" w:rsidR="001F20B8" w:rsidRPr="00545318" w:rsidRDefault="001F20B8" w:rsidP="00CA2191">
            <w:pPr>
              <w:keepNext/>
              <w:jc w:val="right"/>
            </w:pPr>
          </w:p>
        </w:tc>
        <w:tc>
          <w:tcPr>
            <w:tcW w:w="619" w:type="pct"/>
            <w:tcBorders>
              <w:top w:val="single" w:sz="12" w:space="0" w:color="4F81BD" w:themeColor="accent1"/>
              <w:bottom w:val="single" w:sz="4" w:space="0" w:color="4F81BD" w:themeColor="accent1"/>
            </w:tcBorders>
          </w:tcPr>
          <w:p w14:paraId="1B8D5737" w14:textId="77777777" w:rsidR="001F20B8" w:rsidRPr="00545318" w:rsidRDefault="001F20B8" w:rsidP="00CA2191">
            <w:pPr>
              <w:keepNext/>
              <w:jc w:val="right"/>
            </w:pPr>
          </w:p>
        </w:tc>
        <w:tc>
          <w:tcPr>
            <w:tcW w:w="618" w:type="pct"/>
            <w:tcBorders>
              <w:top w:val="single" w:sz="12" w:space="0" w:color="4F81BD" w:themeColor="accent1"/>
              <w:bottom w:val="single" w:sz="4" w:space="0" w:color="4F81BD" w:themeColor="accent1"/>
            </w:tcBorders>
          </w:tcPr>
          <w:p w14:paraId="1857A722" w14:textId="77777777" w:rsidR="001F20B8" w:rsidRPr="00545318" w:rsidRDefault="001F20B8" w:rsidP="00CA2191">
            <w:pPr>
              <w:keepNext/>
              <w:jc w:val="right"/>
            </w:pPr>
          </w:p>
        </w:tc>
      </w:tr>
      <w:tr w:rsidR="00A63F2A" w:rsidRPr="00545318" w14:paraId="44E564AE" w14:textId="77777777" w:rsidTr="002A0D3F">
        <w:tc>
          <w:tcPr>
            <w:tcW w:w="1903" w:type="pct"/>
          </w:tcPr>
          <w:p w14:paraId="037A76D1" w14:textId="77777777" w:rsidR="00A63F2A" w:rsidRPr="00545318" w:rsidRDefault="00A63F2A" w:rsidP="00CA2191">
            <w:pPr>
              <w:keepNext/>
            </w:pPr>
            <w:r w:rsidRPr="00545318">
              <w:t>Aluminium ($m)</w:t>
            </w:r>
          </w:p>
        </w:tc>
        <w:tc>
          <w:tcPr>
            <w:tcW w:w="621" w:type="pct"/>
            <w:vAlign w:val="bottom"/>
          </w:tcPr>
          <w:p w14:paraId="0C2CEA26"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20" w:type="pct"/>
            <w:vAlign w:val="bottom"/>
          </w:tcPr>
          <w:p w14:paraId="321F6C74"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19" w:type="pct"/>
            <w:vAlign w:val="bottom"/>
          </w:tcPr>
          <w:p w14:paraId="7A905DE7"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19" w:type="pct"/>
            <w:vAlign w:val="bottom"/>
          </w:tcPr>
          <w:p w14:paraId="0F6F56DD"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c>
          <w:tcPr>
            <w:tcW w:w="618" w:type="pct"/>
            <w:vAlign w:val="bottom"/>
          </w:tcPr>
          <w:p w14:paraId="3D641E26" w14:textId="77777777" w:rsidR="00A63F2A" w:rsidRPr="00545318" w:rsidRDefault="00A63F2A" w:rsidP="002A0D3F">
            <w:pPr>
              <w:keepNext/>
              <w:jc w:val="right"/>
              <w:rPr>
                <w:rFonts w:ascii="Calibri" w:hAnsi="Calibri"/>
                <w:color w:val="000000"/>
              </w:rPr>
            </w:pPr>
            <w:r w:rsidRPr="00545318">
              <w:rPr>
                <w:rFonts w:ascii="Calibri" w:hAnsi="Calibri"/>
                <w:color w:val="000000"/>
              </w:rPr>
              <w:t>-261.1</w:t>
            </w:r>
          </w:p>
        </w:tc>
      </w:tr>
      <w:tr w:rsidR="00A63F2A" w:rsidRPr="00545318" w14:paraId="54BC8F3E" w14:textId="77777777" w:rsidTr="002A0D3F">
        <w:tc>
          <w:tcPr>
            <w:tcW w:w="1903" w:type="pct"/>
          </w:tcPr>
          <w:p w14:paraId="2F544EFD" w14:textId="77777777" w:rsidR="00A63F2A" w:rsidRPr="00545318" w:rsidRDefault="00A63F2A" w:rsidP="00CA2191">
            <w:pPr>
              <w:keepNext/>
            </w:pPr>
            <w:r w:rsidRPr="00545318">
              <w:t>Manufacturing ($m)</w:t>
            </w:r>
          </w:p>
        </w:tc>
        <w:tc>
          <w:tcPr>
            <w:tcW w:w="621" w:type="pct"/>
            <w:vAlign w:val="bottom"/>
          </w:tcPr>
          <w:p w14:paraId="50670957" w14:textId="77777777" w:rsidR="00A63F2A" w:rsidRPr="00545318" w:rsidRDefault="00A63F2A" w:rsidP="002A0D3F">
            <w:pPr>
              <w:keepNext/>
              <w:jc w:val="right"/>
              <w:rPr>
                <w:rFonts w:ascii="Calibri" w:hAnsi="Calibri"/>
                <w:color w:val="000000"/>
              </w:rPr>
            </w:pPr>
            <w:r w:rsidRPr="00545318">
              <w:rPr>
                <w:rFonts w:ascii="Calibri" w:hAnsi="Calibri"/>
                <w:color w:val="000000"/>
              </w:rPr>
              <w:t>78.1</w:t>
            </w:r>
          </w:p>
        </w:tc>
        <w:tc>
          <w:tcPr>
            <w:tcW w:w="620" w:type="pct"/>
            <w:vAlign w:val="bottom"/>
          </w:tcPr>
          <w:p w14:paraId="1BDE28BF" w14:textId="77777777" w:rsidR="00A63F2A" w:rsidRPr="00545318" w:rsidRDefault="00A63F2A" w:rsidP="002A0D3F">
            <w:pPr>
              <w:keepNext/>
              <w:jc w:val="right"/>
              <w:rPr>
                <w:rFonts w:ascii="Calibri" w:hAnsi="Calibri"/>
                <w:color w:val="000000"/>
              </w:rPr>
            </w:pPr>
            <w:r w:rsidRPr="00545318">
              <w:rPr>
                <w:rFonts w:ascii="Calibri" w:hAnsi="Calibri"/>
                <w:color w:val="000000"/>
              </w:rPr>
              <w:t>-243.1</w:t>
            </w:r>
          </w:p>
        </w:tc>
        <w:tc>
          <w:tcPr>
            <w:tcW w:w="619" w:type="pct"/>
            <w:vAlign w:val="bottom"/>
          </w:tcPr>
          <w:p w14:paraId="34CDEE92" w14:textId="77777777" w:rsidR="00A63F2A" w:rsidRPr="00545318" w:rsidRDefault="00A63F2A" w:rsidP="002A0D3F">
            <w:pPr>
              <w:keepNext/>
              <w:jc w:val="right"/>
              <w:rPr>
                <w:rFonts w:ascii="Calibri" w:hAnsi="Calibri"/>
                <w:color w:val="000000"/>
              </w:rPr>
            </w:pPr>
            <w:r w:rsidRPr="00545318">
              <w:rPr>
                <w:rFonts w:ascii="Calibri" w:hAnsi="Calibri"/>
                <w:color w:val="000000"/>
              </w:rPr>
              <w:t>-290.1</w:t>
            </w:r>
          </w:p>
        </w:tc>
        <w:tc>
          <w:tcPr>
            <w:tcW w:w="619" w:type="pct"/>
            <w:vAlign w:val="bottom"/>
          </w:tcPr>
          <w:p w14:paraId="5B461FF1" w14:textId="77777777" w:rsidR="00A63F2A" w:rsidRPr="00545318" w:rsidRDefault="00A63F2A" w:rsidP="002A0D3F">
            <w:pPr>
              <w:keepNext/>
              <w:jc w:val="right"/>
              <w:rPr>
                <w:rFonts w:ascii="Calibri" w:hAnsi="Calibri"/>
                <w:color w:val="000000"/>
              </w:rPr>
            </w:pPr>
            <w:r w:rsidRPr="00545318">
              <w:rPr>
                <w:rFonts w:ascii="Calibri" w:hAnsi="Calibri"/>
                <w:color w:val="000000"/>
              </w:rPr>
              <w:t>-313.5</w:t>
            </w:r>
          </w:p>
        </w:tc>
        <w:tc>
          <w:tcPr>
            <w:tcW w:w="618" w:type="pct"/>
            <w:vAlign w:val="bottom"/>
          </w:tcPr>
          <w:p w14:paraId="2C4456A4" w14:textId="77777777" w:rsidR="00A63F2A" w:rsidRPr="00545318" w:rsidRDefault="00A63F2A" w:rsidP="002A0D3F">
            <w:pPr>
              <w:keepNext/>
              <w:jc w:val="right"/>
              <w:rPr>
                <w:rFonts w:ascii="Calibri" w:hAnsi="Calibri"/>
                <w:color w:val="000000"/>
              </w:rPr>
            </w:pPr>
            <w:r w:rsidRPr="00545318">
              <w:rPr>
                <w:rFonts w:ascii="Calibri" w:hAnsi="Calibri"/>
                <w:color w:val="000000"/>
              </w:rPr>
              <w:t>-322.2</w:t>
            </w:r>
          </w:p>
        </w:tc>
      </w:tr>
      <w:tr w:rsidR="00A63F2A" w:rsidRPr="00545318" w14:paraId="1FCA4719" w14:textId="77777777" w:rsidTr="002A0D3F">
        <w:tc>
          <w:tcPr>
            <w:tcW w:w="1903" w:type="pct"/>
            <w:tcBorders>
              <w:bottom w:val="single" w:sz="12" w:space="0" w:color="4F81BD" w:themeColor="accent1"/>
            </w:tcBorders>
          </w:tcPr>
          <w:p w14:paraId="60D02A2B" w14:textId="77777777" w:rsidR="00A63F2A" w:rsidRPr="00545318" w:rsidRDefault="00A63F2A" w:rsidP="00CA2191">
            <w:pPr>
              <w:keepNext/>
            </w:pPr>
            <w:r w:rsidRPr="00545318">
              <w:t>Construction ($m)</w:t>
            </w:r>
          </w:p>
        </w:tc>
        <w:tc>
          <w:tcPr>
            <w:tcW w:w="621" w:type="pct"/>
            <w:tcBorders>
              <w:bottom w:val="single" w:sz="12" w:space="0" w:color="4F81BD" w:themeColor="accent1"/>
            </w:tcBorders>
            <w:vAlign w:val="bottom"/>
          </w:tcPr>
          <w:p w14:paraId="2CEE9BFF" w14:textId="77777777" w:rsidR="00A63F2A" w:rsidRPr="00545318" w:rsidRDefault="00A63F2A" w:rsidP="002A0D3F">
            <w:pPr>
              <w:keepNext/>
              <w:jc w:val="right"/>
              <w:rPr>
                <w:rFonts w:ascii="Calibri" w:hAnsi="Calibri"/>
                <w:color w:val="000000"/>
              </w:rPr>
            </w:pPr>
            <w:r w:rsidRPr="00545318">
              <w:rPr>
                <w:rFonts w:ascii="Calibri" w:hAnsi="Calibri"/>
                <w:color w:val="000000"/>
              </w:rPr>
              <w:t>-149.0</w:t>
            </w:r>
          </w:p>
        </w:tc>
        <w:tc>
          <w:tcPr>
            <w:tcW w:w="620" w:type="pct"/>
            <w:tcBorders>
              <w:bottom w:val="single" w:sz="12" w:space="0" w:color="4F81BD" w:themeColor="accent1"/>
            </w:tcBorders>
            <w:vAlign w:val="bottom"/>
          </w:tcPr>
          <w:p w14:paraId="58E36073" w14:textId="77777777" w:rsidR="00A63F2A" w:rsidRPr="00545318" w:rsidRDefault="00A63F2A" w:rsidP="002A0D3F">
            <w:pPr>
              <w:keepNext/>
              <w:jc w:val="right"/>
              <w:rPr>
                <w:rFonts w:ascii="Calibri" w:hAnsi="Calibri"/>
                <w:color w:val="000000"/>
              </w:rPr>
            </w:pPr>
            <w:r w:rsidRPr="00545318">
              <w:rPr>
                <w:rFonts w:ascii="Calibri" w:hAnsi="Calibri"/>
                <w:color w:val="000000"/>
              </w:rPr>
              <w:t>-87.4</w:t>
            </w:r>
          </w:p>
        </w:tc>
        <w:tc>
          <w:tcPr>
            <w:tcW w:w="619" w:type="pct"/>
            <w:tcBorders>
              <w:bottom w:val="single" w:sz="12" w:space="0" w:color="4F81BD" w:themeColor="accent1"/>
            </w:tcBorders>
            <w:vAlign w:val="bottom"/>
          </w:tcPr>
          <w:p w14:paraId="25F7FB50" w14:textId="77777777" w:rsidR="00A63F2A" w:rsidRPr="00545318" w:rsidRDefault="00A63F2A" w:rsidP="002A0D3F">
            <w:pPr>
              <w:keepNext/>
              <w:jc w:val="right"/>
              <w:rPr>
                <w:rFonts w:ascii="Calibri" w:hAnsi="Calibri"/>
                <w:color w:val="000000"/>
              </w:rPr>
            </w:pPr>
            <w:r w:rsidRPr="00545318">
              <w:rPr>
                <w:rFonts w:ascii="Calibri" w:hAnsi="Calibri"/>
                <w:color w:val="000000"/>
              </w:rPr>
              <w:t>-57.6</w:t>
            </w:r>
          </w:p>
        </w:tc>
        <w:tc>
          <w:tcPr>
            <w:tcW w:w="619" w:type="pct"/>
            <w:tcBorders>
              <w:bottom w:val="single" w:sz="12" w:space="0" w:color="4F81BD" w:themeColor="accent1"/>
            </w:tcBorders>
            <w:vAlign w:val="bottom"/>
          </w:tcPr>
          <w:p w14:paraId="3570F63E" w14:textId="77777777" w:rsidR="00A63F2A" w:rsidRPr="00545318" w:rsidRDefault="00A63F2A" w:rsidP="002A0D3F">
            <w:pPr>
              <w:keepNext/>
              <w:jc w:val="right"/>
              <w:rPr>
                <w:rFonts w:ascii="Calibri" w:hAnsi="Calibri"/>
                <w:color w:val="000000"/>
              </w:rPr>
            </w:pPr>
            <w:r w:rsidRPr="00545318">
              <w:rPr>
                <w:rFonts w:ascii="Calibri" w:hAnsi="Calibri"/>
                <w:color w:val="000000"/>
              </w:rPr>
              <w:t>-41.6</w:t>
            </w:r>
          </w:p>
        </w:tc>
        <w:tc>
          <w:tcPr>
            <w:tcW w:w="618" w:type="pct"/>
            <w:tcBorders>
              <w:bottom w:val="single" w:sz="12" w:space="0" w:color="4F81BD" w:themeColor="accent1"/>
            </w:tcBorders>
            <w:vAlign w:val="bottom"/>
          </w:tcPr>
          <w:p w14:paraId="49A37B9E" w14:textId="77777777" w:rsidR="00A63F2A" w:rsidRPr="00545318" w:rsidRDefault="00A63F2A" w:rsidP="002A0D3F">
            <w:pPr>
              <w:keepNext/>
              <w:jc w:val="right"/>
              <w:rPr>
                <w:rFonts w:ascii="Calibri" w:hAnsi="Calibri"/>
                <w:color w:val="000000"/>
              </w:rPr>
            </w:pPr>
            <w:r w:rsidRPr="00545318">
              <w:rPr>
                <w:rFonts w:ascii="Calibri" w:hAnsi="Calibri"/>
                <w:color w:val="000000"/>
              </w:rPr>
              <w:t>-31.7</w:t>
            </w:r>
          </w:p>
        </w:tc>
      </w:tr>
    </w:tbl>
    <w:p w14:paraId="2E1656BC" w14:textId="77777777" w:rsidR="00CA2191" w:rsidRPr="00545318" w:rsidRDefault="00CA2191" w:rsidP="004B0D38">
      <w:pPr>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Cadence Economics estimates</w:t>
      </w:r>
    </w:p>
    <w:p w14:paraId="2A0A3D2B" w14:textId="77777777" w:rsidR="00B45930" w:rsidRPr="00545318" w:rsidRDefault="00B45930" w:rsidP="00B45930">
      <w:pPr>
        <w:keepNext/>
        <w:keepLines/>
        <w:spacing w:before="200"/>
        <w:outlineLvl w:val="3"/>
        <w:rPr>
          <w:rFonts w:asciiTheme="majorHAnsi" w:eastAsiaTheme="majorEastAsia" w:hAnsiTheme="majorHAnsi" w:cstheme="majorBidi"/>
          <w:b/>
          <w:bCs/>
          <w:i/>
          <w:iCs/>
          <w:color w:val="4F81BD" w:themeColor="accent1"/>
          <w:lang w:val="en-AU"/>
        </w:rPr>
      </w:pPr>
      <w:r w:rsidRPr="00545318">
        <w:rPr>
          <w:rFonts w:asciiTheme="majorHAnsi" w:eastAsiaTheme="majorEastAsia" w:hAnsiTheme="majorHAnsi" w:cstheme="majorBidi"/>
          <w:b/>
          <w:bCs/>
          <w:i/>
          <w:iCs/>
          <w:color w:val="4F81BD" w:themeColor="accent1"/>
          <w:lang w:val="en-AU"/>
        </w:rPr>
        <w:t>Commission’s conclusion</w:t>
      </w:r>
    </w:p>
    <w:p w14:paraId="65D97069" w14:textId="77777777" w:rsidR="00B45930" w:rsidRPr="00545318" w:rsidRDefault="00CA2191" w:rsidP="00CA2191">
      <w:pPr>
        <w:autoSpaceDE w:val="0"/>
        <w:autoSpaceDN w:val="0"/>
        <w:spacing w:before="120" w:after="120"/>
      </w:pPr>
      <w:r w:rsidRPr="00545318">
        <w:t xml:space="preserve">The Commission considers it is more realistic to assume (as in Scenario 3) that dumping and subsidisation are temporary and that they will gradually come to an end as global capacity is brought into balance with global demand, than to assume that dumping and subsidisation will be permanent features of Asian steel and aluminium markets (as assumed in Scenarios 1 and 2). </w:t>
      </w:r>
      <w:r w:rsidR="00B45930" w:rsidRPr="00545318">
        <w:t>Assuming that dumping and subsidisation will be permanent would imply that Asian (or other) governments will be willing to support an ongoing income (and welfare</w:t>
      </w:r>
      <w:r w:rsidR="00313579" w:rsidRPr="00545318">
        <w:t>)</w:t>
      </w:r>
      <w:r w:rsidR="00B45930" w:rsidRPr="00545318">
        <w:t xml:space="preserve"> transfer to Australians.</w:t>
      </w:r>
    </w:p>
    <w:p w14:paraId="61BA6B85" w14:textId="77777777" w:rsidR="00CA2191" w:rsidRPr="00545318" w:rsidRDefault="00B45930" w:rsidP="00CA2191">
      <w:pPr>
        <w:autoSpaceDE w:val="0"/>
        <w:autoSpaceDN w:val="0"/>
        <w:spacing w:before="120" w:after="120"/>
      </w:pPr>
      <w:r w:rsidRPr="00545318">
        <w:t>However, as noted in chapter 3 of this report, t</w:t>
      </w:r>
      <w:r w:rsidR="00CA2191" w:rsidRPr="00545318">
        <w:t xml:space="preserve">he Commission </w:t>
      </w:r>
      <w:r w:rsidRPr="00545318">
        <w:t>recognises</w:t>
      </w:r>
      <w:r w:rsidR="00CA2191" w:rsidRPr="00545318">
        <w:t xml:space="preserve"> that the </w:t>
      </w:r>
      <w:r w:rsidRPr="00545318">
        <w:t>process of bringing global capacity</w:t>
      </w:r>
      <w:r w:rsidR="00CA2191" w:rsidRPr="00545318">
        <w:t xml:space="preserve"> and demand into balance</w:t>
      </w:r>
      <w:r w:rsidRPr="00545318">
        <w:t xml:space="preserve"> is unlikely to be completed in the near future</w:t>
      </w:r>
      <w:r w:rsidR="00CA2191" w:rsidRPr="00545318">
        <w:t xml:space="preserve">. </w:t>
      </w:r>
    </w:p>
    <w:p w14:paraId="47BBC56D" w14:textId="77777777" w:rsidR="00CA2191" w:rsidRPr="00545318" w:rsidRDefault="00B45930" w:rsidP="00CA2191">
      <w:pPr>
        <w:autoSpaceDE w:val="0"/>
        <w:autoSpaceDN w:val="0"/>
        <w:spacing w:before="120" w:after="120"/>
      </w:pPr>
      <w:r w:rsidRPr="00545318">
        <w:t>Based on Scenario 3</w:t>
      </w:r>
      <w:r w:rsidR="00CA2191" w:rsidRPr="00545318">
        <w:t>, the implementation of trade remedies will prevent a (likely) permanent contraction in Australian steel and alumin</w:t>
      </w:r>
      <w:r w:rsidR="005038AE" w:rsidRPr="00545318">
        <w:t>i</w:t>
      </w:r>
      <w:r w:rsidR="00CA2191" w:rsidRPr="00545318">
        <w:t xml:space="preserve">um production capacity as a result of the </w:t>
      </w:r>
      <w:r w:rsidR="00313579" w:rsidRPr="00545318">
        <w:t xml:space="preserve">material injury to Australian industry caused by </w:t>
      </w:r>
      <w:r w:rsidRPr="00545318">
        <w:t>a period of</w:t>
      </w:r>
      <w:r w:rsidR="00CA2191" w:rsidRPr="00545318">
        <w:t xml:space="preserve"> dumping and subsidisation. </w:t>
      </w:r>
      <w:r w:rsidR="00313579" w:rsidRPr="00545318">
        <w:t>Trade remedies</w:t>
      </w:r>
      <w:r w:rsidR="00CA2191" w:rsidRPr="00545318">
        <w:t xml:space="preserve"> will </w:t>
      </w:r>
      <w:r w:rsidR="00313579" w:rsidRPr="00545318">
        <w:t>prevent</w:t>
      </w:r>
      <w:r w:rsidR="00CA2191" w:rsidRPr="00545318">
        <w:t xml:space="preserve"> the ongoing negative impacts for these industries and for the economy as a whole that the modelling has estimated to occur in the absence of appropriate trade remedies.</w:t>
      </w:r>
      <w:r w:rsidRPr="00545318">
        <w:t xml:space="preserve"> </w:t>
      </w:r>
    </w:p>
    <w:p w14:paraId="0991C6F6" w14:textId="77777777" w:rsidR="00313579" w:rsidRPr="00545318" w:rsidRDefault="00B45930" w:rsidP="00B45930">
      <w:pPr>
        <w:autoSpaceDE w:val="0"/>
        <w:autoSpaceDN w:val="0"/>
        <w:spacing w:before="120" w:after="120"/>
      </w:pPr>
      <w:r w:rsidRPr="00545318">
        <w:t xml:space="preserve">The Commission recognises that, from a </w:t>
      </w:r>
      <w:r w:rsidR="00313579" w:rsidRPr="00545318">
        <w:t>narrow</w:t>
      </w:r>
      <w:r w:rsidRPr="00545318">
        <w:t xml:space="preserve"> economic perspective, the net present value of the benefits for the economy as a whole of imposing trade remedies will depend on how long dumping and subsidisation occur and the discount rate applied to future benefits and costs. </w:t>
      </w:r>
    </w:p>
    <w:p w14:paraId="388A6F1C" w14:textId="77777777" w:rsidR="00B45930" w:rsidRPr="00545318" w:rsidRDefault="00A15790" w:rsidP="00B45930">
      <w:pPr>
        <w:autoSpaceDE w:val="0"/>
        <w:autoSpaceDN w:val="0"/>
        <w:spacing w:before="120" w:after="120"/>
      </w:pPr>
      <w:r w:rsidRPr="00545318">
        <w:t xml:space="preserve">The Commission also notes that trade remedies have other benefits beyond those measured by the modelling results. Such benefits include those that accrue from the role of trade remedies systems in supporting efforts by the Australian government and other governments to foster trade liberalisation and more open global markets, which generate significant economic benefits by promoting productivity and innovation. </w:t>
      </w:r>
    </w:p>
    <w:p w14:paraId="31D5514D" w14:textId="77777777" w:rsidR="00CA2191" w:rsidRPr="00545318" w:rsidRDefault="00126604" w:rsidP="00126604">
      <w:pPr>
        <w:pStyle w:val="Heading2"/>
      </w:pPr>
      <w:bookmarkStart w:id="62" w:name="_Toc458674169"/>
      <w:bookmarkStart w:id="63" w:name="_Toc460430499"/>
      <w:r w:rsidRPr="00545318">
        <w:t>Regional impacts of dumping and subsidisation</w:t>
      </w:r>
      <w:bookmarkEnd w:id="62"/>
      <w:bookmarkEnd w:id="63"/>
    </w:p>
    <w:p w14:paraId="5F9CBF6D" w14:textId="77777777" w:rsidR="002503BB" w:rsidRPr="00545318" w:rsidRDefault="00126604" w:rsidP="00CA2191">
      <w:pPr>
        <w:autoSpaceDE w:val="0"/>
        <w:autoSpaceDN w:val="0"/>
        <w:spacing w:before="120" w:after="120"/>
      </w:pPr>
      <w:r w:rsidRPr="00545318">
        <w:t xml:space="preserve">The Cadence Economics model assumes that the resources displaced from the steel and aluminium industries as a result of dumping and subsidisation find new uses in other industries. The required re-allocation of resources </w:t>
      </w:r>
      <w:r w:rsidR="002503BB" w:rsidRPr="00545318">
        <w:t xml:space="preserve">is assumed to </w:t>
      </w:r>
      <w:r w:rsidRPr="00545318">
        <w:t>occur over a period of time, reflecting temporary barriers to labour mobility (due, for example, to the time required for retraining or relocation)</w:t>
      </w:r>
      <w:r w:rsidR="002503BB" w:rsidRPr="00545318">
        <w:t>, but all resources will be re-employed in other industries</w:t>
      </w:r>
      <w:r w:rsidRPr="00545318">
        <w:t xml:space="preserve">. </w:t>
      </w:r>
    </w:p>
    <w:p w14:paraId="1B68AB3E" w14:textId="77777777" w:rsidR="00126604" w:rsidRPr="00545318" w:rsidRDefault="002503BB" w:rsidP="00CA2191">
      <w:pPr>
        <w:autoSpaceDE w:val="0"/>
        <w:autoSpaceDN w:val="0"/>
        <w:spacing w:before="120" w:after="120"/>
      </w:pPr>
      <w:r w:rsidRPr="00545318">
        <w:t>If this modelling assumption is too optimistic,</w:t>
      </w:r>
      <w:r w:rsidR="00126604" w:rsidRPr="00545318">
        <w:t xml:space="preserve"> the </w:t>
      </w:r>
      <w:r w:rsidRPr="00545318">
        <w:t xml:space="preserve">economic and employment results produced by the </w:t>
      </w:r>
      <w:r w:rsidR="00126604" w:rsidRPr="00545318">
        <w:t>model</w:t>
      </w:r>
      <w:r w:rsidRPr="00545318">
        <w:t>, especially for Scenario 1,</w:t>
      </w:r>
      <w:r w:rsidR="00126604" w:rsidRPr="00545318">
        <w:t xml:space="preserve"> </w:t>
      </w:r>
      <w:r w:rsidRPr="00545318">
        <w:t>would be overstated.</w:t>
      </w:r>
      <w:r w:rsidR="00126604" w:rsidRPr="00545318">
        <w:t xml:space="preserve"> </w:t>
      </w:r>
    </w:p>
    <w:p w14:paraId="197E198E" w14:textId="77777777" w:rsidR="002503BB" w:rsidRPr="00545318" w:rsidRDefault="002503BB" w:rsidP="00CA2191">
      <w:pPr>
        <w:autoSpaceDE w:val="0"/>
        <w:autoSpaceDN w:val="0"/>
        <w:spacing w:before="120" w:after="120"/>
      </w:pPr>
      <w:r w:rsidRPr="00545318">
        <w:t>To assess the likelihood that displaced workers would find new jobs relatively quickly, the Commission considered available information and analysis on employment outcomes following large structural changes in Australian industries.</w:t>
      </w:r>
    </w:p>
    <w:p w14:paraId="15A720A0" w14:textId="45A59AA4" w:rsidR="002503BB" w:rsidRPr="00545318" w:rsidRDefault="00C602DA" w:rsidP="00CA2191">
      <w:pPr>
        <w:autoSpaceDE w:val="0"/>
        <w:autoSpaceDN w:val="0"/>
        <w:spacing w:before="120" w:after="120"/>
        <w:rPr>
          <w:lang w:val="en-AU"/>
        </w:rPr>
      </w:pPr>
      <w:r w:rsidRPr="00545318">
        <w:t>In a 2014 report, t</w:t>
      </w:r>
      <w:r w:rsidR="002503BB" w:rsidRPr="00545318">
        <w:t xml:space="preserve">he (then) Department of Industry’s Office of the Chief Economist noted that </w:t>
      </w:r>
      <w:r w:rsidR="00A536DA" w:rsidRPr="00545318">
        <w:rPr>
          <w:lang w:val="en-AU"/>
        </w:rPr>
        <w:t xml:space="preserve">structural change is the result of the economy shifting resources to where they are most valued, and is therefore necessary for continued growth and prosperity, and crucial for the economy’s ability to capitalise on opportunities. The report noted that: </w:t>
      </w:r>
    </w:p>
    <w:p w14:paraId="479B4AE7" w14:textId="77777777" w:rsidR="00A536DA" w:rsidRPr="00545318" w:rsidRDefault="00A536DA" w:rsidP="00A536DA">
      <w:pPr>
        <w:autoSpaceDE w:val="0"/>
        <w:autoSpaceDN w:val="0"/>
        <w:spacing w:before="120" w:after="120"/>
        <w:ind w:left="432"/>
        <w:rPr>
          <w:color w:val="000000"/>
          <w:sz w:val="20"/>
          <w:szCs w:val="20"/>
        </w:rPr>
      </w:pPr>
      <w:r w:rsidRPr="00545318">
        <w:rPr>
          <w:color w:val="000000"/>
          <w:sz w:val="20"/>
          <w:szCs w:val="20"/>
        </w:rPr>
        <w:t>While there has been a long-term shift of resources from Manufacturing activities to Services, the extent of structural change in Australia appears to have accelerated in recent years … [resulting in the] speed[ing] up [of] the relative decline of Manufacturing and Agriculture’s shares of the economy.</w:t>
      </w:r>
      <w:r w:rsidRPr="00545318">
        <w:rPr>
          <w:color w:val="000000"/>
          <w:sz w:val="20"/>
          <w:szCs w:val="20"/>
          <w:vertAlign w:val="superscript"/>
        </w:rPr>
        <w:footnoteReference w:id="135"/>
      </w:r>
    </w:p>
    <w:p w14:paraId="2B956346" w14:textId="77777777" w:rsidR="00A536DA" w:rsidRPr="00545318" w:rsidRDefault="00A536DA" w:rsidP="00A536DA">
      <w:pPr>
        <w:autoSpaceDE w:val="0"/>
        <w:autoSpaceDN w:val="0"/>
        <w:spacing w:before="120" w:after="120"/>
      </w:pPr>
      <w:r w:rsidRPr="00545318">
        <w:t>The report noted further that:</w:t>
      </w:r>
    </w:p>
    <w:p w14:paraId="1D0E48BA" w14:textId="77777777" w:rsidR="00A536DA" w:rsidRPr="00545318" w:rsidRDefault="00A536DA" w:rsidP="00A536DA">
      <w:pPr>
        <w:autoSpaceDE w:val="0"/>
        <w:autoSpaceDN w:val="0"/>
        <w:spacing w:before="120" w:after="120"/>
        <w:ind w:left="432"/>
        <w:rPr>
          <w:color w:val="000000"/>
          <w:sz w:val="20"/>
          <w:szCs w:val="20"/>
        </w:rPr>
      </w:pPr>
      <w:r w:rsidRPr="00545318">
        <w:rPr>
          <w:color w:val="000000"/>
          <w:sz w:val="20"/>
          <w:szCs w:val="20"/>
        </w:rPr>
        <w:t>Changes in the sectoral composition of the economy can impose costs on some workers and regions. Barriers to labour mobility, for example, mean that the impact of structural change can be severe for certain groups … Given that Manufacturing employees in particular seem to be less geographically mobile than in other industries, declining employment in Manufacturing poses some challenges. Empirical results, however, show that while the recent accelerated decline of the Manufacturing industry did have an impact on regional employment and unemployment rates in Australia, regions have demonstrated considerable capacity to adjust.</w:t>
      </w:r>
      <w:r w:rsidRPr="00545318">
        <w:rPr>
          <w:rStyle w:val="FootnoteReference"/>
          <w:color w:val="000000"/>
          <w:sz w:val="20"/>
          <w:szCs w:val="20"/>
        </w:rPr>
        <w:footnoteReference w:id="136"/>
      </w:r>
    </w:p>
    <w:p w14:paraId="4808C84F" w14:textId="77777777" w:rsidR="00E20861" w:rsidRPr="00545318" w:rsidRDefault="00E20861" w:rsidP="00E20861">
      <w:pPr>
        <w:autoSpaceDE w:val="0"/>
        <w:autoSpaceDN w:val="0"/>
        <w:spacing w:before="120" w:after="120"/>
        <w:rPr>
          <w:lang w:val="en-AU"/>
        </w:rPr>
      </w:pPr>
      <w:r w:rsidRPr="00545318">
        <w:t xml:space="preserve">The report presented empirical evidence on the economy’s performance in shifting resources in response to structural adjustment pressures, using employment outcomes for displaced automotive workers (see a summary of the case study below). </w:t>
      </w:r>
      <w:r w:rsidRPr="00545318">
        <w:rPr>
          <w:lang w:val="en-AU"/>
        </w:rPr>
        <w:t xml:space="preserve">As noted in the report, while the outcomes were largely positive, the impact of structural change can be severe for certain groups of workers and regions. </w:t>
      </w:r>
    </w:p>
    <w:p w14:paraId="5F6A7BF1" w14:textId="77777777" w:rsidR="00E20861" w:rsidRPr="00545318" w:rsidRDefault="00E20861" w:rsidP="00E20861">
      <w:pPr>
        <w:keepNext/>
        <w:pBdr>
          <w:top w:val="single" w:sz="4" w:space="1" w:color="auto"/>
          <w:left w:val="single" w:sz="4" w:space="4" w:color="auto"/>
          <w:bottom w:val="single" w:sz="4" w:space="1" w:color="auto"/>
          <w:right w:val="single" w:sz="4" w:space="4" w:color="auto"/>
        </w:pBdr>
        <w:shd w:val="clear" w:color="auto" w:fill="DAEEF3" w:themeFill="accent5" w:themeFillTint="33"/>
        <w:spacing w:after="120"/>
        <w:rPr>
          <w:b/>
        </w:rPr>
      </w:pPr>
      <w:r w:rsidRPr="00545318">
        <w:rPr>
          <w:b/>
        </w:rPr>
        <w:t>Case study: Employment outcomes for displaced automotive workers</w:t>
      </w:r>
    </w:p>
    <w:p w14:paraId="1321B6BA" w14:textId="31A382B3" w:rsidR="00E20861" w:rsidRPr="00545318" w:rsidRDefault="00E20861" w:rsidP="00E20861">
      <w:pPr>
        <w:pStyle w:val="Style3"/>
      </w:pPr>
      <w:r w:rsidRPr="00545318">
        <w:t xml:space="preserve">Using data from the 2006 and 2011 Australian Censuses, the employment outcomes for displaced automotive workers was analysed. One third of workers in the automotive sector in 2006 remained in automotive manufacturing in 2011, another third changed industries altogether and 14 </w:t>
      </w:r>
      <w:r w:rsidR="00620A65" w:rsidRPr="00545318">
        <w:t>per cent</w:t>
      </w:r>
      <w:r w:rsidRPr="00545318">
        <w:t xml:space="preserve"> switched to another manufacturing subsector. Three </w:t>
      </w:r>
      <w:r w:rsidR="00620A65" w:rsidRPr="00545318">
        <w:t>per cent</w:t>
      </w:r>
      <w:r w:rsidRPr="00545318">
        <w:t xml:space="preserve"> of 2006 automotive manufacturing workers were unemployed in 2011. Some had left the labour force, for a variety of reasons including forced early retirement by displaced older workers or a decision to study or raise a family. </w:t>
      </w:r>
    </w:p>
    <w:p w14:paraId="0F6BBFCF" w14:textId="77777777" w:rsidR="00E20861" w:rsidRPr="00545318" w:rsidRDefault="00E20861" w:rsidP="00E20861">
      <w:pPr>
        <w:pStyle w:val="Style3"/>
      </w:pPr>
      <w:r w:rsidRPr="00545318">
        <w:rPr>
          <w:lang w:val="en-AU"/>
        </w:rPr>
        <w:t>While the outcomes were largely positive, employment outcomes for some groups were less favourable than for others. These groups included women and young and older workers, three groups that were overrepresented among the unemployed.</w:t>
      </w:r>
      <w:r w:rsidRPr="00545318">
        <w:rPr>
          <w:vertAlign w:val="superscript"/>
          <w:lang w:val="en-AU"/>
        </w:rPr>
        <w:footnoteReference w:id="137"/>
      </w:r>
    </w:p>
    <w:p w14:paraId="13B8810C" w14:textId="77777777" w:rsidR="00FF69A1" w:rsidRPr="00545318" w:rsidRDefault="00FF69A1" w:rsidP="00FF69A1">
      <w:pPr>
        <w:autoSpaceDE w:val="0"/>
        <w:autoSpaceDN w:val="0"/>
        <w:spacing w:before="120" w:after="120"/>
      </w:pPr>
      <w:r w:rsidRPr="00545318">
        <w:t xml:space="preserve">Conclusions about the potential </w:t>
      </w:r>
      <w:r w:rsidRPr="00545318">
        <w:rPr>
          <w:lang w:val="en-AU"/>
        </w:rPr>
        <w:t xml:space="preserve">impacts on regional output and employment of the closure of a significant regional manufacturing industry </w:t>
      </w:r>
      <w:r w:rsidRPr="00545318">
        <w:t>can also be drawn from a</w:t>
      </w:r>
      <w:r w:rsidRPr="00545318">
        <w:rPr>
          <w:lang w:val="en-AU"/>
        </w:rPr>
        <w:t xml:space="preserve"> 2015 study of the regional economic impacts of a modelled closure of BlueScope Steel Operations in Port Kembla, conducted by researchers at the University of Wollongong. The modelling found large negative impacts on regional output and employment from the scenarios considered by the researchers.</w:t>
      </w:r>
    </w:p>
    <w:p w14:paraId="233BE7C2" w14:textId="77777777" w:rsidR="00E20861" w:rsidRPr="00545318" w:rsidRDefault="00146B11" w:rsidP="00E20861">
      <w:pPr>
        <w:keepNext/>
        <w:pBdr>
          <w:top w:val="single" w:sz="4" w:space="1" w:color="auto"/>
          <w:left w:val="single" w:sz="4" w:space="4" w:color="auto"/>
          <w:bottom w:val="single" w:sz="4" w:space="1" w:color="auto"/>
          <w:right w:val="single" w:sz="4" w:space="4" w:color="auto"/>
        </w:pBdr>
        <w:shd w:val="clear" w:color="auto" w:fill="DAEEF3" w:themeFill="accent5" w:themeFillTint="33"/>
        <w:spacing w:after="120"/>
        <w:rPr>
          <w:b/>
        </w:rPr>
      </w:pPr>
      <w:r w:rsidRPr="00545318">
        <w:rPr>
          <w:b/>
        </w:rPr>
        <w:t>Hypothetical c</w:t>
      </w:r>
      <w:r w:rsidR="00E20861" w:rsidRPr="00545318">
        <w:rPr>
          <w:b/>
        </w:rPr>
        <w:t xml:space="preserve">ase study: Economic modelling estimates of the impacts of a hypothetical closure of the </w:t>
      </w:r>
      <w:r w:rsidR="00E20861" w:rsidRPr="00545318">
        <w:rPr>
          <w:b/>
          <w:lang w:val="en-AU"/>
        </w:rPr>
        <w:t>BlueScope Steel Operations in Port Kembla</w:t>
      </w:r>
    </w:p>
    <w:p w14:paraId="4C36C8C7" w14:textId="77777777" w:rsidR="00E20861" w:rsidRPr="00545318" w:rsidRDefault="00E20861" w:rsidP="00E20861">
      <w:pPr>
        <w:pStyle w:val="Style3"/>
        <w:rPr>
          <w:lang w:val="en-AU"/>
        </w:rPr>
      </w:pPr>
      <w:r w:rsidRPr="00545318">
        <w:rPr>
          <w:lang w:val="en-AU"/>
        </w:rPr>
        <w:t>A 2015 study of the regional economic impacts of a modelled closure of BlueScope Steel Operations in Port Kembla, conducted by researchers at the University of Wollongong,</w:t>
      </w:r>
      <w:r w:rsidRPr="00545318">
        <w:rPr>
          <w:vertAlign w:val="superscript"/>
          <w:lang w:val="en-AU"/>
        </w:rPr>
        <w:footnoteReference w:id="138"/>
      </w:r>
      <w:r w:rsidRPr="00545318">
        <w:rPr>
          <w:lang w:val="en-AU"/>
        </w:rPr>
        <w:t xml:space="preserve"> found large negative impacts on regional output and employment from the scenarios considered in the modelling. </w:t>
      </w:r>
    </w:p>
    <w:p w14:paraId="6CC1692F" w14:textId="27BD6C43" w:rsidR="00E20861" w:rsidRPr="00545318" w:rsidRDefault="00E20861" w:rsidP="00E20861">
      <w:pPr>
        <w:pStyle w:val="Style3"/>
      </w:pPr>
      <w:r w:rsidRPr="00545318">
        <w:rPr>
          <w:lang w:val="en-AU"/>
        </w:rPr>
        <w:t xml:space="preserve">The estimated results from the scenario of a complete shutdown of the BlueScope plant at Port Kembla were an estimated $3.3 billion loss to regional output (or more than 20 </w:t>
      </w:r>
      <w:r w:rsidR="00620A65" w:rsidRPr="00545318">
        <w:rPr>
          <w:lang w:val="en-AU"/>
        </w:rPr>
        <w:t>per cent</w:t>
      </w:r>
      <w:r w:rsidRPr="00545318">
        <w:rPr>
          <w:lang w:val="en-AU"/>
        </w:rPr>
        <w:t xml:space="preserve"> of total gross regional production for the Illawarra region of $15.5 billion). Approximately 10,000 jobs were estimated to be lost, directly and through flow-on effects, if such a shutdown occurred, exacerbating existing high unemployment levels of 8.3 </w:t>
      </w:r>
      <w:r w:rsidR="00620A65" w:rsidRPr="00545318">
        <w:rPr>
          <w:lang w:val="en-AU"/>
        </w:rPr>
        <w:t>per cent</w:t>
      </w:r>
      <w:r w:rsidRPr="00545318">
        <w:rPr>
          <w:lang w:val="en-AU"/>
        </w:rPr>
        <w:t xml:space="preserve"> (in August 2015). The authors note that historical data and modelling suggest that marginal workers such as older workers and youth would be severely impacted in this scenario.</w:t>
      </w:r>
    </w:p>
    <w:p w14:paraId="52ED29AF" w14:textId="77777777" w:rsidR="00E2616F" w:rsidRPr="00545318" w:rsidRDefault="00E2616F" w:rsidP="00DA32DE">
      <w:pPr>
        <w:autoSpaceDE w:val="0"/>
        <w:autoSpaceDN w:val="0"/>
        <w:spacing w:before="120" w:after="120"/>
        <w:rPr>
          <w:lang w:val="en-AU"/>
        </w:rPr>
      </w:pPr>
      <w:r w:rsidRPr="00545318">
        <w:rPr>
          <w:lang w:val="en-AU"/>
        </w:rPr>
        <w:t>In assessing the overall economic and employment effects of dumping and subsidisation on Australian industry impacts, economic growth and employment, it is important to consider the regional impacts. This is particularly the case where material injury to Australian industry from dumping and subsidisation</w:t>
      </w:r>
      <w:r w:rsidR="008168D9" w:rsidRPr="00545318">
        <w:rPr>
          <w:lang w:val="en-AU"/>
        </w:rPr>
        <w:t xml:space="preserve">—as well as the structural adjustments to global overcapacity in steel and aluminium production—are </w:t>
      </w:r>
      <w:r w:rsidRPr="00545318">
        <w:rPr>
          <w:lang w:val="en-AU"/>
        </w:rPr>
        <w:t xml:space="preserve">concentrated in regional areas. </w:t>
      </w:r>
    </w:p>
    <w:p w14:paraId="6F64F0EB" w14:textId="77777777" w:rsidR="00103101" w:rsidRPr="00545318" w:rsidRDefault="00103101" w:rsidP="00103101">
      <w:pPr>
        <w:autoSpaceDE w:val="0"/>
        <w:autoSpaceDN w:val="0"/>
        <w:spacing w:before="120" w:after="120"/>
        <w:rPr>
          <w:lang w:val="en-AU"/>
        </w:rPr>
      </w:pPr>
      <w:r w:rsidRPr="00545318">
        <w:rPr>
          <w:lang w:val="en-AU"/>
        </w:rPr>
        <w:t xml:space="preserve">The government can play a role in helping to remove or reduce some of the barriers to </w:t>
      </w:r>
      <w:r w:rsidR="00E2616F" w:rsidRPr="00545318">
        <w:rPr>
          <w:lang w:val="en-AU"/>
        </w:rPr>
        <w:t>structural</w:t>
      </w:r>
      <w:r w:rsidRPr="00545318">
        <w:rPr>
          <w:lang w:val="en-AU"/>
        </w:rPr>
        <w:t xml:space="preserve"> adjustment, such as the costs of retraining</w:t>
      </w:r>
      <w:r w:rsidR="00E2616F" w:rsidRPr="00545318">
        <w:rPr>
          <w:lang w:val="en-AU"/>
        </w:rPr>
        <w:t xml:space="preserve"> and relocation</w:t>
      </w:r>
      <w:r w:rsidRPr="00545318">
        <w:rPr>
          <w:lang w:val="en-AU"/>
        </w:rPr>
        <w:t xml:space="preserve">. Policies that support smooth structural change will better position the Australian economy to be more competitive and capitalise on growth opportunities while lowering the costs of adjustment. </w:t>
      </w:r>
      <w:r w:rsidR="00E2616F" w:rsidRPr="00545318">
        <w:rPr>
          <w:lang w:val="en-AU"/>
        </w:rPr>
        <w:t xml:space="preserve">Section 4.2 in this chapter outlines some of the policies governments have put in place </w:t>
      </w:r>
      <w:r w:rsidR="008168D9" w:rsidRPr="00545318">
        <w:rPr>
          <w:lang w:val="en-AU"/>
        </w:rPr>
        <w:t>in this regard.</w:t>
      </w:r>
      <w:r w:rsidR="00E2616F" w:rsidRPr="00545318">
        <w:rPr>
          <w:lang w:val="en-AU"/>
        </w:rPr>
        <w:t xml:space="preserve"> </w:t>
      </w:r>
    </w:p>
    <w:p w14:paraId="40ED4FFA" w14:textId="77777777" w:rsidR="00135D4D" w:rsidRPr="00545318" w:rsidRDefault="00135D4D">
      <w:pPr>
        <w:spacing w:after="200" w:line="276" w:lineRule="auto"/>
        <w:rPr>
          <w:lang w:val="en-AU"/>
        </w:rPr>
      </w:pPr>
      <w:r w:rsidRPr="00545318">
        <w:rPr>
          <w:lang w:val="en-AU"/>
        </w:rPr>
        <w:br w:type="page"/>
      </w:r>
    </w:p>
    <w:p w14:paraId="0E7B591E" w14:textId="78431799" w:rsidR="00F152E9" w:rsidRPr="00545318" w:rsidRDefault="00103101" w:rsidP="00146B11">
      <w:pPr>
        <w:autoSpaceDE w:val="0"/>
        <w:autoSpaceDN w:val="0"/>
        <w:spacing w:before="120" w:after="120"/>
      </w:pPr>
      <w:r w:rsidRPr="00545318">
        <w:rPr>
          <w:lang w:val="en-AU"/>
        </w:rPr>
        <w:t xml:space="preserve">The </w:t>
      </w:r>
      <w:r w:rsidR="00E2616F" w:rsidRPr="00545318">
        <w:rPr>
          <w:lang w:val="en-AU"/>
        </w:rPr>
        <w:t>g</w:t>
      </w:r>
      <w:r w:rsidRPr="00545318">
        <w:rPr>
          <w:lang w:val="en-AU"/>
        </w:rPr>
        <w:t xml:space="preserve">overnment can also play a role in facilitating the economy’s ability to exploit its areas of comparative advantage, to enable Australian businesses to turn structural change to their benefit. Developing business capabilities, harnessing the potential of science and research and encouraging collaboration between researchers and industry, forging new trade alliances and trade agreements, facilitating the commercialisation of ideas and building workforce skills are just some examples of </w:t>
      </w:r>
      <w:r w:rsidR="00E2616F" w:rsidRPr="00545318">
        <w:rPr>
          <w:lang w:val="en-AU"/>
        </w:rPr>
        <w:t>the</w:t>
      </w:r>
      <w:r w:rsidRPr="00545318">
        <w:rPr>
          <w:lang w:val="en-AU"/>
        </w:rPr>
        <w:t xml:space="preserve"> initiatives</w:t>
      </w:r>
      <w:r w:rsidR="00E2616F" w:rsidRPr="00545318">
        <w:rPr>
          <w:lang w:val="en-AU"/>
        </w:rPr>
        <w:t xml:space="preserve"> being implemented by the government</w:t>
      </w:r>
      <w:r w:rsidRPr="00545318">
        <w:rPr>
          <w:lang w:val="en-AU"/>
        </w:rPr>
        <w:t>.</w:t>
      </w:r>
      <w:r w:rsidR="00F152E9" w:rsidRPr="00545318">
        <w:br w:type="page"/>
      </w:r>
    </w:p>
    <w:p w14:paraId="2D167D2F" w14:textId="77777777" w:rsidR="0099798B" w:rsidRPr="00545318" w:rsidRDefault="0099798B" w:rsidP="0099798B">
      <w:pPr>
        <w:pStyle w:val="Heading1"/>
      </w:pPr>
      <w:bookmarkStart w:id="64" w:name="_Toc458674170"/>
      <w:bookmarkStart w:id="65" w:name="_Toc460430500"/>
      <w:r w:rsidRPr="00545318">
        <w:t>Current trade remedies – international and Australian trends</w:t>
      </w:r>
      <w:bookmarkEnd w:id="64"/>
      <w:bookmarkEnd w:id="65"/>
    </w:p>
    <w:p w14:paraId="52CD5122" w14:textId="77777777" w:rsidR="0099798B" w:rsidRPr="00545318" w:rsidRDefault="0099798B" w:rsidP="0099798B"/>
    <w:bookmarkStart w:id="66" w:name="_Toc458674171"/>
    <w:bookmarkStart w:id="67" w:name="_Toc460430501"/>
    <w:p w14:paraId="29AE761F" w14:textId="77777777" w:rsidR="0099798B" w:rsidRPr="00545318" w:rsidRDefault="0099798B" w:rsidP="0099798B">
      <w:pPr>
        <w:pStyle w:val="Heading2"/>
      </w:pPr>
      <w:r w:rsidRPr="00545318">
        <w:rPr>
          <w:noProof/>
          <w:lang w:val="en-AU" w:eastAsia="en-AU"/>
        </w:rPr>
        <mc:AlternateContent>
          <mc:Choice Requires="wps">
            <w:drawing>
              <wp:anchor distT="0" distB="0" distL="114300" distR="114300" simplePos="0" relativeHeight="251718656" behindDoc="0" locked="0" layoutInCell="1" allowOverlap="1" wp14:anchorId="69DFF42D" wp14:editId="4FA741E1">
                <wp:simplePos x="0" y="0"/>
                <wp:positionH relativeFrom="column">
                  <wp:posOffset>0</wp:posOffset>
                </wp:positionH>
                <wp:positionV relativeFrom="paragraph">
                  <wp:posOffset>0</wp:posOffset>
                </wp:positionV>
                <wp:extent cx="1828800" cy="1828800"/>
                <wp:effectExtent l="0" t="0" r="15240" b="22225"/>
                <wp:wrapSquare wrapText="bothSides"/>
                <wp:docPr id="224" name="Text Box 22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6E6D27F5" w14:textId="77777777" w:rsidR="009241EC" w:rsidRPr="009751B7" w:rsidRDefault="009241EC" w:rsidP="0099798B">
                            <w:pPr>
                              <w:shd w:val="clear" w:color="auto" w:fill="DAEEF3" w:themeFill="accent5" w:themeFillTint="33"/>
                              <w:spacing w:after="120"/>
                              <w:rPr>
                                <w:b/>
                              </w:rPr>
                            </w:pPr>
                            <w:r w:rsidRPr="009751B7">
                              <w:rPr>
                                <w:b/>
                              </w:rPr>
                              <w:t>Key points</w:t>
                            </w:r>
                          </w:p>
                          <w:p w14:paraId="6CA2C55B" w14:textId="77777777" w:rsidR="009241EC" w:rsidRPr="00EC3393" w:rsidRDefault="009241EC" w:rsidP="0099798B">
                            <w:pPr>
                              <w:numPr>
                                <w:ilvl w:val="0"/>
                                <w:numId w:val="2"/>
                              </w:numPr>
                              <w:shd w:val="clear" w:color="auto" w:fill="DAEEF3" w:themeFill="accent5" w:themeFillTint="33"/>
                              <w:spacing w:after="120"/>
                              <w:rPr>
                                <w:b/>
                              </w:rPr>
                            </w:pPr>
                            <w:r w:rsidRPr="009751B7">
                              <w:t xml:space="preserve">Since the </w:t>
                            </w:r>
                            <w:r>
                              <w:t xml:space="preserve">2009 </w:t>
                            </w:r>
                            <w:r w:rsidRPr="009751B7">
                              <w:t>global financial crisis</w:t>
                            </w:r>
                            <w:r>
                              <w:t>,</w:t>
                            </w:r>
                            <w:r w:rsidRPr="009751B7">
                              <w:t xml:space="preserve"> total trade remedy </w:t>
                            </w:r>
                            <w:r>
                              <w:t xml:space="preserve">investigations and </w:t>
                            </w:r>
                            <w:r w:rsidRPr="009751B7">
                              <w:t xml:space="preserve">measures in </w:t>
                            </w:r>
                            <w:r>
                              <w:t>force</w:t>
                            </w:r>
                            <w:r w:rsidRPr="009751B7">
                              <w:t xml:space="preserve"> </w:t>
                            </w:r>
                            <w:r>
                              <w:t>for</w:t>
                            </w:r>
                            <w:r w:rsidRPr="009751B7">
                              <w:t xml:space="preserve"> steel, and to a lesser extent aluminium, </w:t>
                            </w:r>
                            <w:r>
                              <w:t xml:space="preserve">products </w:t>
                            </w:r>
                            <w:r w:rsidRPr="009751B7">
                              <w:t>have been rising</w:t>
                            </w:r>
                            <w:r>
                              <w:t xml:space="preserve"> </w:t>
                            </w:r>
                            <w:r w:rsidRPr="009751B7">
                              <w:t xml:space="preserve">globally. The </w:t>
                            </w:r>
                            <w:r>
                              <w:t>majority</w:t>
                            </w:r>
                            <w:r w:rsidRPr="009751B7">
                              <w:t xml:space="preserve"> of </w:t>
                            </w:r>
                            <w:r>
                              <w:t>investigations and</w:t>
                            </w:r>
                            <w:r w:rsidRPr="009751B7">
                              <w:t xml:space="preserve"> measures have been </w:t>
                            </w:r>
                            <w:r>
                              <w:t>in respect of</w:t>
                            </w:r>
                            <w:r w:rsidRPr="009751B7">
                              <w:t xml:space="preserve"> Chin</w:t>
                            </w:r>
                            <w:r>
                              <w:t>ese exports</w:t>
                            </w:r>
                            <w:r w:rsidRPr="009751B7">
                              <w:t>.</w:t>
                            </w:r>
                          </w:p>
                          <w:p w14:paraId="3B7A2EDE" w14:textId="77777777" w:rsidR="009241EC" w:rsidRPr="009751B7" w:rsidRDefault="009241EC" w:rsidP="0099798B">
                            <w:pPr>
                              <w:numPr>
                                <w:ilvl w:val="0"/>
                                <w:numId w:val="2"/>
                              </w:numPr>
                              <w:shd w:val="clear" w:color="auto" w:fill="DAEEF3" w:themeFill="accent5" w:themeFillTint="33"/>
                              <w:spacing w:after="120"/>
                              <w:rPr>
                                <w:b/>
                              </w:rPr>
                            </w:pPr>
                            <w:r w:rsidRPr="00EC3393">
                              <w:t xml:space="preserve">Asian countries are active users of </w:t>
                            </w:r>
                            <w:r>
                              <w:t xml:space="preserve">trade remedies, including </w:t>
                            </w:r>
                            <w:r w:rsidRPr="00EC3393">
                              <w:t xml:space="preserve">anti-dumping </w:t>
                            </w:r>
                            <w:r>
                              <w:t xml:space="preserve">and countervailing duties as well as safeguards. Being less targeted than </w:t>
                            </w:r>
                            <w:r w:rsidRPr="00EC3393">
                              <w:t>anti-dumping and countervailing duties</w:t>
                            </w:r>
                            <w:r>
                              <w:t>, safeguards have wider and more significant impacts on imports than other forms of trade remedy.</w:t>
                            </w:r>
                          </w:p>
                          <w:p w14:paraId="5964C966" w14:textId="77777777" w:rsidR="009241EC" w:rsidRPr="00E26B90" w:rsidRDefault="009241EC" w:rsidP="0099798B">
                            <w:pPr>
                              <w:numPr>
                                <w:ilvl w:val="0"/>
                                <w:numId w:val="2"/>
                              </w:numPr>
                              <w:shd w:val="clear" w:color="auto" w:fill="DAEEF3" w:themeFill="accent5" w:themeFillTint="33"/>
                              <w:spacing w:after="120"/>
                            </w:pPr>
                            <w:r>
                              <w:t>Consistent with global trends, t</w:t>
                            </w:r>
                            <w:r w:rsidRPr="009751B7">
                              <w:t>rade</w:t>
                            </w:r>
                            <w:r>
                              <w:t>-</w:t>
                            </w:r>
                            <w:r w:rsidRPr="009751B7">
                              <w:t xml:space="preserve">exposed Australian steel and aluminium producers have increasingly </w:t>
                            </w:r>
                            <w:r>
                              <w:t>sought</w:t>
                            </w:r>
                            <w:r w:rsidRPr="009751B7">
                              <w:t xml:space="preserve"> trade remedies under Australia’s </w:t>
                            </w:r>
                            <w:r>
                              <w:t>anti-dumping</w:t>
                            </w:r>
                            <w:r w:rsidRPr="009751B7">
                              <w:t xml:space="preserve"> system.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DFF42D" id="Text Box 224" o:spid="_x0000_s1032" type="#_x0000_t202" style="position:absolute;left:0;text-align:left;margin-left:0;margin-top:0;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" fillcolor="#daeef3 [664]" strokeweight=".5pt">
                <v:textbox style="mso-fit-shape-to-text:t">
                  <w:txbxContent>
                    <w:p w14:paraId="6E6D27F5" w14:textId="77777777" w:rsidR="009241EC" w:rsidRPr="009751B7" w:rsidRDefault="009241EC" w:rsidP="0099798B">
                      <w:pPr>
                        <w:shd w:val="clear" w:color="auto" w:fill="DAEEF3" w:themeFill="accent5" w:themeFillTint="33"/>
                        <w:spacing w:after="120"/>
                        <w:rPr>
                          <w:b/>
                        </w:rPr>
                      </w:pPr>
                      <w:r w:rsidRPr="009751B7">
                        <w:rPr>
                          <w:b/>
                        </w:rPr>
                        <w:t>Key points</w:t>
                      </w:r>
                    </w:p>
                    <w:p w14:paraId="6CA2C55B" w14:textId="77777777" w:rsidR="009241EC" w:rsidRPr="00EC3393" w:rsidRDefault="009241EC" w:rsidP="0099798B">
                      <w:pPr>
                        <w:numPr>
                          <w:ilvl w:val="0"/>
                          <w:numId w:val="2"/>
                        </w:numPr>
                        <w:shd w:val="clear" w:color="auto" w:fill="DAEEF3" w:themeFill="accent5" w:themeFillTint="33"/>
                        <w:spacing w:after="120"/>
                        <w:rPr>
                          <w:b/>
                        </w:rPr>
                      </w:pPr>
                      <w:r w:rsidRPr="009751B7">
                        <w:t xml:space="preserve">Since the </w:t>
                      </w:r>
                      <w:r>
                        <w:t xml:space="preserve">2009 </w:t>
                      </w:r>
                      <w:r w:rsidRPr="009751B7">
                        <w:t>global financial crisis</w:t>
                      </w:r>
                      <w:r>
                        <w:t>,</w:t>
                      </w:r>
                      <w:r w:rsidRPr="009751B7">
                        <w:t xml:space="preserve"> total trade remedy </w:t>
                      </w:r>
                      <w:r>
                        <w:t xml:space="preserve">investigations and </w:t>
                      </w:r>
                      <w:r w:rsidRPr="009751B7">
                        <w:t xml:space="preserve">measures in </w:t>
                      </w:r>
                      <w:r>
                        <w:t>force</w:t>
                      </w:r>
                      <w:r w:rsidRPr="009751B7">
                        <w:t xml:space="preserve"> </w:t>
                      </w:r>
                      <w:r>
                        <w:t>for</w:t>
                      </w:r>
                      <w:r w:rsidRPr="009751B7">
                        <w:t xml:space="preserve"> steel, and to a lesser extent aluminium, </w:t>
                      </w:r>
                      <w:r>
                        <w:t xml:space="preserve">products </w:t>
                      </w:r>
                      <w:r w:rsidRPr="009751B7">
                        <w:t>have been rising</w:t>
                      </w:r>
                      <w:r>
                        <w:t xml:space="preserve"> </w:t>
                      </w:r>
                      <w:r w:rsidRPr="009751B7">
                        <w:t xml:space="preserve">globally. The </w:t>
                      </w:r>
                      <w:r>
                        <w:t>majority</w:t>
                      </w:r>
                      <w:r w:rsidRPr="009751B7">
                        <w:t xml:space="preserve"> of </w:t>
                      </w:r>
                      <w:r>
                        <w:t>investigations and</w:t>
                      </w:r>
                      <w:r w:rsidRPr="009751B7">
                        <w:t xml:space="preserve"> measures have been </w:t>
                      </w:r>
                      <w:r>
                        <w:t>in respect of</w:t>
                      </w:r>
                      <w:r w:rsidRPr="009751B7">
                        <w:t xml:space="preserve"> Chin</w:t>
                      </w:r>
                      <w:r>
                        <w:t>ese exports</w:t>
                      </w:r>
                      <w:r w:rsidRPr="009751B7">
                        <w:t>.</w:t>
                      </w:r>
                    </w:p>
                    <w:p w14:paraId="3B7A2EDE" w14:textId="77777777" w:rsidR="009241EC" w:rsidRPr="009751B7" w:rsidRDefault="009241EC" w:rsidP="0099798B">
                      <w:pPr>
                        <w:numPr>
                          <w:ilvl w:val="0"/>
                          <w:numId w:val="2"/>
                        </w:numPr>
                        <w:shd w:val="clear" w:color="auto" w:fill="DAEEF3" w:themeFill="accent5" w:themeFillTint="33"/>
                        <w:spacing w:after="120"/>
                        <w:rPr>
                          <w:b/>
                        </w:rPr>
                      </w:pPr>
                      <w:r w:rsidRPr="00EC3393">
                        <w:t xml:space="preserve">Asian countries are active users of </w:t>
                      </w:r>
                      <w:r>
                        <w:t xml:space="preserve">trade remedies, including </w:t>
                      </w:r>
                      <w:r w:rsidRPr="00EC3393">
                        <w:t xml:space="preserve">anti-dumping </w:t>
                      </w:r>
                      <w:r>
                        <w:t xml:space="preserve">and countervailing duties as well as safeguards. Being less targeted than </w:t>
                      </w:r>
                      <w:r w:rsidRPr="00EC3393">
                        <w:t>anti-dumping and countervailing duties</w:t>
                      </w:r>
                      <w:r>
                        <w:t>, safeguards have wider and more significant impacts on imports than other forms of trade remedy.</w:t>
                      </w:r>
                    </w:p>
                    <w:p w14:paraId="5964C966" w14:textId="77777777" w:rsidR="009241EC" w:rsidRPr="00E26B90" w:rsidRDefault="009241EC" w:rsidP="0099798B">
                      <w:pPr>
                        <w:numPr>
                          <w:ilvl w:val="0"/>
                          <w:numId w:val="2"/>
                        </w:numPr>
                        <w:shd w:val="clear" w:color="auto" w:fill="DAEEF3" w:themeFill="accent5" w:themeFillTint="33"/>
                        <w:spacing w:after="120"/>
                      </w:pPr>
                      <w:r>
                        <w:t>Consistent with global trends, t</w:t>
                      </w:r>
                      <w:r w:rsidRPr="009751B7">
                        <w:t>rade</w:t>
                      </w:r>
                      <w:r>
                        <w:t>-</w:t>
                      </w:r>
                      <w:r w:rsidRPr="009751B7">
                        <w:t xml:space="preserve">exposed Australian steel and aluminium producers have increasingly </w:t>
                      </w:r>
                      <w:r>
                        <w:t>sought</w:t>
                      </w:r>
                      <w:r w:rsidRPr="009751B7">
                        <w:t xml:space="preserve"> trade remedies under Australia’s </w:t>
                      </w:r>
                      <w:r>
                        <w:t>anti-dumping</w:t>
                      </w:r>
                      <w:r w:rsidRPr="009751B7">
                        <w:t xml:space="preserve"> system.</w:t>
                      </w:r>
                    </w:p>
                  </w:txbxContent>
                </v:textbox>
                <w10:wrap type="square"/>
              </v:shape>
            </w:pict>
          </mc:Fallback>
        </mc:AlternateContent>
      </w:r>
      <w:r w:rsidRPr="00545318">
        <w:t>Overview</w:t>
      </w:r>
      <w:bookmarkEnd w:id="66"/>
      <w:bookmarkEnd w:id="67"/>
    </w:p>
    <w:p w14:paraId="24F644E7" w14:textId="189E6335" w:rsidR="0099798B" w:rsidRPr="00545318" w:rsidRDefault="0099798B" w:rsidP="0099798B">
      <w:pPr>
        <w:spacing w:before="120" w:after="120"/>
      </w:pPr>
      <w:r w:rsidRPr="00545318">
        <w:t xml:space="preserve">Since the GFC, total trade remedy measures in force against steel, and to a lesser extent aluminium, have been rising, both globally and in Australia. There has also been a significant increase in the number of initiations. Initiations can have impacts of imports from exporters under investigation, prior to the completion of an investigation, due to their </w:t>
      </w:r>
      <w:r w:rsidR="00CA352E" w:rsidRPr="00545318">
        <w:t>signalling</w:t>
      </w:r>
      <w:r w:rsidRPr="00545318">
        <w:t xml:space="preserve"> effects. This is particularly the case when provisional measures are put in place (such as through a Preliminary Affirmative Determination).</w:t>
      </w:r>
    </w:p>
    <w:p w14:paraId="16BE09E4" w14:textId="73A7B072" w:rsidR="0099798B" w:rsidRPr="00545318" w:rsidRDefault="0099798B" w:rsidP="0099798B">
      <w:pPr>
        <w:spacing w:before="120" w:after="120"/>
      </w:pPr>
      <w:r w:rsidRPr="00545318">
        <w:t xml:space="preserve">Annual trade remedy investigation initiations by the United States into steel products increased more than sevenfold from 2008 to 2015. In 2015, trade remedy investigation initiations by the US into steel products comprised 70 </w:t>
      </w:r>
      <w:r w:rsidR="00620A65" w:rsidRPr="00545318">
        <w:t>per cent</w:t>
      </w:r>
      <w:r w:rsidRPr="00545318">
        <w:t xml:space="preserve"> of all US trade remedy investigation initiations. The country against which most trade remedy investigations into steel were initiated by the US during 2008 to 2015 was China.</w:t>
      </w:r>
    </w:p>
    <w:p w14:paraId="138E3D9B" w14:textId="23DA7671" w:rsidR="0099798B" w:rsidRPr="00545318" w:rsidRDefault="0099798B" w:rsidP="0099798B">
      <w:pPr>
        <w:spacing w:before="120" w:after="120"/>
      </w:pPr>
      <w:r w:rsidRPr="00545318">
        <w:t>In the European Union, trade remedy measures in force against steel have risen steeply in recent years. A</w:t>
      </w:r>
      <w:r w:rsidR="00CA352E" w:rsidRPr="00545318">
        <w:t>s a</w:t>
      </w:r>
      <w:r w:rsidRPr="00545318">
        <w:t>t February 2016</w:t>
      </w:r>
      <w:r w:rsidR="00CA352E" w:rsidRPr="00545318">
        <w:t>,</w:t>
      </w:r>
      <w:r w:rsidRPr="00545318">
        <w:t xml:space="preserve"> the EU had 37 trade remedy measures imposed on steel with nine investigations on foot.</w:t>
      </w:r>
      <w:r w:rsidRPr="00545318">
        <w:rPr>
          <w:rStyle w:val="FootnoteReference"/>
        </w:rPr>
        <w:footnoteReference w:id="139"/>
      </w:r>
      <w:r w:rsidRPr="00545318">
        <w:t xml:space="preserve"> </w:t>
      </w:r>
    </w:p>
    <w:p w14:paraId="52DE2B9D" w14:textId="77777777" w:rsidR="0099798B" w:rsidRPr="00545318" w:rsidRDefault="0099798B" w:rsidP="0099798B">
      <w:pPr>
        <w:spacing w:before="120" w:after="120"/>
      </w:pPr>
      <w:r w:rsidRPr="00545318">
        <w:t xml:space="preserve">For G-20 countries generally, steel counted for a substantial proportion of trade remedy investigations during the reporting period July 2013 to June 2015. </w:t>
      </w:r>
    </w:p>
    <w:p w14:paraId="303C0ABD" w14:textId="77777777" w:rsidR="0099798B" w:rsidRPr="00545318" w:rsidRDefault="0099798B" w:rsidP="0099798B">
      <w:pPr>
        <w:spacing w:before="120" w:after="120"/>
        <w:rPr>
          <w:b/>
          <w:lang w:val="en-AU"/>
        </w:rPr>
      </w:pPr>
      <w:r w:rsidRPr="00545318">
        <w:rPr>
          <w:lang w:val="en-AU"/>
        </w:rPr>
        <w:t>Asian region countries (excluding Australia) are also active in imposing trade remedy measures for metal products, which include steel and aluminium. Currently the main users of anti-dumping measures are Thailand, Indonesia and India. Asian countries are also large users of safeguards, with Indonesia and Thailand currently having the largest number of safeguards on metal products. Safeguards apply to all imports in a particular category and therefore have broader impacts than anti-dumping and countervailing measures. The use of safeguards in Asia has increased in recent years.</w:t>
      </w:r>
    </w:p>
    <w:p w14:paraId="0A74D34C" w14:textId="77777777" w:rsidR="0099798B" w:rsidRPr="00545318" w:rsidRDefault="0099798B" w:rsidP="0099798B">
      <w:pPr>
        <w:spacing w:before="120" w:after="120"/>
      </w:pPr>
      <w:r w:rsidRPr="00545318">
        <w:t>Following global trends, trade remedy investigation initiations and measures imposed in respect of steel and aluminium have also increased substantially in Australia in recent years. Trade remedy measures against steel and aluminium in force in Australia currently comprise two thirds of all Australian trade remedy measures.</w:t>
      </w:r>
    </w:p>
    <w:p w14:paraId="3EDACDE5" w14:textId="77777777" w:rsidR="0099798B" w:rsidRPr="00545318" w:rsidRDefault="0099798B" w:rsidP="0099798B">
      <w:pPr>
        <w:pStyle w:val="Heading2"/>
      </w:pPr>
      <w:bookmarkStart w:id="68" w:name="_Toc458674172"/>
      <w:bookmarkStart w:id="69" w:name="_Toc460430502"/>
      <w:r w:rsidRPr="00545318">
        <w:t>International trends in trade remedy investigations and measures</w:t>
      </w:r>
      <w:bookmarkEnd w:id="68"/>
      <w:bookmarkEnd w:id="69"/>
      <w:r w:rsidRPr="00545318">
        <w:t xml:space="preserve"> </w:t>
      </w:r>
    </w:p>
    <w:p w14:paraId="6B19A860" w14:textId="4FC8FD5E" w:rsidR="0099798B" w:rsidRPr="00545318" w:rsidRDefault="0099798B" w:rsidP="0099798B">
      <w:pPr>
        <w:spacing w:before="120" w:after="120"/>
      </w:pPr>
      <w:r w:rsidRPr="00545318">
        <w:t xml:space="preserve">This section provides more detailed information on trends in trade remedy investigations and measures in the United States, </w:t>
      </w:r>
      <w:r w:rsidR="00B46A49">
        <w:t xml:space="preserve">the </w:t>
      </w:r>
      <w:r w:rsidRPr="00545318">
        <w:t xml:space="preserve">European Union, G-20 countries, </w:t>
      </w:r>
      <w:r w:rsidR="00B46A49">
        <w:t xml:space="preserve">the </w:t>
      </w:r>
      <w:r w:rsidRPr="00545318">
        <w:t xml:space="preserve">Asian region, and Australia. The Commission’s analysis has been limited by the availability of data. </w:t>
      </w:r>
    </w:p>
    <w:p w14:paraId="525D5114" w14:textId="77777777" w:rsidR="0099798B" w:rsidRPr="00545318" w:rsidRDefault="0099798B" w:rsidP="0099798B">
      <w:pPr>
        <w:pStyle w:val="Heading3"/>
        <w:spacing w:after="120"/>
      </w:pPr>
      <w:r w:rsidRPr="00545318">
        <w:t>United States trade remedy investigations</w:t>
      </w:r>
    </w:p>
    <w:p w14:paraId="60FC3CD0" w14:textId="6CACE2A7" w:rsidR="0099798B" w:rsidRPr="00545318" w:rsidRDefault="0099798B" w:rsidP="0099798B">
      <w:pPr>
        <w:spacing w:before="120" w:after="120"/>
      </w:pPr>
      <w:r w:rsidRPr="00545318">
        <w:t>Trade remedy investigations by the United States into imports of steel products have increased substantially since 2008. Figure 5.1 shows trade remedy investigations into steel initiated by the United States in each year from 2008 to 2015. Six United States trade remedy investigations into steel products were initiated in 2008, rising to 45 such investigations in 2015.</w:t>
      </w:r>
      <w:r w:rsidRPr="00545318">
        <w:rPr>
          <w:vertAlign w:val="superscript"/>
        </w:rPr>
        <w:footnoteReference w:id="140"/>
      </w:r>
    </w:p>
    <w:p w14:paraId="47B5DB84"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5.1: United States anti-dumping and countervailing investigations initiated against steel products</w:t>
      </w:r>
    </w:p>
    <w:p w14:paraId="26B33CA2" w14:textId="77777777" w:rsidR="0099798B" w:rsidRPr="00545318" w:rsidRDefault="0099798B" w:rsidP="0099798B">
      <w:pPr>
        <w:spacing w:before="120"/>
        <w:rPr>
          <w:lang w:val="en-AU"/>
        </w:rPr>
      </w:pPr>
      <w:r w:rsidRPr="00545318">
        <w:rPr>
          <w:noProof/>
          <w:lang w:val="en-AU" w:eastAsia="en-AU"/>
        </w:rPr>
        <w:drawing>
          <wp:inline distT="0" distB="0" distL="0" distR="0" wp14:anchorId="5E974547" wp14:editId="6C49AE40">
            <wp:extent cx="5389123" cy="3099881"/>
            <wp:effectExtent l="0" t="0" r="21590" b="24765"/>
            <wp:docPr id="249" name="Chart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29D8FC"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United States Department of Commerce, International Trade Administration, Enforcement and Compliance website at http://enforcement.trade.gov/stats/inv-initiations-2000-current.html</w:t>
      </w:r>
    </w:p>
    <w:p w14:paraId="717615FC" w14:textId="3F8002E6" w:rsidR="0099798B" w:rsidRPr="00545318" w:rsidRDefault="0099798B" w:rsidP="0099798B">
      <w:pPr>
        <w:spacing w:before="120" w:after="120"/>
        <w:rPr>
          <w:lang w:val="en-AU"/>
        </w:rPr>
      </w:pPr>
      <w:r w:rsidRPr="00545318">
        <w:rPr>
          <w:lang w:val="en-AU"/>
        </w:rPr>
        <w:t>Trade remedy investigations by the United States into imports of steel products have also increased as a proportion of the United States’ trade remedy caseload. Figure 5.2 shows United States initiations of trade remedy investigations into steel as a proportion of total United States trade remedy investigation initiations. Initiations of trade remedy investigations into steel products comprised 70</w:t>
      </w:r>
      <w:r w:rsidRPr="00545318">
        <w:t xml:space="preserve"> </w:t>
      </w:r>
      <w:r w:rsidR="00620A65" w:rsidRPr="00545318">
        <w:t>per cent</w:t>
      </w:r>
      <w:r w:rsidRPr="00545318">
        <w:t xml:space="preserve"> of all </w:t>
      </w:r>
      <w:r w:rsidRPr="00545318">
        <w:rPr>
          <w:lang w:val="en-AU"/>
        </w:rPr>
        <w:t>initiations in 2015.</w:t>
      </w:r>
    </w:p>
    <w:p w14:paraId="5A36479A"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5.2: United States anti-dumping and countervailing investigations initiated against steel products as a proportion of total investigations initiated</w:t>
      </w:r>
    </w:p>
    <w:p w14:paraId="6F65BDE0" w14:textId="77777777" w:rsidR="0099798B" w:rsidRPr="00545318" w:rsidRDefault="0099798B" w:rsidP="0099798B">
      <w:r w:rsidRPr="00545318">
        <w:rPr>
          <w:noProof/>
          <w:lang w:val="en-AU" w:eastAsia="en-AU"/>
        </w:rPr>
        <w:drawing>
          <wp:inline distT="0" distB="0" distL="0" distR="0" wp14:anchorId="61AEB7F2" wp14:editId="06D3B1EF">
            <wp:extent cx="5655013" cy="3138792"/>
            <wp:effectExtent l="0" t="0" r="3175" b="5080"/>
            <wp:docPr id="250" name="Chart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323FE6" w14:textId="77777777" w:rsidR="0099798B" w:rsidRPr="00545318" w:rsidRDefault="0099798B" w:rsidP="0099798B">
      <w:pPr>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United States Department of Commerce, International Trade Administration, Enforcement and Compliance website at http://enforcement.trade.gov/stats/inv-initiations-2000-current.html</w:t>
      </w:r>
    </w:p>
    <w:p w14:paraId="7BCA2867" w14:textId="4240023D" w:rsidR="0099798B" w:rsidRPr="00545318" w:rsidRDefault="0099798B" w:rsidP="0099798B">
      <w:pPr>
        <w:spacing w:before="120" w:after="120"/>
        <w:rPr>
          <w:lang w:val="en-AU"/>
        </w:rPr>
      </w:pPr>
      <w:r w:rsidRPr="00545318">
        <w:rPr>
          <w:lang w:val="en-AU"/>
        </w:rPr>
        <w:t>Figure 5.3 shows United States trade remedy investigations into steel initiated over the 2008 to 2015 period broken down by country (for the top ten countries). The largest number of initiations into steel products were in respect of China, at 36 for the period.</w:t>
      </w:r>
    </w:p>
    <w:p w14:paraId="157CED0F"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5.3: United States anti-dumping and countervailing investigations initiated against steel products during 2008 to 2015 broken down by country (top ten countries)</w:t>
      </w:r>
    </w:p>
    <w:p w14:paraId="749F12D1" w14:textId="77777777" w:rsidR="0099798B" w:rsidRPr="00545318" w:rsidRDefault="0099798B" w:rsidP="0099798B">
      <w:pPr>
        <w:keepNext/>
        <w:keepLines/>
      </w:pPr>
      <w:r w:rsidRPr="00545318">
        <w:rPr>
          <w:noProof/>
          <w:lang w:val="en-AU" w:eastAsia="en-AU"/>
        </w:rPr>
        <w:drawing>
          <wp:inline distT="0" distB="0" distL="0" distR="0" wp14:anchorId="025DCA56" wp14:editId="6327F4AC">
            <wp:extent cx="5311302" cy="3138791"/>
            <wp:effectExtent l="0" t="0" r="22860" b="2413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A1C8E0"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United States Department of Commerce, International Trade Administration, Enforcement and Compliance website at http://enforcement.trade.gov/stats/inv-initiations-2000-current.html</w:t>
      </w:r>
    </w:p>
    <w:p w14:paraId="7AA3F10B" w14:textId="77777777" w:rsidR="0099798B" w:rsidRPr="00545318" w:rsidRDefault="0099798B" w:rsidP="0099798B">
      <w:pPr>
        <w:pStyle w:val="Heading3"/>
        <w:spacing w:after="120"/>
      </w:pPr>
      <w:r w:rsidRPr="00545318">
        <w:t>European Union trade remedy investigations and measures</w:t>
      </w:r>
    </w:p>
    <w:p w14:paraId="7E63319F" w14:textId="2F84C2A3" w:rsidR="0099798B" w:rsidRPr="00545318" w:rsidRDefault="0099798B" w:rsidP="0099798B">
      <w:pPr>
        <w:spacing w:before="120" w:after="120"/>
        <w:rPr>
          <w:lang w:val="en-AU"/>
        </w:rPr>
      </w:pPr>
      <w:r w:rsidRPr="00545318">
        <w:rPr>
          <w:lang w:val="en-AU"/>
        </w:rPr>
        <w:t>The total number of trade remedy measures in force in the European Union against steel products increased significantly during the 2008 to 2016 period, as shown in Figure 5.4. As at 12 February 2016, the EU had 37 trade remedy measures in force on steel products and nine investigations underway. Three further trade remedy investigations were initiated by the European Commission in February 2016 concerning steel products from China.</w:t>
      </w:r>
    </w:p>
    <w:p w14:paraId="3E73A011"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5.4: European Union anti-dumping and countervailing investigations and measures in force </w:t>
      </w:r>
    </w:p>
    <w:p w14:paraId="74D07707" w14:textId="77777777" w:rsidR="0099798B" w:rsidRPr="00545318" w:rsidRDefault="0099798B" w:rsidP="0099798B">
      <w:pPr>
        <w:keepNext/>
        <w:keepLines/>
        <w:rPr>
          <w:b/>
          <w:bCs/>
          <w:color w:val="4F81BD" w:themeColor="accent1"/>
          <w:sz w:val="18"/>
          <w:szCs w:val="18"/>
        </w:rPr>
      </w:pPr>
      <w:r w:rsidRPr="00545318">
        <w:rPr>
          <w:b/>
          <w:bCs/>
          <w:noProof/>
          <w:color w:val="4F81BD" w:themeColor="accent1"/>
          <w:sz w:val="18"/>
          <w:szCs w:val="18"/>
          <w:lang w:val="en-AU" w:eastAsia="en-AU"/>
        </w:rPr>
        <w:drawing>
          <wp:inline distT="0" distB="0" distL="0" distR="0" wp14:anchorId="0EE24381" wp14:editId="79E7DB45">
            <wp:extent cx="5842000" cy="3008630"/>
            <wp:effectExtent l="0" t="0" r="6350" b="127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545318">
        <w:rPr>
          <w:b/>
          <w:bCs/>
          <w:color w:val="4F81BD" w:themeColor="accent1"/>
          <w:sz w:val="18"/>
          <w:szCs w:val="18"/>
        </w:rPr>
        <w:t xml:space="preserve"> </w:t>
      </w:r>
    </w:p>
    <w:p w14:paraId="7C7332FD"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Compiled by the ADC using the European Commission’s, </w:t>
      </w:r>
      <w:hyperlink r:id="rId39" w:history="1">
        <w:r w:rsidRPr="00545318">
          <w:rPr>
            <w:rFonts w:ascii="Arial" w:eastAsia="Times New Roman" w:hAnsi="Arial" w:cs="Arial"/>
            <w:color w:val="22789A"/>
            <w:sz w:val="16"/>
            <w:lang w:val="en-AU"/>
          </w:rPr>
          <w:t>Annual Reports from the Commission to the Council and the European Parliament (2006-2015)</w:t>
        </w:r>
        <w:r w:rsidRPr="00545318">
          <w:rPr>
            <w:rFonts w:ascii="Arial" w:eastAsia="Times New Roman" w:hAnsi="Arial" w:cs="Arial"/>
            <w:color w:val="22789A"/>
            <w:sz w:val="16"/>
          </w:rPr>
          <w:t xml:space="preserve"> </w:t>
        </w:r>
      </w:hyperlink>
      <w:r w:rsidRPr="00545318">
        <w:rPr>
          <w:rFonts w:ascii="Arial" w:eastAsia="Times New Roman" w:hAnsi="Arial" w:cs="Arial"/>
          <w:color w:val="22789A"/>
          <w:sz w:val="16"/>
          <w:szCs w:val="20"/>
          <w:lang w:val="en-AU"/>
        </w:rPr>
        <w:t xml:space="preserve"> </w:t>
      </w:r>
    </w:p>
    <w:p w14:paraId="6A780008" w14:textId="77777777" w:rsidR="0099798B" w:rsidRPr="00545318" w:rsidRDefault="0099798B" w:rsidP="0099798B">
      <w:pPr>
        <w:pStyle w:val="Heading3"/>
        <w:spacing w:after="120"/>
      </w:pPr>
      <w:r w:rsidRPr="00545318">
        <w:t xml:space="preserve">G-20 trade remedy investigations </w:t>
      </w:r>
    </w:p>
    <w:p w14:paraId="18A610F2" w14:textId="2CA2C1BE" w:rsidR="0099798B" w:rsidRPr="00545318" w:rsidRDefault="0099798B" w:rsidP="0099798B">
      <w:pPr>
        <w:spacing w:before="120" w:after="120"/>
      </w:pPr>
      <w:r w:rsidRPr="00545318">
        <w:t xml:space="preserve">Metal products accounted for between 30 and 40 </w:t>
      </w:r>
      <w:r w:rsidR="00620A65" w:rsidRPr="00545318">
        <w:t>per cent</w:t>
      </w:r>
      <w:r w:rsidRPr="00545318">
        <w:t xml:space="preserve"> of anti-dumping investigations initiated by G-20 economies in the period July 2013 to July 2016. Of those investigations, steel </w:t>
      </w:r>
      <w:r w:rsidR="00DE7278">
        <w:t>ac</w:t>
      </w:r>
      <w:r w:rsidRPr="00545318">
        <w:t xml:space="preserve">counted for a substantial proportion, approximately 80 </w:t>
      </w:r>
      <w:r w:rsidR="00620A65" w:rsidRPr="00545318">
        <w:t>per cent</w:t>
      </w:r>
      <w:r w:rsidRPr="00545318">
        <w:t xml:space="preserve"> of the 156 investigations initiated. China was the country most affected by these investigations. </w:t>
      </w:r>
    </w:p>
    <w:p w14:paraId="35E4C5D1" w14:textId="652049B8" w:rsidR="0099798B" w:rsidRPr="00545318" w:rsidRDefault="0099798B" w:rsidP="0099798B">
      <w:pPr>
        <w:spacing w:before="120" w:after="120"/>
      </w:pPr>
      <w:r w:rsidRPr="00545318">
        <w:t xml:space="preserve">Metal products were also the subject of the largest number of countervailing subsidy investigations for G-20 countries during the same period, accounting for over 50 </w:t>
      </w:r>
      <w:r w:rsidR="00620A65" w:rsidRPr="00545318">
        <w:t>per cent</w:t>
      </w:r>
      <w:r w:rsidRPr="00545318">
        <w:t xml:space="preserve"> of all such countervailing subsidy investigations. </w:t>
      </w:r>
    </w:p>
    <w:p w14:paraId="2485BBB8" w14:textId="77777777" w:rsidR="0099798B" w:rsidRPr="00545318" w:rsidRDefault="0099798B" w:rsidP="0099798B">
      <w:pPr>
        <w:pStyle w:val="Heading3"/>
        <w:spacing w:after="120"/>
      </w:pPr>
      <w:r w:rsidRPr="00545318">
        <w:t>Asian region trade remedy investigations and measures (excluding Australia)</w:t>
      </w:r>
    </w:p>
    <w:p w14:paraId="397F3EB0" w14:textId="66E4C489" w:rsidR="0099798B" w:rsidRPr="00545318" w:rsidRDefault="0099798B" w:rsidP="0099798B">
      <w:pPr>
        <w:spacing w:before="120" w:after="120"/>
        <w:rPr>
          <w:lang w:val="en-AU"/>
        </w:rPr>
      </w:pPr>
      <w:r w:rsidRPr="00545318">
        <w:rPr>
          <w:lang w:val="en-AU"/>
        </w:rPr>
        <w:t>Asian region countries are active in imposing trade remedy measures (anti-dumping, countervailing and safeguards) for metal products.</w:t>
      </w:r>
      <w:r w:rsidRPr="00545318">
        <w:rPr>
          <w:vertAlign w:val="superscript"/>
          <w:lang w:val="en-AU"/>
        </w:rPr>
        <w:footnoteReference w:id="141"/>
      </w:r>
      <w:r w:rsidRPr="00545318">
        <w:rPr>
          <w:lang w:val="en-AU"/>
        </w:rPr>
        <w:t xml:space="preserve"> A total of 117 measures are currently in force among the Asian region countries shown in </w:t>
      </w:r>
      <w:r w:rsidR="00DE7278">
        <w:rPr>
          <w:lang w:val="en-AU"/>
        </w:rPr>
        <w:t>Table 5.1</w:t>
      </w:r>
      <w:r w:rsidRPr="00545318">
        <w:rPr>
          <w:lang w:val="en-AU"/>
        </w:rPr>
        <w:t xml:space="preserve">. Thailand tops the list with 34 measures currently in place, followed by Indonesia with 31 measures and India with 21. Anti-dumping measures are by far the most common form of trade remedy (by number of measures) in the Asian region. The countries most affected by these measures, namely China, Korea, Taiwan and Japan, have not imposed a significant number of measures themselves. </w:t>
      </w:r>
    </w:p>
    <w:p w14:paraId="6194AC4B" w14:textId="77777777" w:rsidR="0099798B" w:rsidRPr="00545318" w:rsidRDefault="0099798B" w:rsidP="0099798B">
      <w:pPr>
        <w:spacing w:before="120" w:after="120"/>
        <w:rPr>
          <w:lang w:val="en-AU"/>
        </w:rPr>
      </w:pPr>
      <w:r w:rsidRPr="00545318">
        <w:rPr>
          <w:lang w:val="en-AU"/>
        </w:rPr>
        <w:t>Developing countries appear to be the largest users of safeguards. Within the Asian region, Indonesia and Thailand currently have the largest number of safeguards on metal products, with ten and two measures respectively. The use of safeguards has increased in recent years. The Commission understands that further safeguard measures are currently being considered by several Asian countries.</w:t>
      </w:r>
    </w:p>
    <w:p w14:paraId="1FA2A898" w14:textId="77777777" w:rsidR="0099798B" w:rsidRPr="00545318" w:rsidRDefault="0099798B" w:rsidP="0099798B">
      <w:pPr>
        <w:spacing w:before="120" w:after="120"/>
        <w:rPr>
          <w:lang w:val="en-AU"/>
        </w:rPr>
      </w:pPr>
      <w:r w:rsidRPr="00545318">
        <w:rPr>
          <w:lang w:val="en-AU"/>
        </w:rPr>
        <w:t xml:space="preserve">While this form of trade remedy accounts for a small number of the total trade measures in place, safeguards apply to all imports in a particular category and therefore have broader impacts on imports than anti-dumping and countervailing measures. </w:t>
      </w:r>
    </w:p>
    <w:p w14:paraId="3E2A7F8C"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Table: 5.1: Asian region (excluding Australia) measures in place for metal products</w:t>
      </w:r>
    </w:p>
    <w:tbl>
      <w:tblPr>
        <w:tblStyle w:val="TableGrid"/>
        <w:tblW w:w="0" w:type="auto"/>
        <w:tblLook w:val="04A0" w:firstRow="1" w:lastRow="0" w:firstColumn="1" w:lastColumn="0" w:noHBand="0" w:noVBand="1"/>
      </w:tblPr>
      <w:tblGrid>
        <w:gridCol w:w="2235"/>
        <w:gridCol w:w="4961"/>
        <w:gridCol w:w="1701"/>
      </w:tblGrid>
      <w:tr w:rsidR="0099798B" w:rsidRPr="00545318" w14:paraId="447E2A77" w14:textId="77777777" w:rsidTr="00D42129">
        <w:trPr>
          <w:trHeight w:val="315"/>
        </w:trPr>
        <w:tc>
          <w:tcPr>
            <w:tcW w:w="2235" w:type="dxa"/>
            <w:noWrap/>
            <w:vAlign w:val="bottom"/>
            <w:hideMark/>
          </w:tcPr>
          <w:p w14:paraId="7F6BFDC4" w14:textId="77777777" w:rsidR="0099798B" w:rsidRPr="00545318" w:rsidRDefault="0099798B" w:rsidP="00D42129">
            <w:pPr>
              <w:keepNext/>
              <w:jc w:val="center"/>
              <w:rPr>
                <w:b/>
                <w:bCs/>
                <w:lang w:val="en-AU"/>
              </w:rPr>
            </w:pPr>
            <w:r w:rsidRPr="00545318">
              <w:rPr>
                <w:b/>
                <w:bCs/>
                <w:lang w:val="en-AU"/>
              </w:rPr>
              <w:t>Country imposing measures</w:t>
            </w:r>
          </w:p>
        </w:tc>
        <w:tc>
          <w:tcPr>
            <w:tcW w:w="4961" w:type="dxa"/>
            <w:noWrap/>
            <w:vAlign w:val="bottom"/>
            <w:hideMark/>
          </w:tcPr>
          <w:p w14:paraId="6CF33539" w14:textId="77777777" w:rsidR="0099798B" w:rsidRPr="00545318" w:rsidRDefault="0099798B" w:rsidP="00D42129">
            <w:pPr>
              <w:keepNext/>
              <w:jc w:val="center"/>
              <w:rPr>
                <w:b/>
                <w:bCs/>
                <w:lang w:val="en-AU"/>
              </w:rPr>
            </w:pPr>
            <w:r w:rsidRPr="00545318">
              <w:rPr>
                <w:b/>
                <w:bCs/>
                <w:lang w:val="en-AU"/>
              </w:rPr>
              <w:t>Measures in place against metal products (includes anti-dumping, countervailing, safeguards)</w:t>
            </w:r>
          </w:p>
        </w:tc>
        <w:tc>
          <w:tcPr>
            <w:tcW w:w="1701" w:type="dxa"/>
            <w:noWrap/>
            <w:vAlign w:val="bottom"/>
            <w:hideMark/>
          </w:tcPr>
          <w:p w14:paraId="494DB0A3" w14:textId="77777777" w:rsidR="0099798B" w:rsidRPr="00545318" w:rsidRDefault="0099798B" w:rsidP="00D42129">
            <w:pPr>
              <w:keepNext/>
              <w:jc w:val="center"/>
              <w:rPr>
                <w:b/>
                <w:bCs/>
                <w:lang w:val="en-AU"/>
              </w:rPr>
            </w:pPr>
            <w:r w:rsidRPr="00545318">
              <w:rPr>
                <w:b/>
                <w:bCs/>
                <w:lang w:val="en-AU"/>
              </w:rPr>
              <w:t>Safeguards</w:t>
            </w:r>
          </w:p>
        </w:tc>
      </w:tr>
      <w:tr w:rsidR="0099798B" w:rsidRPr="00545318" w14:paraId="32B88D23" w14:textId="77777777" w:rsidTr="006C2091">
        <w:trPr>
          <w:trHeight w:val="315"/>
        </w:trPr>
        <w:tc>
          <w:tcPr>
            <w:tcW w:w="2235" w:type="dxa"/>
            <w:noWrap/>
            <w:hideMark/>
          </w:tcPr>
          <w:p w14:paraId="372FFB7C" w14:textId="77777777" w:rsidR="0099798B" w:rsidRPr="00545318" w:rsidRDefault="0099798B" w:rsidP="006C2091">
            <w:pPr>
              <w:keepNext/>
              <w:rPr>
                <w:lang w:val="en-AU"/>
              </w:rPr>
            </w:pPr>
            <w:r w:rsidRPr="00545318">
              <w:rPr>
                <w:lang w:val="en-AU"/>
              </w:rPr>
              <w:t>Thailand</w:t>
            </w:r>
          </w:p>
        </w:tc>
        <w:tc>
          <w:tcPr>
            <w:tcW w:w="4961" w:type="dxa"/>
            <w:noWrap/>
            <w:hideMark/>
          </w:tcPr>
          <w:p w14:paraId="46CF9F3C" w14:textId="0D3378A4" w:rsidR="0099798B" w:rsidRPr="00545318" w:rsidRDefault="00D42129" w:rsidP="006C2091">
            <w:pPr>
              <w:keepNext/>
              <w:jc w:val="center"/>
              <w:rPr>
                <w:lang w:val="en-AU"/>
              </w:rPr>
            </w:pPr>
            <w:r>
              <w:rPr>
                <w:lang w:val="en-AU"/>
              </w:rPr>
              <w:t xml:space="preserve">  </w:t>
            </w:r>
            <w:r w:rsidR="0099798B" w:rsidRPr="00545318">
              <w:rPr>
                <w:lang w:val="en-AU"/>
              </w:rPr>
              <w:t>34</w:t>
            </w:r>
          </w:p>
        </w:tc>
        <w:tc>
          <w:tcPr>
            <w:tcW w:w="1701" w:type="dxa"/>
            <w:noWrap/>
            <w:hideMark/>
          </w:tcPr>
          <w:p w14:paraId="261C9CD0" w14:textId="671A435E" w:rsidR="0099798B" w:rsidRPr="00545318" w:rsidRDefault="00D42129" w:rsidP="006C2091">
            <w:pPr>
              <w:keepNext/>
              <w:jc w:val="center"/>
              <w:rPr>
                <w:lang w:val="en-AU"/>
              </w:rPr>
            </w:pPr>
            <w:r>
              <w:rPr>
                <w:lang w:val="en-AU"/>
              </w:rPr>
              <w:t xml:space="preserve">  </w:t>
            </w:r>
            <w:r w:rsidR="0099798B" w:rsidRPr="00545318">
              <w:rPr>
                <w:lang w:val="en-AU"/>
              </w:rPr>
              <w:t>2</w:t>
            </w:r>
          </w:p>
        </w:tc>
      </w:tr>
      <w:tr w:rsidR="0099798B" w:rsidRPr="00545318" w14:paraId="58C94610" w14:textId="77777777" w:rsidTr="006C2091">
        <w:trPr>
          <w:trHeight w:val="315"/>
        </w:trPr>
        <w:tc>
          <w:tcPr>
            <w:tcW w:w="2235" w:type="dxa"/>
            <w:noWrap/>
            <w:hideMark/>
          </w:tcPr>
          <w:p w14:paraId="6D0B4CAE" w14:textId="77777777" w:rsidR="0099798B" w:rsidRPr="00545318" w:rsidRDefault="0099798B" w:rsidP="006C2091">
            <w:pPr>
              <w:keepNext/>
              <w:rPr>
                <w:lang w:val="en-AU"/>
              </w:rPr>
            </w:pPr>
            <w:r w:rsidRPr="00545318">
              <w:rPr>
                <w:lang w:val="en-AU"/>
              </w:rPr>
              <w:t>Indonesia</w:t>
            </w:r>
          </w:p>
        </w:tc>
        <w:tc>
          <w:tcPr>
            <w:tcW w:w="4961" w:type="dxa"/>
            <w:noWrap/>
            <w:hideMark/>
          </w:tcPr>
          <w:p w14:paraId="6589AEA9" w14:textId="0AA7E6DA" w:rsidR="0099798B" w:rsidRPr="00545318" w:rsidRDefault="00D42129" w:rsidP="006C2091">
            <w:pPr>
              <w:keepNext/>
              <w:jc w:val="center"/>
              <w:rPr>
                <w:lang w:val="en-AU"/>
              </w:rPr>
            </w:pPr>
            <w:r>
              <w:rPr>
                <w:lang w:val="en-AU"/>
              </w:rPr>
              <w:t xml:space="preserve">  </w:t>
            </w:r>
            <w:r w:rsidR="0099798B" w:rsidRPr="00545318">
              <w:rPr>
                <w:lang w:val="en-AU"/>
              </w:rPr>
              <w:t>31</w:t>
            </w:r>
          </w:p>
        </w:tc>
        <w:tc>
          <w:tcPr>
            <w:tcW w:w="1701" w:type="dxa"/>
            <w:noWrap/>
            <w:hideMark/>
          </w:tcPr>
          <w:p w14:paraId="6DFE888C" w14:textId="77777777" w:rsidR="0099798B" w:rsidRPr="00545318" w:rsidRDefault="0099798B" w:rsidP="006C2091">
            <w:pPr>
              <w:keepNext/>
              <w:jc w:val="center"/>
              <w:rPr>
                <w:lang w:val="en-AU"/>
              </w:rPr>
            </w:pPr>
            <w:r w:rsidRPr="00545318">
              <w:rPr>
                <w:lang w:val="en-AU"/>
              </w:rPr>
              <w:t>10</w:t>
            </w:r>
          </w:p>
        </w:tc>
      </w:tr>
      <w:tr w:rsidR="0099798B" w:rsidRPr="00545318" w14:paraId="08740AF6" w14:textId="77777777" w:rsidTr="006C2091">
        <w:trPr>
          <w:trHeight w:val="315"/>
        </w:trPr>
        <w:tc>
          <w:tcPr>
            <w:tcW w:w="2235" w:type="dxa"/>
            <w:noWrap/>
            <w:hideMark/>
          </w:tcPr>
          <w:p w14:paraId="3C91C089" w14:textId="77777777" w:rsidR="0099798B" w:rsidRPr="00545318" w:rsidRDefault="0099798B" w:rsidP="006C2091">
            <w:pPr>
              <w:keepNext/>
              <w:rPr>
                <w:lang w:val="en-AU"/>
              </w:rPr>
            </w:pPr>
            <w:r w:rsidRPr="00545318">
              <w:rPr>
                <w:lang w:val="en-AU"/>
              </w:rPr>
              <w:t>India</w:t>
            </w:r>
          </w:p>
        </w:tc>
        <w:tc>
          <w:tcPr>
            <w:tcW w:w="4961" w:type="dxa"/>
            <w:noWrap/>
            <w:hideMark/>
          </w:tcPr>
          <w:p w14:paraId="3E9410C0" w14:textId="664FE04E" w:rsidR="0099798B" w:rsidRPr="00545318" w:rsidRDefault="00D42129" w:rsidP="006C2091">
            <w:pPr>
              <w:keepNext/>
              <w:jc w:val="center"/>
              <w:rPr>
                <w:lang w:val="en-AU"/>
              </w:rPr>
            </w:pPr>
            <w:r>
              <w:rPr>
                <w:lang w:val="en-AU"/>
              </w:rPr>
              <w:t xml:space="preserve">  </w:t>
            </w:r>
            <w:r w:rsidR="0099798B" w:rsidRPr="00545318">
              <w:rPr>
                <w:lang w:val="en-AU"/>
              </w:rPr>
              <w:t>21</w:t>
            </w:r>
          </w:p>
        </w:tc>
        <w:tc>
          <w:tcPr>
            <w:tcW w:w="1701" w:type="dxa"/>
            <w:noWrap/>
            <w:hideMark/>
          </w:tcPr>
          <w:p w14:paraId="51536C71" w14:textId="759762DC" w:rsidR="0099798B" w:rsidRPr="00545318" w:rsidRDefault="00D42129" w:rsidP="006C2091">
            <w:pPr>
              <w:keepNext/>
              <w:jc w:val="center"/>
              <w:rPr>
                <w:lang w:val="en-AU"/>
              </w:rPr>
            </w:pPr>
            <w:r>
              <w:rPr>
                <w:lang w:val="en-AU"/>
              </w:rPr>
              <w:t xml:space="preserve">  </w:t>
            </w:r>
            <w:r w:rsidR="0099798B" w:rsidRPr="00545318">
              <w:rPr>
                <w:lang w:val="en-AU"/>
              </w:rPr>
              <w:t>1</w:t>
            </w:r>
          </w:p>
        </w:tc>
      </w:tr>
      <w:tr w:rsidR="0099798B" w:rsidRPr="00545318" w14:paraId="3C682DBA" w14:textId="77777777" w:rsidTr="006C2091">
        <w:trPr>
          <w:trHeight w:val="315"/>
        </w:trPr>
        <w:tc>
          <w:tcPr>
            <w:tcW w:w="2235" w:type="dxa"/>
            <w:noWrap/>
            <w:hideMark/>
          </w:tcPr>
          <w:p w14:paraId="66D54606" w14:textId="77777777" w:rsidR="0099798B" w:rsidRPr="00545318" w:rsidRDefault="0099798B" w:rsidP="006C2091">
            <w:pPr>
              <w:keepNext/>
              <w:rPr>
                <w:lang w:val="en-AU"/>
              </w:rPr>
            </w:pPr>
            <w:r w:rsidRPr="00545318">
              <w:rPr>
                <w:lang w:val="en-AU"/>
              </w:rPr>
              <w:t>Malaysia</w:t>
            </w:r>
          </w:p>
        </w:tc>
        <w:tc>
          <w:tcPr>
            <w:tcW w:w="4961" w:type="dxa"/>
            <w:noWrap/>
            <w:hideMark/>
          </w:tcPr>
          <w:p w14:paraId="1EEC3909" w14:textId="215D097F" w:rsidR="0099798B" w:rsidRPr="00545318" w:rsidRDefault="00D42129" w:rsidP="006C2091">
            <w:pPr>
              <w:keepNext/>
              <w:jc w:val="center"/>
              <w:rPr>
                <w:lang w:val="en-AU"/>
              </w:rPr>
            </w:pPr>
            <w:r>
              <w:rPr>
                <w:lang w:val="en-AU"/>
              </w:rPr>
              <w:t xml:space="preserve">  </w:t>
            </w:r>
            <w:r w:rsidR="0099798B" w:rsidRPr="00545318">
              <w:rPr>
                <w:lang w:val="en-AU"/>
              </w:rPr>
              <w:t>14</w:t>
            </w:r>
          </w:p>
        </w:tc>
        <w:tc>
          <w:tcPr>
            <w:tcW w:w="1701" w:type="dxa"/>
            <w:noWrap/>
            <w:hideMark/>
          </w:tcPr>
          <w:p w14:paraId="6754D47A" w14:textId="4BB87979" w:rsidR="0099798B" w:rsidRPr="00545318" w:rsidRDefault="00D42129" w:rsidP="006C2091">
            <w:pPr>
              <w:keepNext/>
              <w:jc w:val="center"/>
              <w:rPr>
                <w:lang w:val="en-AU"/>
              </w:rPr>
            </w:pPr>
            <w:r>
              <w:rPr>
                <w:lang w:val="en-AU"/>
              </w:rPr>
              <w:t xml:space="preserve">  </w:t>
            </w:r>
            <w:r w:rsidR="0099798B" w:rsidRPr="00545318">
              <w:rPr>
                <w:lang w:val="en-AU"/>
              </w:rPr>
              <w:t>1</w:t>
            </w:r>
          </w:p>
        </w:tc>
      </w:tr>
      <w:tr w:rsidR="0099798B" w:rsidRPr="00545318" w14:paraId="27CAED84" w14:textId="77777777" w:rsidTr="006C2091">
        <w:trPr>
          <w:trHeight w:val="315"/>
        </w:trPr>
        <w:tc>
          <w:tcPr>
            <w:tcW w:w="2235" w:type="dxa"/>
            <w:noWrap/>
            <w:hideMark/>
          </w:tcPr>
          <w:p w14:paraId="03AF1782" w14:textId="77777777" w:rsidR="0099798B" w:rsidRPr="00545318" w:rsidRDefault="0099798B" w:rsidP="006C2091">
            <w:pPr>
              <w:keepNext/>
              <w:rPr>
                <w:lang w:val="en-AU"/>
              </w:rPr>
            </w:pPr>
            <w:r w:rsidRPr="00545318">
              <w:rPr>
                <w:lang w:val="en-AU"/>
              </w:rPr>
              <w:t>China</w:t>
            </w:r>
          </w:p>
        </w:tc>
        <w:tc>
          <w:tcPr>
            <w:tcW w:w="4961" w:type="dxa"/>
            <w:noWrap/>
            <w:hideMark/>
          </w:tcPr>
          <w:p w14:paraId="6F258F05" w14:textId="09421BF7" w:rsidR="0099798B" w:rsidRPr="00545318" w:rsidRDefault="00D42129" w:rsidP="006C2091">
            <w:pPr>
              <w:keepNext/>
              <w:jc w:val="center"/>
              <w:rPr>
                <w:lang w:val="en-AU"/>
              </w:rPr>
            </w:pPr>
            <w:r>
              <w:rPr>
                <w:lang w:val="en-AU"/>
              </w:rPr>
              <w:t xml:space="preserve">    </w:t>
            </w:r>
            <w:r w:rsidR="0099798B" w:rsidRPr="00545318">
              <w:rPr>
                <w:lang w:val="en-AU"/>
              </w:rPr>
              <w:t>5</w:t>
            </w:r>
          </w:p>
        </w:tc>
        <w:tc>
          <w:tcPr>
            <w:tcW w:w="1701" w:type="dxa"/>
            <w:noWrap/>
            <w:hideMark/>
          </w:tcPr>
          <w:p w14:paraId="0EECA6E2" w14:textId="7F18F1FE"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2A45DD29" w14:textId="77777777" w:rsidTr="006C2091">
        <w:trPr>
          <w:trHeight w:val="315"/>
        </w:trPr>
        <w:tc>
          <w:tcPr>
            <w:tcW w:w="2235" w:type="dxa"/>
            <w:noWrap/>
            <w:hideMark/>
          </w:tcPr>
          <w:p w14:paraId="2F06AA62" w14:textId="77777777" w:rsidR="0099798B" w:rsidRPr="00545318" w:rsidRDefault="0099798B" w:rsidP="006C2091">
            <w:pPr>
              <w:keepNext/>
              <w:rPr>
                <w:lang w:val="en-AU"/>
              </w:rPr>
            </w:pPr>
            <w:r w:rsidRPr="00545318">
              <w:rPr>
                <w:lang w:val="en-AU"/>
              </w:rPr>
              <w:t>Viet Nam</w:t>
            </w:r>
          </w:p>
        </w:tc>
        <w:tc>
          <w:tcPr>
            <w:tcW w:w="4961" w:type="dxa"/>
            <w:noWrap/>
            <w:hideMark/>
          </w:tcPr>
          <w:p w14:paraId="2DC34BBE" w14:textId="48378981" w:rsidR="0099798B" w:rsidRPr="00545318" w:rsidRDefault="00D42129" w:rsidP="006C2091">
            <w:pPr>
              <w:keepNext/>
              <w:jc w:val="center"/>
              <w:rPr>
                <w:lang w:val="en-AU"/>
              </w:rPr>
            </w:pPr>
            <w:r>
              <w:rPr>
                <w:lang w:val="en-AU"/>
              </w:rPr>
              <w:t xml:space="preserve">    </w:t>
            </w:r>
            <w:r w:rsidR="0099798B" w:rsidRPr="00545318">
              <w:rPr>
                <w:lang w:val="en-AU"/>
              </w:rPr>
              <w:t>4</w:t>
            </w:r>
          </w:p>
        </w:tc>
        <w:tc>
          <w:tcPr>
            <w:tcW w:w="1701" w:type="dxa"/>
            <w:noWrap/>
            <w:hideMark/>
          </w:tcPr>
          <w:p w14:paraId="383D7F35" w14:textId="7B0891B5"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7B3936E5" w14:textId="77777777" w:rsidTr="006C2091">
        <w:trPr>
          <w:trHeight w:val="315"/>
        </w:trPr>
        <w:tc>
          <w:tcPr>
            <w:tcW w:w="2235" w:type="dxa"/>
            <w:noWrap/>
            <w:hideMark/>
          </w:tcPr>
          <w:p w14:paraId="55423D9E" w14:textId="77777777" w:rsidR="0099798B" w:rsidRPr="00545318" w:rsidRDefault="0099798B" w:rsidP="006C2091">
            <w:pPr>
              <w:keepNext/>
              <w:rPr>
                <w:lang w:val="en-AU"/>
              </w:rPr>
            </w:pPr>
            <w:r w:rsidRPr="00545318">
              <w:rPr>
                <w:lang w:val="en-AU"/>
              </w:rPr>
              <w:t>Korea</w:t>
            </w:r>
          </w:p>
        </w:tc>
        <w:tc>
          <w:tcPr>
            <w:tcW w:w="4961" w:type="dxa"/>
            <w:noWrap/>
            <w:hideMark/>
          </w:tcPr>
          <w:p w14:paraId="6942BA6D" w14:textId="15A2EB3D" w:rsidR="0099798B" w:rsidRPr="00545318" w:rsidRDefault="00D42129" w:rsidP="006C2091">
            <w:pPr>
              <w:keepNext/>
              <w:jc w:val="center"/>
              <w:rPr>
                <w:lang w:val="en-AU"/>
              </w:rPr>
            </w:pPr>
            <w:r>
              <w:rPr>
                <w:lang w:val="en-AU"/>
              </w:rPr>
              <w:t xml:space="preserve">    </w:t>
            </w:r>
            <w:r w:rsidR="0099798B" w:rsidRPr="00545318">
              <w:rPr>
                <w:lang w:val="en-AU"/>
              </w:rPr>
              <w:t>4</w:t>
            </w:r>
          </w:p>
        </w:tc>
        <w:tc>
          <w:tcPr>
            <w:tcW w:w="1701" w:type="dxa"/>
            <w:noWrap/>
            <w:hideMark/>
          </w:tcPr>
          <w:p w14:paraId="3FF6D43E" w14:textId="12CAD773"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313EE336" w14:textId="77777777" w:rsidTr="006C2091">
        <w:trPr>
          <w:trHeight w:val="315"/>
        </w:trPr>
        <w:tc>
          <w:tcPr>
            <w:tcW w:w="2235" w:type="dxa"/>
            <w:noWrap/>
            <w:hideMark/>
          </w:tcPr>
          <w:p w14:paraId="5CFBF05E" w14:textId="77777777" w:rsidR="0099798B" w:rsidRPr="00545318" w:rsidRDefault="0099798B" w:rsidP="006C2091">
            <w:pPr>
              <w:keepNext/>
              <w:rPr>
                <w:lang w:val="en-AU"/>
              </w:rPr>
            </w:pPr>
            <w:r w:rsidRPr="00545318">
              <w:rPr>
                <w:lang w:val="en-AU"/>
              </w:rPr>
              <w:t>Taiwan</w:t>
            </w:r>
          </w:p>
        </w:tc>
        <w:tc>
          <w:tcPr>
            <w:tcW w:w="4961" w:type="dxa"/>
            <w:noWrap/>
            <w:hideMark/>
          </w:tcPr>
          <w:p w14:paraId="484125AF" w14:textId="262740AE" w:rsidR="0099798B" w:rsidRPr="00545318" w:rsidRDefault="00D42129" w:rsidP="006C2091">
            <w:pPr>
              <w:keepNext/>
              <w:jc w:val="center"/>
              <w:rPr>
                <w:lang w:val="en-AU"/>
              </w:rPr>
            </w:pPr>
            <w:r>
              <w:rPr>
                <w:lang w:val="en-AU"/>
              </w:rPr>
              <w:t xml:space="preserve">    </w:t>
            </w:r>
            <w:r w:rsidR="0099798B" w:rsidRPr="00545318">
              <w:rPr>
                <w:lang w:val="en-AU"/>
              </w:rPr>
              <w:t>2</w:t>
            </w:r>
          </w:p>
        </w:tc>
        <w:tc>
          <w:tcPr>
            <w:tcW w:w="1701" w:type="dxa"/>
            <w:noWrap/>
            <w:hideMark/>
          </w:tcPr>
          <w:p w14:paraId="064F74C2" w14:textId="0AB812A6"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68C6C3D7" w14:textId="77777777" w:rsidTr="006C2091">
        <w:trPr>
          <w:trHeight w:val="315"/>
        </w:trPr>
        <w:tc>
          <w:tcPr>
            <w:tcW w:w="2235" w:type="dxa"/>
            <w:noWrap/>
            <w:hideMark/>
          </w:tcPr>
          <w:p w14:paraId="549F52F3" w14:textId="77777777" w:rsidR="0099798B" w:rsidRPr="00545318" w:rsidRDefault="0099798B" w:rsidP="006C2091">
            <w:pPr>
              <w:keepNext/>
              <w:rPr>
                <w:lang w:val="en-AU"/>
              </w:rPr>
            </w:pPr>
            <w:r w:rsidRPr="00545318">
              <w:rPr>
                <w:lang w:val="en-AU"/>
              </w:rPr>
              <w:t>New Zealand</w:t>
            </w:r>
          </w:p>
        </w:tc>
        <w:tc>
          <w:tcPr>
            <w:tcW w:w="4961" w:type="dxa"/>
            <w:noWrap/>
            <w:hideMark/>
          </w:tcPr>
          <w:p w14:paraId="7F3E274A" w14:textId="4AE90B8F" w:rsidR="0099798B" w:rsidRPr="00545318" w:rsidRDefault="00D42129" w:rsidP="006C2091">
            <w:pPr>
              <w:keepNext/>
              <w:jc w:val="center"/>
              <w:rPr>
                <w:lang w:val="en-AU"/>
              </w:rPr>
            </w:pPr>
            <w:r>
              <w:rPr>
                <w:lang w:val="en-AU"/>
              </w:rPr>
              <w:t xml:space="preserve">    </w:t>
            </w:r>
            <w:r w:rsidR="0099798B" w:rsidRPr="00545318">
              <w:rPr>
                <w:lang w:val="en-AU"/>
              </w:rPr>
              <w:t>1</w:t>
            </w:r>
          </w:p>
        </w:tc>
        <w:tc>
          <w:tcPr>
            <w:tcW w:w="1701" w:type="dxa"/>
            <w:noWrap/>
            <w:hideMark/>
          </w:tcPr>
          <w:p w14:paraId="0E763B1F" w14:textId="52B022CD"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5A6EABCF" w14:textId="77777777" w:rsidTr="006C2091">
        <w:trPr>
          <w:trHeight w:val="315"/>
        </w:trPr>
        <w:tc>
          <w:tcPr>
            <w:tcW w:w="2235" w:type="dxa"/>
            <w:noWrap/>
            <w:hideMark/>
          </w:tcPr>
          <w:p w14:paraId="2C53F60F" w14:textId="77777777" w:rsidR="0099798B" w:rsidRPr="00545318" w:rsidRDefault="0099798B" w:rsidP="006C2091">
            <w:pPr>
              <w:keepNext/>
              <w:rPr>
                <w:lang w:val="en-AU"/>
              </w:rPr>
            </w:pPr>
            <w:r w:rsidRPr="00545318">
              <w:rPr>
                <w:lang w:val="en-AU"/>
              </w:rPr>
              <w:t>Philippines</w:t>
            </w:r>
          </w:p>
        </w:tc>
        <w:tc>
          <w:tcPr>
            <w:tcW w:w="4961" w:type="dxa"/>
            <w:noWrap/>
            <w:hideMark/>
          </w:tcPr>
          <w:p w14:paraId="2C1366F5" w14:textId="696D3733" w:rsidR="0099798B" w:rsidRPr="00545318" w:rsidRDefault="00D42129" w:rsidP="006C2091">
            <w:pPr>
              <w:keepNext/>
              <w:jc w:val="center"/>
              <w:rPr>
                <w:lang w:val="en-AU"/>
              </w:rPr>
            </w:pPr>
            <w:r>
              <w:rPr>
                <w:lang w:val="en-AU"/>
              </w:rPr>
              <w:t xml:space="preserve">    </w:t>
            </w:r>
            <w:r w:rsidR="0099798B" w:rsidRPr="00545318">
              <w:rPr>
                <w:lang w:val="en-AU"/>
              </w:rPr>
              <w:t>1</w:t>
            </w:r>
          </w:p>
        </w:tc>
        <w:tc>
          <w:tcPr>
            <w:tcW w:w="1701" w:type="dxa"/>
            <w:noWrap/>
            <w:hideMark/>
          </w:tcPr>
          <w:p w14:paraId="7F617FBF" w14:textId="4A33EAAA" w:rsidR="0099798B" w:rsidRPr="00545318" w:rsidRDefault="00D42129" w:rsidP="006C2091">
            <w:pPr>
              <w:keepNext/>
              <w:jc w:val="center"/>
              <w:rPr>
                <w:lang w:val="en-AU"/>
              </w:rPr>
            </w:pPr>
            <w:r>
              <w:rPr>
                <w:lang w:val="en-AU"/>
              </w:rPr>
              <w:t xml:space="preserve">  </w:t>
            </w:r>
            <w:r w:rsidR="0099798B" w:rsidRPr="00545318">
              <w:rPr>
                <w:lang w:val="en-AU"/>
              </w:rPr>
              <w:t>1</w:t>
            </w:r>
          </w:p>
        </w:tc>
      </w:tr>
      <w:tr w:rsidR="0099798B" w:rsidRPr="00545318" w14:paraId="6FB87D00" w14:textId="77777777" w:rsidTr="006C2091">
        <w:trPr>
          <w:trHeight w:val="315"/>
        </w:trPr>
        <w:tc>
          <w:tcPr>
            <w:tcW w:w="2235" w:type="dxa"/>
            <w:noWrap/>
            <w:hideMark/>
          </w:tcPr>
          <w:p w14:paraId="62C213EA" w14:textId="77777777" w:rsidR="0099798B" w:rsidRPr="00545318" w:rsidRDefault="0099798B" w:rsidP="006C2091">
            <w:pPr>
              <w:keepNext/>
              <w:rPr>
                <w:lang w:val="en-AU"/>
              </w:rPr>
            </w:pPr>
            <w:r w:rsidRPr="00545318">
              <w:rPr>
                <w:lang w:val="en-AU"/>
              </w:rPr>
              <w:t>Japan</w:t>
            </w:r>
          </w:p>
        </w:tc>
        <w:tc>
          <w:tcPr>
            <w:tcW w:w="4961" w:type="dxa"/>
            <w:noWrap/>
            <w:hideMark/>
          </w:tcPr>
          <w:p w14:paraId="4A82F18B" w14:textId="1DEB9FF5" w:rsidR="0099798B" w:rsidRPr="00545318" w:rsidRDefault="00D42129" w:rsidP="006C2091">
            <w:pPr>
              <w:keepNext/>
              <w:jc w:val="center"/>
              <w:rPr>
                <w:lang w:val="en-AU"/>
              </w:rPr>
            </w:pPr>
            <w:r>
              <w:rPr>
                <w:lang w:val="en-AU"/>
              </w:rPr>
              <w:t xml:space="preserve">    </w:t>
            </w:r>
            <w:r w:rsidR="0099798B" w:rsidRPr="00545318">
              <w:rPr>
                <w:lang w:val="en-AU"/>
              </w:rPr>
              <w:t>0</w:t>
            </w:r>
          </w:p>
        </w:tc>
        <w:tc>
          <w:tcPr>
            <w:tcW w:w="1701" w:type="dxa"/>
            <w:noWrap/>
            <w:hideMark/>
          </w:tcPr>
          <w:p w14:paraId="1C792CCD" w14:textId="44BE4D94"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7C66C1A9" w14:textId="77777777" w:rsidTr="006C2091">
        <w:trPr>
          <w:trHeight w:val="315"/>
        </w:trPr>
        <w:tc>
          <w:tcPr>
            <w:tcW w:w="2235" w:type="dxa"/>
            <w:noWrap/>
            <w:hideMark/>
          </w:tcPr>
          <w:p w14:paraId="13A0629D" w14:textId="77777777" w:rsidR="0099798B" w:rsidRPr="00545318" w:rsidRDefault="0099798B" w:rsidP="006C2091">
            <w:pPr>
              <w:keepNext/>
              <w:rPr>
                <w:lang w:val="en-AU"/>
              </w:rPr>
            </w:pPr>
            <w:r w:rsidRPr="00545318">
              <w:rPr>
                <w:lang w:val="en-AU"/>
              </w:rPr>
              <w:t>Singapore</w:t>
            </w:r>
          </w:p>
        </w:tc>
        <w:tc>
          <w:tcPr>
            <w:tcW w:w="4961" w:type="dxa"/>
            <w:noWrap/>
            <w:hideMark/>
          </w:tcPr>
          <w:p w14:paraId="0AF3CD06" w14:textId="73643A37" w:rsidR="0099798B" w:rsidRPr="00545318" w:rsidRDefault="00D42129" w:rsidP="006C2091">
            <w:pPr>
              <w:keepNext/>
              <w:jc w:val="center"/>
              <w:rPr>
                <w:lang w:val="en-AU"/>
              </w:rPr>
            </w:pPr>
            <w:r>
              <w:rPr>
                <w:lang w:val="en-AU"/>
              </w:rPr>
              <w:t xml:space="preserve">    </w:t>
            </w:r>
            <w:r w:rsidR="0099798B" w:rsidRPr="00545318">
              <w:rPr>
                <w:lang w:val="en-AU"/>
              </w:rPr>
              <w:t>0</w:t>
            </w:r>
          </w:p>
        </w:tc>
        <w:tc>
          <w:tcPr>
            <w:tcW w:w="1701" w:type="dxa"/>
            <w:noWrap/>
            <w:hideMark/>
          </w:tcPr>
          <w:p w14:paraId="460D0432" w14:textId="53B30E17" w:rsidR="0099798B" w:rsidRPr="00545318" w:rsidRDefault="00D42129" w:rsidP="006C2091">
            <w:pPr>
              <w:keepNext/>
              <w:jc w:val="center"/>
              <w:rPr>
                <w:lang w:val="en-AU"/>
              </w:rPr>
            </w:pPr>
            <w:r>
              <w:rPr>
                <w:lang w:val="en-AU"/>
              </w:rPr>
              <w:t xml:space="preserve">  </w:t>
            </w:r>
            <w:r w:rsidR="0099798B" w:rsidRPr="00545318">
              <w:rPr>
                <w:lang w:val="en-AU"/>
              </w:rPr>
              <w:t>0</w:t>
            </w:r>
          </w:p>
        </w:tc>
      </w:tr>
      <w:tr w:rsidR="0099798B" w:rsidRPr="00545318" w14:paraId="12412999" w14:textId="77777777" w:rsidTr="006C2091">
        <w:trPr>
          <w:trHeight w:val="375"/>
        </w:trPr>
        <w:tc>
          <w:tcPr>
            <w:tcW w:w="2235" w:type="dxa"/>
            <w:noWrap/>
            <w:hideMark/>
          </w:tcPr>
          <w:p w14:paraId="0D2065E3" w14:textId="77777777" w:rsidR="0099798B" w:rsidRPr="00545318" w:rsidRDefault="0099798B" w:rsidP="006C2091">
            <w:pPr>
              <w:keepNext/>
              <w:rPr>
                <w:b/>
                <w:bCs/>
                <w:lang w:val="en-AU"/>
              </w:rPr>
            </w:pPr>
            <w:r w:rsidRPr="00545318">
              <w:rPr>
                <w:b/>
                <w:bCs/>
                <w:lang w:val="en-AU"/>
              </w:rPr>
              <w:t>TOTAL</w:t>
            </w:r>
          </w:p>
        </w:tc>
        <w:tc>
          <w:tcPr>
            <w:tcW w:w="4961" w:type="dxa"/>
            <w:noWrap/>
            <w:hideMark/>
          </w:tcPr>
          <w:p w14:paraId="2EF161C0" w14:textId="77777777" w:rsidR="0099798B" w:rsidRPr="00545318" w:rsidRDefault="0099798B" w:rsidP="006C2091">
            <w:pPr>
              <w:keepNext/>
              <w:jc w:val="center"/>
              <w:rPr>
                <w:b/>
                <w:bCs/>
                <w:lang w:val="en-AU"/>
              </w:rPr>
            </w:pPr>
            <w:r w:rsidRPr="00545318">
              <w:rPr>
                <w:b/>
                <w:bCs/>
                <w:lang w:val="en-AU"/>
              </w:rPr>
              <w:t>117</w:t>
            </w:r>
          </w:p>
        </w:tc>
        <w:tc>
          <w:tcPr>
            <w:tcW w:w="1701" w:type="dxa"/>
            <w:noWrap/>
            <w:hideMark/>
          </w:tcPr>
          <w:p w14:paraId="7D3FC3A2" w14:textId="77777777" w:rsidR="0099798B" w:rsidRPr="00545318" w:rsidRDefault="0099798B" w:rsidP="006C2091">
            <w:pPr>
              <w:keepNext/>
              <w:jc w:val="center"/>
              <w:rPr>
                <w:b/>
                <w:bCs/>
                <w:lang w:val="en-AU"/>
              </w:rPr>
            </w:pPr>
            <w:r w:rsidRPr="00545318">
              <w:rPr>
                <w:b/>
                <w:bCs/>
                <w:lang w:val="en-AU"/>
              </w:rPr>
              <w:t>15</w:t>
            </w:r>
          </w:p>
        </w:tc>
      </w:tr>
    </w:tbl>
    <w:p w14:paraId="68E57CEA"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Data from Global Trade Alert and WTO Safeguards Gateway. Measures are counted on the basis of the number of exporting countries affected by the investigation.</w:t>
      </w:r>
    </w:p>
    <w:p w14:paraId="46F60EE6" w14:textId="77777777" w:rsidR="0099798B" w:rsidRPr="00545318" w:rsidRDefault="0099798B" w:rsidP="0099798B">
      <w:pPr>
        <w:spacing w:before="120" w:after="120"/>
        <w:rPr>
          <w:lang w:val="en-AU"/>
        </w:rPr>
      </w:pPr>
      <w:r w:rsidRPr="00545318">
        <w:rPr>
          <w:lang w:val="en-AU"/>
        </w:rPr>
        <w:t>Thailand and Malaysia are the most significant initiators of current investigations into alleged dumping of steel products. The majority of these investigations are anti-dumping investigations against other Asian steel producers, particularly China and Korea. Thailand has four current investigations and Malaysia has three. Indonesia, Vietnam and China each have one investigation on foot. India currently has three investigations on foot which relate to anti-dumping measures, safeguard duties and minimum import prices.</w:t>
      </w:r>
    </w:p>
    <w:p w14:paraId="10618DC9" w14:textId="6CA39A01" w:rsidR="00135D4D" w:rsidRPr="00545318" w:rsidRDefault="00135D4D">
      <w:pPr>
        <w:spacing w:after="200" w:line="276" w:lineRule="auto"/>
        <w:rPr>
          <w:lang w:val="en-AU"/>
        </w:rPr>
      </w:pPr>
      <w:r w:rsidRPr="00545318">
        <w:rPr>
          <w:lang w:val="en-AU"/>
        </w:rPr>
        <w:br w:type="page"/>
      </w:r>
    </w:p>
    <w:p w14:paraId="19B1F05D" w14:textId="5B745E49" w:rsidR="005C1D33" w:rsidRPr="00545318" w:rsidRDefault="005C1D33" w:rsidP="0099798B">
      <w:pPr>
        <w:spacing w:before="120" w:after="120"/>
        <w:rPr>
          <w:lang w:val="en-AU"/>
        </w:rPr>
      </w:pPr>
      <w:r w:rsidRPr="00545318">
        <w:rPr>
          <w:noProof/>
          <w:lang w:val="en-AU" w:eastAsia="en-AU"/>
        </w:rPr>
        <mc:AlternateContent>
          <mc:Choice Requires="wps">
            <w:drawing>
              <wp:anchor distT="45720" distB="45720" distL="114300" distR="114300" simplePos="0" relativeHeight="251722752" behindDoc="0" locked="0" layoutInCell="1" allowOverlap="1" wp14:anchorId="11491B1A" wp14:editId="67D1E343">
                <wp:simplePos x="0" y="0"/>
                <wp:positionH relativeFrom="margin">
                  <wp:posOffset>-1905</wp:posOffset>
                </wp:positionH>
                <wp:positionV relativeFrom="paragraph">
                  <wp:posOffset>47625</wp:posOffset>
                </wp:positionV>
                <wp:extent cx="5705475" cy="42291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4229100"/>
                        </a:xfrm>
                        <a:prstGeom prst="rect">
                          <a:avLst/>
                        </a:prstGeom>
                        <a:solidFill>
                          <a:schemeClr val="accent5">
                            <a:lumMod val="20000"/>
                            <a:lumOff val="80000"/>
                          </a:schemeClr>
                        </a:solidFill>
                        <a:ln w="9525">
                          <a:solidFill>
                            <a:srgbClr val="000000"/>
                          </a:solidFill>
                          <a:miter lim="800000"/>
                          <a:headEnd/>
                          <a:tailEnd/>
                        </a:ln>
                      </wps:spPr>
                      <wps:txbx>
                        <w:txbxContent>
                          <w:p w14:paraId="23CDE4E0" w14:textId="60856F57" w:rsidR="009241EC" w:rsidRPr="00545318" w:rsidRDefault="009241EC" w:rsidP="00CA352E">
                            <w:pPr>
                              <w:spacing w:before="120" w:after="120"/>
                              <w:rPr>
                                <w:b/>
                              </w:rPr>
                            </w:pPr>
                            <w:r w:rsidRPr="00545318">
                              <w:rPr>
                                <w:b/>
                              </w:rPr>
                              <w:t>Why do rates differ between jurisdictions?</w:t>
                            </w:r>
                          </w:p>
                          <w:p w14:paraId="2CD219C0" w14:textId="77777777" w:rsidR="009241EC" w:rsidRPr="00545318" w:rsidRDefault="009241EC" w:rsidP="00CA352E">
                            <w:pPr>
                              <w:spacing w:before="120" w:after="120"/>
                            </w:pPr>
                            <w:r w:rsidRPr="00545318">
                              <w:t>There are multiple reasons why dumping or countervailing duty rates applied to seemingly similar products can differ significantly between jurisdictions.</w:t>
                            </w:r>
                          </w:p>
                          <w:p w14:paraId="1332B351" w14:textId="1FC2041A" w:rsidR="009241EC" w:rsidRPr="00545318" w:rsidRDefault="009241EC" w:rsidP="00CA352E">
                            <w:pPr>
                              <w:spacing w:before="120" w:after="120"/>
                            </w:pPr>
                            <w:r w:rsidRPr="00545318">
                              <w:t xml:space="preserve">Differences can result from investigation-specific factors such as how goods are specified (the size of the good), the investigation period, whether certain countries are treated as non-market economies, differences in market conditions between jurisdictions, different export prices of the good into different markets, and differences in trading behaviour by different exporters. As a result, there can be differences in the level of dumping by or subsidisation of different exporters found in investigations by different jurisdictions. </w:t>
                            </w:r>
                          </w:p>
                          <w:p w14:paraId="1B15F8BA" w14:textId="135779D7" w:rsidR="009241EC" w:rsidRPr="00545318" w:rsidRDefault="009241EC" w:rsidP="00CA352E">
                            <w:pPr>
                              <w:spacing w:before="120" w:after="120"/>
                            </w:pPr>
                            <w:r w:rsidRPr="00545318">
                              <w:t xml:space="preserve">Differences in duty rates can also result from differences in domestic legislation and how legislative provisions are applied in different jurisdictions. Common differences include the treatment of non-market economies and uncooperative exporters. The form of measures applied can also contribute to differences in the effective duty rate applied between jurisdictions. </w:t>
                            </w:r>
                          </w:p>
                          <w:p w14:paraId="34F3CA4B" w14:textId="1CCBDC8A" w:rsidR="009241EC" w:rsidRPr="00545318" w:rsidRDefault="009241EC" w:rsidP="00CA352E">
                            <w:pPr>
                              <w:spacing w:before="120" w:after="120"/>
                            </w:pPr>
                            <w:r w:rsidRPr="00545318">
                              <w:t>A recent example of where significantly different levels of duties were applied to similar products in different jurisdictions was Chinese exports of cold rolled coil. While Chinese exports to the United States attracted a dumping duty of 266 per cent, exports to the EU and Malaysia attracted rates of up to 22 per cent and 24 per cent respectively.</w:t>
                            </w:r>
                          </w:p>
                          <w:p w14:paraId="07A4671B" w14:textId="5B5F0DDB" w:rsidR="009241EC" w:rsidRDefault="009241EC" w:rsidP="00CA352E">
                            <w:pPr>
                              <w:spacing w:before="120" w:after="120"/>
                            </w:pPr>
                            <w:r w:rsidRPr="00545318">
                              <w:t>In contrast, recent investigations undertaken by the European Union, Canadian and Australian authorities into Chinese exports of steel reinforcing bar resulted in similar duties being applied. Duties applied were up to 22, 27 and 30 per cent respectively.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91B1A" id="Text Box 2" o:spid="_x0000_s1033" type="#_x0000_t202" style="position:absolute;margin-left:-.15pt;margin-top:3.75pt;width:449.25pt;height:333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" fillcolor="#daeef3 [664]">
                <v:textbox>
                  <w:txbxContent>
                    <w:p w14:paraId="23CDE4E0" w14:textId="60856F57" w:rsidR="009241EC" w:rsidRPr="00545318" w:rsidRDefault="009241EC" w:rsidP="00CA352E">
                      <w:pPr>
                        <w:spacing w:before="120" w:after="120"/>
                        <w:rPr>
                          <w:b/>
                        </w:rPr>
                      </w:pPr>
                      <w:r w:rsidRPr="00545318">
                        <w:rPr>
                          <w:b/>
                        </w:rPr>
                        <w:t>Why do rates differ between jurisdictions?</w:t>
                      </w:r>
                    </w:p>
                    <w:p w14:paraId="2CD219C0" w14:textId="77777777" w:rsidR="009241EC" w:rsidRPr="00545318" w:rsidRDefault="009241EC" w:rsidP="00CA352E">
                      <w:pPr>
                        <w:spacing w:before="120" w:after="120"/>
                      </w:pPr>
                      <w:r w:rsidRPr="00545318">
                        <w:t>There are multiple reasons why dumping or countervailing duty rates applied to seemingly similar products can differ significantly between jurisdictions.</w:t>
                      </w:r>
                    </w:p>
                    <w:p w14:paraId="1332B351" w14:textId="1FC2041A" w:rsidR="009241EC" w:rsidRPr="00545318" w:rsidRDefault="009241EC" w:rsidP="00CA352E">
                      <w:pPr>
                        <w:spacing w:before="120" w:after="120"/>
                      </w:pPr>
                      <w:r w:rsidRPr="00545318">
                        <w:t xml:space="preserve">Differences can result from investigation-specific factors such as how goods are specified (the size of the good), the investigation period, whether certain countries are treated as non-market economies, differences in market conditions between jurisdictions, different export prices of the good into different markets, and differences in trading behaviour by different exporters. As a result, there can be differences in the level of dumping by or subsidisation of different exporters found in investigations by different jurisdictions. </w:t>
                      </w:r>
                    </w:p>
                    <w:p w14:paraId="1B15F8BA" w14:textId="135779D7" w:rsidR="009241EC" w:rsidRPr="00545318" w:rsidRDefault="009241EC" w:rsidP="00CA352E">
                      <w:pPr>
                        <w:spacing w:before="120" w:after="120"/>
                      </w:pPr>
                      <w:r w:rsidRPr="00545318">
                        <w:t xml:space="preserve">Differences in duty rates can also result from differences in domestic legislation and how legislative provisions are applied in different jurisdictions. Common differences include the treatment of non-market economies and uncooperative exporters. The form of measures applied can also contribute to differences in the effective duty rate applied between jurisdictions. </w:t>
                      </w:r>
                    </w:p>
                    <w:p w14:paraId="34F3CA4B" w14:textId="1CCBDC8A" w:rsidR="009241EC" w:rsidRPr="00545318" w:rsidRDefault="009241EC" w:rsidP="00CA352E">
                      <w:pPr>
                        <w:spacing w:before="120" w:after="120"/>
                      </w:pPr>
                      <w:r w:rsidRPr="00545318">
                        <w:t>A recent example of where significantly different levels of duties were applied to similar products in different jurisdictions was Chinese exports of cold rolled coil. While Chinese exports to the United States attracted a dumping duty of 266 per cent, exports to the EU and Malaysia attracted rates of up to 22 per cent and 24 per cent respectively.</w:t>
                      </w:r>
                    </w:p>
                    <w:p w14:paraId="07A4671B" w14:textId="5B5F0DDB" w:rsidR="009241EC" w:rsidRDefault="009241EC" w:rsidP="00CA352E">
                      <w:pPr>
                        <w:spacing w:before="120" w:after="120"/>
                      </w:pPr>
                      <w:r w:rsidRPr="00545318">
                        <w:t>In contrast, recent investigations undertaken by the European Union, Canadian and Australian authorities into Chinese exports of steel reinforcing bar resulted in similar duties being applied. Duties applied were up to 22, 27 and 30 per cent respectively.</w:t>
                      </w:r>
                    </w:p>
                  </w:txbxContent>
                </v:textbox>
                <w10:wrap type="square" anchorx="margin"/>
              </v:shape>
            </w:pict>
          </mc:Fallback>
        </mc:AlternateContent>
      </w:r>
    </w:p>
    <w:p w14:paraId="68A66AFD" w14:textId="6D66C27A" w:rsidR="0099798B" w:rsidRPr="00545318" w:rsidRDefault="0099798B" w:rsidP="0099798B">
      <w:pPr>
        <w:pStyle w:val="Heading2"/>
      </w:pPr>
      <w:bookmarkStart w:id="70" w:name="_Toc458674173"/>
      <w:bookmarkStart w:id="71" w:name="_Toc460430503"/>
      <w:r w:rsidRPr="00545318">
        <w:t>Australian trends in trade remedy investigations and measures</w:t>
      </w:r>
      <w:bookmarkEnd w:id="70"/>
      <w:bookmarkEnd w:id="71"/>
    </w:p>
    <w:p w14:paraId="53635928" w14:textId="77777777" w:rsidR="0099798B" w:rsidRPr="00545318" w:rsidRDefault="0099798B" w:rsidP="0099798B">
      <w:pPr>
        <w:pStyle w:val="Heading3"/>
        <w:spacing w:after="120"/>
      </w:pPr>
      <w:r w:rsidRPr="00545318">
        <w:t>Initiation of investigations in Australia</w:t>
      </w:r>
    </w:p>
    <w:p w14:paraId="256026EE" w14:textId="77777777" w:rsidR="0099798B" w:rsidRPr="00545318" w:rsidRDefault="0099798B" w:rsidP="0099798B">
      <w:pPr>
        <w:spacing w:before="120" w:after="120"/>
      </w:pPr>
      <w:r w:rsidRPr="00545318">
        <w:t>Measures sought by trade-exposed Australian industries are following global trends. The number of trade remedy investigations initiated in Australia concerning steel and aluminium goods has increased substantially since 2010-11 (Figure 5.5).</w:t>
      </w:r>
      <w:r w:rsidRPr="00545318">
        <w:rPr>
          <w:vertAlign w:val="superscript"/>
        </w:rPr>
        <w:footnoteReference w:id="142"/>
      </w:r>
      <w:r w:rsidRPr="00545318">
        <w:t xml:space="preserve"> </w:t>
      </w:r>
    </w:p>
    <w:p w14:paraId="74C2324D"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5.5 Australian trade remedy investigations initiated for steel and aluminium products, 2010 to July 2016. Includes anti-circumvention investigations </w:t>
      </w:r>
    </w:p>
    <w:p w14:paraId="5910BCDE" w14:textId="77777777" w:rsidR="0099798B" w:rsidRPr="00545318" w:rsidRDefault="0099798B" w:rsidP="0099798B">
      <w:pPr>
        <w:keepNext/>
        <w:spacing w:line="276" w:lineRule="auto"/>
      </w:pPr>
      <w:r w:rsidRPr="00545318">
        <w:rPr>
          <w:noProof/>
          <w:lang w:val="en-AU" w:eastAsia="en-AU"/>
        </w:rPr>
        <w:drawing>
          <wp:inline distT="0" distB="0" distL="0" distR="0" wp14:anchorId="7146648A" wp14:editId="348BF36D">
            <wp:extent cx="5776111" cy="2743200"/>
            <wp:effectExtent l="0" t="0" r="15240" b="0"/>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22A6517" w14:textId="77777777" w:rsidR="0099798B" w:rsidRPr="00545318" w:rsidRDefault="0099798B" w:rsidP="0099798B">
      <w:pPr>
        <w:keepNext/>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Anti-Dumping Commission </w:t>
      </w:r>
    </w:p>
    <w:p w14:paraId="5F751864" w14:textId="337C6668" w:rsidR="0099798B" w:rsidRPr="00545318" w:rsidRDefault="0099798B" w:rsidP="0099798B">
      <w:pPr>
        <w:spacing w:before="120" w:after="120"/>
        <w:rPr>
          <w:lang w:val="en-AU"/>
        </w:rPr>
      </w:pPr>
      <w:r w:rsidRPr="00545318">
        <w:t xml:space="preserve">The increasing trend in trade remedy investigations is most pronounced for steel. The number of steel investigation initiations increased from none in 2010-11 to 14 in 2015-16. </w:t>
      </w:r>
      <w:r w:rsidRPr="00545318">
        <w:rPr>
          <w:lang w:val="en-AU"/>
        </w:rPr>
        <w:t xml:space="preserve">Fewer </w:t>
      </w:r>
      <w:r w:rsidRPr="00545318">
        <w:t>investigations</w:t>
      </w:r>
      <w:r w:rsidRPr="00545318">
        <w:rPr>
          <w:lang w:val="en-AU"/>
        </w:rPr>
        <w:t xml:space="preserve"> were initiated for aluminium goods during the same period. However, broadly consistent with the trend for steel, aluminium investigations initiated have also increased since 2011-12. </w:t>
      </w:r>
    </w:p>
    <w:p w14:paraId="2A35AA0B" w14:textId="7154B0BB" w:rsidR="0099798B" w:rsidRPr="00545318" w:rsidRDefault="0099798B" w:rsidP="0099798B">
      <w:pPr>
        <w:spacing w:before="120" w:after="120"/>
        <w:rPr>
          <w:lang w:val="en-AU"/>
        </w:rPr>
      </w:pPr>
      <w:r w:rsidRPr="00545318">
        <w:rPr>
          <w:lang w:val="en-AU"/>
        </w:rPr>
        <w:t xml:space="preserve">Steel is continuing to dominate the Commission’s current caseload. Figure 5.6 shows a snapshot of Australian trade remedy cases (all types including investigations, reviews and inquiries) as at July 2016 broken down by industry. Investigations for steel, at 60 </w:t>
      </w:r>
      <w:r w:rsidR="00620A65" w:rsidRPr="00545318">
        <w:rPr>
          <w:lang w:val="en-AU"/>
        </w:rPr>
        <w:t>per cent</w:t>
      </w:r>
      <w:r w:rsidRPr="00545318">
        <w:rPr>
          <w:lang w:val="en-AU"/>
        </w:rPr>
        <w:t xml:space="preserve">, and aluminium, at 12 </w:t>
      </w:r>
      <w:r w:rsidR="00620A65" w:rsidRPr="00545318">
        <w:rPr>
          <w:lang w:val="en-AU"/>
        </w:rPr>
        <w:t>per cent</w:t>
      </w:r>
      <w:r w:rsidRPr="00545318">
        <w:rPr>
          <w:lang w:val="en-AU"/>
        </w:rPr>
        <w:t xml:space="preserve">, together comprise 72 </w:t>
      </w:r>
      <w:r w:rsidR="00620A65" w:rsidRPr="00545318">
        <w:rPr>
          <w:lang w:val="en-AU"/>
        </w:rPr>
        <w:t>per cent</w:t>
      </w:r>
      <w:r w:rsidRPr="00545318">
        <w:rPr>
          <w:lang w:val="en-AU"/>
        </w:rPr>
        <w:t xml:space="preserve"> of the Commission’s current caseload.</w:t>
      </w:r>
    </w:p>
    <w:p w14:paraId="67C9292E"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5.6 Australian trade remedy investigations on foot by industry in July 2016</w:t>
      </w:r>
    </w:p>
    <w:p w14:paraId="2B3DCAF7" w14:textId="77777777" w:rsidR="0099798B" w:rsidRPr="00545318" w:rsidRDefault="0099798B" w:rsidP="0099798B">
      <w:pPr>
        <w:keepNext/>
        <w:keepLines/>
        <w:spacing w:before="120"/>
      </w:pPr>
      <w:r w:rsidRPr="00545318">
        <w:rPr>
          <w:noProof/>
          <w:lang w:val="en-AU" w:eastAsia="en-AU"/>
        </w:rPr>
        <w:drawing>
          <wp:inline distT="0" distB="0" distL="0" distR="0" wp14:anchorId="780668A6" wp14:editId="28E99028">
            <wp:extent cx="5739897" cy="3058160"/>
            <wp:effectExtent l="0" t="0" r="13335" b="8890"/>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CA025DE"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w:t>
      </w:r>
    </w:p>
    <w:p w14:paraId="26D9A212" w14:textId="77777777" w:rsidR="0099798B" w:rsidRPr="00545318" w:rsidRDefault="0099798B" w:rsidP="0099798B">
      <w:pPr>
        <w:pStyle w:val="Heading3"/>
        <w:spacing w:after="120"/>
      </w:pPr>
      <w:r w:rsidRPr="00545318">
        <w:t>Trade remedy measures in force in Australia</w:t>
      </w:r>
    </w:p>
    <w:p w14:paraId="062B6017" w14:textId="590CE487" w:rsidR="0099798B" w:rsidRPr="00545318" w:rsidRDefault="0099798B" w:rsidP="0099798B">
      <w:pPr>
        <w:spacing w:before="120" w:after="120"/>
      </w:pPr>
      <w:r w:rsidRPr="00545318">
        <w:t xml:space="preserve">As a result of completed investigations, there were, as at July 2016, 43 trade remedy measures in force for steel and aluminium. Figure 5.7 shows the total number of measures in force in February in each year from 2010 to 2016; approximately ten measures have been added every year since 2012. </w:t>
      </w:r>
    </w:p>
    <w:p w14:paraId="4911F3C6"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5.7 Australian measures in place for steel and aluminium products, 2010 to 2016 </w:t>
      </w:r>
    </w:p>
    <w:p w14:paraId="50C1CD38" w14:textId="77777777" w:rsidR="0099798B" w:rsidRPr="00545318" w:rsidRDefault="0099798B" w:rsidP="0099798B">
      <w:pPr>
        <w:keepNext/>
      </w:pPr>
      <w:r w:rsidRPr="00545318">
        <w:rPr>
          <w:noProof/>
          <w:lang w:val="en-AU" w:eastAsia="en-AU"/>
        </w:rPr>
        <w:drawing>
          <wp:inline distT="0" distB="0" distL="0" distR="0" wp14:anchorId="234C1F15" wp14:editId="3A512638">
            <wp:extent cx="5544766" cy="2853447"/>
            <wp:effectExtent l="0" t="0" r="18415" b="2349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5EAB277" w14:textId="77777777" w:rsidR="0099798B" w:rsidRPr="00545318" w:rsidRDefault="0099798B" w:rsidP="0099798B">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Anti-Dumping Commission  </w:t>
      </w:r>
    </w:p>
    <w:p w14:paraId="07CD3FE6" w14:textId="5EA7ECC7" w:rsidR="0099798B" w:rsidRPr="00545318" w:rsidRDefault="0099798B" w:rsidP="0099798B">
      <w:pPr>
        <w:spacing w:before="120" w:after="120"/>
      </w:pPr>
      <w:r w:rsidRPr="00545318">
        <w:t xml:space="preserve">Not only have numbers of Australian trade remedy measures against steel and aluminium increased significantly since 2010, the measures have also increased significantly as a share of the measures in force. Table 5.2 shows trade remedy measures for steel and aluminium as a percentage of total trade remedy measures in force for every year since 2010. From a low of 4.3 </w:t>
      </w:r>
      <w:r w:rsidR="00620A65" w:rsidRPr="00545318">
        <w:t>per cent</w:t>
      </w:r>
      <w:r w:rsidRPr="00545318">
        <w:t xml:space="preserve"> in 2010, trade remedy measures in respect of steel and aluminium goods are now two thirds of all Australian trade remedy measures in force. </w:t>
      </w:r>
    </w:p>
    <w:p w14:paraId="681904AA"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Table 5.2 Steel and aluminium measures in force in Australia—share of total measures</w:t>
      </w:r>
    </w:p>
    <w:tbl>
      <w:tblPr>
        <w:tblStyle w:val="TableGrid1"/>
        <w:tblW w:w="0" w:type="auto"/>
        <w:jc w:val="center"/>
        <w:tblLook w:val="04A0" w:firstRow="1" w:lastRow="0" w:firstColumn="1" w:lastColumn="0" w:noHBand="0" w:noVBand="1"/>
      </w:tblPr>
      <w:tblGrid>
        <w:gridCol w:w="2943"/>
        <w:gridCol w:w="3544"/>
      </w:tblGrid>
      <w:tr w:rsidR="0099798B" w:rsidRPr="00545318" w14:paraId="79E4D21A" w14:textId="77777777" w:rsidTr="006C2091">
        <w:trPr>
          <w:jc w:val="center"/>
        </w:trPr>
        <w:tc>
          <w:tcPr>
            <w:tcW w:w="2943" w:type="dxa"/>
            <w:vAlign w:val="center"/>
          </w:tcPr>
          <w:p w14:paraId="22D4CABF" w14:textId="77777777" w:rsidR="0099798B" w:rsidRPr="00545318" w:rsidRDefault="0099798B" w:rsidP="00135D4D">
            <w:pPr>
              <w:keepNext/>
              <w:spacing w:line="276" w:lineRule="auto"/>
              <w:jc w:val="center"/>
              <w:rPr>
                <w:b/>
                <w:sz w:val="20"/>
                <w:szCs w:val="20"/>
              </w:rPr>
            </w:pPr>
            <w:r w:rsidRPr="00545318">
              <w:rPr>
                <w:b/>
                <w:sz w:val="20"/>
                <w:szCs w:val="20"/>
              </w:rPr>
              <w:t xml:space="preserve">Year </w:t>
            </w:r>
          </w:p>
          <w:p w14:paraId="5872C4D2" w14:textId="77777777" w:rsidR="0099798B" w:rsidRPr="00545318" w:rsidRDefault="0099798B" w:rsidP="00135D4D">
            <w:pPr>
              <w:keepNext/>
              <w:spacing w:line="276" w:lineRule="auto"/>
              <w:jc w:val="center"/>
              <w:rPr>
                <w:b/>
                <w:sz w:val="20"/>
                <w:szCs w:val="20"/>
              </w:rPr>
            </w:pPr>
            <w:r w:rsidRPr="00545318">
              <w:rPr>
                <w:b/>
                <w:sz w:val="20"/>
                <w:szCs w:val="20"/>
              </w:rPr>
              <w:t>(at February)</w:t>
            </w:r>
          </w:p>
        </w:tc>
        <w:tc>
          <w:tcPr>
            <w:tcW w:w="3544" w:type="dxa"/>
            <w:vAlign w:val="center"/>
          </w:tcPr>
          <w:p w14:paraId="45F59869" w14:textId="77777777" w:rsidR="0099798B" w:rsidRPr="00545318" w:rsidRDefault="0099798B" w:rsidP="00135D4D">
            <w:pPr>
              <w:keepNext/>
              <w:spacing w:line="276" w:lineRule="auto"/>
              <w:jc w:val="center"/>
              <w:rPr>
                <w:b/>
                <w:sz w:val="20"/>
                <w:szCs w:val="20"/>
              </w:rPr>
            </w:pPr>
            <w:r w:rsidRPr="00545318">
              <w:rPr>
                <w:b/>
                <w:sz w:val="20"/>
                <w:szCs w:val="20"/>
              </w:rPr>
              <w:t>Steel and aluminium measures as percentage of total measures</w:t>
            </w:r>
          </w:p>
        </w:tc>
      </w:tr>
      <w:tr w:rsidR="0099798B" w:rsidRPr="00545318" w14:paraId="44AE3C8B" w14:textId="77777777" w:rsidTr="006C2091">
        <w:trPr>
          <w:jc w:val="center"/>
        </w:trPr>
        <w:tc>
          <w:tcPr>
            <w:tcW w:w="2943" w:type="dxa"/>
            <w:vAlign w:val="center"/>
          </w:tcPr>
          <w:p w14:paraId="5A5D271B" w14:textId="77777777" w:rsidR="0099798B" w:rsidRPr="00545318" w:rsidRDefault="0099798B" w:rsidP="00135D4D">
            <w:pPr>
              <w:keepNext/>
              <w:spacing w:line="276" w:lineRule="auto"/>
              <w:jc w:val="center"/>
              <w:rPr>
                <w:sz w:val="20"/>
                <w:szCs w:val="20"/>
              </w:rPr>
            </w:pPr>
            <w:r w:rsidRPr="00545318">
              <w:rPr>
                <w:sz w:val="20"/>
                <w:szCs w:val="20"/>
              </w:rPr>
              <w:t>2010</w:t>
            </w:r>
          </w:p>
        </w:tc>
        <w:tc>
          <w:tcPr>
            <w:tcW w:w="3544" w:type="dxa"/>
            <w:vAlign w:val="center"/>
          </w:tcPr>
          <w:p w14:paraId="42B213CB" w14:textId="799AA060" w:rsidR="0099798B" w:rsidRPr="00545318" w:rsidRDefault="00D42129" w:rsidP="00D42129">
            <w:pPr>
              <w:keepNext/>
              <w:spacing w:line="276" w:lineRule="auto"/>
              <w:jc w:val="center"/>
              <w:rPr>
                <w:sz w:val="20"/>
                <w:szCs w:val="20"/>
              </w:rPr>
            </w:pPr>
            <w:r>
              <w:rPr>
                <w:sz w:val="20"/>
                <w:szCs w:val="20"/>
              </w:rPr>
              <w:t xml:space="preserve">  </w:t>
            </w:r>
            <w:r w:rsidR="0099798B" w:rsidRPr="00545318">
              <w:rPr>
                <w:sz w:val="20"/>
                <w:szCs w:val="20"/>
              </w:rPr>
              <w:t>4.3%</w:t>
            </w:r>
          </w:p>
        </w:tc>
      </w:tr>
      <w:tr w:rsidR="0099798B" w:rsidRPr="00545318" w14:paraId="468A05DE" w14:textId="77777777" w:rsidTr="006C2091">
        <w:trPr>
          <w:jc w:val="center"/>
        </w:trPr>
        <w:tc>
          <w:tcPr>
            <w:tcW w:w="2943" w:type="dxa"/>
            <w:vAlign w:val="center"/>
          </w:tcPr>
          <w:p w14:paraId="6B558C9E" w14:textId="77777777" w:rsidR="0099798B" w:rsidRPr="00545318" w:rsidRDefault="0099798B" w:rsidP="00135D4D">
            <w:pPr>
              <w:keepNext/>
              <w:spacing w:line="276" w:lineRule="auto"/>
              <w:jc w:val="center"/>
              <w:rPr>
                <w:sz w:val="20"/>
                <w:szCs w:val="20"/>
              </w:rPr>
            </w:pPr>
            <w:r w:rsidRPr="00545318">
              <w:rPr>
                <w:sz w:val="20"/>
                <w:szCs w:val="20"/>
              </w:rPr>
              <w:t>2011</w:t>
            </w:r>
          </w:p>
        </w:tc>
        <w:tc>
          <w:tcPr>
            <w:tcW w:w="3544" w:type="dxa"/>
            <w:vAlign w:val="center"/>
          </w:tcPr>
          <w:p w14:paraId="4C00675C" w14:textId="3C077358" w:rsidR="0099798B" w:rsidRPr="00545318" w:rsidRDefault="0099798B" w:rsidP="00D42129">
            <w:pPr>
              <w:keepNext/>
              <w:spacing w:line="276" w:lineRule="auto"/>
              <w:jc w:val="center"/>
              <w:rPr>
                <w:sz w:val="20"/>
                <w:szCs w:val="20"/>
              </w:rPr>
            </w:pPr>
            <w:r w:rsidRPr="00545318">
              <w:rPr>
                <w:sz w:val="20"/>
                <w:szCs w:val="20"/>
              </w:rPr>
              <w:t>13</w:t>
            </w:r>
            <w:r w:rsidR="00D42129">
              <w:rPr>
                <w:sz w:val="20"/>
                <w:szCs w:val="20"/>
              </w:rPr>
              <w:t>.0</w:t>
            </w:r>
            <w:r w:rsidRPr="00545318">
              <w:rPr>
                <w:sz w:val="20"/>
                <w:szCs w:val="20"/>
              </w:rPr>
              <w:t>%</w:t>
            </w:r>
          </w:p>
        </w:tc>
      </w:tr>
      <w:tr w:rsidR="0099798B" w:rsidRPr="00545318" w14:paraId="05D9C434" w14:textId="77777777" w:rsidTr="006C2091">
        <w:trPr>
          <w:jc w:val="center"/>
        </w:trPr>
        <w:tc>
          <w:tcPr>
            <w:tcW w:w="2943" w:type="dxa"/>
            <w:vAlign w:val="center"/>
          </w:tcPr>
          <w:p w14:paraId="3810007F" w14:textId="77777777" w:rsidR="0099798B" w:rsidRPr="00545318" w:rsidRDefault="0099798B" w:rsidP="00135D4D">
            <w:pPr>
              <w:keepNext/>
              <w:spacing w:line="276" w:lineRule="auto"/>
              <w:jc w:val="center"/>
              <w:rPr>
                <w:sz w:val="20"/>
                <w:szCs w:val="20"/>
              </w:rPr>
            </w:pPr>
            <w:r w:rsidRPr="00545318">
              <w:rPr>
                <w:sz w:val="20"/>
                <w:szCs w:val="20"/>
              </w:rPr>
              <w:t>2012</w:t>
            </w:r>
          </w:p>
        </w:tc>
        <w:tc>
          <w:tcPr>
            <w:tcW w:w="3544" w:type="dxa"/>
            <w:vAlign w:val="center"/>
          </w:tcPr>
          <w:p w14:paraId="58EFE2B9" w14:textId="0174F5E6" w:rsidR="0099798B" w:rsidRPr="00545318" w:rsidRDefault="00D42129" w:rsidP="00D42129">
            <w:pPr>
              <w:keepNext/>
              <w:spacing w:line="276" w:lineRule="auto"/>
              <w:jc w:val="center"/>
              <w:rPr>
                <w:sz w:val="20"/>
                <w:szCs w:val="20"/>
              </w:rPr>
            </w:pPr>
            <w:r>
              <w:rPr>
                <w:sz w:val="20"/>
                <w:szCs w:val="20"/>
              </w:rPr>
              <w:t xml:space="preserve">  </w:t>
            </w:r>
            <w:r w:rsidR="0099798B" w:rsidRPr="00545318">
              <w:rPr>
                <w:sz w:val="20"/>
                <w:szCs w:val="20"/>
              </w:rPr>
              <w:t>8</w:t>
            </w:r>
            <w:r>
              <w:rPr>
                <w:sz w:val="20"/>
                <w:szCs w:val="20"/>
              </w:rPr>
              <w:t>.0</w:t>
            </w:r>
            <w:r w:rsidR="0099798B" w:rsidRPr="00545318">
              <w:rPr>
                <w:sz w:val="20"/>
                <w:szCs w:val="20"/>
              </w:rPr>
              <w:t>%</w:t>
            </w:r>
          </w:p>
        </w:tc>
      </w:tr>
      <w:tr w:rsidR="0099798B" w:rsidRPr="00545318" w14:paraId="2E9FCB7E" w14:textId="77777777" w:rsidTr="006C2091">
        <w:trPr>
          <w:jc w:val="center"/>
        </w:trPr>
        <w:tc>
          <w:tcPr>
            <w:tcW w:w="2943" w:type="dxa"/>
            <w:vAlign w:val="center"/>
          </w:tcPr>
          <w:p w14:paraId="0E48AF13" w14:textId="77777777" w:rsidR="0099798B" w:rsidRPr="00545318" w:rsidRDefault="0099798B" w:rsidP="00135D4D">
            <w:pPr>
              <w:keepNext/>
              <w:spacing w:line="276" w:lineRule="auto"/>
              <w:jc w:val="center"/>
              <w:rPr>
                <w:sz w:val="20"/>
                <w:szCs w:val="20"/>
              </w:rPr>
            </w:pPr>
            <w:r w:rsidRPr="00545318">
              <w:rPr>
                <w:sz w:val="20"/>
                <w:szCs w:val="20"/>
              </w:rPr>
              <w:t>2013</w:t>
            </w:r>
          </w:p>
        </w:tc>
        <w:tc>
          <w:tcPr>
            <w:tcW w:w="3544" w:type="dxa"/>
            <w:vAlign w:val="center"/>
          </w:tcPr>
          <w:p w14:paraId="15711783" w14:textId="522C3F75" w:rsidR="0099798B" w:rsidRPr="00545318" w:rsidRDefault="0099798B" w:rsidP="00D42129">
            <w:pPr>
              <w:keepNext/>
              <w:spacing w:line="276" w:lineRule="auto"/>
              <w:jc w:val="center"/>
              <w:rPr>
                <w:sz w:val="20"/>
                <w:szCs w:val="20"/>
              </w:rPr>
            </w:pPr>
            <w:r w:rsidRPr="00545318">
              <w:rPr>
                <w:sz w:val="20"/>
                <w:szCs w:val="20"/>
              </w:rPr>
              <w:t>36.1%</w:t>
            </w:r>
          </w:p>
        </w:tc>
      </w:tr>
      <w:tr w:rsidR="0099798B" w:rsidRPr="00545318" w14:paraId="21F69E26" w14:textId="77777777" w:rsidTr="006C2091">
        <w:trPr>
          <w:jc w:val="center"/>
        </w:trPr>
        <w:tc>
          <w:tcPr>
            <w:tcW w:w="2943" w:type="dxa"/>
            <w:vAlign w:val="center"/>
          </w:tcPr>
          <w:p w14:paraId="434E5E84" w14:textId="77777777" w:rsidR="0099798B" w:rsidRPr="00545318" w:rsidRDefault="0099798B" w:rsidP="00135D4D">
            <w:pPr>
              <w:keepNext/>
              <w:spacing w:line="276" w:lineRule="auto"/>
              <w:jc w:val="center"/>
              <w:rPr>
                <w:sz w:val="20"/>
                <w:szCs w:val="20"/>
              </w:rPr>
            </w:pPr>
            <w:r w:rsidRPr="00545318">
              <w:rPr>
                <w:sz w:val="20"/>
                <w:szCs w:val="20"/>
              </w:rPr>
              <w:t>2014</w:t>
            </w:r>
          </w:p>
        </w:tc>
        <w:tc>
          <w:tcPr>
            <w:tcW w:w="3544" w:type="dxa"/>
            <w:vAlign w:val="center"/>
          </w:tcPr>
          <w:p w14:paraId="308CBB35" w14:textId="068B3F47" w:rsidR="0099798B" w:rsidRPr="00545318" w:rsidRDefault="0099798B" w:rsidP="00D42129">
            <w:pPr>
              <w:keepNext/>
              <w:spacing w:line="276" w:lineRule="auto"/>
              <w:jc w:val="center"/>
              <w:rPr>
                <w:sz w:val="20"/>
                <w:szCs w:val="20"/>
              </w:rPr>
            </w:pPr>
            <w:r w:rsidRPr="00545318">
              <w:rPr>
                <w:sz w:val="20"/>
                <w:szCs w:val="20"/>
              </w:rPr>
              <w:t>47.7%</w:t>
            </w:r>
          </w:p>
        </w:tc>
      </w:tr>
      <w:tr w:rsidR="0099798B" w:rsidRPr="00545318" w14:paraId="74F8C26F" w14:textId="77777777" w:rsidTr="006C2091">
        <w:trPr>
          <w:jc w:val="center"/>
        </w:trPr>
        <w:tc>
          <w:tcPr>
            <w:tcW w:w="2943" w:type="dxa"/>
            <w:vAlign w:val="center"/>
          </w:tcPr>
          <w:p w14:paraId="0D1DCCA2" w14:textId="77777777" w:rsidR="0099798B" w:rsidRPr="00545318" w:rsidRDefault="0099798B" w:rsidP="00135D4D">
            <w:pPr>
              <w:keepNext/>
              <w:spacing w:line="276" w:lineRule="auto"/>
              <w:jc w:val="center"/>
              <w:rPr>
                <w:sz w:val="20"/>
                <w:szCs w:val="20"/>
              </w:rPr>
            </w:pPr>
            <w:r w:rsidRPr="00545318">
              <w:rPr>
                <w:sz w:val="20"/>
                <w:szCs w:val="20"/>
              </w:rPr>
              <w:t>2015</w:t>
            </w:r>
          </w:p>
        </w:tc>
        <w:tc>
          <w:tcPr>
            <w:tcW w:w="3544" w:type="dxa"/>
            <w:vAlign w:val="center"/>
          </w:tcPr>
          <w:p w14:paraId="4B401880" w14:textId="27073D1E" w:rsidR="0099798B" w:rsidRPr="00545318" w:rsidRDefault="0099798B" w:rsidP="00D42129">
            <w:pPr>
              <w:keepNext/>
              <w:spacing w:line="276" w:lineRule="auto"/>
              <w:jc w:val="center"/>
              <w:rPr>
                <w:sz w:val="20"/>
                <w:szCs w:val="20"/>
              </w:rPr>
            </w:pPr>
            <w:r w:rsidRPr="00545318">
              <w:rPr>
                <w:sz w:val="20"/>
                <w:szCs w:val="20"/>
              </w:rPr>
              <w:t>60.7%</w:t>
            </w:r>
          </w:p>
        </w:tc>
      </w:tr>
      <w:tr w:rsidR="0099798B" w:rsidRPr="00545318" w14:paraId="6D607AB7" w14:textId="77777777" w:rsidTr="006C2091">
        <w:trPr>
          <w:jc w:val="center"/>
        </w:trPr>
        <w:tc>
          <w:tcPr>
            <w:tcW w:w="2943" w:type="dxa"/>
            <w:vAlign w:val="center"/>
          </w:tcPr>
          <w:p w14:paraId="064817A9" w14:textId="77777777" w:rsidR="0099798B" w:rsidRPr="00545318" w:rsidRDefault="0099798B" w:rsidP="00135D4D">
            <w:pPr>
              <w:keepNext/>
              <w:spacing w:line="276" w:lineRule="auto"/>
              <w:jc w:val="center"/>
              <w:rPr>
                <w:sz w:val="20"/>
                <w:szCs w:val="20"/>
              </w:rPr>
            </w:pPr>
            <w:r w:rsidRPr="00545318">
              <w:rPr>
                <w:sz w:val="20"/>
                <w:szCs w:val="20"/>
              </w:rPr>
              <w:t>2016</w:t>
            </w:r>
          </w:p>
        </w:tc>
        <w:tc>
          <w:tcPr>
            <w:tcW w:w="3544" w:type="dxa"/>
            <w:vAlign w:val="center"/>
          </w:tcPr>
          <w:p w14:paraId="16C06146" w14:textId="5BC075D3" w:rsidR="0099798B" w:rsidRPr="00545318" w:rsidRDefault="0099798B" w:rsidP="00D42129">
            <w:pPr>
              <w:keepNext/>
              <w:spacing w:line="276" w:lineRule="auto"/>
              <w:jc w:val="center"/>
              <w:rPr>
                <w:sz w:val="20"/>
                <w:szCs w:val="20"/>
              </w:rPr>
            </w:pPr>
            <w:r w:rsidRPr="00545318">
              <w:rPr>
                <w:sz w:val="20"/>
                <w:szCs w:val="20"/>
              </w:rPr>
              <w:t>70.5%</w:t>
            </w:r>
          </w:p>
        </w:tc>
      </w:tr>
    </w:tbl>
    <w:p w14:paraId="2950B8D7" w14:textId="77777777" w:rsidR="0099798B" w:rsidRPr="00545318" w:rsidRDefault="0099798B" w:rsidP="00CB60FA">
      <w:pPr>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Anti-Dumping Commission </w:t>
      </w:r>
    </w:p>
    <w:p w14:paraId="27AE8423"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18CFDB69" w14:textId="314B0FEB" w:rsidR="0099798B" w:rsidRPr="00545318" w:rsidRDefault="0099798B" w:rsidP="0099798B">
      <w:pPr>
        <w:pStyle w:val="Heading3"/>
        <w:spacing w:after="120"/>
      </w:pPr>
      <w:r w:rsidRPr="00545318">
        <w:t>Countries subject to Australian trade remedy investigations and measures</w:t>
      </w:r>
    </w:p>
    <w:p w14:paraId="792113AC" w14:textId="77777777" w:rsidR="0099798B" w:rsidRPr="00545318" w:rsidRDefault="0099798B" w:rsidP="0099798B">
      <w:pPr>
        <w:spacing w:before="120" w:after="120"/>
      </w:pPr>
      <w:r w:rsidRPr="00545318">
        <w:t>Measures imposed following investigations by the Commission into steel and aluminium imports have primarily involved goods produced in China, and to a lesser extent Korea and Taiwan. Figure 5.8 shows the breakdown of measures in force as at July 2016 by country.</w:t>
      </w:r>
    </w:p>
    <w:p w14:paraId="04FCA719"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5.8 Australian trade remedy measures in force by country as at July 2016 </w:t>
      </w:r>
    </w:p>
    <w:p w14:paraId="6BA31610" w14:textId="77777777" w:rsidR="0099798B" w:rsidRPr="00545318" w:rsidRDefault="0099798B" w:rsidP="0099798B">
      <w:pPr>
        <w:keepNext/>
        <w:keepLines/>
      </w:pPr>
      <w:r w:rsidRPr="00545318">
        <w:rPr>
          <w:noProof/>
          <w:lang w:val="en-AU" w:eastAsia="en-AU"/>
        </w:rPr>
        <w:drawing>
          <wp:inline distT="0" distB="0" distL="0" distR="0" wp14:anchorId="56341805" wp14:editId="278A6450">
            <wp:extent cx="5902325" cy="3232087"/>
            <wp:effectExtent l="0" t="0" r="3175" b="6985"/>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A92558D" w14:textId="77777777" w:rsidR="0099798B" w:rsidRPr="00545318" w:rsidRDefault="0099798B" w:rsidP="00B64C29">
      <w:pPr>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Anti-Dumping Commission  </w:t>
      </w:r>
    </w:p>
    <w:p w14:paraId="0AE8F83D" w14:textId="1ACBEEAE" w:rsidR="0099798B" w:rsidRPr="00545318" w:rsidRDefault="00773986" w:rsidP="0099798B">
      <w:pPr>
        <w:spacing w:before="120" w:after="120"/>
      </w:pPr>
      <w:r w:rsidRPr="00545318">
        <w:t>Cases</w:t>
      </w:r>
      <w:r w:rsidR="0099798B" w:rsidRPr="00545318">
        <w:t xml:space="preserve"> by the Commission into dumping and subsidisation of steel and aluminium imports continue to be dominated by goods produced in China. Figure 5.9 shows the breakdown of Australian trade remedy </w:t>
      </w:r>
      <w:r w:rsidRPr="00545318">
        <w:t>cases</w:t>
      </w:r>
      <w:r w:rsidR="0099798B" w:rsidRPr="00545318">
        <w:t xml:space="preserve"> as at July 2016 by country.</w:t>
      </w:r>
    </w:p>
    <w:p w14:paraId="2687F2DC" w14:textId="77777777" w:rsidR="0099798B" w:rsidRPr="00545318" w:rsidRDefault="0099798B" w:rsidP="0099798B">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5.9 Australian trade remedy investigations on hand as at July 2016 </w:t>
      </w:r>
    </w:p>
    <w:p w14:paraId="487CAC53" w14:textId="77777777" w:rsidR="0099798B" w:rsidRPr="00545318" w:rsidRDefault="0099798B" w:rsidP="0099798B">
      <w:pPr>
        <w:spacing w:before="120"/>
      </w:pPr>
      <w:r w:rsidRPr="00545318">
        <w:rPr>
          <w:noProof/>
          <w:lang w:val="en-AU" w:eastAsia="en-AU"/>
        </w:rPr>
        <w:drawing>
          <wp:inline distT="0" distB="0" distL="0" distR="0" wp14:anchorId="03372B81" wp14:editId="768CB08D">
            <wp:extent cx="5866130" cy="3141552"/>
            <wp:effectExtent l="0" t="0" r="1270" b="1905"/>
            <wp:docPr id="237" name="Chart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1EBD426" w14:textId="77777777" w:rsidR="0099798B" w:rsidRPr="00545318" w:rsidRDefault="0099798B" w:rsidP="0099798B">
      <w:pPr>
        <w:keepNext/>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 xml:space="preserve">Source: Anti-Dumping Commission  </w:t>
      </w:r>
    </w:p>
    <w:p w14:paraId="7F36BA80" w14:textId="77777777" w:rsidR="00DA3591" w:rsidRPr="00545318" w:rsidRDefault="00DA3591">
      <w:pPr>
        <w:spacing w:after="200" w:line="276" w:lineRule="auto"/>
        <w:rPr>
          <w:rFonts w:asciiTheme="majorHAnsi" w:eastAsiaTheme="majorEastAsia" w:hAnsiTheme="majorHAnsi" w:cstheme="majorBidi"/>
          <w:b/>
          <w:bCs/>
          <w:color w:val="365F91" w:themeColor="accent1" w:themeShade="BF"/>
          <w:sz w:val="28"/>
          <w:szCs w:val="28"/>
        </w:rPr>
      </w:pPr>
      <w:r w:rsidRPr="00545318">
        <w:br w:type="page"/>
      </w:r>
    </w:p>
    <w:p w14:paraId="719DB4B6" w14:textId="77777777" w:rsidR="009861DE" w:rsidRPr="00545318" w:rsidRDefault="009861DE" w:rsidP="009861DE">
      <w:pPr>
        <w:pStyle w:val="Heading1"/>
      </w:pPr>
      <w:bookmarkStart w:id="72" w:name="_Toc458674174"/>
      <w:bookmarkStart w:id="73" w:name="_Toc460430504"/>
      <w:r w:rsidRPr="00545318">
        <w:t>Effectiveness of measures</w:t>
      </w:r>
      <w:bookmarkEnd w:id="72"/>
      <w:bookmarkEnd w:id="73"/>
      <w:r w:rsidRPr="00545318">
        <w:t xml:space="preserve"> </w:t>
      </w:r>
    </w:p>
    <w:p w14:paraId="4A2A9FD4" w14:textId="77777777" w:rsidR="009861DE" w:rsidRPr="00545318" w:rsidRDefault="009861DE" w:rsidP="009861DE"/>
    <w:bookmarkStart w:id="74" w:name="_Toc458674175"/>
    <w:bookmarkStart w:id="75" w:name="_Toc460430505"/>
    <w:p w14:paraId="60426FA4" w14:textId="77777777" w:rsidR="009861DE" w:rsidRPr="00545318" w:rsidRDefault="009861DE" w:rsidP="009861DE">
      <w:pPr>
        <w:pStyle w:val="Heading2"/>
      </w:pPr>
      <w:r w:rsidRPr="00545318">
        <w:rPr>
          <w:noProof/>
          <w:lang w:val="en-AU" w:eastAsia="en-AU"/>
        </w:rPr>
        <mc:AlternateContent>
          <mc:Choice Requires="wps">
            <w:drawing>
              <wp:anchor distT="0" distB="0" distL="114300" distR="114300" simplePos="0" relativeHeight="251716608" behindDoc="0" locked="0" layoutInCell="1" allowOverlap="1" wp14:anchorId="0E5E1660" wp14:editId="4A8D22BD">
                <wp:simplePos x="0" y="0"/>
                <wp:positionH relativeFrom="column">
                  <wp:posOffset>0</wp:posOffset>
                </wp:positionH>
                <wp:positionV relativeFrom="paragraph">
                  <wp:posOffset>0</wp:posOffset>
                </wp:positionV>
                <wp:extent cx="1828800" cy="1828800"/>
                <wp:effectExtent l="0" t="0" r="15240" b="27940"/>
                <wp:wrapSquare wrapText="bothSides"/>
                <wp:docPr id="225" name="Text Box 22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a:effectLst/>
                      </wps:spPr>
                      <wps:txbx>
                        <w:txbxContent>
                          <w:p w14:paraId="306D7434" w14:textId="77777777" w:rsidR="009241EC" w:rsidRPr="001E7877" w:rsidRDefault="009241EC" w:rsidP="009861DE">
                            <w:pPr>
                              <w:shd w:val="clear" w:color="auto" w:fill="DAEEF3" w:themeFill="accent5" w:themeFillTint="33"/>
                              <w:spacing w:after="120"/>
                              <w:rPr>
                                <w:b/>
                              </w:rPr>
                            </w:pPr>
                            <w:r w:rsidRPr="001E7877">
                              <w:rPr>
                                <w:b/>
                              </w:rPr>
                              <w:t>Key points</w:t>
                            </w:r>
                          </w:p>
                          <w:p w14:paraId="720FAC08" w14:textId="191F15BC" w:rsidR="009241EC" w:rsidRDefault="009241EC" w:rsidP="009861DE">
                            <w:pPr>
                              <w:numPr>
                                <w:ilvl w:val="0"/>
                                <w:numId w:val="2"/>
                              </w:numPr>
                              <w:shd w:val="clear" w:color="auto" w:fill="DAEEF3" w:themeFill="accent5" w:themeFillTint="33"/>
                              <w:spacing w:after="120"/>
                            </w:pPr>
                            <w:r>
                              <w:t xml:space="preserve">There is evidence of circumvention and non-compliance behaviour by some exporters and importers. Further </w:t>
                            </w:r>
                            <w:r w:rsidRPr="00545318">
                              <w:t>strengthening the operational application</w:t>
                            </w:r>
                            <w:r>
                              <w:t xml:space="preserve"> of the </w:t>
                            </w:r>
                            <w:r w:rsidRPr="003D4FAD">
                              <w:t xml:space="preserve">anti-circumvention and </w:t>
                            </w:r>
                            <w:r>
                              <w:t>compliance framework will improve the effectiveness of Australia’s anti-dumping system.</w:t>
                            </w:r>
                          </w:p>
                          <w:p w14:paraId="5E479123" w14:textId="77777777" w:rsidR="009241EC" w:rsidRPr="00266007" w:rsidRDefault="009241EC" w:rsidP="009861DE">
                            <w:pPr>
                              <w:numPr>
                                <w:ilvl w:val="0"/>
                                <w:numId w:val="2"/>
                              </w:numPr>
                              <w:shd w:val="clear" w:color="auto" w:fill="DAEEF3" w:themeFill="accent5" w:themeFillTint="33"/>
                              <w:spacing w:after="120"/>
                            </w:pPr>
                            <w:r w:rsidRPr="00984121">
                              <w:t xml:space="preserve">Preliminary analysis of available data suggests that </w:t>
                            </w:r>
                            <w:r>
                              <w:t xml:space="preserve">Australian </w:t>
                            </w:r>
                            <w:r w:rsidRPr="00984121">
                              <w:t xml:space="preserve">anti-dumping </w:t>
                            </w:r>
                            <w:r>
                              <w:t xml:space="preserve">and countervailing </w:t>
                            </w:r>
                            <w:r w:rsidRPr="00984121">
                              <w:t xml:space="preserve">measures are generally effective in </w:t>
                            </w:r>
                            <w:r>
                              <w:t>that they result in lower</w:t>
                            </w:r>
                            <w:r w:rsidRPr="00984121">
                              <w:t xml:space="preserve"> imports from countries </w:t>
                            </w:r>
                            <w:r>
                              <w:t>subject to</w:t>
                            </w:r>
                            <w:r w:rsidRPr="00984121">
                              <w:t xml:space="preserve"> measures</w:t>
                            </w:r>
                            <w:r>
                              <w:t xml:space="preserve"> and improve</w:t>
                            </w:r>
                            <w:r w:rsidRPr="00984121">
                              <w:t xml:space="preserve"> Australian industry</w:t>
                            </w:r>
                            <w:r>
                              <w:t>’s ability to compete on a level playing field</w:t>
                            </w:r>
                            <w:r w:rsidRPr="00984121">
                              <w:t>.</w:t>
                            </w:r>
                            <w:r w:rsidRPr="001E7877">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5E1660" id="Text Box 225" o:spid="_x0000_s1034" type="#_x0000_t202" style="position:absolute;left:0;text-align:left;margin-left:0;margin-top:0;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" fillcolor="#daeef3 [664]" strokeweight=".5pt">
                <v:textbox style="mso-fit-shape-to-text:t">
                  <w:txbxContent>
                    <w:p w14:paraId="306D7434" w14:textId="77777777" w:rsidR="009241EC" w:rsidRPr="001E7877" w:rsidRDefault="009241EC" w:rsidP="009861DE">
                      <w:pPr>
                        <w:shd w:val="clear" w:color="auto" w:fill="DAEEF3" w:themeFill="accent5" w:themeFillTint="33"/>
                        <w:spacing w:after="120"/>
                        <w:rPr>
                          <w:b/>
                        </w:rPr>
                      </w:pPr>
                      <w:r w:rsidRPr="001E7877">
                        <w:rPr>
                          <w:b/>
                        </w:rPr>
                        <w:t>Key points</w:t>
                      </w:r>
                    </w:p>
                    <w:p w14:paraId="720FAC08" w14:textId="191F15BC" w:rsidR="009241EC" w:rsidRDefault="009241EC" w:rsidP="009861DE">
                      <w:pPr>
                        <w:numPr>
                          <w:ilvl w:val="0"/>
                          <w:numId w:val="2"/>
                        </w:numPr>
                        <w:shd w:val="clear" w:color="auto" w:fill="DAEEF3" w:themeFill="accent5" w:themeFillTint="33"/>
                        <w:spacing w:after="120"/>
                      </w:pPr>
                      <w:r>
                        <w:t xml:space="preserve">There is evidence of circumvention and non-compliance behaviour by some exporters and importers. Further </w:t>
                      </w:r>
                      <w:r w:rsidRPr="00545318">
                        <w:t>strengthening the operational application</w:t>
                      </w:r>
                      <w:r>
                        <w:t xml:space="preserve"> of the </w:t>
                      </w:r>
                      <w:r w:rsidRPr="003D4FAD">
                        <w:t xml:space="preserve">anti-circumvention and </w:t>
                      </w:r>
                      <w:r>
                        <w:t>compliance framework will improve the effectiveness of Australia’s anti-dumping system.</w:t>
                      </w:r>
                    </w:p>
                    <w:p w14:paraId="5E479123" w14:textId="77777777" w:rsidR="009241EC" w:rsidRPr="00266007" w:rsidRDefault="009241EC" w:rsidP="009861DE">
                      <w:pPr>
                        <w:numPr>
                          <w:ilvl w:val="0"/>
                          <w:numId w:val="2"/>
                        </w:numPr>
                        <w:shd w:val="clear" w:color="auto" w:fill="DAEEF3" w:themeFill="accent5" w:themeFillTint="33"/>
                        <w:spacing w:after="120"/>
                      </w:pPr>
                      <w:r w:rsidRPr="00984121">
                        <w:t xml:space="preserve">Preliminary analysis of available data suggests that </w:t>
                      </w:r>
                      <w:r>
                        <w:t xml:space="preserve">Australian </w:t>
                      </w:r>
                      <w:r w:rsidRPr="00984121">
                        <w:t xml:space="preserve">anti-dumping </w:t>
                      </w:r>
                      <w:r>
                        <w:t xml:space="preserve">and countervailing </w:t>
                      </w:r>
                      <w:r w:rsidRPr="00984121">
                        <w:t xml:space="preserve">measures are generally effective in </w:t>
                      </w:r>
                      <w:r>
                        <w:t>that they result in lower</w:t>
                      </w:r>
                      <w:r w:rsidRPr="00984121">
                        <w:t xml:space="preserve"> imports from countries </w:t>
                      </w:r>
                      <w:r>
                        <w:t>subject to</w:t>
                      </w:r>
                      <w:r w:rsidRPr="00984121">
                        <w:t xml:space="preserve"> measures</w:t>
                      </w:r>
                      <w:r>
                        <w:t xml:space="preserve"> and improve</w:t>
                      </w:r>
                      <w:r w:rsidRPr="00984121">
                        <w:t xml:space="preserve"> Australian industry</w:t>
                      </w:r>
                      <w:r>
                        <w:t>’s ability to compete on a level playing field</w:t>
                      </w:r>
                      <w:r w:rsidRPr="00984121">
                        <w:t>.</w:t>
                      </w:r>
                      <w:r w:rsidRPr="001E7877">
                        <w:t xml:space="preserve"> </w:t>
                      </w:r>
                    </w:p>
                  </w:txbxContent>
                </v:textbox>
                <w10:wrap type="square"/>
              </v:shape>
            </w:pict>
          </mc:Fallback>
        </mc:AlternateContent>
      </w:r>
      <w:r w:rsidRPr="00545318">
        <w:t>What is an effective trade remedy?</w:t>
      </w:r>
      <w:bookmarkEnd w:id="74"/>
      <w:bookmarkEnd w:id="75"/>
    </w:p>
    <w:p w14:paraId="6FC1C86F" w14:textId="77777777" w:rsidR="009861DE" w:rsidRPr="00545318" w:rsidRDefault="009861DE" w:rsidP="009861DE">
      <w:pPr>
        <w:spacing w:before="120" w:after="120"/>
      </w:pPr>
      <w:r w:rsidRPr="00545318">
        <w:t xml:space="preserve">The Commission considers that an effective trade remedy measure is one that achieves the government’s objective of remedying material injury to Australian industry caused by dumping and subsidisation. </w:t>
      </w:r>
    </w:p>
    <w:p w14:paraId="78332CB4" w14:textId="77777777" w:rsidR="009861DE" w:rsidRPr="00545318" w:rsidRDefault="009861DE" w:rsidP="009861DE">
      <w:pPr>
        <w:spacing w:before="120" w:after="120"/>
      </w:pPr>
      <w:r w:rsidRPr="00545318">
        <w:t xml:space="preserve">A trade remedy’s success in remedying injury is central to its effectiveness. Anti-dumping and countervailing duties that do not redress the injury arising from dumping and subsidisation—for example, because the duties are circumvented or not enforced—would be ineffective. </w:t>
      </w:r>
    </w:p>
    <w:p w14:paraId="5E46E243" w14:textId="77777777" w:rsidR="009861DE" w:rsidRPr="00545318" w:rsidRDefault="009861DE" w:rsidP="009861DE">
      <w:pPr>
        <w:spacing w:before="120" w:after="120"/>
      </w:pPr>
      <w:r w:rsidRPr="00545318">
        <w:t xml:space="preserve">Injury may be caused by other factors, such as a decline in overall demand or strong competition from imports that are not dumped or subsidised. Such injury is not relevant to the effectiveness of a trade remedy. </w:t>
      </w:r>
    </w:p>
    <w:p w14:paraId="6062FB54" w14:textId="77777777" w:rsidR="009861DE" w:rsidRPr="00545318" w:rsidRDefault="009861DE" w:rsidP="009861DE">
      <w:pPr>
        <w:pStyle w:val="Heading2"/>
      </w:pPr>
      <w:bookmarkStart w:id="76" w:name="_Toc458674176"/>
      <w:bookmarkStart w:id="77" w:name="_Toc460430506"/>
      <w:r w:rsidRPr="00545318">
        <w:t>Activities that may reduce the effectiveness of trade remedies</w:t>
      </w:r>
      <w:bookmarkEnd w:id="76"/>
      <w:bookmarkEnd w:id="77"/>
    </w:p>
    <w:p w14:paraId="6F246372" w14:textId="77777777" w:rsidR="000C6C46" w:rsidRPr="00545318" w:rsidRDefault="000C6C46" w:rsidP="000C6C46">
      <w:pPr>
        <w:spacing w:before="120" w:after="120"/>
      </w:pPr>
      <w:r w:rsidRPr="00545318">
        <w:t xml:space="preserve">In line with government policy, the Commission is committed to implementing a strong, robust and evidence-based trade remedy system which meets its purpose of preventing material injury to Australian industry caused by dumping and subsidisation. </w:t>
      </w:r>
    </w:p>
    <w:p w14:paraId="62080280" w14:textId="00C3AA1B" w:rsidR="000C6C46" w:rsidRPr="00545318" w:rsidRDefault="00CF75B4" w:rsidP="000C6C46">
      <w:pPr>
        <w:spacing w:before="120" w:after="120"/>
      </w:pPr>
      <w:r w:rsidRPr="00545318">
        <w:t>T</w:t>
      </w:r>
      <w:r w:rsidR="000C6C46" w:rsidRPr="00545318">
        <w:t xml:space="preserve">he Commission </w:t>
      </w:r>
      <w:r w:rsidRPr="00545318">
        <w:t xml:space="preserve">has </w:t>
      </w:r>
      <w:r w:rsidR="000C6C46" w:rsidRPr="00545318">
        <w:t>canvassed the Australian steel and aluminium industries’ views on the effectiveness of measures and what they see as priority areas for improving the anti</w:t>
      </w:r>
      <w:r w:rsidR="000C6C46" w:rsidRPr="00545318">
        <w:noBreakHyphen/>
        <w:t xml:space="preserve">dumping system. </w:t>
      </w:r>
    </w:p>
    <w:p w14:paraId="6854CC87" w14:textId="77777777" w:rsidR="000C6C46" w:rsidRPr="00545318" w:rsidRDefault="000C6C46" w:rsidP="000C6C46">
      <w:pPr>
        <w:spacing w:before="120" w:after="120"/>
      </w:pPr>
      <w:r w:rsidRPr="00545318">
        <w:t xml:space="preserve">The Commission met with representatives from: the largest Australian producers, being Arrium Limited (formerly OneSteel Limited), BlueScope Steel Limited, and Capral Limited; the Australian Aluminium Council (AAC); and Alcoa of Australia Limited. </w:t>
      </w:r>
    </w:p>
    <w:p w14:paraId="183743B1" w14:textId="77777777" w:rsidR="000C6C46" w:rsidRPr="00545318" w:rsidRDefault="000C6C46" w:rsidP="000C6C46">
      <w:pPr>
        <w:spacing w:before="120" w:after="120"/>
      </w:pPr>
      <w:r w:rsidRPr="00545318">
        <w:t>To ensure the Commission took into account broader stakeholder views, the Commission also had regard to information and views provided by a range of interested parties in representations to the Minister, in submissions to the Commission and other areas of the Department, through the International Trade Remedies Forum (ITRF), and submissions to other relevant inquiries and reviews including:</w:t>
      </w:r>
    </w:p>
    <w:p w14:paraId="1B2C9F51" w14:textId="77777777" w:rsidR="000C6C46" w:rsidRPr="00545318" w:rsidRDefault="000C6C46" w:rsidP="000C6C46">
      <w:pPr>
        <w:numPr>
          <w:ilvl w:val="0"/>
          <w:numId w:val="3"/>
        </w:numPr>
        <w:spacing w:before="120" w:after="120"/>
      </w:pPr>
      <w:r w:rsidRPr="00545318">
        <w:t>the House of Representatives Standing Committee on Agriculture and Industry inquiry into Australia’s anti-circumvention framework in relation to anti-dumping measures</w:t>
      </w:r>
    </w:p>
    <w:p w14:paraId="19E89AE1" w14:textId="77777777" w:rsidR="000C6C46" w:rsidRPr="00545318" w:rsidRDefault="000C6C46" w:rsidP="000C6C46">
      <w:pPr>
        <w:numPr>
          <w:ilvl w:val="0"/>
          <w:numId w:val="3"/>
        </w:numPr>
        <w:spacing w:before="120" w:after="120"/>
      </w:pPr>
      <w:r w:rsidRPr="00545318">
        <w:t>the Senate Estimates Economic References Committee inquiry into the future of Australia’s steel industry</w:t>
      </w:r>
    </w:p>
    <w:p w14:paraId="0B8A62E9" w14:textId="77777777" w:rsidR="000C6C46" w:rsidRPr="00545318" w:rsidRDefault="000C6C46" w:rsidP="000C6C46">
      <w:pPr>
        <w:numPr>
          <w:ilvl w:val="0"/>
          <w:numId w:val="3"/>
        </w:numPr>
        <w:spacing w:before="120" w:after="120"/>
      </w:pPr>
      <w:r w:rsidRPr="00545318">
        <w:t xml:space="preserve">the Productivity Commission’s 2016 research study into </w:t>
      </w:r>
      <w:r w:rsidRPr="00545318">
        <w:rPr>
          <w:i/>
        </w:rPr>
        <w:t>Developments in Anti-Dumping Arrangements</w:t>
      </w:r>
      <w:r w:rsidRPr="00545318">
        <w:t xml:space="preserve">. </w:t>
      </w:r>
    </w:p>
    <w:p w14:paraId="0F074C84" w14:textId="77777777" w:rsidR="00545318" w:rsidRDefault="00545318">
      <w:pPr>
        <w:spacing w:after="200" w:line="276" w:lineRule="auto"/>
      </w:pPr>
      <w:r>
        <w:br w:type="page"/>
      </w:r>
    </w:p>
    <w:p w14:paraId="0F66C8B5" w14:textId="127AE09B" w:rsidR="00CF75B4" w:rsidRPr="00545318" w:rsidRDefault="000C6C46" w:rsidP="000C6C46">
      <w:pPr>
        <w:spacing w:before="120" w:after="120"/>
      </w:pPr>
      <w:r w:rsidRPr="00545318">
        <w:t xml:space="preserve">Consistent themes were identified </w:t>
      </w:r>
      <w:r w:rsidR="00CF75B4" w:rsidRPr="00545318">
        <w:t>on</w:t>
      </w:r>
      <w:r w:rsidRPr="00545318">
        <w:t xml:space="preserve"> the effectiveness of measures and circumvention and compliance. </w:t>
      </w:r>
    </w:p>
    <w:p w14:paraId="4F7FB0A2" w14:textId="5763FD50" w:rsidR="000C6C46" w:rsidRPr="00545318" w:rsidRDefault="000C6C46" w:rsidP="000C6C46">
      <w:pPr>
        <w:spacing w:before="120" w:after="120"/>
      </w:pPr>
      <w:r w:rsidRPr="00545318">
        <w:t>T</w:t>
      </w:r>
      <w:r w:rsidR="00CF75B4" w:rsidRPr="00545318">
        <w:t>aking this information together, t</w:t>
      </w:r>
      <w:r w:rsidRPr="00545318">
        <w:t xml:space="preserve">he Commission has </w:t>
      </w:r>
      <w:r w:rsidR="00CF75B4" w:rsidRPr="00545318">
        <w:t>assessed</w:t>
      </w:r>
      <w:r w:rsidRPr="00545318">
        <w:t xml:space="preserve"> the effectiveness of Australian anti</w:t>
      </w:r>
      <w:r w:rsidR="00DE7278">
        <w:noBreakHyphen/>
      </w:r>
      <w:r w:rsidRPr="00545318">
        <w:t>dumping and countervailing duties</w:t>
      </w:r>
      <w:r w:rsidR="00CF75B4" w:rsidRPr="00545318">
        <w:t>, and set out its conclusions in this chapter.</w:t>
      </w:r>
    </w:p>
    <w:p w14:paraId="45145D25" w14:textId="77777777" w:rsidR="009861DE" w:rsidRPr="00545318" w:rsidRDefault="009861DE" w:rsidP="009861DE">
      <w:pPr>
        <w:pStyle w:val="Heading3"/>
        <w:spacing w:after="120"/>
      </w:pPr>
      <w:r w:rsidRPr="00545318">
        <w:t xml:space="preserve">Circumvention </w:t>
      </w:r>
    </w:p>
    <w:p w14:paraId="39463ACB" w14:textId="77777777" w:rsidR="009861DE" w:rsidRPr="00545318" w:rsidRDefault="009861DE" w:rsidP="009861DE">
      <w:pPr>
        <w:spacing w:before="120" w:after="120"/>
      </w:pPr>
      <w:r w:rsidRPr="00545318">
        <w:t>Circumvention is a trade strategy used by exporters and importers of certain products to avoid the full payment of dumping and countervailing duties or to avoid the intended effect of those duties. Circumvention activities reduce the effectiveness of trade remedies in addressing the injury to Australian industry caused by dumping and subsidisation. There are no agreed WTO rules to specifically address circumvention.</w:t>
      </w:r>
    </w:p>
    <w:p w14:paraId="564A5C3B" w14:textId="77777777" w:rsidR="009861DE" w:rsidRPr="00545318" w:rsidRDefault="009861DE" w:rsidP="009861DE">
      <w:pPr>
        <w:spacing w:before="120" w:after="120"/>
      </w:pPr>
      <w:r w:rsidRPr="00545318">
        <w:t xml:space="preserve">Division 5A of Part XVB of the </w:t>
      </w:r>
      <w:r w:rsidRPr="00545318">
        <w:rPr>
          <w:i/>
        </w:rPr>
        <w:t xml:space="preserve">Customs Act 1901 </w:t>
      </w:r>
      <w:r w:rsidRPr="00545318">
        <w:t>establishes Australia’s anti-circumvention framework and is administered by the Anti-Dumping Commission.</w:t>
      </w:r>
    </w:p>
    <w:p w14:paraId="7DC11F24" w14:textId="77777777" w:rsidR="009861DE" w:rsidRPr="00545318" w:rsidRDefault="009861DE" w:rsidP="009861DE">
      <w:pPr>
        <w:spacing w:before="120" w:after="120"/>
        <w:rPr>
          <w:rFonts w:eastAsia="Calibri"/>
          <w:szCs w:val="24"/>
        </w:rPr>
      </w:pPr>
      <w:r w:rsidRPr="00545318">
        <w:rPr>
          <w:rFonts w:eastAsia="Calibri"/>
          <w:szCs w:val="24"/>
        </w:rPr>
        <w:t xml:space="preserve">The Commission considers that the following forms </w:t>
      </w:r>
      <w:r w:rsidRPr="00545318">
        <w:t>of alleged circumvention activities are reducing, or have the potential to reduce, the effectiveness of Australian trade remedies for the steel and aluminium industries:</w:t>
      </w:r>
    </w:p>
    <w:p w14:paraId="74D4B4DE"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Slight modification of goods</w:t>
      </w:r>
      <w:r w:rsidRPr="00545318">
        <w:rPr>
          <w:rFonts w:eastAsia="Calibri"/>
          <w:szCs w:val="24"/>
        </w:rPr>
        <w:t xml:space="preserve">: Goods are slightly modified so that they no longer fit the description of goods subject to measures, or fall into a different tariff classification and/or statistical code, for the purpose of avoiding the application of anti-dumping duties. </w:t>
      </w:r>
    </w:p>
    <w:p w14:paraId="1F2B8E2E" w14:textId="77777777" w:rsidR="009861DE" w:rsidRPr="00545318" w:rsidRDefault="009861DE" w:rsidP="009861DE">
      <w:pPr>
        <w:spacing w:before="120" w:after="120"/>
        <w:ind w:left="720"/>
        <w:rPr>
          <w:rFonts w:eastAsia="Calibri"/>
          <w:szCs w:val="24"/>
        </w:rPr>
      </w:pPr>
      <w:r w:rsidRPr="00545318">
        <w:rPr>
          <w:rFonts w:eastAsia="Calibri"/>
          <w:szCs w:val="24"/>
        </w:rPr>
        <w:t>Industry submitted evidence to the House of Representatives inquiry that a range of steel products are being slightly modified to circumvent anti-dumping measures, including plate, coil, pipe, tube and galvanised steel products. A number of submissions to the House of Representatives inquiry made particular reference to the addition of ‘alloys’ (in particular, boron) to steel products in an attempt to avoid the payment of anti-dumping duties. BlueScope estimated that the addition of alloys to steel products resulted in between $1</w:t>
      </w:r>
      <w:r w:rsidRPr="00545318">
        <w:rPr>
          <w:rFonts w:eastAsia="Calibri"/>
          <w:szCs w:val="24"/>
        </w:rPr>
        <w:noBreakHyphen/>
        <w:t>3 million in foregone interim dumping duties in the 12 months to September 2014.</w:t>
      </w:r>
      <w:r w:rsidRPr="00545318">
        <w:rPr>
          <w:rFonts w:eastAsia="Calibri"/>
          <w:szCs w:val="24"/>
          <w:vertAlign w:val="superscript"/>
        </w:rPr>
        <w:footnoteReference w:id="143"/>
      </w:r>
      <w:r w:rsidRPr="00545318">
        <w:rPr>
          <w:rFonts w:eastAsia="Calibri"/>
          <w:szCs w:val="24"/>
        </w:rPr>
        <w:t xml:space="preserve"> </w:t>
      </w:r>
    </w:p>
    <w:p w14:paraId="64FA32FB" w14:textId="77777777" w:rsidR="009861DE" w:rsidRPr="00545318" w:rsidRDefault="009861DE" w:rsidP="009861DE">
      <w:pPr>
        <w:spacing w:before="120" w:after="120"/>
        <w:ind w:left="720"/>
        <w:rPr>
          <w:rFonts w:eastAsia="Calibri"/>
          <w:szCs w:val="24"/>
        </w:rPr>
      </w:pPr>
      <w:r w:rsidRPr="00545318">
        <w:rPr>
          <w:rFonts w:eastAsia="Calibri"/>
          <w:szCs w:val="24"/>
        </w:rPr>
        <w:t>Australian industry provided further examples of claimed exporter circumvention by slightly modifying their goods:</w:t>
      </w:r>
    </w:p>
    <w:p w14:paraId="6D82B0D4" w14:textId="77777777" w:rsidR="009861DE" w:rsidRPr="00545318" w:rsidRDefault="009861DE" w:rsidP="009861DE">
      <w:pPr>
        <w:pStyle w:val="ListParagraph"/>
        <w:numPr>
          <w:ilvl w:val="1"/>
          <w:numId w:val="3"/>
        </w:numPr>
      </w:pPr>
      <w:r w:rsidRPr="00545318">
        <w:t>Exporters apply a primer to steel products to change the tariff classification of the imported goods from “uncoated steel” to “coated steel”.</w:t>
      </w:r>
    </w:p>
    <w:p w14:paraId="49C6B990" w14:textId="77777777" w:rsidR="009861DE" w:rsidRPr="00545318" w:rsidRDefault="009861DE" w:rsidP="009861DE">
      <w:pPr>
        <w:pStyle w:val="ListParagraph"/>
        <w:numPr>
          <w:ilvl w:val="1"/>
          <w:numId w:val="3"/>
        </w:numPr>
      </w:pPr>
      <w:r w:rsidRPr="00545318">
        <w:t>Exporters drill a hole in an aluminium extrusion or tube of steel to change the classification of the imported goods to a “fabricated” product.</w:t>
      </w:r>
    </w:p>
    <w:p w14:paraId="67C9AF96" w14:textId="595463C6"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Avoidance of the intended effects of duties: </w:t>
      </w:r>
      <w:r w:rsidRPr="00545318">
        <w:rPr>
          <w:rFonts w:eastAsia="Calibri"/>
          <w:szCs w:val="24"/>
        </w:rPr>
        <w:t>The a</w:t>
      </w:r>
      <w:r w:rsidRPr="00545318">
        <w:t>pplication of dumping or countervailing duties is intended to increase the prices of dumped goods in the Australian market by the extent of the duty. For this to occur, the importer would pass on to the consumer or end</w:t>
      </w:r>
      <w:r w:rsidR="00DE7278">
        <w:noBreakHyphen/>
      </w:r>
      <w:r w:rsidRPr="00545318">
        <w:t>user the amount of duty paid by raising domestic prices.</w:t>
      </w:r>
      <w:r w:rsidRPr="00545318">
        <w:rPr>
          <w:rFonts w:eastAsia="Calibri"/>
          <w:szCs w:val="24"/>
        </w:rPr>
        <w:t xml:space="preserve"> These intended effects are avoided when dumping and/or countervailing duty has been imposed and is being paid by the importer but there is little or no effect, over a reasonable period, on the price of the goods in the Australian market. </w:t>
      </w:r>
    </w:p>
    <w:p w14:paraId="3F620B5F" w14:textId="77777777" w:rsidR="009861DE" w:rsidRPr="00545318" w:rsidRDefault="009861DE" w:rsidP="009861DE">
      <w:pPr>
        <w:spacing w:before="120" w:after="120"/>
        <w:ind w:left="720"/>
      </w:pPr>
      <w:r w:rsidRPr="00545318">
        <w:rPr>
          <w:rFonts w:eastAsia="Calibri"/>
          <w:szCs w:val="24"/>
        </w:rPr>
        <w:t xml:space="preserve">When </w:t>
      </w:r>
      <w:r w:rsidRPr="00545318">
        <w:t>the price at which the goods are sold by the importer does not increase in line with the duty paid, the duty will not be effective in redressing the injury to Australian industry from the dumping or subsidisation.</w:t>
      </w:r>
    </w:p>
    <w:p w14:paraId="1979CF62" w14:textId="77777777" w:rsidR="00135D4D" w:rsidRPr="00545318" w:rsidRDefault="00135D4D">
      <w:pPr>
        <w:spacing w:after="200" w:line="276" w:lineRule="auto"/>
      </w:pPr>
      <w:r w:rsidRPr="00545318">
        <w:br w:type="page"/>
      </w:r>
    </w:p>
    <w:p w14:paraId="2F5B1B59" w14:textId="6D0FFD6A" w:rsidR="009861DE" w:rsidRPr="00545318" w:rsidRDefault="009861DE" w:rsidP="009861DE">
      <w:pPr>
        <w:spacing w:before="120" w:after="120"/>
        <w:ind w:left="720"/>
      </w:pPr>
      <w:r w:rsidRPr="00545318">
        <w:t>The Commission is aware that the form of measure imposed can, in some circumstances, influence an exporter’s ability to circumvent the intended effect of the duty. For example, where an ad valorem measure is applied,</w:t>
      </w:r>
      <w:r w:rsidRPr="00545318">
        <w:rPr>
          <w:vertAlign w:val="superscript"/>
        </w:rPr>
        <w:footnoteReference w:id="144"/>
      </w:r>
      <w:r w:rsidRPr="00545318">
        <w:t xml:space="preserve"> an exporter may lower the export price to minimise the effect of the duty. Where such behaviour occurs, the amount of duty collected falls proportionally. Industry has raised concerns that such behaviour may be occurring in relation to certain steel imports.</w:t>
      </w:r>
    </w:p>
    <w:p w14:paraId="5534E505" w14:textId="77777777" w:rsidR="009861DE" w:rsidRPr="00545318" w:rsidRDefault="009861DE" w:rsidP="009861DE">
      <w:pPr>
        <w:spacing w:before="120" w:after="120"/>
        <w:ind w:left="720"/>
      </w:pPr>
      <w:r w:rsidRPr="00545318">
        <w:t xml:space="preserve">Industry has also told the Commission that they have seen evidence suggesting that some exporters are providing rebates, reimbursements or other compensations to importers to offset the impact of duties on the export price, while not changing the invoiced export price. Such payments will have the same effect in reducing the effectiveness of duties as if the export invoiced value had been lowered. </w:t>
      </w:r>
    </w:p>
    <w:p w14:paraId="6942D9CA"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Export of goods through one or more third countries</w:t>
      </w:r>
      <w:r w:rsidRPr="00545318">
        <w:rPr>
          <w:rFonts w:eastAsia="Calibri"/>
          <w:szCs w:val="24"/>
        </w:rPr>
        <w:t xml:space="preserve">: Duties on goods produced in a country subject to measures may be circumvented by shipping goods destined for Australia to a third country (that is not subject to measures), and then on to Australia. To avoid paying anti-dumping duties, importers claim, at the time of entering the goods into Australia, that the goods are from a country not subject to measures. Industry has advised the Commission of market intelligence suggesting the possible export of goods through one or more third countries. </w:t>
      </w:r>
    </w:p>
    <w:p w14:paraId="44AA0694"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Export of goods from a third country: </w:t>
      </w:r>
      <w:r w:rsidRPr="00545318">
        <w:rPr>
          <w:rFonts w:eastAsia="Calibri"/>
          <w:szCs w:val="24"/>
        </w:rPr>
        <w:t>Exporters may arrange for goods from a country subject to measures to be exported by a related company in a third country.</w:t>
      </w:r>
      <w:r w:rsidRPr="00545318">
        <w:rPr>
          <w:rFonts w:eastAsia="Calibri"/>
          <w:b/>
          <w:szCs w:val="24"/>
        </w:rPr>
        <w:t xml:space="preserve"> </w:t>
      </w:r>
      <w:r w:rsidRPr="00545318">
        <w:rPr>
          <w:rFonts w:eastAsia="Calibri"/>
          <w:szCs w:val="24"/>
        </w:rPr>
        <w:t>As the goods are exported from a country not covered by anti-dumping measures, importers avoid paying anti-dumping duties. Industry has advised the Commission of market intelligence that certain goods produced in a foreign country are being exported to third countries where measures on those goods do not apply and the goods are being minimally processed (or ‘re</w:t>
      </w:r>
      <w:r w:rsidRPr="00545318">
        <w:rPr>
          <w:rFonts w:eastAsia="Calibri"/>
          <w:szCs w:val="24"/>
        </w:rPr>
        <w:noBreakHyphen/>
        <w:t xml:space="preserve">manufactured’) and then exported to Australia. </w:t>
      </w:r>
    </w:p>
    <w:p w14:paraId="49CB40B2"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Arrangements between exporters: </w:t>
      </w:r>
      <w:r w:rsidRPr="00545318">
        <w:rPr>
          <w:rFonts w:eastAsia="Calibri"/>
          <w:szCs w:val="24"/>
        </w:rPr>
        <w:t>An exporter subject to a high rate of duties may arrange for goods to be exported to Australia by another exporter which is either not subject to duties or is subject to a lower rate of duty. This allows the importer to pay the lower duty rate (or no duty), when in fact the higher duty rate should apply. For example, Australian industry has claimed that aluminium extrusions are being produced by certain exporters, yet are shipped to Australia by a different exporter that is subject to a lower rate of duty.</w:t>
      </w:r>
    </w:p>
    <w:p w14:paraId="157DB9D8" w14:textId="6673D87F" w:rsidR="009861DE" w:rsidRPr="00545318" w:rsidRDefault="009861DE" w:rsidP="009861DE">
      <w:pPr>
        <w:numPr>
          <w:ilvl w:val="0"/>
          <w:numId w:val="3"/>
        </w:numPr>
        <w:spacing w:before="120" w:after="120"/>
        <w:rPr>
          <w:rFonts w:eastAsia="Calibri"/>
          <w:szCs w:val="24"/>
        </w:rPr>
      </w:pPr>
      <w:r w:rsidRPr="00545318">
        <w:rPr>
          <w:rFonts w:eastAsia="Calibri"/>
          <w:b/>
          <w:szCs w:val="24"/>
        </w:rPr>
        <w:t>Assembly of parts in Australia:</w:t>
      </w:r>
      <w:r w:rsidRPr="00545318">
        <w:rPr>
          <w:rFonts w:eastAsia="Calibri"/>
          <w:szCs w:val="24"/>
        </w:rPr>
        <w:t xml:space="preserve"> </w:t>
      </w:r>
      <w:r w:rsidRPr="00545318">
        <w:t>This activity captures circumstances where parts representing a significant value of the assembled goods are manufactured in a country subject to measures and exported to Australia as parts, which do not attract interim dumping or countervailing duty. The parts are then used in the manufacture of the assembled goods in Australia that would have been subject to interim dumping or countervailing duty</w:t>
      </w:r>
      <w:r w:rsidR="00CF75B4" w:rsidRPr="00545318">
        <w:t>,</w:t>
      </w:r>
      <w:r w:rsidRPr="00545318">
        <w:t xml:space="preserve"> had they been exported to Australia in the assembled state. </w:t>
      </w:r>
    </w:p>
    <w:p w14:paraId="134F4A65" w14:textId="04824172" w:rsidR="009861DE" w:rsidRPr="00545318" w:rsidRDefault="009861DE" w:rsidP="009861DE">
      <w:pPr>
        <w:pStyle w:val="ListParagraph"/>
        <w:numPr>
          <w:ilvl w:val="0"/>
          <w:numId w:val="3"/>
        </w:numPr>
      </w:pPr>
      <w:r w:rsidRPr="00545318">
        <w:rPr>
          <w:rFonts w:eastAsia="Calibri"/>
          <w:b/>
          <w:szCs w:val="24"/>
        </w:rPr>
        <w:t xml:space="preserve">Assembly of parts in a third country: </w:t>
      </w:r>
      <w:r w:rsidRPr="00545318">
        <w:t>This activity is similar to assembly of parts in Australia</w:t>
      </w:r>
      <w:r w:rsidR="00CF75B4" w:rsidRPr="00545318">
        <w:t xml:space="preserve"> (described above)</w:t>
      </w:r>
      <w:r w:rsidRPr="00545318">
        <w:t>; however for this activity</w:t>
      </w:r>
      <w:r w:rsidR="00CF75B4" w:rsidRPr="00545318">
        <w:t>,</w:t>
      </w:r>
      <w:r w:rsidRPr="00545318">
        <w:t xml:space="preserve"> the assembly of the goods that would have been subject to measures occurs in a third country </w:t>
      </w:r>
      <w:r w:rsidR="00CF75B4" w:rsidRPr="00545318">
        <w:t>which</w:t>
      </w:r>
      <w:r w:rsidRPr="00545318">
        <w:t xml:space="preserve"> is not subject to measures. The goods are subsequently exported to Australia from the third country in their assembled state and do not attract interim dumping or countervailing duty. </w:t>
      </w:r>
    </w:p>
    <w:p w14:paraId="681F216A"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63E5BDA3" w14:textId="7115B073" w:rsidR="009861DE" w:rsidRPr="00545318" w:rsidRDefault="009861DE" w:rsidP="009861DE">
      <w:pPr>
        <w:pStyle w:val="Heading3"/>
        <w:spacing w:after="120"/>
      </w:pPr>
      <w:r w:rsidRPr="00545318">
        <w:t>Non-compliance with measures</w:t>
      </w:r>
    </w:p>
    <w:p w14:paraId="7FA8F1D9" w14:textId="77777777" w:rsidR="009861DE" w:rsidRPr="00545318" w:rsidRDefault="009861DE" w:rsidP="009861DE">
      <w:pPr>
        <w:spacing w:before="120" w:after="120"/>
        <w:rPr>
          <w:rFonts w:ascii="Calibri" w:hAnsi="Calibri" w:cs="Calibri"/>
          <w:lang w:val="en-AU"/>
        </w:rPr>
      </w:pPr>
      <w:r w:rsidRPr="00545318">
        <w:rPr>
          <w:rFonts w:ascii="Calibri" w:hAnsi="Calibri" w:cs="Calibri"/>
          <w:lang w:val="en-AU"/>
        </w:rPr>
        <w:t xml:space="preserve">While circumvention is not illegal, non-compliance typically involves fraudulent behaviour designed to avoid or minimise the payment of duties. </w:t>
      </w:r>
    </w:p>
    <w:p w14:paraId="0F5317A8" w14:textId="5B074EF6" w:rsidR="009861DE" w:rsidRPr="00545318" w:rsidRDefault="009861DE" w:rsidP="009861DE">
      <w:pPr>
        <w:spacing w:before="120" w:after="120"/>
        <w:rPr>
          <w:rFonts w:ascii="Calibri" w:hAnsi="Calibri" w:cs="Calibri"/>
          <w:lang w:val="en-AU"/>
        </w:rPr>
      </w:pPr>
      <w:r w:rsidRPr="00545318">
        <w:rPr>
          <w:rFonts w:ascii="Calibri" w:hAnsi="Calibri" w:cs="Calibri"/>
          <w:lang w:val="en-AU"/>
        </w:rPr>
        <w:t>DIBP is responsible for collecting anti</w:t>
      </w:r>
      <w:r w:rsidR="006C2091" w:rsidRPr="00545318">
        <w:rPr>
          <w:rFonts w:ascii="Calibri" w:hAnsi="Calibri" w:cs="Calibri"/>
          <w:lang w:val="en-AU"/>
        </w:rPr>
        <w:noBreakHyphen/>
      </w:r>
      <w:r w:rsidRPr="00545318">
        <w:rPr>
          <w:rFonts w:ascii="Calibri" w:hAnsi="Calibri" w:cs="Calibri"/>
          <w:lang w:val="en-AU"/>
        </w:rPr>
        <w:t xml:space="preserve">dumping and countervailing duties and for enforcing compliance after duties have been imposed. </w:t>
      </w:r>
    </w:p>
    <w:p w14:paraId="01BF4B65" w14:textId="77777777" w:rsidR="009861DE" w:rsidRPr="00545318" w:rsidRDefault="009861DE" w:rsidP="009861DE">
      <w:pPr>
        <w:spacing w:before="120" w:after="120"/>
        <w:rPr>
          <w:rFonts w:eastAsia="Calibri"/>
          <w:szCs w:val="24"/>
        </w:rPr>
      </w:pPr>
      <w:r w:rsidRPr="00545318">
        <w:rPr>
          <w:rFonts w:eastAsia="Calibri"/>
          <w:szCs w:val="24"/>
        </w:rPr>
        <w:t xml:space="preserve">The Commission considers that the following forms </w:t>
      </w:r>
      <w:r w:rsidRPr="00545318">
        <w:t>of alleged non-compliance are reducing, or have the potential to reduce, the effectiveness of Australian trade remedies for the steel and aluminium industries:</w:t>
      </w:r>
    </w:p>
    <w:p w14:paraId="22BC207C"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Misclassification of goods:</w:t>
      </w:r>
      <w:r w:rsidRPr="00545318">
        <w:rPr>
          <w:rFonts w:eastAsia="Calibri"/>
          <w:szCs w:val="24"/>
        </w:rPr>
        <w:t xml:space="preserve"> Goods belonging to a tariff classification to which anti-dumping duties apply may be declared by the importer (or authorised customs broker) as belonging to another tariff classification to which anti-dumping duties do not apply. This behaviour may be intentional (fraudulent) or may reflect a classification error. An indication of this type of behaviour may be an unexplained change in trade patterns after the imposition of duties, specifically a reduction in the volume of goods under a tariff classification to which duties apply to one not subject to duties (or subject to a lower rate of duty). </w:t>
      </w:r>
    </w:p>
    <w:p w14:paraId="2636F0C5" w14:textId="77777777" w:rsidR="009861DE" w:rsidRPr="00545318" w:rsidRDefault="009861DE" w:rsidP="009861DE">
      <w:pPr>
        <w:spacing w:before="120" w:after="120"/>
        <w:ind w:left="720"/>
        <w:rPr>
          <w:rFonts w:eastAsia="Calibri"/>
          <w:szCs w:val="24"/>
        </w:rPr>
      </w:pPr>
      <w:r w:rsidRPr="00545318">
        <w:rPr>
          <w:rFonts w:eastAsia="Calibri"/>
          <w:szCs w:val="24"/>
        </w:rPr>
        <w:t xml:space="preserve">For example, the Commission has been made aware that some importers are misclassifying aluminium extrusions to avoid paying anti-dumping duties. </w:t>
      </w:r>
    </w:p>
    <w:p w14:paraId="24BF7721"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Misuse of exemption codes: </w:t>
      </w:r>
      <w:r w:rsidRPr="00545318">
        <w:rPr>
          <w:rFonts w:eastAsia="Calibri"/>
          <w:szCs w:val="24"/>
        </w:rPr>
        <w:t>When completing an import declaration for imported goods,</w:t>
      </w:r>
      <w:r w:rsidRPr="00545318">
        <w:rPr>
          <w:rFonts w:eastAsia="Calibri"/>
          <w:b/>
          <w:szCs w:val="24"/>
        </w:rPr>
        <w:t xml:space="preserve"> </w:t>
      </w:r>
      <w:r w:rsidRPr="00545318">
        <w:rPr>
          <w:rFonts w:eastAsia="Calibri"/>
          <w:szCs w:val="24"/>
        </w:rPr>
        <w:t xml:space="preserve">importers may falsely declare that the goods are exempt from anti-dumping measures, when in fact anti-dumping measures should apply. </w:t>
      </w:r>
    </w:p>
    <w:p w14:paraId="604A045A"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Mislabelling of country of origin: </w:t>
      </w:r>
      <w:r w:rsidRPr="00545318">
        <w:rPr>
          <w:rFonts w:eastAsia="Calibri"/>
          <w:szCs w:val="24"/>
        </w:rPr>
        <w:t>When completing an import declaration for imported goods,</w:t>
      </w:r>
      <w:r w:rsidRPr="00545318">
        <w:rPr>
          <w:rFonts w:eastAsia="Calibri"/>
          <w:b/>
          <w:szCs w:val="24"/>
        </w:rPr>
        <w:t xml:space="preserve"> </w:t>
      </w:r>
      <w:r w:rsidRPr="00545318">
        <w:rPr>
          <w:rFonts w:eastAsia="Calibri"/>
          <w:szCs w:val="24"/>
        </w:rPr>
        <w:t xml:space="preserve">importers may falsely declare that the goods are from a country that is not subject to anti-dumping measures. Alternatively, exporters may falsely label goods as coming from another country that is not subject to measures. Industry has provided evidence on this. </w:t>
      </w:r>
    </w:p>
    <w:p w14:paraId="1295E8F5" w14:textId="77777777" w:rsidR="009861DE" w:rsidRPr="00545318" w:rsidRDefault="009861DE" w:rsidP="009861DE">
      <w:pPr>
        <w:pStyle w:val="Heading3"/>
        <w:spacing w:after="120"/>
      </w:pPr>
      <w:r w:rsidRPr="00545318">
        <w:t>Other activities that reduce the effectiveness of trade remedies</w:t>
      </w:r>
    </w:p>
    <w:p w14:paraId="1C16C6F0" w14:textId="77777777" w:rsidR="009861DE" w:rsidRPr="00545318" w:rsidRDefault="009861DE" w:rsidP="009861DE">
      <w:pPr>
        <w:spacing w:before="120" w:after="120"/>
        <w:rPr>
          <w:rFonts w:ascii="Calibri" w:hAnsi="Calibri" w:cs="Calibri"/>
          <w:lang w:val="en-AU"/>
        </w:rPr>
      </w:pPr>
      <w:r w:rsidRPr="00545318">
        <w:rPr>
          <w:rFonts w:ascii="Calibri" w:hAnsi="Calibri" w:cs="Calibri"/>
          <w:lang w:val="en-AU"/>
        </w:rPr>
        <w:t>The Commission was told that exporters may engage in other activities that reduce the effectiveness of trade remedies, including:</w:t>
      </w:r>
    </w:p>
    <w:p w14:paraId="30DAA70D"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Deliberate increase in imports prior to a Preliminary Affirmative Determination (PAD): </w:t>
      </w:r>
      <w:r w:rsidRPr="00545318">
        <w:rPr>
          <w:rFonts w:eastAsia="Calibri"/>
          <w:szCs w:val="24"/>
        </w:rPr>
        <w:t>The Commission has been told that some exporters substantially increase the volume of dumped or subsidised exports to Australia in the period between the initiation of an anti-dumping investigation and the Commissioner making a PAD to impose interim duties. No anti-dumping duties are payable on goods exported to Australia prior to the Commissioner making a PAD (except under certain specific circumstances</w:t>
      </w:r>
      <w:r w:rsidRPr="00545318">
        <w:rPr>
          <w:rStyle w:val="FootnoteReference"/>
          <w:rFonts w:eastAsia="Calibri"/>
          <w:szCs w:val="24"/>
        </w:rPr>
        <w:footnoteReference w:id="145"/>
      </w:r>
      <w:r w:rsidRPr="00545318">
        <w:rPr>
          <w:rFonts w:eastAsia="Calibri"/>
          <w:szCs w:val="24"/>
        </w:rPr>
        <w:t>). This behaviour may minimise duty payable and undermine the effectiveness of measures.</w:t>
      </w:r>
    </w:p>
    <w:p w14:paraId="4F476A99"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‘Input dumping’: </w:t>
      </w:r>
      <w:r w:rsidRPr="00545318">
        <w:rPr>
          <w:rFonts w:eastAsia="Calibri"/>
          <w:szCs w:val="24"/>
        </w:rPr>
        <w:t xml:space="preserve">This describes a situation where </w:t>
      </w:r>
      <w:r w:rsidRPr="00545318">
        <w:t xml:space="preserve">an exporter produces goods for export into Australia using dumped or subsidised inputs from a third country. A submission to the House of Representatives inquiry gave an example relating to hot rolled coil from China which is dumped into a third country. The hot rolled coil is used to produce steel pipe and tube (hollow structural sections) in that country, which are then exported to Australia at effectively dumped prices, due to the dumped input comprising a significant proportion of the cost of producing hollow structural sections. When the third country is not covered by the measures for hollow structural sections, no anti-dumping duties are payable on the goods exported to Australia from that country. </w:t>
      </w:r>
    </w:p>
    <w:p w14:paraId="01D1575D" w14:textId="77777777" w:rsidR="009861DE" w:rsidRPr="00545318" w:rsidRDefault="009861DE" w:rsidP="009861DE">
      <w:pPr>
        <w:numPr>
          <w:ilvl w:val="0"/>
          <w:numId w:val="3"/>
        </w:numPr>
        <w:spacing w:before="120" w:after="120"/>
        <w:rPr>
          <w:rFonts w:eastAsia="Calibri"/>
          <w:szCs w:val="24"/>
        </w:rPr>
      </w:pPr>
      <w:r w:rsidRPr="00545318">
        <w:rPr>
          <w:rFonts w:eastAsia="Calibri"/>
          <w:b/>
          <w:szCs w:val="24"/>
        </w:rPr>
        <w:t xml:space="preserve">Country hopping: </w:t>
      </w:r>
      <w:r w:rsidRPr="00545318">
        <w:rPr>
          <w:rFonts w:eastAsia="Calibri"/>
          <w:szCs w:val="24"/>
        </w:rPr>
        <w:t>Country hopping occurs where, after anti-dumping measures are imposed (or an application for measures is made) in relation to certain countries,</w:t>
      </w:r>
      <w:r w:rsidRPr="00545318">
        <w:rPr>
          <w:rFonts w:eastAsia="Calibri"/>
          <w:b/>
          <w:szCs w:val="24"/>
        </w:rPr>
        <w:t xml:space="preserve"> </w:t>
      </w:r>
      <w:r w:rsidRPr="00545318">
        <w:rPr>
          <w:rFonts w:eastAsia="Calibri"/>
          <w:szCs w:val="24"/>
        </w:rPr>
        <w:t xml:space="preserve">importers move to source the goods from another country not covered by measures (or by the application) but which appears likely to also be ‘dumping’ or benefiting from subsidisation (but this has not been proven). </w:t>
      </w:r>
    </w:p>
    <w:p w14:paraId="57112DDA" w14:textId="77777777" w:rsidR="009861DE" w:rsidRPr="00545318" w:rsidRDefault="009861DE" w:rsidP="009861DE">
      <w:pPr>
        <w:spacing w:before="120" w:after="120"/>
        <w:ind w:left="720"/>
        <w:rPr>
          <w:rFonts w:eastAsia="Calibri"/>
          <w:szCs w:val="24"/>
        </w:rPr>
      </w:pPr>
      <w:r w:rsidRPr="00545318">
        <w:rPr>
          <w:rFonts w:eastAsia="Calibri"/>
          <w:szCs w:val="24"/>
        </w:rPr>
        <w:t>As a result, the Australian industry may continue to suffer material injury caused by dumping (to the extent that dumping is subsequently proven), and the effectiveness of measures is undermined, until industry can bring an application to the Commission and an investigation is conducted that finds the evidence required to support the application of duties to those countries. Material injury can be suffered during this period.</w:t>
      </w:r>
    </w:p>
    <w:p w14:paraId="4918DE56" w14:textId="77777777" w:rsidR="009861DE" w:rsidRPr="00545318" w:rsidRDefault="009861DE" w:rsidP="009861DE">
      <w:pPr>
        <w:spacing w:before="120" w:after="120"/>
        <w:ind w:left="720"/>
      </w:pPr>
      <w:r w:rsidRPr="00545318">
        <w:rPr>
          <w:rFonts w:eastAsia="Calibri"/>
          <w:szCs w:val="24"/>
        </w:rPr>
        <w:t xml:space="preserve">Industry has provided market intelligence that certain </w:t>
      </w:r>
      <w:r w:rsidRPr="00545318">
        <w:t>importers have sought new sources of supply following the imposition of measures on specific products and suggested that these new sources are also dumped or subsidised.</w:t>
      </w:r>
    </w:p>
    <w:p w14:paraId="5A16676D" w14:textId="77777777" w:rsidR="009861DE" w:rsidRPr="00545318" w:rsidRDefault="009861DE" w:rsidP="009861DE">
      <w:pPr>
        <w:numPr>
          <w:ilvl w:val="0"/>
          <w:numId w:val="3"/>
        </w:numPr>
        <w:spacing w:before="120" w:after="120"/>
      </w:pPr>
      <w:r w:rsidRPr="00545318">
        <w:rPr>
          <w:rFonts w:eastAsia="Calibri"/>
          <w:b/>
          <w:szCs w:val="24"/>
        </w:rPr>
        <w:t>‘Phoenix’ companies</w:t>
      </w:r>
      <w:r w:rsidRPr="00545318">
        <w:rPr>
          <w:rFonts w:eastAsia="Calibri"/>
          <w:szCs w:val="24"/>
        </w:rPr>
        <w:t xml:space="preserve">: This refers to a situation where an exporter or importer that is subject to measures is ‘wound’ up to avoid paying the assessed duties and a ‘new’ company reappears in its place, with essentially the same operations, staff, location and so on. The Commission was given market intelligence that purports to demonstrate this practice occurring in parts of the global aluminium industry. </w:t>
      </w:r>
    </w:p>
    <w:p w14:paraId="288AA6CD" w14:textId="77777777" w:rsidR="009861DE" w:rsidRPr="00545318" w:rsidRDefault="009861DE" w:rsidP="009861DE">
      <w:pPr>
        <w:pStyle w:val="Heading2"/>
      </w:pPr>
      <w:bookmarkStart w:id="78" w:name="_Toc458674177"/>
      <w:bookmarkStart w:id="79" w:name="_Toc460430507"/>
      <w:r w:rsidRPr="00545318">
        <w:t>Assessment of impact of measures on exporter and importer behaviour</w:t>
      </w:r>
      <w:bookmarkEnd w:id="78"/>
      <w:bookmarkEnd w:id="79"/>
      <w:r w:rsidRPr="00545318">
        <w:t xml:space="preserve"> </w:t>
      </w:r>
    </w:p>
    <w:p w14:paraId="6A2DD705" w14:textId="77777777" w:rsidR="009861DE" w:rsidRPr="00545318" w:rsidRDefault="009861DE" w:rsidP="009861DE">
      <w:pPr>
        <w:spacing w:before="120" w:after="120"/>
        <w:rPr>
          <w:rFonts w:ascii="Calibri" w:hAnsi="Calibri" w:cs="Calibri"/>
          <w:lang w:val="en-AU"/>
        </w:rPr>
      </w:pPr>
      <w:r w:rsidRPr="00545318">
        <w:rPr>
          <w:rFonts w:ascii="Calibri" w:hAnsi="Calibri" w:cs="Calibri"/>
          <w:lang w:val="en-AU"/>
        </w:rPr>
        <w:t xml:space="preserve">Using the import data and industry data currently available to it, the Commission has conducted a preliminary quantitative assessment of the effectiveness of trade remedies in changing importer and exporter behaviour. </w:t>
      </w:r>
    </w:p>
    <w:p w14:paraId="7B9EBEC4" w14:textId="77777777" w:rsidR="009861DE" w:rsidRPr="00545318" w:rsidRDefault="009861DE" w:rsidP="009861DE">
      <w:pPr>
        <w:spacing w:before="120" w:after="120"/>
      </w:pPr>
      <w:r w:rsidRPr="00545318">
        <w:t>The initial findings described below are indicative only due to the preliminary nature of the Commission’s assessment. It is important to note that import volumes and prices may have changed for reasons other than the imposition of measures. These reasons include demand changes, changes in the quality or features of imported products, or increased competition from non-dumped and non-subsidised imports. The Commission intends to conduct further work as part of the ADIS conduct of its market intelligence role to analyse the data in greater detail, and using appropriate economic and statistical techniques, to identify separately the impacts of the main influences on import volumes and prices.</w:t>
      </w:r>
    </w:p>
    <w:p w14:paraId="1409713F" w14:textId="77777777" w:rsidR="009861DE" w:rsidRPr="00545318" w:rsidRDefault="009861DE" w:rsidP="009861DE">
      <w:pPr>
        <w:spacing w:before="120" w:after="120"/>
        <w:rPr>
          <w:rFonts w:ascii="Calibri" w:hAnsi="Calibri" w:cs="Calibri"/>
          <w:lang w:val="en-AU"/>
        </w:rPr>
      </w:pPr>
      <w:r w:rsidRPr="00545318">
        <w:rPr>
          <w:rFonts w:ascii="Calibri" w:hAnsi="Calibri" w:cs="Calibri"/>
          <w:lang w:val="en-AU"/>
        </w:rPr>
        <w:t xml:space="preserve">The Commission is working closely with DIBP to build capability in applying advanced statistical techniques to import data to: </w:t>
      </w:r>
    </w:p>
    <w:p w14:paraId="494A4418" w14:textId="1748DC84" w:rsidR="009861DE" w:rsidRPr="00545318" w:rsidRDefault="009861DE" w:rsidP="009861DE">
      <w:pPr>
        <w:numPr>
          <w:ilvl w:val="0"/>
          <w:numId w:val="25"/>
        </w:numPr>
        <w:spacing w:before="120" w:after="120"/>
        <w:rPr>
          <w:rFonts w:ascii="Calibri" w:hAnsi="Calibri" w:cs="Calibri"/>
          <w:lang w:val="en-AU"/>
        </w:rPr>
      </w:pPr>
      <w:r w:rsidRPr="00545318">
        <w:rPr>
          <w:rFonts w:ascii="Calibri" w:hAnsi="Calibri" w:cs="Calibri"/>
          <w:lang w:val="en-AU"/>
        </w:rPr>
        <w:t>measure the impacts on import volumes and prices resulting from the imposition of anti</w:t>
      </w:r>
      <w:r w:rsidR="00DE7278">
        <w:rPr>
          <w:rFonts w:ascii="Calibri" w:hAnsi="Calibri" w:cs="Calibri"/>
          <w:lang w:val="en-AU"/>
        </w:rPr>
        <w:noBreakHyphen/>
      </w:r>
      <w:r w:rsidRPr="00545318">
        <w:rPr>
          <w:rFonts w:ascii="Calibri" w:hAnsi="Calibri" w:cs="Calibri"/>
          <w:lang w:val="en-AU"/>
        </w:rPr>
        <w:t xml:space="preserve">dumping and countervailing duties </w:t>
      </w:r>
    </w:p>
    <w:p w14:paraId="41232E20" w14:textId="77777777" w:rsidR="009861DE" w:rsidRPr="00545318" w:rsidRDefault="009861DE" w:rsidP="009861DE">
      <w:pPr>
        <w:numPr>
          <w:ilvl w:val="0"/>
          <w:numId w:val="25"/>
        </w:numPr>
        <w:spacing w:before="120" w:after="120"/>
        <w:rPr>
          <w:rFonts w:ascii="Calibri" w:hAnsi="Calibri" w:cs="Calibri"/>
          <w:lang w:val="en-AU"/>
        </w:rPr>
      </w:pPr>
      <w:r w:rsidRPr="00545318">
        <w:rPr>
          <w:rFonts w:ascii="Calibri" w:hAnsi="Calibri" w:cs="Calibri"/>
          <w:lang w:val="en-AU"/>
        </w:rPr>
        <w:t xml:space="preserve">identify statistical indicators of potential circumvention or non-compliance, such as unexpected increases in imports not subject to measures that appear to correlate with the imposition of duties. </w:t>
      </w:r>
    </w:p>
    <w:p w14:paraId="7DAD608E" w14:textId="77777777" w:rsidR="009861DE" w:rsidRPr="00545318" w:rsidRDefault="009861DE" w:rsidP="009861DE">
      <w:pPr>
        <w:spacing w:before="120" w:after="120"/>
        <w:rPr>
          <w:rFonts w:ascii="Calibri" w:hAnsi="Calibri" w:cs="Calibri"/>
          <w:lang w:val="en-AU"/>
        </w:rPr>
      </w:pPr>
      <w:r w:rsidRPr="00545318">
        <w:rPr>
          <w:rFonts w:ascii="Calibri" w:hAnsi="Calibri" w:cs="Calibri"/>
          <w:lang w:val="en-AU"/>
        </w:rPr>
        <w:t xml:space="preserve">Results from detailed statistical analyses of DIBP import data will assist the Commission in its ongoing work program for assessing the effectiveness of measures and identifying, in conjunction with DIBP, potential instances of circumvention or non-compliance that require further investigation. The Commission notes that the Parliamentary Secretary may initiate circumvention inquiries under the Customs Act. Anti-circumvention measures or enforcement actions may be taken when such investigations uncover evidence of circumvention or non-compliance. </w:t>
      </w:r>
    </w:p>
    <w:p w14:paraId="7F5E2D1B" w14:textId="77777777" w:rsidR="009861DE" w:rsidRPr="00545318" w:rsidRDefault="009861DE" w:rsidP="009861DE">
      <w:pPr>
        <w:pStyle w:val="Heading3"/>
        <w:spacing w:after="120"/>
      </w:pPr>
      <w:r w:rsidRPr="00545318">
        <w:t xml:space="preserve">Summary of findings </w:t>
      </w:r>
    </w:p>
    <w:p w14:paraId="5AF55905" w14:textId="77777777" w:rsidR="009861DE" w:rsidRPr="00545318" w:rsidRDefault="009861DE" w:rsidP="009861DE">
      <w:pPr>
        <w:spacing w:before="120" w:after="120"/>
      </w:pPr>
      <w:r w:rsidRPr="00545318">
        <w:t xml:space="preserve">The impact of measures on the imports of three products was assessed using DIBP import data. The three products are zinc coated (galvanised) steel, hollow structural steel sections and aluminium extrusions. </w:t>
      </w:r>
    </w:p>
    <w:p w14:paraId="11650A88" w14:textId="77777777" w:rsidR="009861DE" w:rsidRPr="00545318" w:rsidRDefault="009861DE" w:rsidP="009861DE">
      <w:pPr>
        <w:spacing w:before="120" w:after="120"/>
      </w:pPr>
      <w:r w:rsidRPr="00545318">
        <w:t xml:space="preserve">The analysis of the import data in this section focuses on identifying how the imposition of measures has affected the composition of imports. In the next section, the Commission reports on its analysis of import data in combination with data from the Australian industry—this analysis gives a fuller picture of the impact of measures and allows for some conclusions to be drawn about the effectiveness of measures in reducing injury to the Australian industry. </w:t>
      </w:r>
    </w:p>
    <w:p w14:paraId="6C51C497" w14:textId="77777777" w:rsidR="009861DE" w:rsidRPr="00545318" w:rsidRDefault="009861DE" w:rsidP="009861DE">
      <w:pPr>
        <w:spacing w:before="120" w:after="120"/>
      </w:pPr>
      <w:r w:rsidRPr="00545318">
        <w:t xml:space="preserve">The Commission’s preliminary analysis of the import data suggests that Australian anti-dumping and countervailing measures are generally effective in reducing the share of imports from countries subject to measures. This occurs because the targeted nature of anti-dumping and countervailing measures changes the relative prices for goods subject to measures compared to those from countries (or exporters) that have not been found to be dumping or benefiting from subsidisation, as well as products manufactured by the Australian industries. </w:t>
      </w:r>
    </w:p>
    <w:p w14:paraId="17EFD61C" w14:textId="77777777" w:rsidR="009861DE" w:rsidRPr="00545318" w:rsidRDefault="009861DE" w:rsidP="009861DE">
      <w:pPr>
        <w:pStyle w:val="Heading3"/>
        <w:spacing w:after="120"/>
      </w:pPr>
      <w:r w:rsidRPr="00545318">
        <w:t xml:space="preserve">Zinc coated (galvanised) steel </w:t>
      </w:r>
    </w:p>
    <w:p w14:paraId="66F5B062" w14:textId="77777777" w:rsidR="009861DE" w:rsidRPr="00545318" w:rsidRDefault="009861DE" w:rsidP="009861DE">
      <w:pPr>
        <w:spacing w:before="120" w:after="120"/>
      </w:pPr>
      <w:r w:rsidRPr="00545318">
        <w:t xml:space="preserve">The impact of measures on zinc coated (galvanised) steel was assessed using DIBP data. Figure 6.1 shows that, following initiation of an investigation by the Commission and imposition of measures on zinc coated (galvanised) steel by the then Attorney-General in August 2013, the proportion of those goods imported to Australia from countries affected by the measures dropped significantly but partly recovered from late 2014. </w:t>
      </w:r>
    </w:p>
    <w:p w14:paraId="7A7C92FD"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 Zinc coated (galvanised) steel—share of import volumes by country group (% per quarter)</w:t>
      </w:r>
    </w:p>
    <w:p w14:paraId="181FE9A0" w14:textId="77777777" w:rsidR="009861DE" w:rsidRPr="00545318" w:rsidRDefault="009861DE" w:rsidP="009861DE">
      <w:pPr>
        <w:spacing w:after="120"/>
        <w:rPr>
          <w:rFonts w:ascii="Arial" w:eastAsia="Times New Roman" w:hAnsi="Arial" w:cs="Arial"/>
          <w:b/>
          <w:lang w:val="en-AU" w:eastAsia="en-AU"/>
        </w:rPr>
      </w:pPr>
      <w:r w:rsidRPr="00545318">
        <w:rPr>
          <w:rFonts w:ascii="Arial" w:eastAsia="Times New Roman" w:hAnsi="Arial" w:cs="Arial"/>
          <w:noProof/>
          <w:lang w:val="en-AU" w:eastAsia="en-AU"/>
        </w:rPr>
        <w:drawing>
          <wp:inline distT="0" distB="0" distL="0" distR="0" wp14:anchorId="237A798A" wp14:editId="2C95648C">
            <wp:extent cx="5731510" cy="3122930"/>
            <wp:effectExtent l="0" t="0" r="254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vanised Percent Country.jpg"/>
                    <pic:cNvPicPr/>
                  </pic:nvPicPr>
                  <pic:blipFill>
                    <a:blip r:embed="rId45">
                      <a:extLst>
                        <a:ext uri="{28A0092B-C50C-407E-A947-70E740481C1C}">
                          <a14:useLocalDpi xmlns:a14="http://schemas.microsoft.com/office/drawing/2010/main" val="0"/>
                        </a:ext>
                      </a:extLst>
                    </a:blip>
                    <a:stretch>
                      <a:fillRect/>
                    </a:stretch>
                  </pic:blipFill>
                  <pic:spPr>
                    <a:xfrm>
                      <a:off x="0" y="0"/>
                      <a:ext cx="5731510" cy="3122930"/>
                    </a:xfrm>
                    <a:prstGeom prst="rect">
                      <a:avLst/>
                    </a:prstGeom>
                  </pic:spPr>
                </pic:pic>
              </a:graphicData>
            </a:graphic>
          </wp:inline>
        </w:drawing>
      </w:r>
    </w:p>
    <w:p w14:paraId="1B526064"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DIBP trade data</w:t>
      </w:r>
    </w:p>
    <w:p w14:paraId="424897D2" w14:textId="77777777" w:rsidR="009861DE" w:rsidRPr="00545318" w:rsidRDefault="009861DE" w:rsidP="009861DE">
      <w:pPr>
        <w:spacing w:before="120" w:after="120"/>
      </w:pPr>
      <w:r w:rsidRPr="00545318">
        <w:t xml:space="preserve">The Commission considers that the increase in the import share of countries subject to measures is likely to have reflected circumvention, specifically the addition of alloys such as boron. As noted in section 7.4.1, on 18 March 2016, notice of the Parliamentary Secretary’s decision to accept the </w:t>
      </w:r>
      <w:r w:rsidRPr="00545318">
        <w:rPr>
          <w:rFonts w:cs="Arial"/>
        </w:rPr>
        <w:t xml:space="preserve">Commissioner’s recommendation that </w:t>
      </w:r>
      <w:r w:rsidRPr="00545318">
        <w:t>the original anti-dumping notices be altered to apply to alloyed galvanised steel imported with effect from the date of initiation of the anti-circumvention inquiries was published.</w:t>
      </w:r>
    </w:p>
    <w:p w14:paraId="011CDDFF" w14:textId="77777777" w:rsidR="00DE7278" w:rsidRDefault="00DE7278">
      <w:pPr>
        <w:spacing w:after="200" w:line="276" w:lineRule="auto"/>
        <w:rPr>
          <w:rFonts w:asciiTheme="majorHAnsi" w:eastAsiaTheme="majorEastAsia" w:hAnsiTheme="majorHAnsi" w:cstheme="majorBidi"/>
          <w:b/>
          <w:bCs/>
          <w:color w:val="4F81BD" w:themeColor="accent1"/>
        </w:rPr>
      </w:pPr>
      <w:r>
        <w:br w:type="page"/>
      </w:r>
    </w:p>
    <w:p w14:paraId="75F535AB" w14:textId="614076DD" w:rsidR="009861DE" w:rsidRPr="00545318" w:rsidRDefault="009861DE" w:rsidP="009861DE">
      <w:pPr>
        <w:pStyle w:val="Heading3"/>
        <w:spacing w:after="120"/>
      </w:pPr>
      <w:r w:rsidRPr="00545318">
        <w:t>Hollow structural steel sections</w:t>
      </w:r>
    </w:p>
    <w:p w14:paraId="5B18CDEA" w14:textId="77777777" w:rsidR="009861DE" w:rsidRPr="00545318" w:rsidRDefault="009861DE" w:rsidP="009861DE">
      <w:pPr>
        <w:spacing w:before="120" w:after="120"/>
      </w:pPr>
      <w:r w:rsidRPr="00545318">
        <w:t xml:space="preserve">The impact of measures imposed on hollow structural steel sections was assessed using DIBP data. Figure 6.2 shows that, following the imposition of measures on hollow structural steel sections by the then Minister for Home Affairs, the share of those goods imported to Australia from the countries affected by the measures has fallen compared to the period before measures were imposed. </w:t>
      </w:r>
    </w:p>
    <w:p w14:paraId="61A08051"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6.2: Hollow structural sections—share of import volumes by country group (% per quarter)</w:t>
      </w:r>
    </w:p>
    <w:p w14:paraId="65679C5C" w14:textId="77777777" w:rsidR="009861DE" w:rsidRPr="00545318" w:rsidRDefault="009861DE" w:rsidP="009861DE">
      <w:pPr>
        <w:rPr>
          <w:rFonts w:ascii="Arial" w:hAnsi="Arial" w:cs="Arial"/>
          <w:b/>
        </w:rPr>
      </w:pPr>
      <w:r w:rsidRPr="00545318">
        <w:rPr>
          <w:rFonts w:ascii="Arial" w:hAnsi="Arial" w:cs="Arial"/>
          <w:b/>
          <w:noProof/>
          <w:lang w:val="en-AU" w:eastAsia="en-AU"/>
        </w:rPr>
        <w:drawing>
          <wp:inline distT="0" distB="0" distL="0" distR="0" wp14:anchorId="7A3F1849" wp14:editId="6193A905">
            <wp:extent cx="5731510" cy="31229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S Percent Country.jpg"/>
                    <pic:cNvPicPr/>
                  </pic:nvPicPr>
                  <pic:blipFill>
                    <a:blip r:embed="rId46">
                      <a:extLst>
                        <a:ext uri="{28A0092B-C50C-407E-A947-70E740481C1C}">
                          <a14:useLocalDpi xmlns:a14="http://schemas.microsoft.com/office/drawing/2010/main" val="0"/>
                        </a:ext>
                      </a:extLst>
                    </a:blip>
                    <a:stretch>
                      <a:fillRect/>
                    </a:stretch>
                  </pic:blipFill>
                  <pic:spPr>
                    <a:xfrm>
                      <a:off x="0" y="0"/>
                      <a:ext cx="5731510" cy="3122930"/>
                    </a:xfrm>
                    <a:prstGeom prst="rect">
                      <a:avLst/>
                    </a:prstGeom>
                  </pic:spPr>
                </pic:pic>
              </a:graphicData>
            </a:graphic>
          </wp:inline>
        </w:drawing>
      </w:r>
    </w:p>
    <w:p w14:paraId="52E655B4"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DIBP trade data</w:t>
      </w:r>
    </w:p>
    <w:p w14:paraId="6972C3E3" w14:textId="77777777" w:rsidR="009861DE" w:rsidRPr="00545318" w:rsidRDefault="009861DE" w:rsidP="009861DE">
      <w:pPr>
        <w:spacing w:before="120" w:after="120"/>
      </w:pPr>
      <w:r w:rsidRPr="00545318">
        <w:t xml:space="preserve">Similar to zinc coated (galvanised) steel, the Commission considers that the increase in the import share of countries subject to measures from late 2014 is likely to have reflected circumvention, specifically the addition of alloys such as boron. As noted in section 7.4.1, on 18 March 2016, notice of the Parliamentary Secretary’s decision to accept the </w:t>
      </w:r>
      <w:r w:rsidRPr="00545318">
        <w:rPr>
          <w:rFonts w:cs="Arial"/>
        </w:rPr>
        <w:t xml:space="preserve">Commissioner’s recommendation that </w:t>
      </w:r>
      <w:r w:rsidRPr="00545318">
        <w:t>the original anti-dumping notices be altered to apply to alloyed hollow structural sections imported with effect from the date of initiation of the anti-circumvention inquiries was published.</w:t>
      </w:r>
    </w:p>
    <w:p w14:paraId="72D1D213" w14:textId="77777777" w:rsidR="009861DE" w:rsidRPr="00545318" w:rsidRDefault="009861DE" w:rsidP="009861DE">
      <w:pPr>
        <w:pStyle w:val="Heading3"/>
      </w:pPr>
      <w:r w:rsidRPr="00545318">
        <w:t>Aluminium extrusions</w:t>
      </w:r>
    </w:p>
    <w:p w14:paraId="76751158" w14:textId="132BA2A3" w:rsidR="009861DE" w:rsidRPr="00545318" w:rsidRDefault="009861DE" w:rsidP="009861DE">
      <w:pPr>
        <w:spacing w:before="120" w:after="120"/>
      </w:pPr>
      <w:r w:rsidRPr="00545318">
        <w:t xml:space="preserve">The impact of measures imposed on aluminium extrusions was assessed using DIBP data. Figure 6.3 shows that, following imposition of measures on aluminium extrusions by the then Attorney-General, the proportion of those goods imported to Australia from the countries affected by the measures has generally fallen compared to the period before measures were imposed. </w:t>
      </w:r>
    </w:p>
    <w:p w14:paraId="04275349"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6.3: Aluminium extrusions—share of import volumes by country group (% per quarter)</w:t>
      </w:r>
    </w:p>
    <w:p w14:paraId="73B2C3CD" w14:textId="77777777" w:rsidR="009861DE" w:rsidRPr="00545318" w:rsidRDefault="009861DE" w:rsidP="009861DE">
      <w:pPr>
        <w:rPr>
          <w:rFonts w:ascii="Arial" w:hAnsi="Arial" w:cs="Arial"/>
          <w:b/>
        </w:rPr>
      </w:pPr>
      <w:r w:rsidRPr="00545318">
        <w:rPr>
          <w:rFonts w:ascii="Arial" w:hAnsi="Arial" w:cs="Arial"/>
          <w:b/>
          <w:noProof/>
          <w:lang w:val="en-AU" w:eastAsia="en-AU"/>
        </w:rPr>
        <w:drawing>
          <wp:inline distT="0" distB="0" distL="0" distR="0" wp14:anchorId="78C8126F" wp14:editId="2E782290">
            <wp:extent cx="5731510" cy="3122930"/>
            <wp:effectExtent l="0" t="0" r="254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 Ex country percent.jpg"/>
                    <pic:cNvPicPr/>
                  </pic:nvPicPr>
                  <pic:blipFill>
                    <a:blip r:embed="rId47">
                      <a:extLst>
                        <a:ext uri="{28A0092B-C50C-407E-A947-70E740481C1C}">
                          <a14:useLocalDpi xmlns:a14="http://schemas.microsoft.com/office/drawing/2010/main" val="0"/>
                        </a:ext>
                      </a:extLst>
                    </a:blip>
                    <a:stretch>
                      <a:fillRect/>
                    </a:stretch>
                  </pic:blipFill>
                  <pic:spPr>
                    <a:xfrm>
                      <a:off x="0" y="0"/>
                      <a:ext cx="5731510" cy="3122930"/>
                    </a:xfrm>
                    <a:prstGeom prst="rect">
                      <a:avLst/>
                    </a:prstGeom>
                  </pic:spPr>
                </pic:pic>
              </a:graphicData>
            </a:graphic>
          </wp:inline>
        </w:drawing>
      </w:r>
    </w:p>
    <w:p w14:paraId="2C0E76BA"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DIBP trade data</w:t>
      </w:r>
    </w:p>
    <w:p w14:paraId="41ED7CBC" w14:textId="77777777" w:rsidR="009861DE" w:rsidRPr="00545318" w:rsidRDefault="009861DE" w:rsidP="009861DE">
      <w:pPr>
        <w:pStyle w:val="Heading2"/>
      </w:pPr>
      <w:bookmarkStart w:id="80" w:name="_Toc458674178"/>
      <w:bookmarkStart w:id="81" w:name="_Toc460430508"/>
      <w:r w:rsidRPr="00545318">
        <w:t>Assessment of impact of measures on Australian industry sales volumes and prices</w:t>
      </w:r>
      <w:bookmarkEnd w:id="80"/>
      <w:bookmarkEnd w:id="81"/>
    </w:p>
    <w:p w14:paraId="4ED716DB" w14:textId="77777777" w:rsidR="009861DE" w:rsidRPr="00545318" w:rsidRDefault="009861DE" w:rsidP="009861DE">
      <w:pPr>
        <w:pStyle w:val="Heading3"/>
        <w:spacing w:after="120"/>
      </w:pPr>
      <w:r w:rsidRPr="00545318">
        <w:t>Summary of assessment method and findings</w:t>
      </w:r>
    </w:p>
    <w:p w14:paraId="2C94B23E" w14:textId="77777777" w:rsidR="009861DE" w:rsidRPr="00545318" w:rsidRDefault="009861DE" w:rsidP="009861DE">
      <w:pPr>
        <w:spacing w:before="120" w:after="120"/>
      </w:pPr>
      <w:r w:rsidRPr="00545318">
        <w:t>The Commission obtained import data from the DIBP and sales revenue and volume data from Australian steel and aluminium manufacturers, namely OneSteel, BlueScope and Capral. Data sought and provided related specifically to the following steel and aluminium products that have been subject to anti-dumping and/or countervailing measures:</w:t>
      </w:r>
    </w:p>
    <w:p w14:paraId="5F86B077" w14:textId="77777777" w:rsidR="009861DE" w:rsidRPr="00545318" w:rsidRDefault="009861DE" w:rsidP="009861DE">
      <w:pPr>
        <w:pStyle w:val="ListParagraph"/>
        <w:numPr>
          <w:ilvl w:val="0"/>
          <w:numId w:val="31"/>
        </w:numPr>
        <w:spacing w:after="200" w:line="276" w:lineRule="auto"/>
      </w:pPr>
      <w:r w:rsidRPr="00545318">
        <w:t xml:space="preserve">steel reinforcing bar </w:t>
      </w:r>
    </w:p>
    <w:p w14:paraId="4D2CAB0F" w14:textId="77777777" w:rsidR="009861DE" w:rsidRPr="00545318" w:rsidRDefault="009861DE" w:rsidP="009861DE">
      <w:pPr>
        <w:pStyle w:val="ListParagraph"/>
        <w:numPr>
          <w:ilvl w:val="0"/>
          <w:numId w:val="31"/>
        </w:numPr>
        <w:spacing w:after="200" w:line="276" w:lineRule="auto"/>
      </w:pPr>
      <w:r w:rsidRPr="00545318">
        <w:t>rod in coil</w:t>
      </w:r>
    </w:p>
    <w:p w14:paraId="45AB3285" w14:textId="77777777" w:rsidR="009861DE" w:rsidRPr="00545318" w:rsidRDefault="009861DE" w:rsidP="009861DE">
      <w:pPr>
        <w:pStyle w:val="ListParagraph"/>
        <w:numPr>
          <w:ilvl w:val="0"/>
          <w:numId w:val="31"/>
        </w:numPr>
        <w:spacing w:after="200" w:line="276" w:lineRule="auto"/>
      </w:pPr>
      <w:r w:rsidRPr="00545318">
        <w:t>hollow structural sections</w:t>
      </w:r>
    </w:p>
    <w:p w14:paraId="53BDEA83" w14:textId="77777777" w:rsidR="009861DE" w:rsidRPr="00545318" w:rsidRDefault="009861DE" w:rsidP="009861DE">
      <w:pPr>
        <w:pStyle w:val="ListParagraph"/>
        <w:numPr>
          <w:ilvl w:val="0"/>
          <w:numId w:val="31"/>
        </w:numPr>
        <w:spacing w:after="200" w:line="276" w:lineRule="auto"/>
      </w:pPr>
      <w:r w:rsidRPr="00545318">
        <w:t>hot rolled structural sections</w:t>
      </w:r>
    </w:p>
    <w:p w14:paraId="37DA8765" w14:textId="77777777" w:rsidR="009861DE" w:rsidRPr="00545318" w:rsidRDefault="009861DE" w:rsidP="009861DE">
      <w:pPr>
        <w:pStyle w:val="ListParagraph"/>
        <w:numPr>
          <w:ilvl w:val="0"/>
          <w:numId w:val="31"/>
        </w:numPr>
        <w:spacing w:after="200" w:line="276" w:lineRule="auto"/>
      </w:pPr>
      <w:r w:rsidRPr="00545318">
        <w:t>hot rolled coil</w:t>
      </w:r>
    </w:p>
    <w:p w14:paraId="5589056E" w14:textId="77777777" w:rsidR="009861DE" w:rsidRPr="00545318" w:rsidRDefault="009861DE" w:rsidP="009861DE">
      <w:pPr>
        <w:pStyle w:val="ListParagraph"/>
        <w:numPr>
          <w:ilvl w:val="0"/>
          <w:numId w:val="31"/>
        </w:numPr>
        <w:spacing w:after="200" w:line="276" w:lineRule="auto"/>
      </w:pPr>
      <w:r w:rsidRPr="00545318">
        <w:t>galvanised steel</w:t>
      </w:r>
    </w:p>
    <w:p w14:paraId="04A241B4" w14:textId="77777777" w:rsidR="009861DE" w:rsidRPr="00545318" w:rsidRDefault="009861DE" w:rsidP="009861DE">
      <w:pPr>
        <w:pStyle w:val="ListParagraph"/>
        <w:numPr>
          <w:ilvl w:val="0"/>
          <w:numId w:val="31"/>
        </w:numPr>
        <w:spacing w:after="200" w:line="276" w:lineRule="auto"/>
      </w:pPr>
      <w:r w:rsidRPr="00545318">
        <w:t>plate steel</w:t>
      </w:r>
    </w:p>
    <w:p w14:paraId="5FBF49B7" w14:textId="77777777" w:rsidR="009861DE" w:rsidRPr="00545318" w:rsidRDefault="009861DE" w:rsidP="009861DE">
      <w:pPr>
        <w:pStyle w:val="ListParagraph"/>
        <w:numPr>
          <w:ilvl w:val="0"/>
          <w:numId w:val="31"/>
        </w:numPr>
        <w:spacing w:after="200" w:line="276" w:lineRule="auto"/>
      </w:pPr>
      <w:r w:rsidRPr="00545318">
        <w:t>aluminium extrusions.</w:t>
      </w:r>
    </w:p>
    <w:p w14:paraId="487BDB94" w14:textId="77777777" w:rsidR="009861DE" w:rsidRPr="00545318" w:rsidRDefault="009861DE" w:rsidP="009861DE">
      <w:pPr>
        <w:spacing w:before="120" w:after="120"/>
      </w:pPr>
      <w:r w:rsidRPr="00545318">
        <w:t>The data does not cover the entire Australian steel and aluminium market, but the Commission considers that the coverage of the products listed above provides a reasonable basis for a preliminary assessment of the effectiveness of measures.</w:t>
      </w:r>
    </w:p>
    <w:p w14:paraId="52A39E65" w14:textId="77777777" w:rsidR="009861DE" w:rsidRPr="00545318" w:rsidRDefault="009861DE" w:rsidP="009861DE">
      <w:pPr>
        <w:spacing w:before="120" w:after="120"/>
      </w:pPr>
      <w:r w:rsidRPr="00545318">
        <w:t>The initial results suggest that Australian anti-dumping and countervailing measures have generally been effective in improving Australian industry’s ability to compete with imports.</w:t>
      </w:r>
    </w:p>
    <w:p w14:paraId="1448D11C"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6A007C87" w14:textId="0D51C03E" w:rsidR="009861DE" w:rsidRPr="00545318" w:rsidRDefault="009861DE" w:rsidP="009861DE">
      <w:pPr>
        <w:pStyle w:val="Heading3"/>
        <w:spacing w:after="120"/>
      </w:pPr>
      <w:r w:rsidRPr="00545318">
        <w:t>Steel sales volumes</w:t>
      </w:r>
    </w:p>
    <w:p w14:paraId="2FB64034" w14:textId="77777777" w:rsidR="009861DE" w:rsidRPr="00545318" w:rsidRDefault="009861DE" w:rsidP="009861DE">
      <w:pPr>
        <w:spacing w:before="120" w:after="120"/>
      </w:pPr>
      <w:r w:rsidRPr="00545318">
        <w:t xml:space="preserve">Australian steel volumes, consisting of Australian manufactured and imported steel, have been relatively stable since 2010 after recovering from the 2009 global financial crisis (Figure 6.4). </w:t>
      </w:r>
    </w:p>
    <w:p w14:paraId="7DC9D9B6"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6.4: Total sales volumes of Australian manufactured and imported steel</w:t>
      </w:r>
    </w:p>
    <w:p w14:paraId="43B21E9E" w14:textId="77777777" w:rsidR="009861DE" w:rsidRPr="00545318" w:rsidRDefault="009861DE" w:rsidP="009861DE">
      <w:pPr>
        <w:jc w:val="center"/>
      </w:pPr>
      <w:r w:rsidRPr="00545318">
        <w:rPr>
          <w:noProof/>
          <w:lang w:val="en-AU" w:eastAsia="en-AU"/>
        </w:rPr>
        <w:drawing>
          <wp:inline distT="0" distB="0" distL="0" distR="0" wp14:anchorId="51D2BA10" wp14:editId="1C38EA28">
            <wp:extent cx="5400675" cy="324802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3248025"/>
                    </a:xfrm>
                    <a:prstGeom prst="rect">
                      <a:avLst/>
                    </a:prstGeom>
                    <a:noFill/>
                    <a:ln>
                      <a:noFill/>
                    </a:ln>
                  </pic:spPr>
                </pic:pic>
              </a:graphicData>
            </a:graphic>
          </wp:inline>
        </w:drawing>
      </w:r>
    </w:p>
    <w:p w14:paraId="234D64D9"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6B229D50" w14:textId="77777777" w:rsidR="009861DE" w:rsidRPr="00545318" w:rsidRDefault="009861DE" w:rsidP="009861DE">
      <w:pPr>
        <w:spacing w:before="120" w:after="120"/>
      </w:pPr>
      <w:r w:rsidRPr="00545318">
        <w:t xml:space="preserve">The total market share for Australian manufactured steel products has increased gradually since 2012 in line with the imposition of anti-dumping or countervailing measures (Figure 6.5). Imported steel products represent a significant proportion of the Australian steel market, and a significant proportion of imported products are subject to anti-dumping or countervailing measures. </w:t>
      </w:r>
    </w:p>
    <w:p w14:paraId="29FA0704"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6.5: Market share of all steel products</w:t>
      </w:r>
    </w:p>
    <w:p w14:paraId="77EBEF27" w14:textId="77777777" w:rsidR="009861DE" w:rsidRPr="00545318" w:rsidRDefault="009861DE" w:rsidP="009861DE">
      <w:pPr>
        <w:jc w:val="center"/>
      </w:pPr>
      <w:r w:rsidRPr="00545318">
        <w:rPr>
          <w:noProof/>
          <w:lang w:val="en-AU" w:eastAsia="en-AU"/>
        </w:rPr>
        <w:drawing>
          <wp:inline distT="0" distB="0" distL="0" distR="0" wp14:anchorId="4E7BBB0D" wp14:editId="7BC3B63D">
            <wp:extent cx="5413375" cy="324040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13375" cy="3240405"/>
                    </a:xfrm>
                    <a:prstGeom prst="rect">
                      <a:avLst/>
                    </a:prstGeom>
                    <a:noFill/>
                    <a:ln>
                      <a:noFill/>
                    </a:ln>
                  </pic:spPr>
                </pic:pic>
              </a:graphicData>
            </a:graphic>
          </wp:inline>
        </w:drawing>
      </w:r>
    </w:p>
    <w:p w14:paraId="3142AF0B" w14:textId="77777777" w:rsidR="009861DE" w:rsidRPr="00545318" w:rsidRDefault="009861DE" w:rsidP="009861DE">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IDD refers to import anti-dumping duties</w:t>
      </w:r>
    </w:p>
    <w:p w14:paraId="664206D8"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0E0D821C" w14:textId="77777777" w:rsidR="009861DE" w:rsidRPr="00545318" w:rsidRDefault="009861DE" w:rsidP="009861DE">
      <w:pPr>
        <w:spacing w:before="120" w:after="120"/>
      </w:pPr>
      <w:r w:rsidRPr="00545318">
        <w:t xml:space="preserve">Market shares for long products and flat products are shown separately in Figures 6.6 and 6.7, respectively. </w:t>
      </w:r>
    </w:p>
    <w:p w14:paraId="37452664" w14:textId="77777777" w:rsidR="009861DE" w:rsidRPr="00545318" w:rsidRDefault="009861DE" w:rsidP="009861DE">
      <w:pPr>
        <w:spacing w:before="120" w:after="120"/>
      </w:pPr>
      <w:r w:rsidRPr="00545318">
        <w:t>For long steel products, the Australian industry’s market share has been fairly flat but there has been some improvement in its market share since 2014 (Figure 6.5). Similarly, imported long steel products from countries that have not been found to be dumping or providing subsidisation have captured market share since measures were imposed from 2012.</w:t>
      </w:r>
    </w:p>
    <w:p w14:paraId="72DEA956"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6.6: Market share of long steel products</w:t>
      </w:r>
    </w:p>
    <w:p w14:paraId="63132E5E" w14:textId="77777777" w:rsidR="009861DE" w:rsidRPr="00545318" w:rsidRDefault="009861DE" w:rsidP="009861DE">
      <w:pPr>
        <w:jc w:val="center"/>
      </w:pPr>
      <w:r w:rsidRPr="00545318">
        <w:rPr>
          <w:noProof/>
          <w:lang w:val="en-AU" w:eastAsia="en-AU"/>
        </w:rPr>
        <w:drawing>
          <wp:inline distT="0" distB="0" distL="0" distR="0" wp14:anchorId="1E333E2B" wp14:editId="27362150">
            <wp:extent cx="4851727" cy="2908300"/>
            <wp:effectExtent l="0" t="0" r="635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68233" cy="2918194"/>
                    </a:xfrm>
                    <a:prstGeom prst="rect">
                      <a:avLst/>
                    </a:prstGeom>
                    <a:noFill/>
                    <a:ln>
                      <a:noFill/>
                    </a:ln>
                  </pic:spPr>
                </pic:pic>
              </a:graphicData>
            </a:graphic>
          </wp:inline>
        </w:drawing>
      </w:r>
    </w:p>
    <w:p w14:paraId="71E6BC2A" w14:textId="77777777" w:rsidR="009861DE" w:rsidRPr="00545318" w:rsidRDefault="009861DE" w:rsidP="009861DE">
      <w:pPr>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IDD refers to import anti-dumping duties</w:t>
      </w:r>
    </w:p>
    <w:p w14:paraId="3BCD864D"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56A6194E" w14:textId="77777777" w:rsidR="009861DE" w:rsidRPr="00545318" w:rsidRDefault="009861DE" w:rsidP="009861DE">
      <w:pPr>
        <w:spacing w:before="120" w:after="120"/>
      </w:pPr>
      <w:r w:rsidRPr="00545318">
        <w:t>For flat steel products, the Australian industry experienced a steady decline in its share from 2008 but has recaptured market share since the imposition of measures in 2012 and 2013 (Figure 6.7). Similarly, imported flat steel products from other countries have also captured market share since that time.</w:t>
      </w:r>
    </w:p>
    <w:p w14:paraId="3D259D4D"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6.7: Market share of flat steel products</w:t>
      </w:r>
    </w:p>
    <w:p w14:paraId="67107640" w14:textId="77777777" w:rsidR="009861DE" w:rsidRPr="00545318" w:rsidRDefault="009861DE" w:rsidP="009861DE">
      <w:pPr>
        <w:jc w:val="center"/>
      </w:pPr>
      <w:r w:rsidRPr="00545318">
        <w:rPr>
          <w:noProof/>
          <w:lang w:val="en-AU" w:eastAsia="en-AU"/>
        </w:rPr>
        <w:drawing>
          <wp:inline distT="0" distB="0" distL="0" distR="0" wp14:anchorId="191106E4" wp14:editId="3D420DF4">
            <wp:extent cx="5405755" cy="3240405"/>
            <wp:effectExtent l="0" t="0" r="444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5755" cy="3240405"/>
                    </a:xfrm>
                    <a:prstGeom prst="rect">
                      <a:avLst/>
                    </a:prstGeom>
                    <a:noFill/>
                    <a:ln>
                      <a:noFill/>
                    </a:ln>
                  </pic:spPr>
                </pic:pic>
              </a:graphicData>
            </a:graphic>
          </wp:inline>
        </w:drawing>
      </w:r>
    </w:p>
    <w:p w14:paraId="7D9568F0" w14:textId="77777777" w:rsidR="009861DE" w:rsidRPr="00545318" w:rsidRDefault="009861DE" w:rsidP="009861DE">
      <w:pPr>
        <w:keepLines/>
        <w:pBdr>
          <w:bottom w:val="single" w:sz="4" w:space="1" w:color="595A5B"/>
        </w:pBdr>
        <w:spacing w:line="270" w:lineRule="exact"/>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IDD refers to import anti-dumping duties</w:t>
      </w:r>
    </w:p>
    <w:p w14:paraId="67E7AA68"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3D815549" w14:textId="77777777" w:rsidR="009861DE" w:rsidRPr="00545318" w:rsidRDefault="009861DE" w:rsidP="009861DE">
      <w:pPr>
        <w:pStyle w:val="Heading3"/>
        <w:spacing w:after="120"/>
      </w:pPr>
      <w:r w:rsidRPr="00545318">
        <w:t>Steel selling prices</w:t>
      </w:r>
    </w:p>
    <w:p w14:paraId="25B1B4E0" w14:textId="77777777" w:rsidR="009861DE" w:rsidRPr="00545318" w:rsidRDefault="009861DE" w:rsidP="009861DE">
      <w:pPr>
        <w:spacing w:before="120" w:after="120"/>
      </w:pPr>
      <w:r w:rsidRPr="00545318">
        <w:t>Average selling prices for steel products increased significantly in 2008 reflecting strong economic growth and fell during the 2009 global financial crisis. As shown in Figures 6.8 and 6.9, prices have generally been relatively flat since then, reflecting sustained global overcapacity in steel production.</w:t>
      </w:r>
    </w:p>
    <w:p w14:paraId="2D74C9AC" w14:textId="77777777" w:rsidR="009861DE" w:rsidRPr="00545318" w:rsidRDefault="009861DE" w:rsidP="009861DE">
      <w:pPr>
        <w:spacing w:before="120" w:after="120"/>
      </w:pPr>
      <w:r w:rsidRPr="00545318">
        <w:t xml:space="preserve">The Commission’s analysis based on the pattern of prices is necessarily indicative only because of the need to separate the impact of anti-dumping measures from other factors that affect prices (such as changes in economic demand or product quality). </w:t>
      </w:r>
    </w:p>
    <w:p w14:paraId="74698C38" w14:textId="77777777" w:rsidR="009861DE" w:rsidRPr="00545318" w:rsidRDefault="009861DE" w:rsidP="009861DE">
      <w:pPr>
        <w:spacing w:before="120" w:after="120"/>
      </w:pPr>
      <w:r w:rsidRPr="00545318">
        <w:t xml:space="preserve">For some steel products, the imposition of measures since 2012 appears to have supported Australian industry’s selling prices and prevented injury from price depression caused by dumping. For example, for hot rolled plate steel (for which measures were not imposed until 2014), Australian industry selling prices fell significantly in early 2013. In contrast, prices for other flat steel products (for which measures were imposed earlier, in 2012 and 2013) generally rose over 2013. </w:t>
      </w:r>
    </w:p>
    <w:p w14:paraId="10353E27"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6.8: Weighted average prices of long steel products sold by the Australian industry, indexed to March 2008 </w:t>
      </w:r>
    </w:p>
    <w:p w14:paraId="659E10BE" w14:textId="77777777" w:rsidR="009861DE" w:rsidRPr="00545318" w:rsidRDefault="009861DE" w:rsidP="009861DE">
      <w:r w:rsidRPr="00545318">
        <w:rPr>
          <w:noProof/>
          <w:lang w:val="en-AU" w:eastAsia="en-AU"/>
        </w:rPr>
        <mc:AlternateContent>
          <mc:Choice Requires="wps">
            <w:drawing>
              <wp:anchor distT="0" distB="0" distL="114300" distR="114300" simplePos="0" relativeHeight="251703296" behindDoc="0" locked="0" layoutInCell="1" allowOverlap="1" wp14:anchorId="2A1E1B2A" wp14:editId="6004E5B5">
                <wp:simplePos x="0" y="0"/>
                <wp:positionH relativeFrom="column">
                  <wp:posOffset>1418590</wp:posOffset>
                </wp:positionH>
                <wp:positionV relativeFrom="paragraph">
                  <wp:posOffset>1048385</wp:posOffset>
                </wp:positionV>
                <wp:extent cx="1316355" cy="2559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316355" cy="255905"/>
                        </a:xfrm>
                        <a:prstGeom prst="rect">
                          <a:avLst/>
                        </a:prstGeom>
                        <a:solidFill>
                          <a:sysClr val="window" lastClr="FFFFFF"/>
                        </a:solidFill>
                        <a:ln w="6350">
                          <a:noFill/>
                        </a:ln>
                        <a:effectLst/>
                      </wps:spPr>
                      <wps:txbx>
                        <w:txbxContent>
                          <w:p w14:paraId="2C462177" w14:textId="77777777" w:rsidR="009241EC" w:rsidRPr="00E810B5" w:rsidRDefault="009241EC" w:rsidP="009861DE">
                            <w:pPr>
                              <w:rPr>
                                <w:sz w:val="16"/>
                                <w:szCs w:val="16"/>
                              </w:rPr>
                            </w:pPr>
                            <w:r>
                              <w:rPr>
                                <w:sz w:val="16"/>
                                <w:szCs w:val="16"/>
                              </w:rPr>
                              <w:t>Hot rolled structural steel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E1B2A" id="Text Box 10" o:spid="_x0000_s1035" type="#_x0000_t202" style="position:absolute;margin-left:111.7pt;margin-top:82.55pt;width:103.65pt;height:20.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" fillcolor="window" stroked="f" strokeweight=".5pt">
                <v:textbox>
                  <w:txbxContent>
                    <w:p w14:paraId="2C462177" w14:textId="77777777" w:rsidR="009241EC" w:rsidRPr="00E810B5" w:rsidRDefault="009241EC" w:rsidP="009861DE">
                      <w:pPr>
                        <w:rPr>
                          <w:sz w:val="16"/>
                          <w:szCs w:val="16"/>
                        </w:rPr>
                      </w:pPr>
                      <w:r>
                        <w:rPr>
                          <w:sz w:val="16"/>
                          <w:szCs w:val="16"/>
                        </w:rPr>
                        <w:t>Hot rolled structural steel</w:t>
                      </w:r>
                    </w:p>
                  </w:txbxContent>
                </v:textbox>
              </v:shape>
            </w:pict>
          </mc:Fallback>
        </mc:AlternateContent>
      </w:r>
      <w:r w:rsidRPr="00545318">
        <w:rPr>
          <w:noProof/>
          <w:lang w:val="en-AU" w:eastAsia="en-AU"/>
        </w:rPr>
        <mc:AlternateContent>
          <mc:Choice Requires="wps">
            <w:drawing>
              <wp:anchor distT="0" distB="0" distL="114300" distR="114300" simplePos="0" relativeHeight="251707392" behindDoc="0" locked="0" layoutInCell="1" allowOverlap="1" wp14:anchorId="36ED4D96" wp14:editId="48C63E7F">
                <wp:simplePos x="0" y="0"/>
                <wp:positionH relativeFrom="column">
                  <wp:posOffset>1024128</wp:posOffset>
                </wp:positionH>
                <wp:positionV relativeFrom="paragraph">
                  <wp:posOffset>1392530</wp:posOffset>
                </wp:positionV>
                <wp:extent cx="475209" cy="146177"/>
                <wp:effectExtent l="0" t="0" r="20320" b="25400"/>
                <wp:wrapNone/>
                <wp:docPr id="12" name="Straight Connector 12"/>
                <wp:cNvGraphicFramePr/>
                <a:graphic xmlns:a="http://schemas.openxmlformats.org/drawingml/2006/main">
                  <a:graphicData uri="http://schemas.microsoft.com/office/word/2010/wordprocessingShape">
                    <wps:wsp>
                      <wps:cNvCnPr/>
                      <wps:spPr>
                        <a:xfrm flipH="1">
                          <a:off x="0" y="0"/>
                          <a:ext cx="475209" cy="146177"/>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D3E9608" id="Straight Connector 12" o:spid="_x0000_s1026" style="position:absolute;flip:x;z-index:251707392;visibility:visible;mso-wrap-style:square;mso-wrap-distance-left:9pt;mso-wrap-distance-top:0;mso-wrap-distance-right:9pt;mso-wrap-distance-bottom:0;mso-position-horizontal:absolute;mso-position-horizontal-relative:text;mso-position-vertical:absolute;mso-position-vertical-relative:text" from="80.65pt,109.65pt" to="118.05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"/>
            </w:pict>
          </mc:Fallback>
        </mc:AlternateContent>
      </w:r>
      <w:r w:rsidRPr="00545318">
        <w:rPr>
          <w:noProof/>
          <w:lang w:val="en-AU" w:eastAsia="en-AU"/>
        </w:rPr>
        <mc:AlternateContent>
          <mc:Choice Requires="wps">
            <w:drawing>
              <wp:anchor distT="0" distB="0" distL="114300" distR="114300" simplePos="0" relativeHeight="251706368" behindDoc="0" locked="0" layoutInCell="1" allowOverlap="1" wp14:anchorId="78586127" wp14:editId="71941F42">
                <wp:simplePos x="0" y="0"/>
                <wp:positionH relativeFrom="column">
                  <wp:posOffset>929030</wp:posOffset>
                </wp:positionH>
                <wp:positionV relativeFrom="paragraph">
                  <wp:posOffset>1128852</wp:posOffset>
                </wp:positionV>
                <wp:extent cx="570307" cy="153950"/>
                <wp:effectExtent l="0" t="0" r="20320" b="36830"/>
                <wp:wrapNone/>
                <wp:docPr id="11" name="Straight Connector 11"/>
                <wp:cNvGraphicFramePr/>
                <a:graphic xmlns:a="http://schemas.openxmlformats.org/drawingml/2006/main">
                  <a:graphicData uri="http://schemas.microsoft.com/office/word/2010/wordprocessingShape">
                    <wps:wsp>
                      <wps:cNvCnPr/>
                      <wps:spPr>
                        <a:xfrm flipH="1">
                          <a:off x="0" y="0"/>
                          <a:ext cx="570307" cy="1539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115498D" id="Straight Connector 11" o:spid="_x0000_s1026" style="position:absolute;flip:x;z-index:251706368;visibility:visible;mso-wrap-style:square;mso-wrap-distance-left:9pt;mso-wrap-distance-top:0;mso-wrap-distance-right:9pt;mso-wrap-distance-bottom:0;mso-position-horizontal:absolute;mso-position-horizontal-relative:text;mso-position-vertical:absolute;mso-position-vertical-relative:text" from="73.15pt,88.9pt" to="118.0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"/>
            </w:pict>
          </mc:Fallback>
        </mc:AlternateContent>
      </w:r>
      <w:r w:rsidRPr="00545318">
        <w:rPr>
          <w:noProof/>
          <w:lang w:val="en-AU" w:eastAsia="en-AU"/>
        </w:rPr>
        <mc:AlternateContent>
          <mc:Choice Requires="wps">
            <w:drawing>
              <wp:anchor distT="0" distB="0" distL="114300" distR="114300" simplePos="0" relativeHeight="251705344" behindDoc="0" locked="0" layoutInCell="1" allowOverlap="1" wp14:anchorId="5A801E30" wp14:editId="0012F0FB">
                <wp:simplePos x="0" y="0"/>
                <wp:positionH relativeFrom="column">
                  <wp:posOffset>929030</wp:posOffset>
                </wp:positionH>
                <wp:positionV relativeFrom="paragraph">
                  <wp:posOffset>938987</wp:posOffset>
                </wp:positionV>
                <wp:extent cx="570307" cy="190195"/>
                <wp:effectExtent l="0" t="0" r="20320" b="19685"/>
                <wp:wrapNone/>
                <wp:docPr id="13" name="Straight Connector 13"/>
                <wp:cNvGraphicFramePr/>
                <a:graphic xmlns:a="http://schemas.openxmlformats.org/drawingml/2006/main">
                  <a:graphicData uri="http://schemas.microsoft.com/office/word/2010/wordprocessingShape">
                    <wps:wsp>
                      <wps:cNvCnPr/>
                      <wps:spPr>
                        <a:xfrm flipH="1">
                          <a:off x="0" y="0"/>
                          <a:ext cx="570307" cy="19019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250F548" id="Straight Connector 13" o:spid="_x0000_s1026" style="position:absolute;flip:x;z-index:251705344;visibility:visible;mso-wrap-style:square;mso-wrap-distance-left:9pt;mso-wrap-distance-top:0;mso-wrap-distance-right:9pt;mso-wrap-distance-bottom:0;mso-position-horizontal:absolute;mso-position-horizontal-relative:text;mso-position-vertical:absolute;mso-position-vertical-relative:text" from="73.15pt,73.95pt" to="118.05pt,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"/>
            </w:pict>
          </mc:Fallback>
        </mc:AlternateContent>
      </w:r>
      <w:r w:rsidRPr="00545318">
        <w:rPr>
          <w:noProof/>
          <w:lang w:val="en-AU" w:eastAsia="en-AU"/>
        </w:rPr>
        <mc:AlternateContent>
          <mc:Choice Requires="wps">
            <w:drawing>
              <wp:anchor distT="0" distB="0" distL="114300" distR="114300" simplePos="0" relativeHeight="251704320" behindDoc="0" locked="0" layoutInCell="1" allowOverlap="1" wp14:anchorId="71B382FB" wp14:editId="0EB4C110">
                <wp:simplePos x="0" y="0"/>
                <wp:positionH relativeFrom="column">
                  <wp:posOffset>972922</wp:posOffset>
                </wp:positionH>
                <wp:positionV relativeFrom="paragraph">
                  <wp:posOffset>690270</wp:posOffset>
                </wp:positionV>
                <wp:extent cx="526694" cy="160808"/>
                <wp:effectExtent l="0" t="0" r="26035" b="29845"/>
                <wp:wrapNone/>
                <wp:docPr id="14" name="Straight Connector 14"/>
                <wp:cNvGraphicFramePr/>
                <a:graphic xmlns:a="http://schemas.openxmlformats.org/drawingml/2006/main">
                  <a:graphicData uri="http://schemas.microsoft.com/office/word/2010/wordprocessingShape">
                    <wps:wsp>
                      <wps:cNvCnPr/>
                      <wps:spPr>
                        <a:xfrm flipH="1">
                          <a:off x="0" y="0"/>
                          <a:ext cx="526694" cy="16080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83DD765" id="Straight Connector 14" o:spid="_x0000_s1026" style="position:absolute;flip:x;z-index:251704320;visibility:visible;mso-wrap-style:square;mso-wrap-distance-left:9pt;mso-wrap-distance-top:0;mso-wrap-distance-right:9pt;mso-wrap-distance-bottom:0;mso-position-horizontal:absolute;mso-position-horizontal-relative:text;mso-position-vertical:absolute;mso-position-vertical-relative:text" from="76.6pt,54.35pt" to="118.0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"/>
            </w:pict>
          </mc:Fallback>
        </mc:AlternateContent>
      </w:r>
      <w:r w:rsidRPr="00545318">
        <w:rPr>
          <w:noProof/>
          <w:lang w:val="en-AU" w:eastAsia="en-AU"/>
        </w:rPr>
        <mc:AlternateContent>
          <mc:Choice Requires="wps">
            <w:drawing>
              <wp:anchor distT="0" distB="0" distL="114300" distR="114300" simplePos="0" relativeHeight="251700224" behindDoc="0" locked="0" layoutInCell="1" allowOverlap="1" wp14:anchorId="475F36E3" wp14:editId="2AC98586">
                <wp:simplePos x="0" y="0"/>
                <wp:positionH relativeFrom="column">
                  <wp:posOffset>1422070</wp:posOffset>
                </wp:positionH>
                <wp:positionV relativeFrom="paragraph">
                  <wp:posOffset>593725</wp:posOffset>
                </wp:positionV>
                <wp:extent cx="1060450" cy="255905"/>
                <wp:effectExtent l="0" t="0" r="6350" b="0"/>
                <wp:wrapNone/>
                <wp:docPr id="15" name="Text Box 15"/>
                <wp:cNvGraphicFramePr/>
                <a:graphic xmlns:a="http://schemas.openxmlformats.org/drawingml/2006/main">
                  <a:graphicData uri="http://schemas.microsoft.com/office/word/2010/wordprocessingShape">
                    <wps:wsp>
                      <wps:cNvSpPr txBox="1"/>
                      <wps:spPr>
                        <a:xfrm>
                          <a:off x="0" y="0"/>
                          <a:ext cx="1060450" cy="255905"/>
                        </a:xfrm>
                        <a:prstGeom prst="rect">
                          <a:avLst/>
                        </a:prstGeom>
                        <a:solidFill>
                          <a:sysClr val="window" lastClr="FFFFFF"/>
                        </a:solidFill>
                        <a:ln w="6350">
                          <a:noFill/>
                        </a:ln>
                        <a:effectLst/>
                      </wps:spPr>
                      <wps:txbx>
                        <w:txbxContent>
                          <w:p w14:paraId="29D014E8" w14:textId="77777777" w:rsidR="009241EC" w:rsidRPr="00E810B5" w:rsidRDefault="009241EC" w:rsidP="009861DE">
                            <w:pPr>
                              <w:rPr>
                                <w:sz w:val="16"/>
                                <w:szCs w:val="16"/>
                              </w:rPr>
                            </w:pPr>
                            <w:r w:rsidRPr="00E810B5">
                              <w:rPr>
                                <w:sz w:val="16"/>
                                <w:szCs w:val="16"/>
                              </w:rPr>
                              <w:t>Steel reinforcing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F36E3" id="Text Box 15" o:spid="_x0000_s1036" type="#_x0000_t202" style="position:absolute;margin-left:111.95pt;margin-top:46.75pt;width:83.5pt;height:20.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" fillcolor="window" stroked="f" strokeweight=".5pt">
                <v:textbox>
                  <w:txbxContent>
                    <w:p w14:paraId="29D014E8" w14:textId="77777777" w:rsidR="009241EC" w:rsidRPr="00E810B5" w:rsidRDefault="009241EC" w:rsidP="009861DE">
                      <w:pPr>
                        <w:rPr>
                          <w:sz w:val="16"/>
                          <w:szCs w:val="16"/>
                        </w:rPr>
                      </w:pPr>
                      <w:r w:rsidRPr="00E810B5">
                        <w:rPr>
                          <w:sz w:val="16"/>
                          <w:szCs w:val="16"/>
                        </w:rPr>
                        <w:t>Steel reinforcing bar</w:t>
                      </w:r>
                    </w:p>
                  </w:txbxContent>
                </v:textbox>
              </v:shape>
            </w:pict>
          </mc:Fallback>
        </mc:AlternateContent>
      </w:r>
      <w:r w:rsidRPr="00545318">
        <w:rPr>
          <w:noProof/>
          <w:lang w:val="en-AU" w:eastAsia="en-AU"/>
        </w:rPr>
        <mc:AlternateContent>
          <mc:Choice Requires="wps">
            <w:drawing>
              <wp:anchor distT="0" distB="0" distL="114300" distR="114300" simplePos="0" relativeHeight="251701248" behindDoc="0" locked="0" layoutInCell="1" allowOverlap="1" wp14:anchorId="10141E1B" wp14:editId="6ED39CAA">
                <wp:simplePos x="0" y="0"/>
                <wp:positionH relativeFrom="column">
                  <wp:posOffset>1418260</wp:posOffset>
                </wp:positionH>
                <wp:positionV relativeFrom="paragraph">
                  <wp:posOffset>828040</wp:posOffset>
                </wp:positionV>
                <wp:extent cx="657860" cy="212090"/>
                <wp:effectExtent l="0" t="0" r="8890" b="0"/>
                <wp:wrapNone/>
                <wp:docPr id="16" name="Text Box 16"/>
                <wp:cNvGraphicFramePr/>
                <a:graphic xmlns:a="http://schemas.openxmlformats.org/drawingml/2006/main">
                  <a:graphicData uri="http://schemas.microsoft.com/office/word/2010/wordprocessingShape">
                    <wps:wsp>
                      <wps:cNvSpPr txBox="1"/>
                      <wps:spPr>
                        <a:xfrm>
                          <a:off x="0" y="0"/>
                          <a:ext cx="657860" cy="212090"/>
                        </a:xfrm>
                        <a:prstGeom prst="rect">
                          <a:avLst/>
                        </a:prstGeom>
                        <a:solidFill>
                          <a:sysClr val="window" lastClr="FFFFFF"/>
                        </a:solidFill>
                        <a:ln w="6350">
                          <a:noFill/>
                        </a:ln>
                        <a:effectLst/>
                      </wps:spPr>
                      <wps:txbx>
                        <w:txbxContent>
                          <w:p w14:paraId="67388782" w14:textId="77777777" w:rsidR="009241EC" w:rsidRPr="00E810B5" w:rsidRDefault="009241EC" w:rsidP="009861DE">
                            <w:pPr>
                              <w:rPr>
                                <w:sz w:val="16"/>
                                <w:szCs w:val="16"/>
                              </w:rPr>
                            </w:pPr>
                            <w:r>
                              <w:rPr>
                                <w:sz w:val="16"/>
                                <w:szCs w:val="16"/>
                              </w:rPr>
                              <w:t>Rod in coil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41E1B" id="Text Box 16" o:spid="_x0000_s1037" type="#_x0000_t202" style="position:absolute;margin-left:111.65pt;margin-top:65.2pt;width:51.8pt;height:16.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" fillcolor="window" stroked="f" strokeweight=".5pt">
                <v:textbox>
                  <w:txbxContent>
                    <w:p w14:paraId="67388782" w14:textId="77777777" w:rsidR="009241EC" w:rsidRPr="00E810B5" w:rsidRDefault="009241EC" w:rsidP="009861DE">
                      <w:pPr>
                        <w:rPr>
                          <w:sz w:val="16"/>
                          <w:szCs w:val="16"/>
                        </w:rPr>
                      </w:pPr>
                      <w:r>
                        <w:rPr>
                          <w:sz w:val="16"/>
                          <w:szCs w:val="16"/>
                        </w:rPr>
                        <w:t>Rod in coil</w:t>
                      </w:r>
                    </w:p>
                  </w:txbxContent>
                </v:textbox>
              </v:shape>
            </w:pict>
          </mc:Fallback>
        </mc:AlternateContent>
      </w:r>
      <w:r w:rsidRPr="00545318">
        <w:rPr>
          <w:noProof/>
          <w:lang w:val="en-AU" w:eastAsia="en-AU"/>
        </w:rPr>
        <mc:AlternateContent>
          <mc:Choice Requires="wps">
            <w:drawing>
              <wp:anchor distT="0" distB="0" distL="114300" distR="114300" simplePos="0" relativeHeight="251702272" behindDoc="0" locked="0" layoutInCell="1" allowOverlap="1" wp14:anchorId="472E2210" wp14:editId="4FDDA6D7">
                <wp:simplePos x="0" y="0"/>
                <wp:positionH relativeFrom="column">
                  <wp:posOffset>1417192</wp:posOffset>
                </wp:positionH>
                <wp:positionV relativeFrom="paragraph">
                  <wp:posOffset>1282065</wp:posOffset>
                </wp:positionV>
                <wp:extent cx="1360170" cy="25590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360170" cy="255905"/>
                        </a:xfrm>
                        <a:prstGeom prst="rect">
                          <a:avLst/>
                        </a:prstGeom>
                        <a:solidFill>
                          <a:sysClr val="window" lastClr="FFFFFF"/>
                        </a:solidFill>
                        <a:ln w="6350">
                          <a:noFill/>
                        </a:ln>
                        <a:effectLst/>
                      </wps:spPr>
                      <wps:txbx>
                        <w:txbxContent>
                          <w:p w14:paraId="4450A8A3" w14:textId="77777777" w:rsidR="009241EC" w:rsidRPr="00E810B5" w:rsidRDefault="009241EC" w:rsidP="009861DE">
                            <w:pPr>
                              <w:rPr>
                                <w:sz w:val="16"/>
                                <w:szCs w:val="16"/>
                              </w:rPr>
                            </w:pPr>
                            <w:r>
                              <w:rPr>
                                <w:sz w:val="16"/>
                                <w:szCs w:val="16"/>
                              </w:rPr>
                              <w:t>Hollow structural sections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E2210" id="Text Box 17" o:spid="_x0000_s1038" type="#_x0000_t202" style="position:absolute;margin-left:111.6pt;margin-top:100.95pt;width:107.1pt;height:20.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" fillcolor="window" stroked="f" strokeweight=".5pt">
                <v:textbox>
                  <w:txbxContent>
                    <w:p w14:paraId="4450A8A3" w14:textId="77777777" w:rsidR="009241EC" w:rsidRPr="00E810B5" w:rsidRDefault="009241EC" w:rsidP="009861DE">
                      <w:pPr>
                        <w:rPr>
                          <w:sz w:val="16"/>
                          <w:szCs w:val="16"/>
                        </w:rPr>
                      </w:pPr>
                      <w:r>
                        <w:rPr>
                          <w:sz w:val="16"/>
                          <w:szCs w:val="16"/>
                        </w:rPr>
                        <w:t>Hollow structural sections</w:t>
                      </w:r>
                    </w:p>
                  </w:txbxContent>
                </v:textbox>
              </v:shape>
            </w:pict>
          </mc:Fallback>
        </mc:AlternateContent>
      </w:r>
      <w:r w:rsidRPr="00545318">
        <w:rPr>
          <w:noProof/>
          <w:lang w:val="en-AU" w:eastAsia="en-AU"/>
        </w:rPr>
        <w:drawing>
          <wp:inline distT="0" distB="0" distL="0" distR="0" wp14:anchorId="05565695" wp14:editId="5C4448C0">
            <wp:extent cx="5400675" cy="324802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675" cy="3248025"/>
                    </a:xfrm>
                    <a:prstGeom prst="rect">
                      <a:avLst/>
                    </a:prstGeom>
                    <a:noFill/>
                    <a:ln>
                      <a:noFill/>
                    </a:ln>
                  </pic:spPr>
                </pic:pic>
              </a:graphicData>
            </a:graphic>
          </wp:inline>
        </w:drawing>
      </w:r>
    </w:p>
    <w:p w14:paraId="7BF53A29" w14:textId="77777777" w:rsidR="009861DE" w:rsidRPr="00545318" w:rsidRDefault="009861DE" w:rsidP="009861DE">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09C541BE"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Solid line signifies measures in place.</w:t>
      </w:r>
    </w:p>
    <w:p w14:paraId="6F77B976"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 xml:space="preserve">Figure 6.9: Weighted average prices of flat steel products sold by the Australian industry, indexed to March 2008 </w:t>
      </w:r>
    </w:p>
    <w:p w14:paraId="5F12E0D9" w14:textId="77777777" w:rsidR="009861DE" w:rsidRPr="00545318" w:rsidRDefault="009861DE" w:rsidP="009861DE">
      <w:r w:rsidRPr="00545318">
        <w:rPr>
          <w:noProof/>
          <w:lang w:val="en-AU" w:eastAsia="en-AU"/>
        </w:rPr>
        <mc:AlternateContent>
          <mc:Choice Requires="wps">
            <w:drawing>
              <wp:anchor distT="0" distB="0" distL="114300" distR="114300" simplePos="0" relativeHeight="251714560" behindDoc="0" locked="0" layoutInCell="1" allowOverlap="1" wp14:anchorId="42A7D78D" wp14:editId="3C0501FB">
                <wp:simplePos x="0" y="0"/>
                <wp:positionH relativeFrom="column">
                  <wp:posOffset>701675</wp:posOffset>
                </wp:positionH>
                <wp:positionV relativeFrom="paragraph">
                  <wp:posOffset>1127760</wp:posOffset>
                </wp:positionV>
                <wp:extent cx="796925" cy="212090"/>
                <wp:effectExtent l="0" t="0" r="22225" b="35560"/>
                <wp:wrapNone/>
                <wp:docPr id="28" name="Straight Connector 28"/>
                <wp:cNvGraphicFramePr/>
                <a:graphic xmlns:a="http://schemas.openxmlformats.org/drawingml/2006/main">
                  <a:graphicData uri="http://schemas.microsoft.com/office/word/2010/wordprocessingShape">
                    <wps:wsp>
                      <wps:cNvCnPr/>
                      <wps:spPr>
                        <a:xfrm flipH="1">
                          <a:off x="0" y="0"/>
                          <a:ext cx="796925" cy="2120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076D2E61" id="Straight Connector 28" o:spid="_x0000_s1026" style="position:absolute;flip:x;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25pt,88.8pt" to="118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"/>
            </w:pict>
          </mc:Fallback>
        </mc:AlternateContent>
      </w:r>
      <w:r w:rsidRPr="00545318">
        <w:rPr>
          <w:noProof/>
          <w:lang w:val="en-AU" w:eastAsia="en-AU"/>
        </w:rPr>
        <mc:AlternateContent>
          <mc:Choice Requires="wps">
            <w:drawing>
              <wp:anchor distT="0" distB="0" distL="114300" distR="114300" simplePos="0" relativeHeight="251715584" behindDoc="0" locked="0" layoutInCell="1" allowOverlap="1" wp14:anchorId="2729D825" wp14:editId="0B55D4BE">
                <wp:simplePos x="0" y="0"/>
                <wp:positionH relativeFrom="column">
                  <wp:posOffset>877824</wp:posOffset>
                </wp:positionH>
                <wp:positionV relativeFrom="paragraph">
                  <wp:posOffset>1340206</wp:posOffset>
                </wp:positionV>
                <wp:extent cx="621436" cy="160934"/>
                <wp:effectExtent l="0" t="0" r="26670" b="29845"/>
                <wp:wrapNone/>
                <wp:docPr id="18" name="Straight Connector 18"/>
                <wp:cNvGraphicFramePr/>
                <a:graphic xmlns:a="http://schemas.openxmlformats.org/drawingml/2006/main">
                  <a:graphicData uri="http://schemas.microsoft.com/office/word/2010/wordprocessingShape">
                    <wps:wsp>
                      <wps:cNvCnPr/>
                      <wps:spPr>
                        <a:xfrm flipH="1">
                          <a:off x="0" y="0"/>
                          <a:ext cx="621436" cy="16093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12F2F1" id="Straight Connector 18"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1pt,105.55pt" to="118.05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"/>
            </w:pict>
          </mc:Fallback>
        </mc:AlternateContent>
      </w:r>
      <w:r w:rsidRPr="00545318">
        <w:rPr>
          <w:noProof/>
          <w:lang w:val="en-AU" w:eastAsia="en-AU"/>
        </w:rPr>
        <mc:AlternateContent>
          <mc:Choice Requires="wps">
            <w:drawing>
              <wp:anchor distT="0" distB="0" distL="114300" distR="114300" simplePos="0" relativeHeight="251713536" behindDoc="0" locked="0" layoutInCell="1" allowOverlap="1" wp14:anchorId="76CF3391" wp14:editId="05FA4AE0">
                <wp:simplePos x="0" y="0"/>
                <wp:positionH relativeFrom="column">
                  <wp:posOffset>877824</wp:posOffset>
                </wp:positionH>
                <wp:positionV relativeFrom="paragraph">
                  <wp:posOffset>967003</wp:posOffset>
                </wp:positionV>
                <wp:extent cx="621513" cy="160935"/>
                <wp:effectExtent l="0" t="0" r="26670" b="29845"/>
                <wp:wrapNone/>
                <wp:docPr id="19" name="Straight Connector 19"/>
                <wp:cNvGraphicFramePr/>
                <a:graphic xmlns:a="http://schemas.openxmlformats.org/drawingml/2006/main">
                  <a:graphicData uri="http://schemas.microsoft.com/office/word/2010/wordprocessingShape">
                    <wps:wsp>
                      <wps:cNvCnPr/>
                      <wps:spPr>
                        <a:xfrm flipH="1">
                          <a:off x="0" y="0"/>
                          <a:ext cx="621513" cy="16093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78F4224" id="Straight Connector 19"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69.1pt,76.15pt" to="118.05pt,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"/>
            </w:pict>
          </mc:Fallback>
        </mc:AlternateContent>
      </w:r>
      <w:r w:rsidRPr="00545318">
        <w:rPr>
          <w:noProof/>
          <w:lang w:val="en-AU" w:eastAsia="en-AU"/>
        </w:rPr>
        <mc:AlternateContent>
          <mc:Choice Requires="wps">
            <w:drawing>
              <wp:anchor distT="0" distB="0" distL="114300" distR="114300" simplePos="0" relativeHeight="251712512" behindDoc="0" locked="0" layoutInCell="1" allowOverlap="1" wp14:anchorId="6E1716F7" wp14:editId="06D8E64A">
                <wp:simplePos x="0" y="0"/>
                <wp:positionH relativeFrom="column">
                  <wp:posOffset>972922</wp:posOffset>
                </wp:positionH>
                <wp:positionV relativeFrom="paragraph">
                  <wp:posOffset>813511</wp:posOffset>
                </wp:positionV>
                <wp:extent cx="526415" cy="153492"/>
                <wp:effectExtent l="0" t="0" r="26035" b="37465"/>
                <wp:wrapNone/>
                <wp:docPr id="20" name="Straight Connector 20"/>
                <wp:cNvGraphicFramePr/>
                <a:graphic xmlns:a="http://schemas.openxmlformats.org/drawingml/2006/main">
                  <a:graphicData uri="http://schemas.microsoft.com/office/word/2010/wordprocessingShape">
                    <wps:wsp>
                      <wps:cNvCnPr/>
                      <wps:spPr>
                        <a:xfrm flipH="1">
                          <a:off x="0" y="0"/>
                          <a:ext cx="526415" cy="153492"/>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61FAECB" id="Straight Connector 20" o:spid="_x0000_s1026" style="position:absolute;flip:x;z-index:251712512;visibility:visible;mso-wrap-style:square;mso-wrap-distance-left:9pt;mso-wrap-distance-top:0;mso-wrap-distance-right:9pt;mso-wrap-distance-bottom:0;mso-position-horizontal:absolute;mso-position-horizontal-relative:text;mso-position-vertical:absolute;mso-position-vertical-relative:text" from="76.6pt,64.05pt" to="118.05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"/>
            </w:pict>
          </mc:Fallback>
        </mc:AlternateContent>
      </w:r>
      <w:r w:rsidRPr="00545318">
        <w:rPr>
          <w:noProof/>
          <w:lang w:val="en-AU" w:eastAsia="en-AU"/>
        </w:rPr>
        <mc:AlternateContent>
          <mc:Choice Requires="wps">
            <w:drawing>
              <wp:anchor distT="0" distB="0" distL="114300" distR="114300" simplePos="0" relativeHeight="251711488" behindDoc="0" locked="0" layoutInCell="1" allowOverlap="1" wp14:anchorId="4A074F5E" wp14:editId="157CA29E">
                <wp:simplePos x="0" y="0"/>
                <wp:positionH relativeFrom="column">
                  <wp:posOffset>1420038</wp:posOffset>
                </wp:positionH>
                <wp:positionV relativeFrom="paragraph">
                  <wp:posOffset>1202995</wp:posOffset>
                </wp:positionV>
                <wp:extent cx="1060450" cy="255905"/>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060450" cy="255905"/>
                        </a:xfrm>
                        <a:prstGeom prst="rect">
                          <a:avLst/>
                        </a:prstGeom>
                        <a:solidFill>
                          <a:sysClr val="window" lastClr="FFFFFF"/>
                        </a:solidFill>
                        <a:ln w="6350">
                          <a:noFill/>
                        </a:ln>
                        <a:effectLst/>
                      </wps:spPr>
                      <wps:txbx>
                        <w:txbxContent>
                          <w:p w14:paraId="09A784EE" w14:textId="77777777" w:rsidR="009241EC" w:rsidRPr="00E810B5" w:rsidRDefault="009241EC" w:rsidP="009861DE">
                            <w:pPr>
                              <w:rPr>
                                <w:sz w:val="16"/>
                                <w:szCs w:val="16"/>
                              </w:rPr>
                            </w:pPr>
                            <w:r>
                              <w:rPr>
                                <w:sz w:val="16"/>
                                <w:szCs w:val="16"/>
                              </w:rPr>
                              <w:t>Galvanised steel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74F5E" id="Text Box 24" o:spid="_x0000_s1039" type="#_x0000_t202" style="position:absolute;margin-left:111.8pt;margin-top:94.7pt;width:83.5pt;height:20.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" fillcolor="window" stroked="f" strokeweight=".5pt">
                <v:textbox>
                  <w:txbxContent>
                    <w:p w14:paraId="09A784EE" w14:textId="77777777" w:rsidR="009241EC" w:rsidRPr="00E810B5" w:rsidRDefault="009241EC" w:rsidP="009861DE">
                      <w:pPr>
                        <w:rPr>
                          <w:sz w:val="16"/>
                          <w:szCs w:val="16"/>
                        </w:rPr>
                      </w:pPr>
                      <w:r>
                        <w:rPr>
                          <w:sz w:val="16"/>
                          <w:szCs w:val="16"/>
                        </w:rPr>
                        <w:t>Galvanised steel</w:t>
                      </w:r>
                    </w:p>
                  </w:txbxContent>
                </v:textbox>
              </v:shape>
            </w:pict>
          </mc:Fallback>
        </mc:AlternateContent>
      </w:r>
      <w:r w:rsidRPr="00545318">
        <w:rPr>
          <w:noProof/>
          <w:lang w:val="en-AU" w:eastAsia="en-AU"/>
        </w:rPr>
        <mc:AlternateContent>
          <mc:Choice Requires="wps">
            <w:drawing>
              <wp:anchor distT="0" distB="0" distL="114300" distR="114300" simplePos="0" relativeHeight="251710464" behindDoc="0" locked="0" layoutInCell="1" allowOverlap="1" wp14:anchorId="6977363A" wp14:editId="1D683D11">
                <wp:simplePos x="0" y="0"/>
                <wp:positionH relativeFrom="column">
                  <wp:posOffset>1419149</wp:posOffset>
                </wp:positionH>
                <wp:positionV relativeFrom="paragraph">
                  <wp:posOffset>1032967</wp:posOffset>
                </wp:positionV>
                <wp:extent cx="1411833" cy="25590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411833" cy="255905"/>
                        </a:xfrm>
                        <a:prstGeom prst="rect">
                          <a:avLst/>
                        </a:prstGeom>
                        <a:solidFill>
                          <a:sysClr val="window" lastClr="FFFFFF"/>
                        </a:solidFill>
                        <a:ln w="6350">
                          <a:noFill/>
                        </a:ln>
                        <a:effectLst/>
                      </wps:spPr>
                      <wps:txbx>
                        <w:txbxContent>
                          <w:p w14:paraId="68A1DDCD" w14:textId="77777777" w:rsidR="009241EC" w:rsidRPr="00E810B5" w:rsidRDefault="009241EC" w:rsidP="009861DE">
                            <w:pPr>
                              <w:rPr>
                                <w:sz w:val="16"/>
                                <w:szCs w:val="16"/>
                              </w:rPr>
                            </w:pPr>
                            <w:r>
                              <w:rPr>
                                <w:sz w:val="16"/>
                                <w:szCs w:val="16"/>
                              </w:rPr>
                              <w:t>Aluminium zinc coated steel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7363A" id="Text Box 30" o:spid="_x0000_s1040" type="#_x0000_t202" style="position:absolute;margin-left:111.75pt;margin-top:81.35pt;width:111.15pt;height:20.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" fillcolor="window" stroked="f" strokeweight=".5pt">
                <v:textbox>
                  <w:txbxContent>
                    <w:p w14:paraId="68A1DDCD" w14:textId="77777777" w:rsidR="009241EC" w:rsidRPr="00E810B5" w:rsidRDefault="009241EC" w:rsidP="009861DE">
                      <w:pPr>
                        <w:rPr>
                          <w:sz w:val="16"/>
                          <w:szCs w:val="16"/>
                        </w:rPr>
                      </w:pPr>
                      <w:r>
                        <w:rPr>
                          <w:sz w:val="16"/>
                          <w:szCs w:val="16"/>
                        </w:rPr>
                        <w:t>Aluminium zinc coated steel</w:t>
                      </w:r>
                    </w:p>
                  </w:txbxContent>
                </v:textbox>
              </v:shape>
            </w:pict>
          </mc:Fallback>
        </mc:AlternateContent>
      </w:r>
      <w:r w:rsidRPr="00545318">
        <w:rPr>
          <w:noProof/>
          <w:lang w:val="en-AU" w:eastAsia="en-AU"/>
        </w:rPr>
        <mc:AlternateContent>
          <mc:Choice Requires="wps">
            <w:drawing>
              <wp:anchor distT="0" distB="0" distL="114300" distR="114300" simplePos="0" relativeHeight="251709440" behindDoc="0" locked="0" layoutInCell="1" allowOverlap="1" wp14:anchorId="42FB8187" wp14:editId="45A4F567">
                <wp:simplePos x="0" y="0"/>
                <wp:positionH relativeFrom="column">
                  <wp:posOffset>1421765</wp:posOffset>
                </wp:positionH>
                <wp:positionV relativeFrom="paragraph">
                  <wp:posOffset>875030</wp:posOffset>
                </wp:positionV>
                <wp:extent cx="1060450" cy="255905"/>
                <wp:effectExtent l="0" t="0" r="6350" b="0"/>
                <wp:wrapNone/>
                <wp:docPr id="228" name="Text Box 228"/>
                <wp:cNvGraphicFramePr/>
                <a:graphic xmlns:a="http://schemas.openxmlformats.org/drawingml/2006/main">
                  <a:graphicData uri="http://schemas.microsoft.com/office/word/2010/wordprocessingShape">
                    <wps:wsp>
                      <wps:cNvSpPr txBox="1"/>
                      <wps:spPr>
                        <a:xfrm>
                          <a:off x="0" y="0"/>
                          <a:ext cx="1060450" cy="255905"/>
                        </a:xfrm>
                        <a:prstGeom prst="rect">
                          <a:avLst/>
                        </a:prstGeom>
                        <a:solidFill>
                          <a:sysClr val="window" lastClr="FFFFFF"/>
                        </a:solidFill>
                        <a:ln w="6350">
                          <a:noFill/>
                        </a:ln>
                        <a:effectLst/>
                      </wps:spPr>
                      <wps:txbx>
                        <w:txbxContent>
                          <w:p w14:paraId="01A39B02" w14:textId="77777777" w:rsidR="009241EC" w:rsidRPr="00E810B5" w:rsidRDefault="009241EC" w:rsidP="009861DE">
                            <w:pPr>
                              <w:rPr>
                                <w:sz w:val="16"/>
                                <w:szCs w:val="16"/>
                              </w:rPr>
                            </w:pPr>
                            <w:r>
                              <w:rPr>
                                <w:sz w:val="16"/>
                                <w:szCs w:val="16"/>
                              </w:rPr>
                              <w:t>Hot rolled coil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B8187" id="Text Box 228" o:spid="_x0000_s1041" type="#_x0000_t202" style="position:absolute;margin-left:111.95pt;margin-top:68.9pt;width:83.5pt;height:20.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" fillcolor="window" stroked="f" strokeweight=".5pt">
                <v:textbox>
                  <w:txbxContent>
                    <w:p w14:paraId="01A39B02" w14:textId="77777777" w:rsidR="009241EC" w:rsidRPr="00E810B5" w:rsidRDefault="009241EC" w:rsidP="009861DE">
                      <w:pPr>
                        <w:rPr>
                          <w:sz w:val="16"/>
                          <w:szCs w:val="16"/>
                        </w:rPr>
                      </w:pPr>
                      <w:r>
                        <w:rPr>
                          <w:sz w:val="16"/>
                          <w:szCs w:val="16"/>
                        </w:rPr>
                        <w:t>Hot rolled coil</w:t>
                      </w:r>
                    </w:p>
                  </w:txbxContent>
                </v:textbox>
              </v:shape>
            </w:pict>
          </mc:Fallback>
        </mc:AlternateContent>
      </w:r>
      <w:r w:rsidRPr="00545318">
        <w:rPr>
          <w:noProof/>
          <w:lang w:val="en-AU" w:eastAsia="en-AU"/>
        </w:rPr>
        <mc:AlternateContent>
          <mc:Choice Requires="wps">
            <w:drawing>
              <wp:anchor distT="0" distB="0" distL="114300" distR="114300" simplePos="0" relativeHeight="251708416" behindDoc="0" locked="0" layoutInCell="1" allowOverlap="1" wp14:anchorId="646756B1" wp14:editId="6B75C22E">
                <wp:simplePos x="0" y="0"/>
                <wp:positionH relativeFrom="column">
                  <wp:posOffset>1416050</wp:posOffset>
                </wp:positionH>
                <wp:positionV relativeFrom="paragraph">
                  <wp:posOffset>708660</wp:posOffset>
                </wp:positionV>
                <wp:extent cx="1060450" cy="255905"/>
                <wp:effectExtent l="0" t="0" r="6350" b="0"/>
                <wp:wrapNone/>
                <wp:docPr id="229" name="Text Box 229"/>
                <wp:cNvGraphicFramePr/>
                <a:graphic xmlns:a="http://schemas.openxmlformats.org/drawingml/2006/main">
                  <a:graphicData uri="http://schemas.microsoft.com/office/word/2010/wordprocessingShape">
                    <wps:wsp>
                      <wps:cNvSpPr txBox="1"/>
                      <wps:spPr>
                        <a:xfrm>
                          <a:off x="0" y="0"/>
                          <a:ext cx="1060450" cy="255905"/>
                        </a:xfrm>
                        <a:prstGeom prst="rect">
                          <a:avLst/>
                        </a:prstGeom>
                        <a:solidFill>
                          <a:sysClr val="window" lastClr="FFFFFF"/>
                        </a:solidFill>
                        <a:ln w="6350">
                          <a:noFill/>
                        </a:ln>
                        <a:effectLst/>
                      </wps:spPr>
                      <wps:txbx>
                        <w:txbxContent>
                          <w:p w14:paraId="1227ACCB" w14:textId="77777777" w:rsidR="009241EC" w:rsidRPr="00E810B5" w:rsidRDefault="009241EC" w:rsidP="009861DE">
                            <w:pPr>
                              <w:rPr>
                                <w:sz w:val="16"/>
                                <w:szCs w:val="16"/>
                              </w:rPr>
                            </w:pPr>
                            <w:r>
                              <w:rPr>
                                <w:sz w:val="16"/>
                                <w:szCs w:val="16"/>
                              </w:rPr>
                              <w:t>Hot rolled plate steel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756B1" id="Text Box 229" o:spid="_x0000_s1042" type="#_x0000_t202" style="position:absolute;margin-left:111.5pt;margin-top:55.8pt;width:83.5pt;height:20.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" fillcolor="window" stroked="f" strokeweight=".5pt">
                <v:textbox>
                  <w:txbxContent>
                    <w:p w14:paraId="1227ACCB" w14:textId="77777777" w:rsidR="009241EC" w:rsidRPr="00E810B5" w:rsidRDefault="009241EC" w:rsidP="009861DE">
                      <w:pPr>
                        <w:rPr>
                          <w:sz w:val="16"/>
                          <w:szCs w:val="16"/>
                        </w:rPr>
                      </w:pPr>
                      <w:r>
                        <w:rPr>
                          <w:sz w:val="16"/>
                          <w:szCs w:val="16"/>
                        </w:rPr>
                        <w:t>Hot rolled plate steel</w:t>
                      </w:r>
                    </w:p>
                  </w:txbxContent>
                </v:textbox>
              </v:shape>
            </w:pict>
          </mc:Fallback>
        </mc:AlternateContent>
      </w:r>
      <w:r w:rsidRPr="00545318">
        <w:rPr>
          <w:noProof/>
          <w:lang w:val="en-AU" w:eastAsia="en-AU"/>
        </w:rPr>
        <w:drawing>
          <wp:inline distT="0" distB="0" distL="0" distR="0" wp14:anchorId="1FA73E8C" wp14:editId="6E17409F">
            <wp:extent cx="5400675" cy="324802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675" cy="3248025"/>
                    </a:xfrm>
                    <a:prstGeom prst="rect">
                      <a:avLst/>
                    </a:prstGeom>
                    <a:noFill/>
                    <a:ln>
                      <a:noFill/>
                    </a:ln>
                  </pic:spPr>
                </pic:pic>
              </a:graphicData>
            </a:graphic>
          </wp:inline>
        </w:drawing>
      </w:r>
    </w:p>
    <w:p w14:paraId="7248BDC5" w14:textId="77777777" w:rsidR="009861DE" w:rsidRPr="00545318" w:rsidRDefault="009861DE" w:rsidP="009861DE">
      <w:pPr>
        <w:keepLines/>
        <w:pBdr>
          <w:bottom w:val="single" w:sz="4" w:space="1" w:color="595A5B"/>
        </w:pBdr>
        <w:spacing w:before="120" w:after="12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6BA51FB5"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Note: Solid line signifies measures in place.</w:t>
      </w:r>
    </w:p>
    <w:p w14:paraId="38BE4762" w14:textId="77777777" w:rsidR="009861DE" w:rsidRPr="00545318" w:rsidRDefault="009861DE" w:rsidP="009861DE">
      <w:pPr>
        <w:spacing w:before="120" w:after="120"/>
      </w:pPr>
      <w:r w:rsidRPr="00545318">
        <w:t xml:space="preserve">Comparing Australian industry’s selling prices and landed import prices (inclusive of securities and duties), the available data for hot rolled structural sections and galvanised steel (Figures 6.10 and 6.11 respectively) indicate that measures have been effective in raising the landed import price for goods that were previously being dumped, which results in a higher average import price. </w:t>
      </w:r>
    </w:p>
    <w:p w14:paraId="76C55257"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6.10: Weighted average prices of hot rolled structural sections sold by the Australian industry and landed import prices</w:t>
      </w:r>
    </w:p>
    <w:p w14:paraId="0AF4C859" w14:textId="77777777" w:rsidR="009861DE" w:rsidRPr="00545318" w:rsidRDefault="009861DE" w:rsidP="009861DE">
      <w:r w:rsidRPr="00545318">
        <w:rPr>
          <w:noProof/>
          <w:lang w:val="en-AU" w:eastAsia="en-AU"/>
        </w:rPr>
        <w:drawing>
          <wp:inline distT="0" distB="0" distL="0" distR="0" wp14:anchorId="0D1703B5" wp14:editId="46F5F89E">
            <wp:extent cx="5400675" cy="324802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675" cy="3248025"/>
                    </a:xfrm>
                    <a:prstGeom prst="rect">
                      <a:avLst/>
                    </a:prstGeom>
                    <a:noFill/>
                    <a:ln>
                      <a:noFill/>
                    </a:ln>
                  </pic:spPr>
                </pic:pic>
              </a:graphicData>
            </a:graphic>
          </wp:inline>
        </w:drawing>
      </w:r>
    </w:p>
    <w:p w14:paraId="6BB6B1CE"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5AD023DF"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6.11: Weighted average prices of galvanised steel sold by the Australian industry and landed import prices</w:t>
      </w:r>
    </w:p>
    <w:p w14:paraId="7DFCFB8C" w14:textId="77777777" w:rsidR="009861DE" w:rsidRPr="00545318" w:rsidRDefault="009861DE" w:rsidP="009861DE">
      <w:r w:rsidRPr="00545318">
        <w:rPr>
          <w:noProof/>
          <w:lang w:val="en-AU" w:eastAsia="en-AU"/>
        </w:rPr>
        <w:drawing>
          <wp:inline distT="0" distB="0" distL="0" distR="0" wp14:anchorId="654F9246" wp14:editId="38AB6F35">
            <wp:extent cx="5400675" cy="324802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3248025"/>
                    </a:xfrm>
                    <a:prstGeom prst="rect">
                      <a:avLst/>
                    </a:prstGeom>
                    <a:noFill/>
                    <a:ln>
                      <a:noFill/>
                    </a:ln>
                  </pic:spPr>
                </pic:pic>
              </a:graphicData>
            </a:graphic>
          </wp:inline>
        </w:drawing>
      </w:r>
    </w:p>
    <w:p w14:paraId="6D4B2C62"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7C3E96FE" w14:textId="77777777" w:rsidR="00135D4D" w:rsidRPr="00545318" w:rsidRDefault="00135D4D">
      <w:pPr>
        <w:spacing w:after="200" w:line="276" w:lineRule="auto"/>
        <w:rPr>
          <w:rFonts w:asciiTheme="majorHAnsi" w:eastAsiaTheme="majorEastAsia" w:hAnsiTheme="majorHAnsi" w:cstheme="majorBidi"/>
          <w:b/>
          <w:bCs/>
          <w:color w:val="4F81BD" w:themeColor="accent1"/>
        </w:rPr>
      </w:pPr>
      <w:r w:rsidRPr="00545318">
        <w:br w:type="page"/>
      </w:r>
    </w:p>
    <w:p w14:paraId="77F2959F" w14:textId="62A8AE96" w:rsidR="009861DE" w:rsidRPr="00545318" w:rsidRDefault="009861DE" w:rsidP="009861DE">
      <w:pPr>
        <w:pStyle w:val="Heading3"/>
        <w:spacing w:after="120"/>
      </w:pPr>
      <w:r w:rsidRPr="00545318">
        <w:t>Aluminium sales volumes</w:t>
      </w:r>
    </w:p>
    <w:p w14:paraId="3062F5DD" w14:textId="77777777" w:rsidR="009861DE" w:rsidRPr="00545318" w:rsidRDefault="009861DE" w:rsidP="009861DE">
      <w:pPr>
        <w:spacing w:before="120" w:after="120"/>
      </w:pPr>
      <w:r w:rsidRPr="00545318">
        <w:t xml:space="preserve">Australian sales volumes of aluminium extrusions, consisting of Australian and imported goods, fell significantly in 2011 and have gradually recovered to some extent (Figure 6.12). Anti-dumping and countervailing measures were imposed on aluminium extrusions exported from China in late 2009 and revised in late 2011 after a reinvestigation. </w:t>
      </w:r>
    </w:p>
    <w:p w14:paraId="5F7EF7EC"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6.12: Sales volumes of Australian manufactured and imported aluminium extrusions</w:t>
      </w:r>
    </w:p>
    <w:p w14:paraId="24FA145E" w14:textId="77777777" w:rsidR="009861DE" w:rsidRPr="00545318" w:rsidRDefault="009861DE" w:rsidP="009861DE">
      <w:r w:rsidRPr="00545318">
        <w:rPr>
          <w:noProof/>
          <w:lang w:val="en-AU" w:eastAsia="en-AU"/>
        </w:rPr>
        <w:drawing>
          <wp:inline distT="0" distB="0" distL="0" distR="0" wp14:anchorId="23D60DB0" wp14:editId="65D7CCB6">
            <wp:extent cx="5410200" cy="32385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10200" cy="3238500"/>
                    </a:xfrm>
                    <a:prstGeom prst="rect">
                      <a:avLst/>
                    </a:prstGeom>
                    <a:noFill/>
                    <a:ln>
                      <a:noFill/>
                    </a:ln>
                  </pic:spPr>
                </pic:pic>
              </a:graphicData>
            </a:graphic>
          </wp:inline>
        </w:drawing>
      </w:r>
    </w:p>
    <w:p w14:paraId="28EC28C0"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06E415FC" w14:textId="77777777" w:rsidR="009861DE" w:rsidRPr="00545318" w:rsidRDefault="009861DE" w:rsidP="009861DE">
      <w:pPr>
        <w:spacing w:before="120" w:after="120"/>
      </w:pPr>
      <w:r w:rsidRPr="00545318">
        <w:t>Figure 6.13 indicates that the imposition of measures on aluminium extrusions have had the effect of stopping the decline in the Australian industry’s market share that occurred from 2008 to 2012. Between 2012 and 2015, the market share of aluminium extrusions from China declined, reflecting the 2011 revision of measures. The market share of imports from other countries not subject to measures has increased.</w:t>
      </w:r>
    </w:p>
    <w:p w14:paraId="772C1BEA"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6.13: Market shares of aluminium extrusions</w:t>
      </w:r>
    </w:p>
    <w:p w14:paraId="7237E920" w14:textId="77777777" w:rsidR="009861DE" w:rsidRPr="00545318" w:rsidRDefault="009861DE" w:rsidP="009861DE">
      <w:r w:rsidRPr="00545318">
        <w:rPr>
          <w:noProof/>
          <w:lang w:val="en-AU" w:eastAsia="en-AU"/>
        </w:rPr>
        <w:drawing>
          <wp:inline distT="0" distB="0" distL="0" distR="0" wp14:anchorId="22D54FAA" wp14:editId="6C5DF5A9">
            <wp:extent cx="5410200" cy="32448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10200" cy="3244850"/>
                    </a:xfrm>
                    <a:prstGeom prst="rect">
                      <a:avLst/>
                    </a:prstGeom>
                    <a:noFill/>
                    <a:ln>
                      <a:noFill/>
                    </a:ln>
                  </pic:spPr>
                </pic:pic>
              </a:graphicData>
            </a:graphic>
          </wp:inline>
        </w:drawing>
      </w:r>
    </w:p>
    <w:p w14:paraId="65F75A0C"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5D466E13" w14:textId="77777777" w:rsidR="009861DE" w:rsidRPr="00545318" w:rsidRDefault="009861DE" w:rsidP="009861DE">
      <w:pPr>
        <w:pStyle w:val="Heading3"/>
        <w:spacing w:after="120"/>
      </w:pPr>
      <w:r w:rsidRPr="00545318">
        <w:t>Aluminium selling prices</w:t>
      </w:r>
    </w:p>
    <w:p w14:paraId="71F9C86F" w14:textId="77777777" w:rsidR="009861DE" w:rsidRPr="00545318" w:rsidRDefault="009861DE" w:rsidP="009861DE">
      <w:pPr>
        <w:spacing w:before="120" w:after="120"/>
      </w:pPr>
      <w:r w:rsidRPr="00545318">
        <w:t xml:space="preserve">Figure 6.14 shows the selling prices of aluminium extrusions between 2008 and 2015. It appears that since the revision of measures in late 2011, the Australian industry selling prices have shown a gradual recovery. The landed import prices of aluminium extrusions subject to measures have increased to be comparable to those of the Australian industry. </w:t>
      </w:r>
    </w:p>
    <w:p w14:paraId="168B3BFE" w14:textId="77777777" w:rsidR="009861DE" w:rsidRPr="00545318" w:rsidRDefault="009861DE" w:rsidP="009861DE">
      <w:pPr>
        <w:spacing w:before="120" w:after="120"/>
      </w:pPr>
      <w:r w:rsidRPr="00545318">
        <w:t>The Australian industry continues to face price competition from imports that are not subject to measures.</w:t>
      </w:r>
    </w:p>
    <w:p w14:paraId="768947E0" w14:textId="77777777" w:rsidR="009861DE" w:rsidRPr="00545318" w:rsidRDefault="009861DE" w:rsidP="009861DE">
      <w:pPr>
        <w:keepNext/>
        <w:keepLines/>
        <w:pBdr>
          <w:top w:val="single" w:sz="2" w:space="0" w:color="595A5B"/>
        </w:pBdr>
        <w:spacing w:before="360" w:after="240" w:line="240" w:lineRule="atLeast"/>
        <w:jc w:val="both"/>
        <w:rPr>
          <w:rFonts w:ascii="Arial" w:hAnsi="Arial"/>
          <w:bCs/>
          <w:color w:val="4F81BD" w:themeColor="accent1"/>
          <w:sz w:val="18"/>
          <w:szCs w:val="18"/>
          <w:lang w:val="en-AU"/>
        </w:rPr>
      </w:pPr>
      <w:r w:rsidRPr="00545318">
        <w:rPr>
          <w:rFonts w:ascii="Arial" w:hAnsi="Arial"/>
          <w:bCs/>
          <w:color w:val="4F81BD" w:themeColor="accent1"/>
          <w:sz w:val="18"/>
          <w:szCs w:val="18"/>
          <w:lang w:val="en-AU"/>
        </w:rPr>
        <w:t>Figure 6.14: Weighted average prices of aluminium extrusions sold by the Australian industry and landed import prices</w:t>
      </w:r>
    </w:p>
    <w:p w14:paraId="0B975CF5" w14:textId="77777777" w:rsidR="009861DE" w:rsidRPr="00545318" w:rsidRDefault="009861DE" w:rsidP="009861DE">
      <w:r w:rsidRPr="00545318">
        <w:rPr>
          <w:noProof/>
          <w:lang w:val="en-AU" w:eastAsia="en-AU"/>
        </w:rPr>
        <w:drawing>
          <wp:inline distT="0" distB="0" distL="0" distR="0" wp14:anchorId="6BA64A7B" wp14:editId="658434B6">
            <wp:extent cx="5410200" cy="32385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10200" cy="3238500"/>
                    </a:xfrm>
                    <a:prstGeom prst="rect">
                      <a:avLst/>
                    </a:prstGeom>
                    <a:noFill/>
                    <a:ln>
                      <a:noFill/>
                    </a:ln>
                  </pic:spPr>
                </pic:pic>
              </a:graphicData>
            </a:graphic>
          </wp:inline>
        </w:drawing>
      </w:r>
    </w:p>
    <w:p w14:paraId="48D5CACA" w14:textId="77777777" w:rsidR="009861DE" w:rsidRPr="00545318" w:rsidRDefault="009861DE" w:rsidP="009861DE">
      <w:pPr>
        <w:keepLines/>
        <w:pBdr>
          <w:bottom w:val="single" w:sz="4" w:space="1" w:color="595A5B"/>
        </w:pBdr>
        <w:spacing w:before="120" w:after="240"/>
        <w:jc w:val="both"/>
        <w:rPr>
          <w:rFonts w:ascii="Arial" w:eastAsia="Times New Roman" w:hAnsi="Arial" w:cs="Arial"/>
          <w:color w:val="22789A"/>
          <w:sz w:val="16"/>
          <w:szCs w:val="20"/>
          <w:lang w:val="en-AU"/>
        </w:rPr>
      </w:pPr>
      <w:r w:rsidRPr="00545318">
        <w:rPr>
          <w:rFonts w:ascii="Arial" w:eastAsia="Times New Roman" w:hAnsi="Arial" w:cs="Arial"/>
          <w:color w:val="22789A"/>
          <w:sz w:val="16"/>
          <w:szCs w:val="20"/>
          <w:lang w:val="en-AU"/>
        </w:rPr>
        <w:t>Source: Anti-Dumping Commission using DIBP trade data and industry sales data</w:t>
      </w:r>
    </w:p>
    <w:p w14:paraId="7AA9BA37" w14:textId="77777777" w:rsidR="00B45306" w:rsidRPr="00545318" w:rsidRDefault="00B45306" w:rsidP="00B45306"/>
    <w:p w14:paraId="5C59D2A7" w14:textId="77777777" w:rsidR="004D11DA" w:rsidRPr="00545318" w:rsidRDefault="004D11DA">
      <w:pPr>
        <w:spacing w:after="200" w:line="276" w:lineRule="auto"/>
        <w:rPr>
          <w:rFonts w:asciiTheme="majorHAnsi" w:eastAsiaTheme="majorEastAsia" w:hAnsiTheme="majorHAnsi" w:cstheme="majorBidi"/>
          <w:b/>
          <w:bCs/>
          <w:color w:val="4F81BD" w:themeColor="accent1"/>
          <w:sz w:val="26"/>
          <w:szCs w:val="26"/>
        </w:rPr>
      </w:pPr>
      <w:r w:rsidRPr="00545318">
        <w:rPr>
          <w:rFonts w:asciiTheme="majorHAnsi" w:eastAsiaTheme="majorEastAsia" w:hAnsiTheme="majorHAnsi" w:cstheme="majorBidi"/>
          <w:b/>
          <w:bCs/>
          <w:color w:val="4F81BD" w:themeColor="accent1"/>
          <w:sz w:val="26"/>
          <w:szCs w:val="26"/>
        </w:rPr>
        <w:br w:type="page"/>
      </w:r>
    </w:p>
    <w:p w14:paraId="43478008" w14:textId="32D39CB5" w:rsidR="00AC6123" w:rsidRPr="00545318" w:rsidRDefault="00AC6123" w:rsidP="00AC6123">
      <w:pPr>
        <w:pStyle w:val="Heading1"/>
        <w:numPr>
          <w:ilvl w:val="0"/>
          <w:numId w:val="0"/>
        </w:numPr>
        <w:ind w:left="432" w:hanging="432"/>
      </w:pPr>
      <w:bookmarkStart w:id="82" w:name="_Toc458674193"/>
      <w:bookmarkStart w:id="83" w:name="_Toc460430509"/>
      <w:r w:rsidRPr="00545318">
        <w:t xml:space="preserve">Attachment </w:t>
      </w:r>
      <w:r w:rsidR="00A01076" w:rsidRPr="00545318">
        <w:t>1</w:t>
      </w:r>
      <w:r w:rsidRPr="00545318">
        <w:t xml:space="preserve">: </w:t>
      </w:r>
      <w:r w:rsidR="00A246BB" w:rsidRPr="00545318">
        <w:t>Overview of Australia’s trade remedy system</w:t>
      </w:r>
      <w:bookmarkEnd w:id="82"/>
      <w:bookmarkEnd w:id="83"/>
    </w:p>
    <w:p w14:paraId="29077FC9" w14:textId="77777777" w:rsidR="00A246BB" w:rsidRPr="00545318" w:rsidRDefault="00A246BB" w:rsidP="00A246BB">
      <w:pPr>
        <w:spacing w:before="120" w:after="120"/>
        <w:rPr>
          <w:lang w:val="en-AU"/>
        </w:rPr>
      </w:pPr>
      <w:r w:rsidRPr="00545318">
        <w:rPr>
          <w:lang w:val="en-AU"/>
        </w:rPr>
        <w:t>Australia’s trade remedy system is concerned with goods im</w:t>
      </w:r>
      <w:r w:rsidR="004B2CDA" w:rsidRPr="00545318">
        <w:rPr>
          <w:lang w:val="en-AU"/>
        </w:rPr>
        <w:t>ported into Australia that are ‘</w:t>
      </w:r>
      <w:r w:rsidRPr="00545318">
        <w:rPr>
          <w:lang w:val="en-AU"/>
        </w:rPr>
        <w:t>dumped</w:t>
      </w:r>
      <w:r w:rsidR="004B2CDA" w:rsidRPr="00545318">
        <w:rPr>
          <w:lang w:val="en-AU"/>
        </w:rPr>
        <w:t>’</w:t>
      </w:r>
      <w:r w:rsidRPr="00545318">
        <w:rPr>
          <w:lang w:val="en-AU"/>
        </w:rPr>
        <w:t xml:space="preserve"> into Australia or subsidised in the country of origin. If such imports cause material injury to an Australian industry that produces like goods</w:t>
      </w:r>
      <w:r w:rsidR="004B2CDA" w:rsidRPr="00545318">
        <w:rPr>
          <w:lang w:val="en-AU"/>
        </w:rPr>
        <w:t>,</w:t>
      </w:r>
      <w:r w:rsidRPr="00545318">
        <w:rPr>
          <w:lang w:val="en-AU"/>
        </w:rPr>
        <w:t xml:space="preserve"> then trade remedies in the form of anti-dumping or countervailing duties can be imposed on the imported goods. </w:t>
      </w:r>
    </w:p>
    <w:p w14:paraId="1FBE036F" w14:textId="77777777" w:rsidR="00A246BB" w:rsidRPr="00B16697" w:rsidRDefault="00A246BB" w:rsidP="00B16697">
      <w:pPr>
        <w:rPr>
          <w:rFonts w:asciiTheme="majorHAnsi" w:hAnsiTheme="majorHAnsi"/>
          <w:b/>
          <w:color w:val="4F81BD"/>
          <w:sz w:val="26"/>
          <w:szCs w:val="26"/>
          <w:lang w:val="en-AU"/>
        </w:rPr>
      </w:pPr>
      <w:bookmarkStart w:id="84" w:name="_Toc458674194"/>
      <w:r w:rsidRPr="00B16697">
        <w:rPr>
          <w:rFonts w:asciiTheme="majorHAnsi" w:hAnsiTheme="majorHAnsi"/>
          <w:b/>
          <w:color w:val="4F81BD"/>
          <w:sz w:val="26"/>
          <w:szCs w:val="26"/>
          <w:lang w:val="en-AU"/>
        </w:rPr>
        <w:t>What is dumping?</w:t>
      </w:r>
      <w:bookmarkEnd w:id="84"/>
    </w:p>
    <w:p w14:paraId="579682C1" w14:textId="77777777" w:rsidR="00A246BB" w:rsidRPr="00545318" w:rsidRDefault="00A246BB" w:rsidP="00A246BB">
      <w:pPr>
        <w:spacing w:before="120" w:after="120"/>
        <w:rPr>
          <w:lang w:val="en-AU"/>
        </w:rPr>
      </w:pPr>
      <w:r w:rsidRPr="00545318">
        <w:rPr>
          <w:lang w:val="en-AU"/>
        </w:rPr>
        <w:t>Dumping occurs when an exporter sells goods to Australia at a price that is below the ‘normal value’ of the goods. The normal value will usually be the domestic price of the goods in the country of export. The margin of dumping is the amount by which that normal value exceeds the ‘export price’ of the goods.</w:t>
      </w:r>
    </w:p>
    <w:p w14:paraId="44230041" w14:textId="77777777" w:rsidR="00A246BB" w:rsidRPr="00545318" w:rsidRDefault="00A246BB" w:rsidP="00A246BB">
      <w:pPr>
        <w:spacing w:before="120" w:after="120"/>
        <w:rPr>
          <w:lang w:val="en-AU"/>
        </w:rPr>
      </w:pPr>
      <w:r w:rsidRPr="00545318">
        <w:rPr>
          <w:lang w:val="en-AU"/>
        </w:rPr>
        <w:t xml:space="preserve">Dumping is not prohibited under international trade agreements and it is not illegal. Consistent with </w:t>
      </w:r>
      <w:r w:rsidR="004B2CDA" w:rsidRPr="00545318">
        <w:rPr>
          <w:lang w:val="en-AU"/>
        </w:rPr>
        <w:t>WTO</w:t>
      </w:r>
      <w:r w:rsidRPr="00545318">
        <w:rPr>
          <w:lang w:val="en-AU"/>
        </w:rPr>
        <w:t xml:space="preserve"> rules, anti-dumping duties may be imposed when dumping causes, or threatens to cause, material injury to an Australian industry.</w:t>
      </w:r>
    </w:p>
    <w:p w14:paraId="0DCD84CC" w14:textId="77777777" w:rsidR="00A246BB" w:rsidRPr="00B16697" w:rsidRDefault="00A246BB" w:rsidP="00B16697">
      <w:pPr>
        <w:rPr>
          <w:rFonts w:asciiTheme="majorHAnsi" w:hAnsiTheme="majorHAnsi"/>
          <w:b/>
          <w:color w:val="4F81BD"/>
          <w:sz w:val="26"/>
          <w:szCs w:val="26"/>
          <w:lang w:val="en-AU"/>
        </w:rPr>
      </w:pPr>
      <w:bookmarkStart w:id="85" w:name="_Toc458674195"/>
      <w:r w:rsidRPr="00B16697">
        <w:rPr>
          <w:rFonts w:asciiTheme="majorHAnsi" w:hAnsiTheme="majorHAnsi"/>
          <w:b/>
          <w:color w:val="4F81BD"/>
          <w:sz w:val="26"/>
          <w:szCs w:val="26"/>
          <w:lang w:val="en-AU"/>
        </w:rPr>
        <w:t>What is subsidisation?</w:t>
      </w:r>
      <w:bookmarkEnd w:id="85"/>
    </w:p>
    <w:p w14:paraId="206C4F04" w14:textId="77777777" w:rsidR="00A246BB" w:rsidRPr="00545318" w:rsidRDefault="00A246BB" w:rsidP="00A246BB">
      <w:pPr>
        <w:spacing w:before="120" w:after="120"/>
        <w:rPr>
          <w:lang w:val="en-AU"/>
        </w:rPr>
      </w:pPr>
      <w:r w:rsidRPr="00545318">
        <w:rPr>
          <w:lang w:val="en-AU"/>
        </w:rPr>
        <w:t>Subsidisation occurs when imported goods benefit from government assistance in the country of export. Subsidisation can be:</w:t>
      </w:r>
    </w:p>
    <w:p w14:paraId="76201C2D" w14:textId="77777777" w:rsidR="00A246BB" w:rsidRPr="00545318" w:rsidRDefault="00A246BB" w:rsidP="00F05A66">
      <w:pPr>
        <w:pStyle w:val="ListParagraph"/>
        <w:numPr>
          <w:ilvl w:val="0"/>
          <w:numId w:val="35"/>
        </w:numPr>
        <w:spacing w:before="120" w:after="120"/>
        <w:rPr>
          <w:lang w:val="en-AU"/>
        </w:rPr>
      </w:pPr>
      <w:r w:rsidRPr="00545318">
        <w:rPr>
          <w:lang w:val="en-AU"/>
        </w:rPr>
        <w:t>an export subsidy that encourages export performance and/or</w:t>
      </w:r>
    </w:p>
    <w:p w14:paraId="48E5CE60" w14:textId="77777777" w:rsidR="00A246BB" w:rsidRPr="00545318" w:rsidRDefault="00A246BB" w:rsidP="00F05A66">
      <w:pPr>
        <w:pStyle w:val="ListParagraph"/>
        <w:numPr>
          <w:ilvl w:val="0"/>
          <w:numId w:val="35"/>
        </w:numPr>
        <w:spacing w:before="120" w:after="120"/>
        <w:rPr>
          <w:lang w:val="en-AU"/>
        </w:rPr>
      </w:pPr>
      <w:r w:rsidRPr="00545318">
        <w:rPr>
          <w:lang w:val="en-AU"/>
        </w:rPr>
        <w:t>a domestic subsidy that assists all production of the goods in the industry concerned including export production.</w:t>
      </w:r>
    </w:p>
    <w:p w14:paraId="332B2599" w14:textId="77777777" w:rsidR="00A246BB" w:rsidRPr="00545318" w:rsidRDefault="00A246BB" w:rsidP="00A246BB">
      <w:pPr>
        <w:spacing w:before="120" w:after="120"/>
        <w:rPr>
          <w:lang w:val="en-AU"/>
        </w:rPr>
      </w:pPr>
      <w:r w:rsidRPr="00545318">
        <w:rPr>
          <w:lang w:val="en-AU"/>
        </w:rPr>
        <w:t xml:space="preserve">Commonly found subsidies include: preferential loans; grants; tax incentives; and the provision of goods or services. </w:t>
      </w:r>
    </w:p>
    <w:p w14:paraId="194E2791" w14:textId="77777777" w:rsidR="00A246BB" w:rsidRPr="00545318" w:rsidRDefault="00A246BB" w:rsidP="00A246BB">
      <w:pPr>
        <w:spacing w:before="120" w:after="120"/>
        <w:rPr>
          <w:lang w:val="en-AU"/>
        </w:rPr>
      </w:pPr>
      <w:r w:rsidRPr="00545318">
        <w:rPr>
          <w:lang w:val="en-AU"/>
        </w:rPr>
        <w:t xml:space="preserve">A countervailing duty can be imposed to offset the amount of the subsidy where the subsidy applies to a specific firm, group of firms or industry. Export subsidies, and subsidies contingent on the use of domestic over imported goods, are prohibited under </w:t>
      </w:r>
      <w:r w:rsidR="004B2CDA" w:rsidRPr="00545318">
        <w:rPr>
          <w:lang w:val="en-AU"/>
        </w:rPr>
        <w:t>WTO</w:t>
      </w:r>
      <w:r w:rsidRPr="00545318">
        <w:rPr>
          <w:lang w:val="en-AU"/>
        </w:rPr>
        <w:t xml:space="preserve"> rules.</w:t>
      </w:r>
    </w:p>
    <w:p w14:paraId="66509601" w14:textId="77777777" w:rsidR="00A246BB" w:rsidRPr="00B16697" w:rsidRDefault="00A246BB" w:rsidP="00B16697">
      <w:pPr>
        <w:rPr>
          <w:rFonts w:asciiTheme="majorHAnsi" w:hAnsiTheme="majorHAnsi"/>
          <w:b/>
          <w:color w:val="4F81BD"/>
          <w:sz w:val="26"/>
          <w:szCs w:val="26"/>
          <w:lang w:val="en-AU"/>
        </w:rPr>
      </w:pPr>
      <w:bookmarkStart w:id="86" w:name="_Toc458674196"/>
      <w:r w:rsidRPr="00B16697">
        <w:rPr>
          <w:rFonts w:asciiTheme="majorHAnsi" w:hAnsiTheme="majorHAnsi"/>
          <w:b/>
          <w:color w:val="4F81BD"/>
          <w:sz w:val="26"/>
          <w:szCs w:val="26"/>
          <w:lang w:val="en-AU"/>
        </w:rPr>
        <w:t>Dumping or subsidisation must cause material injury to be actionable</w:t>
      </w:r>
      <w:bookmarkEnd w:id="86"/>
      <w:r w:rsidRPr="00B16697">
        <w:rPr>
          <w:rFonts w:asciiTheme="majorHAnsi" w:hAnsiTheme="majorHAnsi"/>
          <w:b/>
          <w:color w:val="4F81BD"/>
          <w:sz w:val="26"/>
          <w:szCs w:val="26"/>
          <w:lang w:val="en-AU"/>
        </w:rPr>
        <w:t xml:space="preserve"> </w:t>
      </w:r>
    </w:p>
    <w:p w14:paraId="3C978446" w14:textId="77777777" w:rsidR="00A246BB" w:rsidRPr="00545318" w:rsidRDefault="00A246BB" w:rsidP="00A246BB">
      <w:pPr>
        <w:spacing w:before="120" w:after="120"/>
        <w:rPr>
          <w:lang w:val="en-AU"/>
        </w:rPr>
      </w:pPr>
      <w:r w:rsidRPr="00545318">
        <w:rPr>
          <w:lang w:val="en-AU"/>
        </w:rPr>
        <w:t>In order for dumping or subsidisation to be actionable under Australian law, the dumped or subsidised imports must be shown to cause material injury to the relevant Australian industry.</w:t>
      </w:r>
    </w:p>
    <w:p w14:paraId="1BBA3817" w14:textId="77777777" w:rsidR="00A246BB" w:rsidRPr="00B16697" w:rsidRDefault="00A246BB" w:rsidP="00B16697">
      <w:pPr>
        <w:rPr>
          <w:rFonts w:asciiTheme="majorHAnsi" w:hAnsiTheme="majorHAnsi"/>
          <w:b/>
          <w:color w:val="4F81BD"/>
          <w:lang w:val="en-AU"/>
        </w:rPr>
      </w:pPr>
      <w:r w:rsidRPr="00B16697">
        <w:rPr>
          <w:rFonts w:asciiTheme="majorHAnsi" w:hAnsiTheme="majorHAnsi"/>
          <w:b/>
          <w:color w:val="4F81BD"/>
          <w:lang w:val="en-AU"/>
        </w:rPr>
        <w:t>What is material injury?</w:t>
      </w:r>
    </w:p>
    <w:p w14:paraId="520688D8" w14:textId="77777777" w:rsidR="00A246BB" w:rsidRPr="00545318" w:rsidRDefault="00A246BB" w:rsidP="00A246BB">
      <w:pPr>
        <w:spacing w:before="120" w:after="120"/>
        <w:rPr>
          <w:lang w:val="en-AU"/>
        </w:rPr>
      </w:pPr>
      <w:r w:rsidRPr="00545318">
        <w:rPr>
          <w:lang w:val="en-AU"/>
        </w:rPr>
        <w:t>Material injury is assessed through relevant indices and factors that demonstrate the state of the relevant Australian industry including:</w:t>
      </w:r>
    </w:p>
    <w:p w14:paraId="5FBCB30A" w14:textId="77777777" w:rsidR="00A246BB" w:rsidRPr="00545318" w:rsidRDefault="00A246BB" w:rsidP="004B2CDA">
      <w:pPr>
        <w:pStyle w:val="ListParagraph"/>
        <w:numPr>
          <w:ilvl w:val="0"/>
          <w:numId w:val="35"/>
        </w:numPr>
        <w:spacing w:before="120" w:after="120"/>
        <w:ind w:left="714" w:hanging="357"/>
        <w:contextualSpacing w:val="0"/>
        <w:rPr>
          <w:lang w:val="en-AU"/>
        </w:rPr>
      </w:pPr>
      <w:r w:rsidRPr="00545318">
        <w:rPr>
          <w:lang w:val="en-AU"/>
        </w:rPr>
        <w:t>volumes of dumped or subsidised imports</w:t>
      </w:r>
    </w:p>
    <w:p w14:paraId="652D680A" w14:textId="77777777" w:rsidR="00A246BB" w:rsidRPr="00545318" w:rsidRDefault="00A246BB" w:rsidP="004B2CDA">
      <w:pPr>
        <w:pStyle w:val="ListParagraph"/>
        <w:numPr>
          <w:ilvl w:val="0"/>
          <w:numId w:val="35"/>
        </w:numPr>
        <w:spacing w:before="120" w:after="120"/>
        <w:ind w:left="714" w:hanging="357"/>
        <w:contextualSpacing w:val="0"/>
        <w:rPr>
          <w:lang w:val="en-AU"/>
        </w:rPr>
      </w:pPr>
      <w:r w:rsidRPr="00545318">
        <w:rPr>
          <w:lang w:val="en-AU"/>
        </w:rPr>
        <w:t>price effects of dumped or subsidised imports</w:t>
      </w:r>
    </w:p>
    <w:p w14:paraId="19FD2692" w14:textId="77777777" w:rsidR="00A246BB" w:rsidRPr="00545318" w:rsidRDefault="004B2CDA" w:rsidP="004B2CDA">
      <w:pPr>
        <w:pStyle w:val="ListParagraph"/>
        <w:numPr>
          <w:ilvl w:val="0"/>
          <w:numId w:val="35"/>
        </w:numPr>
        <w:spacing w:before="120" w:after="120"/>
        <w:ind w:left="714" w:hanging="357"/>
        <w:contextualSpacing w:val="0"/>
        <w:rPr>
          <w:lang w:val="en-AU"/>
        </w:rPr>
      </w:pPr>
      <w:r w:rsidRPr="00545318">
        <w:rPr>
          <w:lang w:val="en-AU"/>
        </w:rPr>
        <w:t>consequent</w:t>
      </w:r>
      <w:r w:rsidR="00A246BB" w:rsidRPr="00545318">
        <w:rPr>
          <w:lang w:val="en-AU"/>
        </w:rPr>
        <w:t xml:space="preserve"> economic effects </w:t>
      </w:r>
      <w:r w:rsidRPr="00545318">
        <w:rPr>
          <w:lang w:val="en-AU"/>
        </w:rPr>
        <w:t>on, for example,</w:t>
      </w:r>
      <w:r w:rsidR="00A246BB" w:rsidRPr="00545318">
        <w:rPr>
          <w:lang w:val="en-AU"/>
        </w:rPr>
        <w:t xml:space="preserve"> profit, capacity utilisation, and market share.</w:t>
      </w:r>
    </w:p>
    <w:p w14:paraId="1FBD67D6" w14:textId="77777777" w:rsidR="00A246BB" w:rsidRPr="00545318" w:rsidRDefault="00A246BB" w:rsidP="00A246BB">
      <w:pPr>
        <w:spacing w:before="120" w:after="120"/>
        <w:rPr>
          <w:lang w:val="en-AU"/>
        </w:rPr>
      </w:pPr>
      <w:r w:rsidRPr="00545318">
        <w:rPr>
          <w:lang w:val="en-AU"/>
        </w:rPr>
        <w:t xml:space="preserve">Material injury may be current material injury, threatened material injury, or material hindrance to the establishment of an Australian industry. </w:t>
      </w:r>
    </w:p>
    <w:p w14:paraId="40454A71" w14:textId="77777777" w:rsidR="00A246BB" w:rsidRPr="00B16697" w:rsidRDefault="00A246BB" w:rsidP="00B16697">
      <w:pPr>
        <w:rPr>
          <w:rFonts w:asciiTheme="majorHAnsi" w:hAnsiTheme="majorHAnsi"/>
          <w:b/>
          <w:color w:val="4F81BD"/>
          <w:lang w:val="en-AU"/>
        </w:rPr>
      </w:pPr>
      <w:r w:rsidRPr="00B16697">
        <w:rPr>
          <w:rFonts w:asciiTheme="majorHAnsi" w:hAnsiTheme="majorHAnsi"/>
          <w:b/>
          <w:color w:val="4F81BD"/>
          <w:lang w:val="en-AU"/>
        </w:rPr>
        <w:t>There must be a causal link between material injury and dumped or subsidised goods</w:t>
      </w:r>
    </w:p>
    <w:p w14:paraId="3D45B8C1" w14:textId="77777777" w:rsidR="00A246BB" w:rsidRPr="00545318" w:rsidRDefault="00A246BB" w:rsidP="00A246BB">
      <w:pPr>
        <w:spacing w:before="120" w:after="120"/>
        <w:rPr>
          <w:lang w:val="en-AU"/>
        </w:rPr>
      </w:pPr>
      <w:r w:rsidRPr="00545318">
        <w:rPr>
          <w:lang w:val="en-AU"/>
        </w:rPr>
        <w:t xml:space="preserve">Consistent with </w:t>
      </w:r>
      <w:r w:rsidR="00FF6FFE" w:rsidRPr="00545318">
        <w:rPr>
          <w:lang w:val="en-AU"/>
        </w:rPr>
        <w:t>WTO</w:t>
      </w:r>
      <w:r w:rsidRPr="00545318">
        <w:rPr>
          <w:lang w:val="en-AU"/>
        </w:rPr>
        <w:t xml:space="preserve"> rules, trade remedies may not generally be imposed unless there is evidence of a causal link between material injury and the dumped or subsidised imports.</w:t>
      </w:r>
    </w:p>
    <w:p w14:paraId="36CD8693" w14:textId="77777777" w:rsidR="00A246BB" w:rsidRPr="00545318" w:rsidRDefault="00A246BB" w:rsidP="00A246BB">
      <w:pPr>
        <w:spacing w:before="120" w:after="120"/>
        <w:rPr>
          <w:lang w:val="en-AU"/>
        </w:rPr>
      </w:pPr>
      <w:r w:rsidRPr="00545318">
        <w:rPr>
          <w:lang w:val="en-AU"/>
        </w:rPr>
        <w:t>Any injury caused by a factor other than by the dumped or subsidised goods being imported (such as contractions in demand, imported goods that are not dumped or subsidised, or developments in technology) must not be attributed to allegedly dumped or subsidised goods.</w:t>
      </w:r>
    </w:p>
    <w:p w14:paraId="4A494EF4" w14:textId="77777777" w:rsidR="00B16697" w:rsidRDefault="00B16697">
      <w:pPr>
        <w:spacing w:after="200" w:line="276" w:lineRule="auto"/>
        <w:rPr>
          <w:rFonts w:asciiTheme="majorHAnsi" w:hAnsiTheme="majorHAnsi"/>
          <w:b/>
          <w:color w:val="4F81BD"/>
          <w:sz w:val="26"/>
          <w:szCs w:val="26"/>
          <w:lang w:val="en-AU"/>
        </w:rPr>
      </w:pPr>
      <w:bookmarkStart w:id="87" w:name="_Toc458674197"/>
      <w:r>
        <w:rPr>
          <w:rFonts w:asciiTheme="majorHAnsi" w:hAnsiTheme="majorHAnsi"/>
          <w:b/>
          <w:color w:val="4F81BD"/>
          <w:sz w:val="26"/>
          <w:szCs w:val="26"/>
          <w:lang w:val="en-AU"/>
        </w:rPr>
        <w:br w:type="page"/>
      </w:r>
    </w:p>
    <w:p w14:paraId="05B093AB" w14:textId="1DB52B42" w:rsidR="00A246BB" w:rsidRPr="00B16697" w:rsidRDefault="00A246BB" w:rsidP="00B16697">
      <w:pPr>
        <w:rPr>
          <w:rFonts w:asciiTheme="majorHAnsi" w:hAnsiTheme="majorHAnsi"/>
          <w:b/>
          <w:color w:val="4F81BD"/>
          <w:sz w:val="26"/>
          <w:szCs w:val="26"/>
          <w:lang w:val="en-AU"/>
        </w:rPr>
      </w:pPr>
      <w:r w:rsidRPr="00B16697">
        <w:rPr>
          <w:rFonts w:asciiTheme="majorHAnsi" w:hAnsiTheme="majorHAnsi"/>
          <w:b/>
          <w:color w:val="4F81BD"/>
          <w:sz w:val="26"/>
          <w:szCs w:val="26"/>
          <w:lang w:val="en-AU"/>
        </w:rPr>
        <w:t>The form of Australian trade remedies</w:t>
      </w:r>
      <w:bookmarkEnd w:id="87"/>
    </w:p>
    <w:p w14:paraId="621DA790" w14:textId="77777777" w:rsidR="00A246BB" w:rsidRPr="00545318" w:rsidRDefault="00A246BB" w:rsidP="00A246BB">
      <w:pPr>
        <w:spacing w:before="120" w:after="120"/>
        <w:rPr>
          <w:lang w:val="en-AU"/>
        </w:rPr>
      </w:pPr>
      <w:r w:rsidRPr="00545318">
        <w:rPr>
          <w:lang w:val="en-AU"/>
        </w:rPr>
        <w:t>Where dumped or subsidised goods have caused material injury to an Australian industry</w:t>
      </w:r>
      <w:r w:rsidR="00CE5955" w:rsidRPr="00545318">
        <w:rPr>
          <w:lang w:val="en-AU"/>
        </w:rPr>
        <w:t xml:space="preserve">, </w:t>
      </w:r>
      <w:r w:rsidRPr="00545318">
        <w:rPr>
          <w:lang w:val="en-AU"/>
        </w:rPr>
        <w:t xml:space="preserve">remedial action may be taken by the Minister in the form of anti-dumping or countervailing duties, or price undertakings by the exporter. </w:t>
      </w:r>
    </w:p>
    <w:p w14:paraId="26B2321B" w14:textId="77777777" w:rsidR="00A246BB" w:rsidRPr="00545318" w:rsidRDefault="00A246BB" w:rsidP="00A246BB">
      <w:pPr>
        <w:spacing w:before="120" w:after="120"/>
        <w:rPr>
          <w:lang w:val="en-AU"/>
        </w:rPr>
      </w:pPr>
      <w:r w:rsidRPr="00545318">
        <w:rPr>
          <w:lang w:val="en-AU"/>
        </w:rPr>
        <w:t xml:space="preserve">Anti-dumping duties can be ad valorem, fixed, floor price, or a combination of fixed and variable duties. Countervailing duties can be ad valorem, a fixed amount per unit or a combination of the two. </w:t>
      </w:r>
    </w:p>
    <w:p w14:paraId="1D38F3C7" w14:textId="77777777" w:rsidR="00A246BB" w:rsidRPr="00545318" w:rsidRDefault="00A246BB" w:rsidP="00A246BB">
      <w:pPr>
        <w:spacing w:before="120" w:after="120"/>
        <w:rPr>
          <w:lang w:val="en-AU"/>
        </w:rPr>
      </w:pPr>
      <w:r w:rsidRPr="00545318">
        <w:rPr>
          <w:lang w:val="en-AU"/>
        </w:rPr>
        <w:t xml:space="preserve">Price undertakings are an agreement by the exporter to sell at a minimum price. In this case, anti-dumping duties are not collected on the imported goods. The acceptance of an undertaking is at the Minister’s discretion. </w:t>
      </w:r>
    </w:p>
    <w:p w14:paraId="2CECD516" w14:textId="77777777" w:rsidR="00A246BB" w:rsidRPr="00B16697" w:rsidRDefault="00A246BB" w:rsidP="00B16697">
      <w:pPr>
        <w:rPr>
          <w:rFonts w:asciiTheme="majorHAnsi" w:hAnsiTheme="majorHAnsi"/>
          <w:b/>
          <w:color w:val="4F81BD"/>
          <w:sz w:val="26"/>
          <w:szCs w:val="26"/>
          <w:lang w:val="en-AU"/>
        </w:rPr>
      </w:pPr>
      <w:bookmarkStart w:id="88" w:name="_Toc458674198"/>
      <w:r w:rsidRPr="00B16697">
        <w:rPr>
          <w:rFonts w:asciiTheme="majorHAnsi" w:hAnsiTheme="majorHAnsi"/>
          <w:b/>
          <w:color w:val="4F81BD"/>
          <w:sz w:val="26"/>
          <w:szCs w:val="26"/>
          <w:lang w:val="en-AU"/>
        </w:rPr>
        <w:t>Administration of Australia’s trade remedy system</w:t>
      </w:r>
      <w:bookmarkEnd w:id="88"/>
    </w:p>
    <w:p w14:paraId="14B784E3" w14:textId="77777777" w:rsidR="00A246BB" w:rsidRPr="00545318" w:rsidRDefault="00A246BB" w:rsidP="00A246BB">
      <w:pPr>
        <w:spacing w:before="120" w:after="120"/>
        <w:rPr>
          <w:lang w:val="en-AU"/>
        </w:rPr>
      </w:pPr>
      <w:r w:rsidRPr="00545318">
        <w:rPr>
          <w:lang w:val="en-AU"/>
        </w:rPr>
        <w:t xml:space="preserve">The Anti-Dumping Commission administers Australia’s anti-dumping system. The Commission investigates the dumping and subsidy claims lodged by </w:t>
      </w:r>
      <w:r w:rsidR="00CE5955" w:rsidRPr="00545318">
        <w:rPr>
          <w:lang w:val="en-AU"/>
        </w:rPr>
        <w:t>an</w:t>
      </w:r>
      <w:r w:rsidRPr="00545318">
        <w:rPr>
          <w:lang w:val="en-AU"/>
        </w:rPr>
        <w:t xml:space="preserve"> Australian industry applicant. </w:t>
      </w:r>
    </w:p>
    <w:p w14:paraId="5F71AE69" w14:textId="77777777" w:rsidR="00A246BB" w:rsidRPr="00545318" w:rsidRDefault="00A246BB" w:rsidP="00A246BB">
      <w:pPr>
        <w:spacing w:before="120" w:after="120"/>
        <w:rPr>
          <w:lang w:val="en-AU"/>
        </w:rPr>
      </w:pPr>
      <w:r w:rsidRPr="00545318">
        <w:rPr>
          <w:lang w:val="en-AU"/>
        </w:rPr>
        <w:t xml:space="preserve">The investigation includes examination of the alleged dumping or subsidies (as applicable), the injury suffered by the Australian industry concerned, and the causal link between the dumping or subsidy and the injury found. The Commissioner of the Anti-Dumping Commission recommends to the Minister whether anti-dumping or countervailing duties should be imposed. </w:t>
      </w:r>
    </w:p>
    <w:p w14:paraId="273CE9F5" w14:textId="77777777" w:rsidR="00A246BB" w:rsidRPr="00B16697" w:rsidRDefault="00A246BB" w:rsidP="00B16697">
      <w:pPr>
        <w:rPr>
          <w:rFonts w:asciiTheme="majorHAnsi" w:hAnsiTheme="majorHAnsi"/>
          <w:b/>
          <w:color w:val="4F81BD"/>
          <w:sz w:val="26"/>
          <w:szCs w:val="26"/>
          <w:lang w:val="en-AU"/>
        </w:rPr>
      </w:pPr>
      <w:bookmarkStart w:id="89" w:name="_Toc458674199"/>
      <w:r w:rsidRPr="00B16697">
        <w:rPr>
          <w:rFonts w:asciiTheme="majorHAnsi" w:hAnsiTheme="majorHAnsi"/>
          <w:b/>
          <w:color w:val="4F81BD"/>
          <w:sz w:val="26"/>
          <w:szCs w:val="26"/>
          <w:lang w:val="en-AU"/>
        </w:rPr>
        <w:t>What is the connection between government interventions or influence in markets and trade remedies?</w:t>
      </w:r>
      <w:bookmarkEnd w:id="89"/>
    </w:p>
    <w:p w14:paraId="66E8207C" w14:textId="77777777" w:rsidR="00A246BB" w:rsidRPr="00545318" w:rsidRDefault="00A246BB" w:rsidP="00A246BB">
      <w:pPr>
        <w:spacing w:before="120" w:after="120"/>
        <w:rPr>
          <w:lang w:val="en-AU"/>
        </w:rPr>
      </w:pPr>
      <w:r w:rsidRPr="00545318">
        <w:rPr>
          <w:lang w:val="en-AU"/>
        </w:rPr>
        <w:t>Trade</w:t>
      </w:r>
      <w:r w:rsidR="00CE5955" w:rsidRPr="00545318">
        <w:rPr>
          <w:lang w:val="en-AU"/>
        </w:rPr>
        <w:t>-</w:t>
      </w:r>
      <w:r w:rsidRPr="00545318">
        <w:rPr>
          <w:lang w:val="en-AU"/>
        </w:rPr>
        <w:t>exposed Australian industries often seek trade remedies in circumstances where government interventions or influence in markets distort market behaviour and result in dumped or subsidised goods being exported to Australia.</w:t>
      </w:r>
    </w:p>
    <w:p w14:paraId="723335FF" w14:textId="77777777" w:rsidR="00A246BB" w:rsidRPr="00545318" w:rsidRDefault="00A246BB" w:rsidP="00A246BB">
      <w:pPr>
        <w:spacing w:before="120" w:after="120"/>
        <w:rPr>
          <w:lang w:val="en-AU"/>
        </w:rPr>
      </w:pPr>
      <w:r w:rsidRPr="00545318">
        <w:rPr>
          <w:lang w:val="en-AU"/>
        </w:rPr>
        <w:t>In investigating alleged dumping or subsidisation, the Commission considers foreign government interventions or influence in the following ways:</w:t>
      </w:r>
    </w:p>
    <w:p w14:paraId="31AB68A1" w14:textId="77777777" w:rsidR="00A246BB" w:rsidRPr="00545318" w:rsidRDefault="00A246BB" w:rsidP="00F05A66">
      <w:pPr>
        <w:pStyle w:val="ListParagraph"/>
        <w:numPr>
          <w:ilvl w:val="0"/>
          <w:numId w:val="36"/>
        </w:numPr>
        <w:spacing w:before="120" w:after="120"/>
        <w:contextualSpacing w:val="0"/>
        <w:rPr>
          <w:lang w:val="en-AU"/>
        </w:rPr>
      </w:pPr>
      <w:r w:rsidRPr="00545318">
        <w:rPr>
          <w:b/>
          <w:lang w:val="en-AU"/>
        </w:rPr>
        <w:t>Directly:</w:t>
      </w:r>
      <w:r w:rsidRPr="00545318">
        <w:rPr>
          <w:lang w:val="en-AU"/>
        </w:rPr>
        <w:t xml:space="preserve"> In the course of investigations into alleged subsidisation, the Commission directly assesses whether a foreign government has intervened in or influenced the relevant market by providing subsidies to a specific exporting firm, group of firms or industry.</w:t>
      </w:r>
    </w:p>
    <w:p w14:paraId="17D9BF09" w14:textId="77777777" w:rsidR="00A246BB" w:rsidRPr="00545318" w:rsidRDefault="00A246BB" w:rsidP="00F05A66">
      <w:pPr>
        <w:pStyle w:val="ListParagraph"/>
        <w:numPr>
          <w:ilvl w:val="0"/>
          <w:numId w:val="36"/>
        </w:numPr>
        <w:spacing w:before="120" w:after="120"/>
        <w:contextualSpacing w:val="0"/>
        <w:rPr>
          <w:lang w:val="en-AU"/>
        </w:rPr>
      </w:pPr>
      <w:r w:rsidRPr="00545318">
        <w:rPr>
          <w:b/>
          <w:lang w:val="en-AU"/>
        </w:rPr>
        <w:t>Indirectly:</w:t>
      </w:r>
      <w:r w:rsidRPr="00545318">
        <w:rPr>
          <w:lang w:val="en-AU"/>
        </w:rPr>
        <w:t xml:space="preserve"> In the course of an investigation into alleged dumping, the Commission may assess whether a </w:t>
      </w:r>
      <w:r w:rsidR="00CE5955" w:rsidRPr="00545318">
        <w:rPr>
          <w:lang w:val="en-AU"/>
        </w:rPr>
        <w:t>‘</w:t>
      </w:r>
      <w:r w:rsidRPr="00545318">
        <w:rPr>
          <w:lang w:val="en-AU"/>
        </w:rPr>
        <w:t>market situation</w:t>
      </w:r>
      <w:r w:rsidR="00CE5955" w:rsidRPr="00545318">
        <w:rPr>
          <w:lang w:val="en-AU"/>
        </w:rPr>
        <w:t>’</w:t>
      </w:r>
      <w:r w:rsidRPr="00545318">
        <w:rPr>
          <w:lang w:val="en-AU"/>
        </w:rPr>
        <w:t xml:space="preserve"> exists in the relevant foreign market or markets for key inputs. A market situation may be found where a foreign government has intervened in or influenced the relevant market such that it does not function as a competitive market. In those circumstances the Commission may determine the normal value of the relevant goods by reference to information other than the domestic price of the goods in the country of export.</w:t>
      </w:r>
    </w:p>
    <w:p w14:paraId="178267E1" w14:textId="77777777" w:rsidR="004D11DA" w:rsidRPr="009B5A1A" w:rsidRDefault="004D11DA" w:rsidP="009B5A1A">
      <w:pPr>
        <w:spacing w:after="200" w:line="276" w:lineRule="auto"/>
      </w:pPr>
    </w:p>
    <w:sectPr w:rsidR="004D11DA" w:rsidRPr="009B5A1A" w:rsidSect="00C54F71">
      <w:headerReference w:type="even" r:id="rId59"/>
      <w:headerReference w:type="default" r:id="rId60"/>
      <w:footerReference w:type="even" r:id="rId61"/>
      <w:footerReference w:type="default" r:id="rId62"/>
      <w:headerReference w:type="first" r:id="rId63"/>
      <w:footerReference w:type="first" r:id="rId64"/>
      <w:pgSz w:w="11907" w:h="16839" w:code="9"/>
      <w:pgMar w:top="1440" w:right="1440" w:bottom="1134"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E6B3E9" w14:textId="77777777" w:rsidR="009241EC" w:rsidRDefault="009241EC" w:rsidP="00D93F67">
      <w:r>
        <w:separator/>
      </w:r>
    </w:p>
  </w:endnote>
  <w:endnote w:type="continuationSeparator" w:id="0">
    <w:p w14:paraId="075BD1DD" w14:textId="77777777" w:rsidR="009241EC" w:rsidRDefault="009241EC" w:rsidP="00D93F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3094901"/>
      <w:docPartObj>
        <w:docPartGallery w:val="Page Numbers (Bottom of Page)"/>
        <w:docPartUnique/>
      </w:docPartObj>
    </w:sdtPr>
    <w:sdtEndPr>
      <w:rPr>
        <w:noProof/>
      </w:rPr>
    </w:sdtEndPr>
    <w:sdtContent>
      <w:p w14:paraId="304E3449" w14:textId="77777777" w:rsidR="009241EC" w:rsidRDefault="009241EC">
        <w:pPr>
          <w:pStyle w:val="Footer"/>
          <w:jc w:val="right"/>
        </w:pPr>
        <w:r>
          <w:fldChar w:fldCharType="begin"/>
        </w:r>
        <w:r>
          <w:instrText xml:space="preserve"> PAGE   \* MERGEFORMAT </w:instrText>
        </w:r>
        <w:r>
          <w:fldChar w:fldCharType="separate"/>
        </w:r>
        <w:r w:rsidR="00B5492B">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FC2342" w14:textId="77777777" w:rsidR="009241EC" w:rsidRDefault="009241EC">
    <w:pPr>
      <w:pStyle w:val="Footer"/>
    </w:pPr>
  </w:p>
  <w:p w14:paraId="45E16EC0" w14:textId="77777777" w:rsidR="009241EC" w:rsidRDefault="009241E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rPr>
      <w:id w:val="1829399546"/>
      <w:docPartObj>
        <w:docPartGallery w:val="Page Numbers (Bottom of Page)"/>
        <w:docPartUnique/>
      </w:docPartObj>
    </w:sdtPr>
    <w:sdtEndPr>
      <w:rPr>
        <w:rFonts w:ascii="Calibri" w:hAnsi="Calibri"/>
        <w:noProof/>
        <w:sz w:val="20"/>
        <w:szCs w:val="20"/>
      </w:rPr>
    </w:sdtEndPr>
    <w:sdtContent>
      <w:p w14:paraId="03318921" w14:textId="77777777" w:rsidR="009241EC" w:rsidRPr="003C736D" w:rsidRDefault="009241EC">
        <w:pPr>
          <w:pStyle w:val="Footer"/>
          <w:jc w:val="right"/>
          <w:rPr>
            <w:rFonts w:ascii="Calibri" w:eastAsiaTheme="majorEastAsia" w:hAnsi="Calibri" w:cstheme="majorBidi"/>
            <w:sz w:val="20"/>
            <w:szCs w:val="20"/>
          </w:rPr>
        </w:pPr>
        <w:r w:rsidRPr="003C736D">
          <w:rPr>
            <w:rFonts w:ascii="Calibri" w:eastAsiaTheme="minorEastAsia" w:hAnsi="Calibri"/>
            <w:sz w:val="20"/>
            <w:szCs w:val="20"/>
          </w:rPr>
          <w:fldChar w:fldCharType="begin"/>
        </w:r>
        <w:r w:rsidRPr="003C736D">
          <w:rPr>
            <w:rFonts w:ascii="Calibri" w:hAnsi="Calibri"/>
            <w:sz w:val="20"/>
            <w:szCs w:val="20"/>
          </w:rPr>
          <w:instrText xml:space="preserve"> PAGE    \* MERGEFORMAT </w:instrText>
        </w:r>
        <w:r w:rsidRPr="003C736D">
          <w:rPr>
            <w:rFonts w:ascii="Calibri" w:eastAsiaTheme="minorEastAsia" w:hAnsi="Calibri"/>
            <w:sz w:val="20"/>
            <w:szCs w:val="20"/>
          </w:rPr>
          <w:fldChar w:fldCharType="separate"/>
        </w:r>
        <w:r w:rsidR="00B5492B" w:rsidRPr="00B5492B">
          <w:rPr>
            <w:rFonts w:ascii="Calibri" w:eastAsiaTheme="majorEastAsia" w:hAnsi="Calibri" w:cstheme="majorBidi"/>
            <w:noProof/>
            <w:sz w:val="20"/>
            <w:szCs w:val="20"/>
          </w:rPr>
          <w:t>102</w:t>
        </w:r>
        <w:r w:rsidRPr="003C736D">
          <w:rPr>
            <w:rFonts w:ascii="Calibri" w:eastAsiaTheme="majorEastAsia" w:hAnsi="Calibri" w:cstheme="majorBidi"/>
            <w:noProof/>
            <w:sz w:val="20"/>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0AECB" w14:textId="77777777" w:rsidR="009241EC" w:rsidRDefault="009241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8492EA" w14:textId="77777777" w:rsidR="009241EC" w:rsidRDefault="009241EC" w:rsidP="00D93F67">
      <w:r>
        <w:separator/>
      </w:r>
    </w:p>
  </w:footnote>
  <w:footnote w:type="continuationSeparator" w:id="0">
    <w:p w14:paraId="7E880B1C" w14:textId="77777777" w:rsidR="009241EC" w:rsidRDefault="009241EC" w:rsidP="00D93F67">
      <w:r>
        <w:continuationSeparator/>
      </w:r>
    </w:p>
  </w:footnote>
  <w:footnote w:id="1">
    <w:p w14:paraId="0F793FF7" w14:textId="77777777" w:rsidR="009241EC" w:rsidRPr="00F574EB" w:rsidRDefault="009241EC">
      <w:pPr>
        <w:pStyle w:val="FootnoteText"/>
        <w:rPr>
          <w:lang w:val="en-AU"/>
        </w:rPr>
      </w:pPr>
      <w:r>
        <w:rPr>
          <w:rStyle w:val="FootnoteReference"/>
        </w:rPr>
        <w:footnoteRef/>
      </w:r>
      <w:r>
        <w:t xml:space="preserve"> OECD, </w:t>
      </w:r>
      <w:r w:rsidRPr="00A473E9">
        <w:rPr>
          <w:i/>
          <w:lang w:val="en-AU"/>
        </w:rPr>
        <w:t>Evaluating the Financial Health of the Steel Industry</w:t>
      </w:r>
      <w:r>
        <w:rPr>
          <w:lang w:val="en-AU"/>
        </w:rPr>
        <w:t xml:space="preserve">, DSTI/SU/SC(2015)12/FINAL, 2016, p. 6, </w:t>
      </w:r>
      <w:hyperlink r:id="rId1" w:history="1">
        <w:r w:rsidRPr="00FB25B9">
          <w:rPr>
            <w:rStyle w:val="Hyperlink"/>
            <w:lang w:val="en-AU"/>
          </w:rPr>
          <w:t>http://www.oecd.org/sti/ind/Evaluating-Financial-Health-Steel-Industry.pdf</w:t>
        </w:r>
      </w:hyperlink>
      <w:r>
        <w:rPr>
          <w:rStyle w:val="Hyperlink"/>
          <w:lang w:val="en-AU"/>
        </w:rPr>
        <w:t>.</w:t>
      </w:r>
    </w:p>
  </w:footnote>
  <w:footnote w:id="2">
    <w:p w14:paraId="39979710" w14:textId="77777777" w:rsidR="009241EC" w:rsidRPr="00DB5D3E" w:rsidRDefault="009241EC" w:rsidP="00E241A4">
      <w:pPr>
        <w:pStyle w:val="FootnoteText"/>
        <w:rPr>
          <w:lang w:val="en-AU"/>
        </w:rPr>
      </w:pPr>
      <w:r>
        <w:rPr>
          <w:rStyle w:val="FootnoteReference"/>
        </w:rPr>
        <w:footnoteRef/>
      </w:r>
      <w:r>
        <w:t xml:space="preserve"> </w:t>
      </w:r>
      <w:r>
        <w:rPr>
          <w:lang w:val="en-AU"/>
        </w:rPr>
        <w:t xml:space="preserve">OECD, </w:t>
      </w:r>
      <w:r w:rsidRPr="00A473E9">
        <w:t>‘Excess capacity in the global steel industry: The current situation and ways forward’, 2015</w:t>
      </w:r>
      <w:r>
        <w:t>, p. 4.</w:t>
      </w:r>
    </w:p>
  </w:footnote>
  <w:footnote w:id="3">
    <w:p w14:paraId="0EBA408E" w14:textId="77777777" w:rsidR="009241EC" w:rsidRDefault="009241EC" w:rsidP="002620C9">
      <w:pPr>
        <w:pStyle w:val="FootnoteText"/>
      </w:pPr>
      <w:r>
        <w:rPr>
          <w:rStyle w:val="FootnoteReference"/>
        </w:rPr>
        <w:footnoteRef/>
      </w:r>
      <w:r>
        <w:t xml:space="preserve"> OECD (2015a)</w:t>
      </w:r>
    </w:p>
  </w:footnote>
  <w:footnote w:id="4">
    <w:p w14:paraId="1A4B410F" w14:textId="77777777" w:rsidR="009241EC" w:rsidRPr="002D56E1" w:rsidRDefault="009241EC" w:rsidP="002620C9">
      <w:pPr>
        <w:pStyle w:val="FootnoteText"/>
        <w:rPr>
          <w:lang w:val="en-AU"/>
        </w:rPr>
      </w:pPr>
      <w:r>
        <w:rPr>
          <w:rStyle w:val="FootnoteReference"/>
        </w:rPr>
        <w:footnoteRef/>
      </w:r>
      <w:r>
        <w:t xml:space="preserve"> </w:t>
      </w:r>
      <w:r>
        <w:rPr>
          <w:lang w:val="en-AU"/>
        </w:rPr>
        <w:t>World Steel Association.</w:t>
      </w:r>
    </w:p>
  </w:footnote>
  <w:footnote w:id="5">
    <w:p w14:paraId="56D41782" w14:textId="219366BC" w:rsidR="009241EC" w:rsidRPr="00F62E8B" w:rsidRDefault="009241EC" w:rsidP="00F62E8B">
      <w:pPr>
        <w:pStyle w:val="FootnoteText"/>
        <w:rPr>
          <w:lang w:val="en-AU"/>
        </w:rPr>
      </w:pPr>
      <w:r>
        <w:rPr>
          <w:rStyle w:val="FootnoteReference"/>
        </w:rPr>
        <w:footnoteRef/>
      </w:r>
      <w:r>
        <w:t xml:space="preserve"> </w:t>
      </w:r>
      <w:r>
        <w:rPr>
          <w:lang w:val="en-AU"/>
        </w:rPr>
        <w:t xml:space="preserve">Arrium Mining and Materials. </w:t>
      </w:r>
      <w:hyperlink r:id="rId2" w:history="1">
        <w:r w:rsidRPr="00096CBC">
          <w:rPr>
            <w:rStyle w:val="Hyperlink"/>
            <w:lang w:val="en-AU"/>
          </w:rPr>
          <w:t>http://www.arrium.com/our-businesses/arrium-steel</w:t>
        </w:r>
      </w:hyperlink>
    </w:p>
  </w:footnote>
  <w:footnote w:id="6">
    <w:p w14:paraId="28790113" w14:textId="1288B4F9" w:rsidR="009241EC" w:rsidRDefault="009241EC">
      <w:pPr>
        <w:pStyle w:val="FootnoteText"/>
        <w:rPr>
          <w:lang w:val="en-AU"/>
        </w:rPr>
      </w:pPr>
      <w:r>
        <w:rPr>
          <w:rStyle w:val="FootnoteReference"/>
        </w:rPr>
        <w:footnoteRef/>
      </w:r>
      <w:r>
        <w:t xml:space="preserve"> </w:t>
      </w:r>
      <w:r>
        <w:rPr>
          <w:lang w:val="en-AU"/>
        </w:rPr>
        <w:t xml:space="preserve">BlueScope Steel. </w:t>
      </w:r>
      <w:hyperlink r:id="rId3" w:history="1">
        <w:r w:rsidRPr="00096CBC">
          <w:rPr>
            <w:rStyle w:val="Hyperlink"/>
          </w:rPr>
          <w:t>https://www.bluescope.com/about-us/our-business/bluescope-australia-and-new-zealand/</w:t>
        </w:r>
      </w:hyperlink>
    </w:p>
    <w:p w14:paraId="343DFBE5" w14:textId="77777777" w:rsidR="009241EC" w:rsidRPr="00F62E8B" w:rsidRDefault="009241EC">
      <w:pPr>
        <w:pStyle w:val="FootnoteText"/>
        <w:rPr>
          <w:lang w:val="en-AU"/>
        </w:rPr>
      </w:pPr>
    </w:p>
  </w:footnote>
  <w:footnote w:id="7">
    <w:p w14:paraId="27DEA511" w14:textId="3531C73D" w:rsidR="009241EC" w:rsidRDefault="009241EC">
      <w:pPr>
        <w:pStyle w:val="FootnoteText"/>
      </w:pPr>
      <w:r w:rsidRPr="00545318">
        <w:rPr>
          <w:rStyle w:val="FootnoteReference"/>
        </w:rPr>
        <w:footnoteRef/>
      </w:r>
      <w:r w:rsidRPr="00545318">
        <w:t xml:space="preserve"> </w:t>
      </w:r>
      <w:hyperlink r:id="rId4" w:history="1">
        <w:r w:rsidRPr="00545318">
          <w:rPr>
            <w:rStyle w:val="Hyperlink"/>
          </w:rPr>
          <w:t>http://www.abs.gov.au/AUSSTATS/abs@.nsf/DetailsPage/6291.0.55.003May%202016?OpenDocument</w:t>
        </w:r>
      </w:hyperlink>
    </w:p>
    <w:p w14:paraId="0EE685CF" w14:textId="77777777" w:rsidR="009241EC" w:rsidRPr="00531FAE" w:rsidRDefault="009241EC">
      <w:pPr>
        <w:pStyle w:val="FootnoteText"/>
        <w:rPr>
          <w:lang w:val="en-AU"/>
        </w:rPr>
      </w:pPr>
    </w:p>
  </w:footnote>
  <w:footnote w:id="8">
    <w:p w14:paraId="44A010D6" w14:textId="361358A7" w:rsidR="009241EC" w:rsidRPr="00545318" w:rsidRDefault="009241EC">
      <w:pPr>
        <w:pStyle w:val="FootnoteText"/>
      </w:pPr>
      <w:r w:rsidRPr="00545318">
        <w:rPr>
          <w:rStyle w:val="FootnoteReference"/>
        </w:rPr>
        <w:footnoteRef/>
      </w:r>
      <w:r w:rsidRPr="00545318">
        <w:t xml:space="preserve"> http://www.abs.gov.au/AUSSTATS/abs@.nsf/DetailsPage/6291.0.55.003May%202016?OpenDocument</w:t>
      </w:r>
    </w:p>
  </w:footnote>
  <w:footnote w:id="9">
    <w:p w14:paraId="2F0D1537" w14:textId="4124E066" w:rsidR="009241EC" w:rsidRDefault="009241EC">
      <w:pPr>
        <w:pStyle w:val="FootnoteText"/>
      </w:pPr>
      <w:r w:rsidRPr="00545318">
        <w:rPr>
          <w:rStyle w:val="FootnoteReference"/>
        </w:rPr>
        <w:footnoteRef/>
      </w:r>
      <w:hyperlink r:id="rId5" w:history="1">
        <w:r w:rsidRPr="00545318">
          <w:rPr>
            <w:rStyle w:val="Hyperlink"/>
          </w:rPr>
          <w:t>http://www.abs.gov.au/ausstats/abs@.nsf/ViewContent?readform&amp;view=productsbyCatalogue&amp;Action=Expand&amp;Num=2.1</w:t>
        </w:r>
      </w:hyperlink>
    </w:p>
    <w:p w14:paraId="2F79A598" w14:textId="77777777" w:rsidR="009241EC" w:rsidRPr="00E52F47" w:rsidRDefault="009241EC">
      <w:pPr>
        <w:pStyle w:val="FootnoteText"/>
        <w:rPr>
          <w:lang w:val="en-AU"/>
        </w:rPr>
      </w:pPr>
    </w:p>
  </w:footnote>
  <w:footnote w:id="10">
    <w:p w14:paraId="540B9C23" w14:textId="77777777" w:rsidR="009241EC" w:rsidRPr="00E97353" w:rsidRDefault="009241EC" w:rsidP="002620C9">
      <w:pPr>
        <w:pStyle w:val="FootnoteText"/>
        <w:rPr>
          <w:lang w:val="en-AU"/>
        </w:rPr>
      </w:pPr>
      <w:r>
        <w:rPr>
          <w:rStyle w:val="FootnoteReference"/>
        </w:rPr>
        <w:footnoteRef/>
      </w:r>
      <w:r>
        <w:t xml:space="preserve"> OECD, </w:t>
      </w:r>
      <w:r w:rsidRPr="00A473E9">
        <w:rPr>
          <w:i/>
          <w:lang w:val="en-AU"/>
        </w:rPr>
        <w:t>Evaluating the Financial Health of the Steel Industry</w:t>
      </w:r>
      <w:r>
        <w:rPr>
          <w:lang w:val="en-AU"/>
        </w:rPr>
        <w:t xml:space="preserve">, DSTI/SU/SC(2015)12/FINAL, 2016, p. 17, </w:t>
      </w:r>
      <w:hyperlink r:id="rId6" w:history="1">
        <w:r w:rsidRPr="00FB25B9">
          <w:rPr>
            <w:rStyle w:val="Hyperlink"/>
            <w:lang w:val="en-AU"/>
          </w:rPr>
          <w:t>http://www.oecd.org/sti/ind/Evaluating-Financial-Health-Steel-Industry.pdf</w:t>
        </w:r>
      </w:hyperlink>
      <w:r>
        <w:rPr>
          <w:rStyle w:val="Hyperlink"/>
          <w:lang w:val="en-AU"/>
        </w:rPr>
        <w:t>.</w:t>
      </w:r>
    </w:p>
  </w:footnote>
  <w:footnote w:id="11">
    <w:p w14:paraId="5C71D3B0" w14:textId="77777777" w:rsidR="009241EC" w:rsidRPr="00CE1132" w:rsidRDefault="009241EC" w:rsidP="002620C9">
      <w:pPr>
        <w:pStyle w:val="FootnoteText"/>
        <w:rPr>
          <w:lang w:val="en-AU"/>
        </w:rPr>
      </w:pPr>
      <w:r>
        <w:rPr>
          <w:rStyle w:val="FootnoteReference"/>
        </w:rPr>
        <w:footnoteRef/>
      </w:r>
      <w:r>
        <w:t xml:space="preserve"> </w:t>
      </w:r>
      <w:r>
        <w:rPr>
          <w:lang w:val="en-AU"/>
        </w:rPr>
        <w:t xml:space="preserve">OECD, </w:t>
      </w:r>
      <w:r w:rsidRPr="00A473E9">
        <w:t>‘Excess capacity in the global steel industry: The current situation and ways forward’, 2015</w:t>
      </w:r>
      <w:r w:rsidRPr="00CE1132">
        <w:t xml:space="preserve">, </w:t>
      </w:r>
      <w:r w:rsidRPr="00CE1132">
        <w:rPr>
          <w:lang w:val="en-AU"/>
        </w:rPr>
        <w:t>p. 5.</w:t>
      </w:r>
    </w:p>
  </w:footnote>
  <w:footnote w:id="12">
    <w:p w14:paraId="15D2F323" w14:textId="77777777" w:rsidR="009241EC" w:rsidRPr="00C417B6" w:rsidRDefault="009241EC" w:rsidP="002620C9">
      <w:pPr>
        <w:pStyle w:val="FootnoteText"/>
        <w:rPr>
          <w:lang w:val="en-AU"/>
        </w:rPr>
      </w:pPr>
      <w:r w:rsidRPr="00CE1132">
        <w:rPr>
          <w:rStyle w:val="FootnoteReference"/>
        </w:rPr>
        <w:footnoteRef/>
      </w:r>
      <w:r w:rsidRPr="00CE1132">
        <w:t xml:space="preserve"> </w:t>
      </w:r>
      <w:r w:rsidRPr="00CE1132">
        <w:rPr>
          <w:lang w:val="en-AU"/>
        </w:rPr>
        <w:t>ibid., p. 6.</w:t>
      </w:r>
    </w:p>
  </w:footnote>
  <w:footnote w:id="13">
    <w:p w14:paraId="58C64447" w14:textId="77777777" w:rsidR="009241EC" w:rsidRPr="00E97353" w:rsidRDefault="009241EC" w:rsidP="002620C9">
      <w:pPr>
        <w:pStyle w:val="FootnoteText"/>
        <w:rPr>
          <w:lang w:val="en-AU"/>
        </w:rPr>
      </w:pPr>
      <w:r>
        <w:rPr>
          <w:rStyle w:val="FootnoteReference"/>
        </w:rPr>
        <w:footnoteRef/>
      </w:r>
      <w:r>
        <w:t xml:space="preserve"> </w:t>
      </w:r>
      <w:r w:rsidRPr="00B168D3">
        <w:rPr>
          <w:lang w:val="en-AU"/>
        </w:rPr>
        <w:t xml:space="preserve">It </w:t>
      </w:r>
      <w:r>
        <w:rPr>
          <w:lang w:val="en-AU"/>
        </w:rPr>
        <w:t xml:space="preserve">may </w:t>
      </w:r>
      <w:r w:rsidRPr="00B168D3">
        <w:rPr>
          <w:lang w:val="en-AU"/>
        </w:rPr>
        <w:t xml:space="preserve">not </w:t>
      </w:r>
      <w:r>
        <w:rPr>
          <w:lang w:val="en-AU"/>
        </w:rPr>
        <w:t xml:space="preserve">be </w:t>
      </w:r>
      <w:r w:rsidRPr="0016615F">
        <w:rPr>
          <w:lang w:val="en-AU"/>
        </w:rPr>
        <w:t>economically viable</w:t>
      </w:r>
      <w:r w:rsidRPr="00B168D3">
        <w:rPr>
          <w:lang w:val="en-AU"/>
        </w:rPr>
        <w:t xml:space="preserve"> for the steel industry to run at full</w:t>
      </w:r>
      <w:r>
        <w:rPr>
          <w:lang w:val="en-AU"/>
        </w:rPr>
        <w:t xml:space="preserve"> </w:t>
      </w:r>
      <w:r w:rsidRPr="00B168D3">
        <w:rPr>
          <w:lang w:val="en-AU"/>
        </w:rPr>
        <w:t>capacity, even when pricing is attractive and companies appear to be maximising their output. During the</w:t>
      </w:r>
      <w:r>
        <w:rPr>
          <w:lang w:val="en-AU"/>
        </w:rPr>
        <w:t xml:space="preserve"> </w:t>
      </w:r>
      <w:r w:rsidRPr="00B168D3">
        <w:rPr>
          <w:lang w:val="en-AU"/>
        </w:rPr>
        <w:t>peak of the pre-crisis price upturn in the first half of 2008, for example, monthly global capacity utilisation</w:t>
      </w:r>
      <w:r>
        <w:rPr>
          <w:lang w:val="en-AU"/>
        </w:rPr>
        <w:t xml:space="preserve"> </w:t>
      </w:r>
      <w:r w:rsidRPr="00B168D3">
        <w:rPr>
          <w:lang w:val="en-AU"/>
        </w:rPr>
        <w:t>did not rise above 91</w:t>
      </w:r>
      <w:r>
        <w:rPr>
          <w:lang w:val="en-AU"/>
        </w:rPr>
        <w:t xml:space="preserve"> per cent.</w:t>
      </w:r>
      <w:r w:rsidRPr="00B168D3">
        <w:rPr>
          <w:lang w:val="en-AU"/>
        </w:rPr>
        <w:t xml:space="preserve"> Seasonal factors as well as the need to occasionally close down operations to</w:t>
      </w:r>
      <w:r>
        <w:rPr>
          <w:lang w:val="en-AU"/>
        </w:rPr>
        <w:t xml:space="preserve"> </w:t>
      </w:r>
      <w:r w:rsidRPr="00B168D3">
        <w:rPr>
          <w:lang w:val="en-AU"/>
        </w:rPr>
        <w:t>refurbish steel plants and add new facilities tend to reduce the effective capacity of steel mills</w:t>
      </w:r>
      <w:r>
        <w:rPr>
          <w:lang w:val="en-AU"/>
        </w:rPr>
        <w:t>.</w:t>
      </w:r>
    </w:p>
  </w:footnote>
  <w:footnote w:id="14">
    <w:p w14:paraId="40128F9B" w14:textId="77777777" w:rsidR="009241EC" w:rsidRPr="00545318" w:rsidRDefault="009241EC" w:rsidP="007E4F1C">
      <w:pPr>
        <w:pStyle w:val="FootnoteText"/>
      </w:pPr>
      <w:r w:rsidRPr="00545318">
        <w:rPr>
          <w:rStyle w:val="FootnoteReference"/>
        </w:rPr>
        <w:footnoteRef/>
      </w:r>
      <w:r w:rsidRPr="00545318">
        <w:t xml:space="preserve"> Anti-</w:t>
      </w:r>
      <w:r w:rsidRPr="00545318">
        <w:rPr>
          <w:color w:val="000000" w:themeColor="text1"/>
        </w:rPr>
        <w:t xml:space="preserve">Dumping Commission, </w:t>
      </w:r>
      <w:r w:rsidRPr="00545318">
        <w:rPr>
          <w:color w:val="000000" w:themeColor="text1"/>
          <w:lang w:val="en-AU"/>
        </w:rPr>
        <w:t xml:space="preserve">Report No. 300: </w:t>
      </w:r>
      <w:r w:rsidRPr="00545318">
        <w:rPr>
          <w:bCs/>
          <w:color w:val="000000" w:themeColor="text1"/>
          <w:lang w:val="en-AU"/>
        </w:rPr>
        <w:t>Alleged Dumping of Steel Reinforcing Bar Exported from The People’s Republic of China, April 2016; Report No. 198: Dumping of Hot Rolled Plate Steel Exported from The People’s Republic of China, Republic of Indonesia</w:t>
      </w:r>
      <w:r w:rsidRPr="00086221">
        <w:rPr>
          <w:bCs/>
          <w:color w:val="000000" w:themeColor="text1"/>
          <w:lang w:val="en-AU"/>
        </w:rPr>
        <w:t xml:space="preserve">, Japan, The Republic of Korea and Taiwan, and Subsidisation of Hot Rolled Plate Steel Exported from The People’s Republic of China, September 2013; Report No. 263, </w:t>
      </w:r>
      <w:r w:rsidRPr="00545318">
        <w:rPr>
          <w:bCs/>
          <w:color w:val="000000" w:themeColor="text1"/>
          <w:lang w:val="en-AU"/>
        </w:rPr>
        <w:t>Review into Anti-Dumping Measures: Aluminium Road Wheels Exported from the People’s Republic of China, September 2015; Report No. 301: Alleged Dumping of Steel Rod in Coils Exported from The People’s Republic of China, April 2016; Statement of Essential Facts No. 316: Alleged Dumping and Subsidisation of Grinding Balls Exported from The People’s Republic of China, April 2016; Consideration Report No. 355: Alleged Dumping and Subsidisation of Steel Shelving Units exported by The People’s Republic of China, June 2016.</w:t>
      </w:r>
    </w:p>
  </w:footnote>
  <w:footnote w:id="15">
    <w:p w14:paraId="231BFB03" w14:textId="77777777" w:rsidR="009241EC" w:rsidRDefault="009241EC" w:rsidP="007E4F1C">
      <w:pPr>
        <w:pStyle w:val="FootnoteText"/>
      </w:pPr>
      <w:r w:rsidRPr="00545318">
        <w:rPr>
          <w:rStyle w:val="FootnoteReference"/>
        </w:rPr>
        <w:footnoteRef/>
      </w:r>
      <w:r w:rsidRPr="00545318">
        <w:t xml:space="preserve"> Canada Border Services Agency (CSBA), Statement of Reasons: Concerning the final determinations with respect to the dumping of ‘Certain Concrete Reinforcing Bar Originating in or Exported from The People’s Republic of China, The Republic of Korea and The Republic of Turkey’; and the Subsidising of ‘Certain Concrete Reinforcing Bar Originating in or Exported from The People’s Republic of China’; and the terminations</w:t>
      </w:r>
      <w:r>
        <w:t xml:space="preserve"> of the investigation with respect to the Subsidising of ‘Certain Concrete Reinforcing Bar Originating in or Exported from The Republic of Korea and The Republic of Turkey’, December 2014.</w:t>
      </w:r>
    </w:p>
  </w:footnote>
  <w:footnote w:id="16">
    <w:p w14:paraId="0379636E" w14:textId="77777777" w:rsidR="009241EC" w:rsidRPr="00CA3C53" w:rsidRDefault="009241EC">
      <w:pPr>
        <w:pStyle w:val="FootnoteText"/>
        <w:rPr>
          <w:lang w:val="en-AU"/>
        </w:rPr>
      </w:pPr>
      <w:r>
        <w:rPr>
          <w:rStyle w:val="FootnoteReference"/>
        </w:rPr>
        <w:footnoteRef/>
      </w:r>
      <w:r>
        <w:t xml:space="preserve"> </w:t>
      </w:r>
      <w:r>
        <w:rPr>
          <w:lang w:val="en-AU"/>
        </w:rPr>
        <w:t xml:space="preserve">US Department of Commerce-International Trade Administration, </w:t>
      </w:r>
      <w:r w:rsidRPr="001143D1">
        <w:rPr>
          <w:i/>
          <w:lang w:val="en-AU"/>
        </w:rPr>
        <w:t>Global Steel Trade: Structural Problems and Future Solutions</w:t>
      </w:r>
      <w:r>
        <w:rPr>
          <w:lang w:val="en-AU"/>
        </w:rPr>
        <w:t>, Report to the President, July 2000; and investigations reports.</w:t>
      </w:r>
    </w:p>
  </w:footnote>
  <w:footnote w:id="17">
    <w:p w14:paraId="62E8356C" w14:textId="77777777" w:rsidR="009241EC" w:rsidRPr="00A473E9" w:rsidRDefault="009241EC" w:rsidP="007E4F1C">
      <w:pPr>
        <w:pStyle w:val="FootnoteText"/>
        <w:rPr>
          <w:lang w:val="en-AU"/>
        </w:rPr>
      </w:pPr>
      <w:r>
        <w:rPr>
          <w:rStyle w:val="FootnoteReference"/>
        </w:rPr>
        <w:footnoteRef/>
      </w:r>
      <w:r>
        <w:t xml:space="preserve"> See for example, </w:t>
      </w:r>
      <w:r>
        <w:rPr>
          <w:lang w:val="en-AU"/>
        </w:rPr>
        <w:t xml:space="preserve">OECD, </w:t>
      </w:r>
      <w:r w:rsidRPr="00A473E9">
        <w:t>‘Excess capacity in the global steel industry: The current situation and ways forward’, 2015,</w:t>
      </w:r>
      <w:hyperlink r:id="rId7" w:history="1">
        <w:r w:rsidRPr="00A473E9">
          <w:rPr>
            <w:rStyle w:val="Hyperlink"/>
          </w:rPr>
          <w:t>http://www.oecd.org/sti/ind/excess-capacity-in-the-global-steel-industry.pdf</w:t>
        </w:r>
      </w:hyperlink>
      <w:r>
        <w:rPr>
          <w:lang w:val="en-AU"/>
        </w:rPr>
        <w:t xml:space="preserve">; </w:t>
      </w:r>
      <w:r w:rsidRPr="00A473E9">
        <w:rPr>
          <w:i/>
          <w:lang w:val="en-AU"/>
        </w:rPr>
        <w:t>Evaluating the Financial Health of the Steel Industry</w:t>
      </w:r>
      <w:r>
        <w:rPr>
          <w:lang w:val="en-AU"/>
        </w:rPr>
        <w:t xml:space="preserve">, DSTI/SU/SC(2015)12/FINAL, 2016, </w:t>
      </w:r>
      <w:hyperlink r:id="rId8" w:history="1">
        <w:r w:rsidRPr="00FB25B9">
          <w:rPr>
            <w:rStyle w:val="Hyperlink"/>
            <w:lang w:val="en-AU"/>
          </w:rPr>
          <w:t>http://www.oecd.org/sti/ind/Evaluating-Financial-Health-Steel-Industry.pdf</w:t>
        </w:r>
      </w:hyperlink>
      <w:r>
        <w:rPr>
          <w:lang w:val="en-AU"/>
        </w:rPr>
        <w:t xml:space="preserve">; </w:t>
      </w:r>
      <w:r w:rsidRPr="00473D3C">
        <w:rPr>
          <w:i/>
          <w:lang w:val="en-AU"/>
        </w:rPr>
        <w:t>Steel Market Developments, Q4 2015</w:t>
      </w:r>
      <w:r>
        <w:rPr>
          <w:lang w:val="en-AU"/>
        </w:rPr>
        <w:t xml:space="preserve">, 2016, </w:t>
      </w:r>
      <w:r w:rsidRPr="00A473E9">
        <w:rPr>
          <w:lang w:val="en-AU"/>
        </w:rPr>
        <w:t>http://www.oecd.org/sti/ind/Steel-market-developments-2015Q4.pdf</w:t>
      </w:r>
      <w:r>
        <w:rPr>
          <w:lang w:val="en-AU"/>
        </w:rPr>
        <w:t>.</w:t>
      </w:r>
    </w:p>
  </w:footnote>
  <w:footnote w:id="18">
    <w:p w14:paraId="01564E80" w14:textId="77777777" w:rsidR="009241EC" w:rsidRPr="00344343" w:rsidRDefault="009241EC">
      <w:pPr>
        <w:pStyle w:val="FootnoteText"/>
        <w:rPr>
          <w:lang w:val="en-AU"/>
        </w:rPr>
      </w:pPr>
      <w:r>
        <w:rPr>
          <w:rStyle w:val="FootnoteReference"/>
        </w:rPr>
        <w:footnoteRef/>
      </w:r>
      <w:r>
        <w:t xml:space="preserve"> OECD, </w:t>
      </w:r>
      <w:r w:rsidRPr="00A473E9">
        <w:rPr>
          <w:i/>
          <w:lang w:val="en-AU"/>
        </w:rPr>
        <w:t>Evaluating the Financial Health of the Steel Industry</w:t>
      </w:r>
      <w:r>
        <w:rPr>
          <w:lang w:val="en-AU"/>
        </w:rPr>
        <w:t>, DSTI/SU/SC(2015)12/FINAL, 2016, p. 26.</w:t>
      </w:r>
    </w:p>
  </w:footnote>
  <w:footnote w:id="19">
    <w:p w14:paraId="3992C5DA" w14:textId="7B202E68" w:rsidR="009241EC" w:rsidRPr="00A16B7F" w:rsidRDefault="009241EC">
      <w:pPr>
        <w:pStyle w:val="FootnoteText"/>
        <w:rPr>
          <w:lang w:val="en-AU"/>
        </w:rPr>
      </w:pPr>
      <w:r>
        <w:rPr>
          <w:rStyle w:val="FootnoteReference"/>
        </w:rPr>
        <w:footnoteRef/>
      </w:r>
      <w:r>
        <w:t xml:space="preserve"> OECD, </w:t>
      </w:r>
      <w:r w:rsidRPr="00A16B7F">
        <w:rPr>
          <w:i/>
        </w:rPr>
        <w:t>Outcomes from the High-Level Symposium on Excess Capacity and Structural Adjustment in the Steel Sector: Co-Chairs’ Summary</w:t>
      </w:r>
      <w:r>
        <w:t xml:space="preserve">, April 2016, </w:t>
      </w:r>
      <w:hyperlink r:id="rId9" w:history="1">
        <w:r w:rsidRPr="00A277A2">
          <w:rPr>
            <w:rStyle w:val="Hyperlink"/>
          </w:rPr>
          <w:t>http://www.oecd.org/sti/ind/steel-excess-capacity-outcomes.htm</w:t>
        </w:r>
      </w:hyperlink>
      <w:r>
        <w:t xml:space="preserve">. </w:t>
      </w:r>
    </w:p>
  </w:footnote>
  <w:footnote w:id="20">
    <w:p w14:paraId="24AC2458" w14:textId="355BEB84" w:rsidR="009241EC" w:rsidRPr="00545318" w:rsidRDefault="009241EC" w:rsidP="00086221">
      <w:pPr>
        <w:pStyle w:val="FootnoteText"/>
        <w:rPr>
          <w:lang w:val="en-AU"/>
        </w:rPr>
      </w:pPr>
      <w:r w:rsidRPr="00545318">
        <w:rPr>
          <w:rStyle w:val="FootnoteReference"/>
        </w:rPr>
        <w:footnoteRef/>
      </w:r>
      <w:r w:rsidRPr="00545318">
        <w:t xml:space="preserve"> OECD, </w:t>
      </w:r>
      <w:r w:rsidRPr="00545318">
        <w:rPr>
          <w:i/>
        </w:rPr>
        <w:t>Background Note No. 2: Capacity Developments in the World Steel Industry</w:t>
      </w:r>
      <w:r w:rsidRPr="00545318">
        <w:t xml:space="preserve">, April 2016, p.3. </w:t>
      </w:r>
      <w:hyperlink r:id="rId10" w:history="1">
        <w:r w:rsidRPr="00545318">
          <w:rPr>
            <w:rStyle w:val="Hyperlink"/>
          </w:rPr>
          <w:t>http://www.oecd.org/sti/ind/Background%20document%20No%202_FINAL_Meeting.pdf</w:t>
        </w:r>
      </w:hyperlink>
      <w:r w:rsidRPr="00545318">
        <w:rPr>
          <w:rStyle w:val="Hyperlink"/>
        </w:rPr>
        <w:t>.</w:t>
      </w:r>
    </w:p>
  </w:footnote>
  <w:footnote w:id="21">
    <w:p w14:paraId="7AFB0D65" w14:textId="77777777" w:rsidR="009241EC" w:rsidRPr="00545318" w:rsidRDefault="009241EC" w:rsidP="00086221">
      <w:pPr>
        <w:pStyle w:val="FootnoteText"/>
      </w:pPr>
      <w:r w:rsidRPr="00545318">
        <w:rPr>
          <w:rStyle w:val="FootnoteReference"/>
        </w:rPr>
        <w:footnoteRef/>
      </w:r>
      <w:r w:rsidRPr="00545318">
        <w:t xml:space="preserve"> OECD, </w:t>
      </w:r>
      <w:r w:rsidRPr="00545318">
        <w:rPr>
          <w:i/>
        </w:rPr>
        <w:t>Background Note No. 2: Capacity Developments in the World Steel Industry</w:t>
      </w:r>
      <w:r w:rsidRPr="00545318">
        <w:t xml:space="preserve">, April 2016, p.1.  </w:t>
      </w:r>
      <w:hyperlink r:id="rId11" w:history="1">
        <w:r w:rsidRPr="00545318">
          <w:rPr>
            <w:rStyle w:val="Hyperlink"/>
          </w:rPr>
          <w:t>http://www.oecd.org/sti/ind/Background%20document%20No%202_FINAL_Meeting.pdf</w:t>
        </w:r>
      </w:hyperlink>
    </w:p>
  </w:footnote>
  <w:footnote w:id="22">
    <w:p w14:paraId="69EAE8A0" w14:textId="638529B4" w:rsidR="009241EC" w:rsidRPr="00545318" w:rsidRDefault="009241EC">
      <w:pPr>
        <w:pStyle w:val="FootnoteText"/>
        <w:rPr>
          <w:lang w:val="en-AU"/>
        </w:rPr>
      </w:pPr>
      <w:r w:rsidRPr="00545318">
        <w:rPr>
          <w:rStyle w:val="FootnoteReference"/>
        </w:rPr>
        <w:footnoteRef/>
      </w:r>
      <w:r w:rsidRPr="00545318">
        <w:t xml:space="preserve"> OECD, </w:t>
      </w:r>
      <w:r w:rsidRPr="00545318">
        <w:rPr>
          <w:i/>
        </w:rPr>
        <w:t>Outcomes from the High-Level Symposium on Excess Capacity and Structural Adjustment in the Steel Sector: Co-Chairs’ Summary</w:t>
      </w:r>
      <w:r w:rsidRPr="00545318">
        <w:t>, April 2016</w:t>
      </w:r>
      <w:r w:rsidRPr="00545318">
        <w:rPr>
          <w:lang w:val="en-AU"/>
        </w:rPr>
        <w:t>.</w:t>
      </w:r>
    </w:p>
  </w:footnote>
  <w:footnote w:id="23">
    <w:p w14:paraId="0C3DDC32" w14:textId="77777777" w:rsidR="009241EC" w:rsidRPr="00A00A37" w:rsidRDefault="009241EC" w:rsidP="00205B71">
      <w:pPr>
        <w:pStyle w:val="FootnoteText"/>
        <w:rPr>
          <w:lang w:val="en-AU"/>
        </w:rPr>
      </w:pPr>
      <w:r w:rsidRPr="00545318">
        <w:rPr>
          <w:rStyle w:val="FootnoteReference"/>
        </w:rPr>
        <w:footnoteRef/>
      </w:r>
      <w:r w:rsidRPr="00545318">
        <w:t xml:space="preserve"> </w:t>
      </w:r>
      <w:r w:rsidRPr="00545318">
        <w:rPr>
          <w:lang w:val="en-AU"/>
        </w:rPr>
        <w:t xml:space="preserve">The OECD Steel Committee is a </w:t>
      </w:r>
      <w:r w:rsidRPr="00545318">
        <w:rPr>
          <w:lang w:val="en"/>
        </w:rPr>
        <w:t>forum for governments to address the challenges facing the steel industry, and identify political solutions to encourage open</w:t>
      </w:r>
      <w:r w:rsidRPr="00A00A37">
        <w:rPr>
          <w:lang w:val="en"/>
        </w:rPr>
        <w:t xml:space="preserve"> and transparent markets for steel</w:t>
      </w:r>
      <w:r w:rsidRPr="00A00A37">
        <w:rPr>
          <w:lang w:val="en-AU"/>
        </w:rPr>
        <w:t>.</w:t>
      </w:r>
      <w:r>
        <w:rPr>
          <w:lang w:val="en-AU"/>
        </w:rPr>
        <w:t xml:space="preserve"> See </w:t>
      </w:r>
      <w:r w:rsidRPr="00A00A37">
        <w:rPr>
          <w:lang w:val="en-AU"/>
        </w:rPr>
        <w:t>http://www.oecd.org/sti/ind/steel.htm</w:t>
      </w:r>
      <w:r>
        <w:rPr>
          <w:lang w:val="en-AU"/>
        </w:rPr>
        <w:t>.</w:t>
      </w:r>
    </w:p>
  </w:footnote>
  <w:footnote w:id="24">
    <w:p w14:paraId="3C35316C" w14:textId="77777777" w:rsidR="009241EC" w:rsidRPr="005C6AFD" w:rsidRDefault="009241EC" w:rsidP="00205B71">
      <w:pPr>
        <w:pStyle w:val="FootnoteText"/>
        <w:rPr>
          <w:lang w:val="en-AU"/>
        </w:rPr>
      </w:pPr>
      <w:r>
        <w:rPr>
          <w:rStyle w:val="FootnoteReference"/>
        </w:rPr>
        <w:footnoteRef/>
      </w:r>
      <w:r>
        <w:t xml:space="preserve"> </w:t>
      </w:r>
      <w:r>
        <w:rPr>
          <w:lang w:val="en-AU"/>
        </w:rPr>
        <w:t xml:space="preserve">OECD, </w:t>
      </w:r>
      <w:r w:rsidRPr="00A473E9">
        <w:t>‘Excess capacity in the global steel industry: The current situation and ways forward’, 2015</w:t>
      </w:r>
      <w:r>
        <w:t>.</w:t>
      </w:r>
    </w:p>
  </w:footnote>
  <w:footnote w:id="25">
    <w:p w14:paraId="5FB5CC1B" w14:textId="77777777" w:rsidR="009241EC" w:rsidRPr="00DB5D3E" w:rsidRDefault="009241EC" w:rsidP="00205B71">
      <w:pPr>
        <w:pStyle w:val="FootnoteText"/>
        <w:rPr>
          <w:lang w:val="en-AU"/>
        </w:rPr>
      </w:pPr>
      <w:r>
        <w:rPr>
          <w:rStyle w:val="FootnoteReference"/>
        </w:rPr>
        <w:footnoteRef/>
      </w:r>
      <w:r>
        <w:t xml:space="preserve"> </w:t>
      </w:r>
      <w:r>
        <w:rPr>
          <w:lang w:val="en-AU"/>
        </w:rPr>
        <w:t>ibid., p. 4.</w:t>
      </w:r>
    </w:p>
  </w:footnote>
  <w:footnote w:id="26">
    <w:p w14:paraId="5C6419C6" w14:textId="77777777" w:rsidR="009241EC" w:rsidRPr="00DB5D3E" w:rsidRDefault="009241EC" w:rsidP="00611CC1">
      <w:pPr>
        <w:pStyle w:val="FootnoteText"/>
        <w:rPr>
          <w:lang w:val="en-AU"/>
        </w:rPr>
      </w:pPr>
      <w:r>
        <w:rPr>
          <w:rStyle w:val="FootnoteReference"/>
        </w:rPr>
        <w:footnoteRef/>
      </w:r>
      <w:r>
        <w:t xml:space="preserve"> </w:t>
      </w:r>
      <w:r>
        <w:rPr>
          <w:lang w:val="en-AU"/>
        </w:rPr>
        <w:t xml:space="preserve">OECD, </w:t>
      </w:r>
      <w:r w:rsidRPr="00A473E9">
        <w:t>‘Excess capacity in the global steel industry: The current situation and ways forward’, 2015</w:t>
      </w:r>
      <w:r>
        <w:t>, p. 4.</w:t>
      </w:r>
    </w:p>
  </w:footnote>
  <w:footnote w:id="27">
    <w:p w14:paraId="073DA556" w14:textId="77777777" w:rsidR="009241EC" w:rsidRPr="00996D16" w:rsidRDefault="009241EC" w:rsidP="00611CC1">
      <w:pPr>
        <w:pStyle w:val="FootnoteText"/>
      </w:pPr>
      <w:r>
        <w:rPr>
          <w:rStyle w:val="FootnoteReference"/>
        </w:rPr>
        <w:footnoteRef/>
      </w:r>
      <w:r>
        <w:t xml:space="preserve"> OECD, </w:t>
      </w:r>
      <w:r w:rsidRPr="004137B7">
        <w:rPr>
          <w:i/>
        </w:rPr>
        <w:t>Background</w:t>
      </w:r>
      <w:r>
        <w:rPr>
          <w:i/>
        </w:rPr>
        <w:t xml:space="preserve"> Note No. 3: Trade and Trade Policy Developments</w:t>
      </w:r>
      <w:r>
        <w:t xml:space="preserve">, April 2016, p.2. </w:t>
      </w:r>
      <w:r w:rsidRPr="00622AE2">
        <w:t>http://www.oecd.org/sti/ind/Background%20document%20No%203_FINAL_Meeting.pdf</w:t>
      </w:r>
    </w:p>
  </w:footnote>
  <w:footnote w:id="28">
    <w:p w14:paraId="13BFB827" w14:textId="77777777" w:rsidR="009241EC" w:rsidRPr="00AE410D" w:rsidRDefault="009241EC" w:rsidP="003E226F">
      <w:pPr>
        <w:pStyle w:val="FootnoteText"/>
        <w:rPr>
          <w:lang w:val="en-AU"/>
        </w:rPr>
      </w:pPr>
      <w:r>
        <w:rPr>
          <w:rStyle w:val="FootnoteReference"/>
        </w:rPr>
        <w:footnoteRef/>
      </w:r>
      <w:r>
        <w:t xml:space="preserve"> OECD, </w:t>
      </w:r>
      <w:r w:rsidRPr="004137B7">
        <w:rPr>
          <w:i/>
        </w:rPr>
        <w:t>Background</w:t>
      </w:r>
      <w:r>
        <w:rPr>
          <w:i/>
        </w:rPr>
        <w:t xml:space="preserve"> Note No. 3: Trade and Trade Policy Developments</w:t>
      </w:r>
      <w:r>
        <w:t xml:space="preserve">, April 2016, p.2. </w:t>
      </w:r>
      <w:r w:rsidRPr="00622AE2">
        <w:t>http://www.oecd.org/sti/ind/Background%20document%20No%203_FINAL_Meeting.pdf</w:t>
      </w:r>
    </w:p>
  </w:footnote>
  <w:footnote w:id="29">
    <w:p w14:paraId="1D5E0B44" w14:textId="77777777" w:rsidR="009241EC" w:rsidRPr="00AD4D44" w:rsidRDefault="009241EC">
      <w:pPr>
        <w:pStyle w:val="FootnoteText"/>
        <w:rPr>
          <w:lang w:val="en-AU"/>
        </w:rPr>
      </w:pPr>
      <w:r>
        <w:rPr>
          <w:rStyle w:val="FootnoteReference"/>
        </w:rPr>
        <w:footnoteRef/>
      </w:r>
      <w:r>
        <w:t xml:space="preserve"> </w:t>
      </w:r>
      <w:r>
        <w:rPr>
          <w:lang w:val="en-AU"/>
        </w:rPr>
        <w:t>ibid., p. 1.</w:t>
      </w:r>
    </w:p>
  </w:footnote>
  <w:footnote w:id="30">
    <w:p w14:paraId="3BE2E8B9" w14:textId="77777777" w:rsidR="009241EC" w:rsidRPr="004403D6" w:rsidRDefault="009241EC">
      <w:pPr>
        <w:pStyle w:val="FootnoteText"/>
        <w:rPr>
          <w:lang w:val="en-AU"/>
        </w:rPr>
      </w:pPr>
      <w:r>
        <w:rPr>
          <w:rStyle w:val="FootnoteReference"/>
        </w:rPr>
        <w:footnoteRef/>
      </w:r>
      <w:r>
        <w:t xml:space="preserve"> </w:t>
      </w:r>
      <w:r>
        <w:rPr>
          <w:lang w:val="en-AU"/>
        </w:rPr>
        <w:t xml:space="preserve">‘Steel industry’, </w:t>
      </w:r>
      <w:r w:rsidRPr="004403D6">
        <w:rPr>
          <w:i/>
          <w:lang w:val="en-AU"/>
        </w:rPr>
        <w:t>International Encyclopedia of the Social Sciences</w:t>
      </w:r>
      <w:r>
        <w:rPr>
          <w:lang w:val="en-AU"/>
        </w:rPr>
        <w:t>, 2008, www.encyclopedia.com</w:t>
      </w:r>
    </w:p>
  </w:footnote>
  <w:footnote w:id="31">
    <w:p w14:paraId="20631DD1" w14:textId="77777777" w:rsidR="009241EC" w:rsidRPr="001F205B" w:rsidRDefault="009241EC" w:rsidP="001F205B">
      <w:pPr>
        <w:pStyle w:val="FootnoteText"/>
      </w:pPr>
      <w:r>
        <w:rPr>
          <w:rStyle w:val="FootnoteReference"/>
        </w:rPr>
        <w:footnoteRef/>
      </w:r>
      <w:r>
        <w:t xml:space="preserve"> Dumping Notification: </w:t>
      </w:r>
      <w:hyperlink r:id="rId12" w:history="1">
        <w:r w:rsidRPr="001F205B">
          <w:rPr>
            <w:rStyle w:val="Hyperlink"/>
          </w:rPr>
          <w:t>https://www.usitc.gov/trade_remedy/731_ad_701_cvd/investigations/2015/Corrosion-Resistant%20Steel%20from%20China,%20India,%20Italy,%20Korea,%20and%20Taiwan/Preliminary/crs-determination-ad-prelim-pr_china.pdf</w:t>
        </w:r>
      </w:hyperlink>
      <w:r w:rsidRPr="001F205B">
        <w:t xml:space="preserve"> </w:t>
      </w:r>
    </w:p>
    <w:p w14:paraId="602EEAB5" w14:textId="5C53FE90" w:rsidR="009241EC" w:rsidRPr="001F205B" w:rsidRDefault="009241EC" w:rsidP="001F205B">
      <w:pPr>
        <w:pStyle w:val="FootnoteText"/>
      </w:pPr>
      <w:r w:rsidRPr="001F205B">
        <w:t xml:space="preserve">Countervailing Notification: </w:t>
      </w:r>
      <w:hyperlink r:id="rId13" w:history="1">
        <w:r w:rsidRPr="001F205B">
          <w:rPr>
            <w:rStyle w:val="Hyperlink"/>
          </w:rPr>
          <w:t>https://www.usitc.gov/trade_remedy/731_ad_701_cvd/investigations/2015/Corrosion-Resistant%20Steel%20from%20China,%20India,%20Italy,%20Korea,%20and%20Taiwan/Preliminary/core_cvd_prelim_ita.pdf</w:t>
        </w:r>
      </w:hyperlink>
    </w:p>
  </w:footnote>
  <w:footnote w:id="32">
    <w:p w14:paraId="02EEFE85" w14:textId="77777777" w:rsidR="009241EC" w:rsidRPr="00CC1764" w:rsidRDefault="009241EC" w:rsidP="001F205B">
      <w:pPr>
        <w:autoSpaceDE w:val="0"/>
        <w:autoSpaceDN w:val="0"/>
        <w:adjustRightInd w:val="0"/>
        <w:rPr>
          <w:rFonts w:cs="Calibri"/>
          <w:color w:val="0000FF"/>
          <w:sz w:val="24"/>
          <w:szCs w:val="24"/>
        </w:rPr>
      </w:pPr>
      <w:r w:rsidRPr="001F205B">
        <w:rPr>
          <w:rStyle w:val="FootnoteReference"/>
          <w:sz w:val="20"/>
          <w:szCs w:val="20"/>
        </w:rPr>
        <w:footnoteRef/>
      </w:r>
      <w:r w:rsidRPr="001F205B">
        <w:rPr>
          <w:sz w:val="20"/>
          <w:szCs w:val="20"/>
        </w:rPr>
        <w:t xml:space="preserve"> Dumping Notification: </w:t>
      </w:r>
      <w:r w:rsidRPr="001F205B">
        <w:rPr>
          <w:rFonts w:cs="Calibri"/>
          <w:color w:val="0000FF"/>
          <w:sz w:val="20"/>
          <w:szCs w:val="20"/>
        </w:rPr>
        <w:t xml:space="preserve">https://www.gpo.gov/fdsys/pkg/FR-2016-05-24/pdf/2016-12186.pdf </w:t>
      </w:r>
      <w:r w:rsidRPr="001F205B">
        <w:rPr>
          <w:sz w:val="20"/>
          <w:szCs w:val="20"/>
        </w:rPr>
        <w:t xml:space="preserve"> Countervailing Notification: </w:t>
      </w:r>
      <w:r w:rsidRPr="001F205B">
        <w:rPr>
          <w:rFonts w:cs="Calibri"/>
          <w:color w:val="0000FF"/>
          <w:sz w:val="20"/>
          <w:szCs w:val="20"/>
        </w:rPr>
        <w:t>https://www.gpo.gov/fdsys/pkg/FR-2016-05-24/pdf/2016-12183.pdf</w:t>
      </w:r>
    </w:p>
  </w:footnote>
  <w:footnote w:id="33">
    <w:p w14:paraId="0B06E3D1" w14:textId="77777777" w:rsidR="009241EC" w:rsidRPr="00C960F7" w:rsidRDefault="009241EC">
      <w:pPr>
        <w:pStyle w:val="FootnoteText"/>
        <w:rPr>
          <w:lang w:val="en-AU"/>
        </w:rPr>
      </w:pPr>
      <w:r>
        <w:rPr>
          <w:rStyle w:val="FootnoteReference"/>
        </w:rPr>
        <w:footnoteRef/>
      </w:r>
      <w:r>
        <w:t xml:space="preserve"> </w:t>
      </w:r>
      <w:r>
        <w:rPr>
          <w:lang w:val="en-AU"/>
        </w:rPr>
        <w:t>T Stewart, E Drake, J Wang, S Bell, and R Scott, ‘Surging steel imports put up to half a million US jobs at risk’, Briefing paper 376, Economic Policy Institute, May 2014.</w:t>
      </w:r>
    </w:p>
  </w:footnote>
  <w:footnote w:id="34">
    <w:p w14:paraId="225E7DE7" w14:textId="77777777" w:rsidR="009241EC" w:rsidRPr="003660B7" w:rsidRDefault="009241EC">
      <w:pPr>
        <w:pStyle w:val="FootnoteText"/>
        <w:rPr>
          <w:lang w:val="en-AU"/>
        </w:rPr>
      </w:pPr>
      <w:r>
        <w:rPr>
          <w:rStyle w:val="FootnoteReference"/>
        </w:rPr>
        <w:footnoteRef/>
      </w:r>
      <w:r>
        <w:t xml:space="preserve"> OECD, </w:t>
      </w:r>
      <w:r w:rsidRPr="00473D3C">
        <w:rPr>
          <w:i/>
          <w:lang w:val="en-AU"/>
        </w:rPr>
        <w:t>Steel Market Developments, Q4 2015</w:t>
      </w:r>
      <w:r>
        <w:rPr>
          <w:lang w:val="en-AU"/>
        </w:rPr>
        <w:t>, 2016, p. 12.</w:t>
      </w:r>
    </w:p>
  </w:footnote>
  <w:footnote w:id="35">
    <w:p w14:paraId="1E10CA81" w14:textId="77777777" w:rsidR="009241EC" w:rsidRPr="00A0227C" w:rsidRDefault="009241EC">
      <w:pPr>
        <w:pStyle w:val="FootnoteText"/>
        <w:rPr>
          <w:lang w:val="en-AU"/>
        </w:rPr>
      </w:pPr>
      <w:r>
        <w:rPr>
          <w:rStyle w:val="FootnoteReference"/>
        </w:rPr>
        <w:footnoteRef/>
      </w:r>
      <w:r>
        <w:t xml:space="preserve"> </w:t>
      </w:r>
      <w:r>
        <w:rPr>
          <w:lang w:val="en-AU"/>
        </w:rPr>
        <w:t xml:space="preserve">V Trappman, ‘Steel in the European Union in the wake of the global economic crisis’, pp. 355-375 in B Galgoczi, J Drahokoupil and M Bernaciak, </w:t>
      </w:r>
      <w:r w:rsidRPr="00B67A28">
        <w:rPr>
          <w:i/>
          <w:lang w:val="en-AU"/>
        </w:rPr>
        <w:t xml:space="preserve">Foreign Investment in Eastern and </w:t>
      </w:r>
      <w:r>
        <w:rPr>
          <w:i/>
          <w:lang w:val="en-AU"/>
        </w:rPr>
        <w:t>Southern</w:t>
      </w:r>
      <w:r w:rsidRPr="00B67A28">
        <w:rPr>
          <w:i/>
          <w:lang w:val="en-AU"/>
        </w:rPr>
        <w:t xml:space="preserve"> Europe after 2008: Still a lever of growth?</w:t>
      </w:r>
      <w:r>
        <w:rPr>
          <w:lang w:val="en-AU"/>
        </w:rPr>
        <w:t>, ETUI, Brussels, 2015.</w:t>
      </w:r>
    </w:p>
  </w:footnote>
  <w:footnote w:id="36">
    <w:p w14:paraId="05358A90" w14:textId="77777777" w:rsidR="009241EC" w:rsidRPr="001506AE" w:rsidRDefault="009241EC">
      <w:pPr>
        <w:pStyle w:val="FootnoteText"/>
        <w:rPr>
          <w:lang w:val="en-AU"/>
        </w:rPr>
      </w:pPr>
      <w:r>
        <w:rPr>
          <w:rStyle w:val="FootnoteReference"/>
        </w:rPr>
        <w:footnoteRef/>
      </w:r>
      <w:r>
        <w:t xml:space="preserve"> OECD, </w:t>
      </w:r>
      <w:r w:rsidRPr="00473D3C">
        <w:rPr>
          <w:i/>
          <w:lang w:val="en-AU"/>
        </w:rPr>
        <w:t>Steel Market Developments, Q4 2015</w:t>
      </w:r>
      <w:r>
        <w:rPr>
          <w:lang w:val="en-AU"/>
        </w:rPr>
        <w:t>, 2016, p. 12.</w:t>
      </w:r>
    </w:p>
  </w:footnote>
  <w:footnote w:id="37">
    <w:p w14:paraId="69255AE1" w14:textId="6F0A0F23" w:rsidR="009241EC" w:rsidRPr="00505529" w:rsidRDefault="009241EC">
      <w:pPr>
        <w:pStyle w:val="FootnoteText"/>
        <w:rPr>
          <w:lang w:val="en-AU"/>
        </w:rPr>
      </w:pPr>
      <w:r>
        <w:rPr>
          <w:rStyle w:val="FootnoteReference"/>
        </w:rPr>
        <w:footnoteRef/>
      </w:r>
      <w:r>
        <w:t xml:space="preserve"> </w:t>
      </w:r>
      <w:r w:rsidRPr="00505529">
        <w:t xml:space="preserve">A Price, C Weld, L El-Sabaawi and A Teslik, </w:t>
      </w:r>
      <w:r w:rsidRPr="00505529">
        <w:rPr>
          <w:i/>
        </w:rPr>
        <w:t>Unsustainable: Government intervention and overcapacity in the global steel industry</w:t>
      </w:r>
      <w:r w:rsidRPr="00505529">
        <w:t xml:space="preserve">, April 2016, p. </w:t>
      </w:r>
      <w:r>
        <w:t>20</w:t>
      </w:r>
      <w:r w:rsidRPr="00505529">
        <w:t xml:space="preserve">, </w:t>
      </w:r>
      <w:hyperlink r:id="rId14" w:history="1">
        <w:r w:rsidRPr="00505529">
          <w:rPr>
            <w:rStyle w:val="Hyperlink"/>
          </w:rPr>
          <w:t>http://www.wileyrein.com/media/publication/204_Unsustainable-Government-Intervention-and-Overcapacity-in-the-Global-Steel-Industry-April-2016.pdf</w:t>
        </w:r>
      </w:hyperlink>
      <w:r w:rsidRPr="00505529">
        <w:t>.</w:t>
      </w:r>
    </w:p>
  </w:footnote>
  <w:footnote w:id="38">
    <w:p w14:paraId="447AD266" w14:textId="77777777" w:rsidR="009241EC" w:rsidRPr="00545318" w:rsidRDefault="009241EC" w:rsidP="00370A41">
      <w:pPr>
        <w:pStyle w:val="FootnoteText"/>
      </w:pPr>
      <w:r w:rsidRPr="00545318">
        <w:rPr>
          <w:rStyle w:val="FootnoteReference"/>
        </w:rPr>
        <w:footnoteRef/>
      </w:r>
      <w:r w:rsidRPr="00545318">
        <w:t xml:space="preserve"> Bracketed numbers refers to the number of ongoing investigations.</w:t>
      </w:r>
    </w:p>
  </w:footnote>
  <w:footnote w:id="39">
    <w:p w14:paraId="048A2398" w14:textId="77777777" w:rsidR="009241EC" w:rsidRPr="00545318" w:rsidRDefault="009241EC" w:rsidP="00A175BD">
      <w:pPr>
        <w:pStyle w:val="FootnoteText"/>
      </w:pPr>
      <w:r w:rsidRPr="00545318">
        <w:rPr>
          <w:rStyle w:val="FootnoteReference"/>
          <w:color w:val="000000" w:themeColor="text1"/>
        </w:rPr>
        <w:footnoteRef/>
      </w:r>
      <w:r w:rsidRPr="00545318">
        <w:rPr>
          <w:color w:val="000000" w:themeColor="text1"/>
        </w:rPr>
        <w:t xml:space="preserve"> Sourced from Platts World Steel Review 27 July 2016, pp. 9-10.</w:t>
      </w:r>
    </w:p>
  </w:footnote>
  <w:footnote w:id="40">
    <w:p w14:paraId="3561AB1B" w14:textId="6FF14934" w:rsidR="009241EC" w:rsidRPr="007030F6" w:rsidRDefault="009241EC">
      <w:pPr>
        <w:pStyle w:val="FootnoteText"/>
        <w:rPr>
          <w:lang w:val="en-AU"/>
        </w:rPr>
      </w:pPr>
      <w:r w:rsidRPr="00545318">
        <w:rPr>
          <w:rStyle w:val="FootnoteReference"/>
        </w:rPr>
        <w:footnoteRef/>
      </w:r>
      <w:r w:rsidRPr="00545318">
        <w:t xml:space="preserve"> </w:t>
      </w:r>
      <w:r w:rsidRPr="00545318">
        <w:rPr>
          <w:lang w:val="en-AU"/>
        </w:rPr>
        <w:t xml:space="preserve">WTO, </w:t>
      </w:r>
      <w:r w:rsidRPr="00545318">
        <w:rPr>
          <w:i/>
          <w:lang w:val="en-AU"/>
        </w:rPr>
        <w:t>Report to the Trade Policy Review Body from the Director-General on Trade-Related Developments</w:t>
      </w:r>
      <w:r w:rsidRPr="00545318">
        <w:rPr>
          <w:lang w:val="en-AU"/>
        </w:rPr>
        <w:t>, (mid-October 2015 to mid-May 2016),</w:t>
      </w:r>
      <w:r>
        <w:rPr>
          <w:lang w:val="en-AU"/>
        </w:rPr>
        <w:t xml:space="preserve"> WT/TPR/OV/W/10, 4 July 2016, p. 106, </w:t>
      </w:r>
      <w:r w:rsidRPr="00B7448F">
        <w:rPr>
          <w:lang w:val="en-AU"/>
        </w:rPr>
        <w:t>https://www.wto.org/english/news_e/news16_e/trdev_22jul16_e.htm</w:t>
      </w:r>
      <w:r>
        <w:rPr>
          <w:lang w:val="en-AU"/>
        </w:rPr>
        <w:t>.</w:t>
      </w:r>
    </w:p>
  </w:footnote>
  <w:footnote w:id="41">
    <w:p w14:paraId="6F2FFE90" w14:textId="77777777" w:rsidR="009241EC" w:rsidRPr="00EA5A75" w:rsidRDefault="009241EC">
      <w:pPr>
        <w:pStyle w:val="FootnoteText"/>
        <w:rPr>
          <w:lang w:val="en-AU"/>
        </w:rPr>
      </w:pPr>
      <w:r>
        <w:rPr>
          <w:rStyle w:val="FootnoteReference"/>
        </w:rPr>
        <w:footnoteRef/>
      </w:r>
      <w:r>
        <w:t xml:space="preserve"> </w:t>
      </w:r>
      <w:r>
        <w:rPr>
          <w:lang w:val="en-AU"/>
        </w:rPr>
        <w:t xml:space="preserve">US Department of Commerce-International Trade Administration, </w:t>
      </w:r>
      <w:r w:rsidRPr="001143D1">
        <w:rPr>
          <w:i/>
          <w:lang w:val="en-AU"/>
        </w:rPr>
        <w:t>Global Steel Trade: Structural Problems and Future Solutions</w:t>
      </w:r>
      <w:r>
        <w:rPr>
          <w:lang w:val="en-AU"/>
        </w:rPr>
        <w:t>, Report to the President, July 2000, pp. 37-64.</w:t>
      </w:r>
    </w:p>
  </w:footnote>
  <w:footnote w:id="42">
    <w:p w14:paraId="1F45C144" w14:textId="77777777" w:rsidR="009241EC" w:rsidRPr="00014B80" w:rsidRDefault="009241EC">
      <w:pPr>
        <w:pStyle w:val="FootnoteText"/>
        <w:rPr>
          <w:lang w:val="en-AU"/>
        </w:rPr>
      </w:pPr>
      <w:r>
        <w:rPr>
          <w:rStyle w:val="FootnoteReference"/>
        </w:rPr>
        <w:footnoteRef/>
      </w:r>
      <w:r>
        <w:t xml:space="preserve"> </w:t>
      </w:r>
      <w:r>
        <w:rPr>
          <w:lang w:val="en-AU"/>
        </w:rPr>
        <w:t xml:space="preserve">United States Trade Representative, </w:t>
      </w:r>
      <w:r w:rsidRPr="00014B80">
        <w:rPr>
          <w:i/>
          <w:lang w:val="en-AU"/>
        </w:rPr>
        <w:t>2015 Report on the Implementation and Enforcement of Russia’s WTO Commitments</w:t>
      </w:r>
      <w:r>
        <w:rPr>
          <w:lang w:val="en-AU"/>
        </w:rPr>
        <w:t>, December 2015, www.ustr.gov.</w:t>
      </w:r>
    </w:p>
  </w:footnote>
  <w:footnote w:id="43">
    <w:p w14:paraId="5214175B" w14:textId="77777777" w:rsidR="009241EC" w:rsidRPr="00F12A7E" w:rsidRDefault="009241EC">
      <w:pPr>
        <w:pStyle w:val="FootnoteText"/>
        <w:rPr>
          <w:lang w:val="en-AU"/>
        </w:rPr>
      </w:pPr>
      <w:r>
        <w:rPr>
          <w:rStyle w:val="FootnoteReference"/>
        </w:rPr>
        <w:footnoteRef/>
      </w:r>
      <w:r>
        <w:t xml:space="preserve"> ‘VTB </w:t>
      </w:r>
      <w:r w:rsidRPr="00F12A7E">
        <w:t>expands partnership with Konar Group</w:t>
      </w:r>
      <w:r>
        <w:t xml:space="preserve">’, June 2014, </w:t>
      </w:r>
      <w:hyperlink r:id="rId15" w:history="1">
        <w:r w:rsidRPr="008E0C73">
          <w:rPr>
            <w:rStyle w:val="Hyperlink"/>
          </w:rPr>
          <w:t>www.vtb.com/group/press/news/releases/392694</w:t>
        </w:r>
      </w:hyperlink>
      <w:r>
        <w:t xml:space="preserve">. </w:t>
      </w:r>
    </w:p>
  </w:footnote>
  <w:footnote w:id="44">
    <w:p w14:paraId="757F1430" w14:textId="7ED8CA97" w:rsidR="009241EC" w:rsidRPr="00545318" w:rsidRDefault="009241EC">
      <w:pPr>
        <w:pStyle w:val="FootnoteText"/>
        <w:rPr>
          <w:lang w:val="en-AU"/>
        </w:rPr>
      </w:pPr>
      <w:r w:rsidRPr="00545318">
        <w:rPr>
          <w:rStyle w:val="FootnoteReference"/>
        </w:rPr>
        <w:footnoteRef/>
      </w:r>
      <w:r w:rsidRPr="00545318">
        <w:t xml:space="preserve"> A Price, C Weld, L El-Sabaawi and A Teslik, </w:t>
      </w:r>
      <w:r w:rsidRPr="00545318">
        <w:rPr>
          <w:i/>
        </w:rPr>
        <w:t>Unsustainable: Government intervention and overcapacity in the global steel industry</w:t>
      </w:r>
      <w:r w:rsidRPr="00545318">
        <w:t xml:space="preserve">, op. cit., pp. 8-9. </w:t>
      </w:r>
    </w:p>
  </w:footnote>
  <w:footnote w:id="45">
    <w:p w14:paraId="2D69A0A3" w14:textId="77777777" w:rsidR="009241EC" w:rsidRPr="00545318" w:rsidRDefault="009241EC" w:rsidP="00370A41">
      <w:pPr>
        <w:pStyle w:val="FootnoteText"/>
        <w:rPr>
          <w:color w:val="000000" w:themeColor="text1"/>
          <w:lang w:val="en-AU"/>
        </w:rPr>
      </w:pPr>
      <w:r w:rsidRPr="00545318">
        <w:rPr>
          <w:rStyle w:val="FootnoteReference"/>
          <w:color w:val="000000" w:themeColor="text1"/>
        </w:rPr>
        <w:footnoteRef/>
      </w:r>
      <w:r w:rsidRPr="00545318">
        <w:rPr>
          <w:color w:val="000000" w:themeColor="text1"/>
        </w:rPr>
        <w:t xml:space="preserve"> Sourced from Platts World Steel Review 27 July 2016, pp. 9-10.</w:t>
      </w:r>
    </w:p>
  </w:footnote>
  <w:footnote w:id="46">
    <w:p w14:paraId="02A3ED86" w14:textId="77777777" w:rsidR="009241EC" w:rsidRPr="00545318" w:rsidRDefault="009241EC">
      <w:pPr>
        <w:pStyle w:val="FootnoteText"/>
        <w:rPr>
          <w:lang w:val="en-AU"/>
        </w:rPr>
      </w:pPr>
      <w:r w:rsidRPr="00545318">
        <w:rPr>
          <w:rStyle w:val="FootnoteReference"/>
        </w:rPr>
        <w:footnoteRef/>
      </w:r>
      <w:r w:rsidRPr="00545318">
        <w:t xml:space="preserve"> </w:t>
      </w:r>
      <w:r w:rsidRPr="00545318">
        <w:rPr>
          <w:lang w:val="en-AU"/>
        </w:rPr>
        <w:t xml:space="preserve">US Department of Commerce-International Trade Administration, </w:t>
      </w:r>
      <w:r w:rsidRPr="00545318">
        <w:rPr>
          <w:i/>
          <w:lang w:val="en-AU"/>
        </w:rPr>
        <w:t>Global Steel Trade: Structural Problems and Future Solutions</w:t>
      </w:r>
      <w:r w:rsidRPr="00545318">
        <w:rPr>
          <w:lang w:val="en-AU"/>
        </w:rPr>
        <w:t>, Report to the President, July 2000, pp. 37-38, 98-106.</w:t>
      </w:r>
    </w:p>
  </w:footnote>
  <w:footnote w:id="47">
    <w:p w14:paraId="65DBCC79" w14:textId="77777777" w:rsidR="009241EC" w:rsidRPr="00D76B01" w:rsidRDefault="009241EC">
      <w:pPr>
        <w:pStyle w:val="FootnoteText"/>
        <w:rPr>
          <w:lang w:val="en-AU"/>
        </w:rPr>
      </w:pPr>
      <w:r w:rsidRPr="00545318">
        <w:rPr>
          <w:rStyle w:val="FootnoteReference"/>
        </w:rPr>
        <w:footnoteRef/>
      </w:r>
      <w:r w:rsidRPr="00545318">
        <w:t xml:space="preserve"> National Bank for Economic and Social Development, </w:t>
      </w:r>
      <w:r w:rsidRPr="00545318">
        <w:rPr>
          <w:i/>
        </w:rPr>
        <w:t>Perspectivas</w:t>
      </w:r>
      <w:r w:rsidRPr="00D76B01">
        <w:rPr>
          <w:i/>
        </w:rPr>
        <w:t xml:space="preserve"> de investimento Na Indústria: 2012 – 2015,</w:t>
      </w:r>
      <w:r w:rsidRPr="00D76B01">
        <w:t xml:space="preserve"> 19 April 2012, http://www.bndes.gov.br/SiteBNDES/ export/sites/default/bndes_pt/Galerias/Arquivos/conhecimento/visao/Visao_100.pdf.</w:t>
      </w:r>
    </w:p>
  </w:footnote>
  <w:footnote w:id="48">
    <w:p w14:paraId="3D67F276" w14:textId="0E2EAE9A" w:rsidR="009241EC" w:rsidRPr="000471FB" w:rsidRDefault="009241EC">
      <w:pPr>
        <w:pStyle w:val="FootnoteText"/>
        <w:rPr>
          <w:lang w:val="en-AU"/>
        </w:rPr>
      </w:pPr>
      <w:r>
        <w:rPr>
          <w:rStyle w:val="FootnoteReference"/>
        </w:rPr>
        <w:footnoteRef/>
      </w:r>
      <w:r>
        <w:t xml:space="preserve"> </w:t>
      </w:r>
      <w:r w:rsidRPr="000471FB">
        <w:t xml:space="preserve">A Price, C Weld, L El-Sabaawi and A Teslik, </w:t>
      </w:r>
      <w:r>
        <w:t>op. cit.</w:t>
      </w:r>
      <w:r w:rsidRPr="000471FB">
        <w:t>, p. 9</w:t>
      </w:r>
      <w:r>
        <w:t>.</w:t>
      </w:r>
    </w:p>
  </w:footnote>
  <w:footnote w:id="49">
    <w:p w14:paraId="139D88A0" w14:textId="2BF30A7A" w:rsidR="009241EC" w:rsidRPr="00DB73BD" w:rsidRDefault="009241EC">
      <w:pPr>
        <w:pStyle w:val="FootnoteText"/>
        <w:rPr>
          <w:lang w:val="en-AU"/>
        </w:rPr>
      </w:pPr>
      <w:r>
        <w:rPr>
          <w:rStyle w:val="FootnoteReference"/>
        </w:rPr>
        <w:footnoteRef/>
      </w:r>
      <w:r>
        <w:t xml:space="preserve"> i</w:t>
      </w:r>
      <w:r>
        <w:rPr>
          <w:lang w:val="en-AU"/>
        </w:rPr>
        <w:t>bid., p. 21.</w:t>
      </w:r>
    </w:p>
  </w:footnote>
  <w:footnote w:id="50">
    <w:p w14:paraId="3039FB2D" w14:textId="77777777" w:rsidR="009241EC" w:rsidRPr="00545318" w:rsidRDefault="009241EC" w:rsidP="00370A41">
      <w:pPr>
        <w:pStyle w:val="FootnoteText"/>
        <w:rPr>
          <w:lang w:val="en-AU"/>
        </w:rPr>
      </w:pPr>
      <w:r>
        <w:rPr>
          <w:rStyle w:val="FootnoteReference"/>
        </w:rPr>
        <w:footnoteRef/>
      </w:r>
      <w:r>
        <w:t xml:space="preserve"> </w:t>
      </w:r>
      <w:r>
        <w:rPr>
          <w:lang w:val="en-AU"/>
        </w:rPr>
        <w:t xml:space="preserve">US Department of Commerce-International Trade Administration, Fact Sheet, </w:t>
      </w:r>
      <w:r w:rsidRPr="00545318">
        <w:rPr>
          <w:lang w:val="en-AU"/>
        </w:rPr>
        <w:t>www.enforcement.trade.gov/download/factsheets/factsheet-multiple-cold-rolled-steel-flat-products-cvd-prelim-1.</w:t>
      </w:r>
    </w:p>
  </w:footnote>
  <w:footnote w:id="51">
    <w:p w14:paraId="3B65BDBF" w14:textId="77777777" w:rsidR="009241EC" w:rsidRPr="00545318" w:rsidRDefault="009241EC" w:rsidP="00370A41">
      <w:pPr>
        <w:pStyle w:val="FootnoteText"/>
        <w:rPr>
          <w:lang w:val="en-AU"/>
        </w:rPr>
      </w:pPr>
      <w:r w:rsidRPr="00545318">
        <w:rPr>
          <w:rStyle w:val="FootnoteReference"/>
        </w:rPr>
        <w:footnoteRef/>
      </w:r>
      <w:r w:rsidRPr="00545318">
        <w:t xml:space="preserve"> </w:t>
      </w:r>
      <w:r w:rsidRPr="00545318">
        <w:rPr>
          <w:color w:val="000000" w:themeColor="text1"/>
        </w:rPr>
        <w:t>Sourced from Platts World Steel Review 27 July 2016, pp. 9-10.</w:t>
      </w:r>
    </w:p>
  </w:footnote>
  <w:footnote w:id="52">
    <w:p w14:paraId="3D4E9C80" w14:textId="2FED14E0" w:rsidR="009241EC" w:rsidRPr="00545318" w:rsidRDefault="009241EC">
      <w:pPr>
        <w:pStyle w:val="FootnoteText"/>
        <w:rPr>
          <w:lang w:val="en-AU"/>
        </w:rPr>
      </w:pPr>
      <w:r w:rsidRPr="00545318">
        <w:rPr>
          <w:rStyle w:val="FootnoteReference"/>
        </w:rPr>
        <w:footnoteRef/>
      </w:r>
      <w:r w:rsidRPr="00545318">
        <w:t xml:space="preserve"> A Price, C Weld, L El-Sabaawi and A Teslik, op. cit., p. 19.</w:t>
      </w:r>
    </w:p>
  </w:footnote>
  <w:footnote w:id="53">
    <w:p w14:paraId="1C1A87DC" w14:textId="41308A43" w:rsidR="009241EC" w:rsidRPr="00545318" w:rsidRDefault="009241EC" w:rsidP="00CA302E">
      <w:pPr>
        <w:autoSpaceDE w:val="0"/>
        <w:autoSpaceDN w:val="0"/>
        <w:adjustRightInd w:val="0"/>
        <w:rPr>
          <w:sz w:val="20"/>
          <w:szCs w:val="20"/>
          <w:lang w:val="en-AU"/>
        </w:rPr>
      </w:pPr>
      <w:r w:rsidRPr="00545318">
        <w:rPr>
          <w:rStyle w:val="FootnoteReference"/>
        </w:rPr>
        <w:footnoteRef/>
      </w:r>
      <w:r w:rsidRPr="00545318">
        <w:t xml:space="preserve"> </w:t>
      </w:r>
      <w:r w:rsidRPr="00545318">
        <w:rPr>
          <w:sz w:val="20"/>
          <w:szCs w:val="20"/>
        </w:rPr>
        <w:t xml:space="preserve">World Trade Organisation, </w:t>
      </w:r>
      <w:r w:rsidRPr="00545318">
        <w:rPr>
          <w:rFonts w:cs="Verdana"/>
          <w:bCs/>
          <w:sz w:val="20"/>
          <w:szCs w:val="20"/>
          <w:lang w:val="en-AU"/>
        </w:rPr>
        <w:t xml:space="preserve">WT/TPR/OV/W/10, </w:t>
      </w:r>
      <w:r w:rsidRPr="00545318">
        <w:rPr>
          <w:rFonts w:cs="Verdana"/>
          <w:sz w:val="20"/>
          <w:szCs w:val="20"/>
          <w:lang w:val="en-AU"/>
        </w:rPr>
        <w:t>4 July 2016.</w:t>
      </w:r>
    </w:p>
  </w:footnote>
  <w:footnote w:id="54">
    <w:p w14:paraId="527702F2" w14:textId="77777777" w:rsidR="009241EC" w:rsidRPr="00637C99" w:rsidRDefault="009241EC">
      <w:pPr>
        <w:pStyle w:val="FootnoteText"/>
        <w:rPr>
          <w:lang w:val="en-AU"/>
        </w:rPr>
      </w:pPr>
      <w:r w:rsidRPr="00545318">
        <w:rPr>
          <w:rStyle w:val="FootnoteReference"/>
        </w:rPr>
        <w:footnoteRef/>
      </w:r>
      <w:r w:rsidRPr="00545318">
        <w:t xml:space="preserve"> </w:t>
      </w:r>
      <w:r w:rsidRPr="00545318">
        <w:rPr>
          <w:lang w:val="en-AU"/>
        </w:rPr>
        <w:t xml:space="preserve">As noted in chapter 2 of this report, </w:t>
      </w:r>
      <w:r w:rsidRPr="00545318">
        <w:t>China is now responsible for around half of all the steel and aluminium produced in the world, and is a major exporter of steel products</w:t>
      </w:r>
      <w:r>
        <w:t>.</w:t>
      </w:r>
    </w:p>
  </w:footnote>
  <w:footnote w:id="55">
    <w:p w14:paraId="3AB8D31C" w14:textId="77777777" w:rsidR="009241EC" w:rsidRPr="003F257E" w:rsidRDefault="009241EC" w:rsidP="003F257E">
      <w:pPr>
        <w:pStyle w:val="FootnoteText"/>
        <w:rPr>
          <w:lang w:val="en-AU"/>
        </w:rPr>
      </w:pPr>
      <w:r>
        <w:rPr>
          <w:rStyle w:val="FootnoteReference"/>
        </w:rPr>
        <w:footnoteRef/>
      </w:r>
      <w:r>
        <w:t xml:space="preserve"> </w:t>
      </w:r>
      <w:r>
        <w:rPr>
          <w:lang w:val="en-AU"/>
        </w:rPr>
        <w:t xml:space="preserve">OECD, ‘Public financial support for new investments in the global steel industry’ (Work in progress), </w:t>
      </w:r>
      <w:r w:rsidRPr="003F257E">
        <w:rPr>
          <w:lang w:val="en-AU"/>
        </w:rPr>
        <w:t>DSTI/SU/SC(2015)2</w:t>
      </w:r>
      <w:r>
        <w:rPr>
          <w:lang w:val="en-AU"/>
        </w:rPr>
        <w:t>,</w:t>
      </w:r>
      <w:r w:rsidRPr="003F257E">
        <w:rPr>
          <w:lang w:val="en-AU"/>
        </w:rPr>
        <w:t xml:space="preserve"> 78th Steel Committee Meeting</w:t>
      </w:r>
      <w:r>
        <w:rPr>
          <w:lang w:val="en-AU"/>
        </w:rPr>
        <w:t>,</w:t>
      </w:r>
      <w:r w:rsidRPr="003F257E">
        <w:rPr>
          <w:lang w:val="en-AU"/>
        </w:rPr>
        <w:t xml:space="preserve"> Paris, France</w:t>
      </w:r>
      <w:r>
        <w:rPr>
          <w:lang w:val="en-AU"/>
        </w:rPr>
        <w:t>,</w:t>
      </w:r>
      <w:r w:rsidRPr="003F257E">
        <w:rPr>
          <w:lang w:val="en-AU"/>
        </w:rPr>
        <w:t xml:space="preserve"> May 11, 2015</w:t>
      </w:r>
      <w:r>
        <w:rPr>
          <w:lang w:val="en-AU"/>
        </w:rPr>
        <w:t>.</w:t>
      </w:r>
    </w:p>
  </w:footnote>
  <w:footnote w:id="56">
    <w:p w14:paraId="5F87A0CD" w14:textId="77777777" w:rsidR="009241EC" w:rsidRPr="0030362A" w:rsidRDefault="009241EC" w:rsidP="00374264">
      <w:pPr>
        <w:pStyle w:val="FootnoteText"/>
      </w:pPr>
      <w:r w:rsidRPr="0030362A">
        <w:rPr>
          <w:rStyle w:val="FootnoteReference"/>
        </w:rPr>
        <w:footnoteRef/>
      </w:r>
      <w:r w:rsidRPr="0030362A">
        <w:t xml:space="preserve"> CBSA, 2014, p 14.</w:t>
      </w:r>
    </w:p>
  </w:footnote>
  <w:footnote w:id="57">
    <w:p w14:paraId="7130CB2F" w14:textId="77777777" w:rsidR="009241EC" w:rsidRDefault="009241EC" w:rsidP="00374264">
      <w:pPr>
        <w:pStyle w:val="FootnoteText"/>
      </w:pPr>
      <w:r>
        <w:rPr>
          <w:rStyle w:val="FootnoteReference"/>
        </w:rPr>
        <w:footnoteRef/>
      </w:r>
      <w:r>
        <w:t xml:space="preserve"> For example, the </w:t>
      </w:r>
      <w:r w:rsidRPr="00074C06">
        <w:t xml:space="preserve">National Steel Industry Development </w:t>
      </w:r>
      <w:r w:rsidRPr="006E7D03">
        <w:t>Policy</w:t>
      </w:r>
      <w:r w:rsidRPr="00074C06">
        <w:t xml:space="preserve"> (2005)</w:t>
      </w:r>
      <w:r>
        <w:t xml:space="preserve">, </w:t>
      </w:r>
      <w:r w:rsidRPr="00074C06">
        <w:t>Blueprint for</w:t>
      </w:r>
      <w:r w:rsidRPr="006E7D03">
        <w:t xml:space="preserve"> </w:t>
      </w:r>
      <w:r w:rsidRPr="00074C06">
        <w:t>the</w:t>
      </w:r>
      <w:r w:rsidRPr="006E7D03">
        <w:t xml:space="preserve"> </w:t>
      </w:r>
      <w:r w:rsidRPr="00074C06">
        <w:t xml:space="preserve">Adjustment </w:t>
      </w:r>
      <w:r w:rsidRPr="006E7D03">
        <w:t xml:space="preserve">and </w:t>
      </w:r>
      <w:r w:rsidRPr="00074C06">
        <w:t>Revitalisation</w:t>
      </w:r>
      <w:r w:rsidRPr="006E7D03">
        <w:t xml:space="preserve"> </w:t>
      </w:r>
      <w:r w:rsidRPr="00074C06">
        <w:t>of the</w:t>
      </w:r>
      <w:r w:rsidRPr="006E7D03">
        <w:t xml:space="preserve"> </w:t>
      </w:r>
      <w:r w:rsidRPr="00074C06">
        <w:t>Steel</w:t>
      </w:r>
      <w:r w:rsidRPr="006E7D03">
        <w:t xml:space="preserve"> </w:t>
      </w:r>
      <w:r w:rsidRPr="00074C06">
        <w:t>Industry (2009)</w:t>
      </w:r>
      <w:r>
        <w:t xml:space="preserve">, </w:t>
      </w:r>
      <w:r w:rsidRPr="006E7D03">
        <w:t xml:space="preserve">Notice </w:t>
      </w:r>
      <w:r w:rsidRPr="00074C06">
        <w:t xml:space="preserve">of Several </w:t>
      </w:r>
      <w:r w:rsidRPr="006E7D03">
        <w:t>Opinions</w:t>
      </w:r>
      <w:r w:rsidRPr="00074C06">
        <w:t xml:space="preserve"> on</w:t>
      </w:r>
      <w:r w:rsidRPr="006E7D03">
        <w:t xml:space="preserve"> </w:t>
      </w:r>
      <w:r w:rsidRPr="00074C06">
        <w:t>Curbing</w:t>
      </w:r>
      <w:r w:rsidRPr="006E7D03">
        <w:t xml:space="preserve"> </w:t>
      </w:r>
      <w:r w:rsidRPr="00074C06">
        <w:t>Overcapacities and</w:t>
      </w:r>
      <w:r w:rsidRPr="006E7D03">
        <w:t xml:space="preserve"> </w:t>
      </w:r>
      <w:r w:rsidRPr="00074C06">
        <w:t>Redundant</w:t>
      </w:r>
      <w:r w:rsidRPr="006E7D03">
        <w:t xml:space="preserve"> </w:t>
      </w:r>
      <w:r w:rsidRPr="00074C06">
        <w:t xml:space="preserve">Constructions </w:t>
      </w:r>
      <w:r w:rsidRPr="006E7D03">
        <w:t xml:space="preserve">in </w:t>
      </w:r>
      <w:r w:rsidRPr="00074C06">
        <w:t>Certain</w:t>
      </w:r>
      <w:r w:rsidRPr="006E7D03">
        <w:t xml:space="preserve"> </w:t>
      </w:r>
      <w:r w:rsidRPr="00074C06">
        <w:t>Industries and</w:t>
      </w:r>
      <w:r w:rsidRPr="006E7D03">
        <w:t xml:space="preserve"> </w:t>
      </w:r>
      <w:r w:rsidRPr="00074C06">
        <w:t>Guiding</w:t>
      </w:r>
      <w:r w:rsidRPr="006E7D03">
        <w:t xml:space="preserve"> </w:t>
      </w:r>
      <w:r w:rsidRPr="00074C06">
        <w:t>the</w:t>
      </w:r>
      <w:r w:rsidRPr="006E7D03">
        <w:t xml:space="preserve"> </w:t>
      </w:r>
      <w:r w:rsidRPr="00074C06">
        <w:t>Healthy</w:t>
      </w:r>
      <w:r w:rsidRPr="006E7D03">
        <w:t xml:space="preserve"> </w:t>
      </w:r>
      <w:r w:rsidRPr="00074C06">
        <w:t>Development of</w:t>
      </w:r>
      <w:r w:rsidRPr="006E7D03">
        <w:t xml:space="preserve"> </w:t>
      </w:r>
      <w:r w:rsidRPr="00074C06">
        <w:t>Industries (2009)</w:t>
      </w:r>
      <w:r>
        <w:t xml:space="preserve">, </w:t>
      </w:r>
      <w:r w:rsidRPr="00074C06">
        <w:t>2011-2015</w:t>
      </w:r>
      <w:r w:rsidRPr="006E7D03">
        <w:t xml:space="preserve"> </w:t>
      </w:r>
      <w:r w:rsidRPr="00074C06">
        <w:t>Development</w:t>
      </w:r>
      <w:r w:rsidRPr="006E7D03">
        <w:t xml:space="preserve"> </w:t>
      </w:r>
      <w:r w:rsidRPr="00074C06">
        <w:t>Plan</w:t>
      </w:r>
      <w:r w:rsidRPr="006E7D03">
        <w:t xml:space="preserve"> </w:t>
      </w:r>
      <w:r w:rsidRPr="00074C06">
        <w:t>for</w:t>
      </w:r>
      <w:r w:rsidRPr="006E7D03">
        <w:t xml:space="preserve"> </w:t>
      </w:r>
      <w:r w:rsidRPr="00074C06">
        <w:t>the</w:t>
      </w:r>
      <w:r w:rsidRPr="006E7D03">
        <w:t xml:space="preserve"> </w:t>
      </w:r>
      <w:r w:rsidRPr="00074C06">
        <w:t xml:space="preserve">Steel Industry </w:t>
      </w:r>
      <w:r w:rsidRPr="006E7D03">
        <w:t>(2011)</w:t>
      </w:r>
      <w:r>
        <w:t xml:space="preserve">, </w:t>
      </w:r>
      <w:r w:rsidRPr="00074C06">
        <w:t>Guiding</w:t>
      </w:r>
      <w:r w:rsidRPr="006E7D03">
        <w:t xml:space="preserve"> </w:t>
      </w:r>
      <w:r w:rsidRPr="00074C06">
        <w:t>Opinions on</w:t>
      </w:r>
      <w:r w:rsidRPr="006E7D03">
        <w:t xml:space="preserve"> Pushing </w:t>
      </w:r>
      <w:r w:rsidRPr="00074C06">
        <w:t>Forward</w:t>
      </w:r>
      <w:r w:rsidRPr="006E7D03">
        <w:t xml:space="preserve"> Enterprise </w:t>
      </w:r>
      <w:r>
        <w:t>Mergers and Acquisitions</w:t>
      </w:r>
      <w:r w:rsidRPr="006E7D03">
        <w:t xml:space="preserve"> </w:t>
      </w:r>
      <w:r w:rsidRPr="00074C06">
        <w:t>and</w:t>
      </w:r>
      <w:r w:rsidRPr="006E7D03">
        <w:t xml:space="preserve"> </w:t>
      </w:r>
      <w:r w:rsidRPr="00074C06">
        <w:t>Reorganisation</w:t>
      </w:r>
      <w:r w:rsidRPr="006E7D03">
        <w:t xml:space="preserve"> in </w:t>
      </w:r>
      <w:r w:rsidRPr="00074C06">
        <w:t>Key Industries (2013)</w:t>
      </w:r>
      <w:r>
        <w:t>,</w:t>
      </w:r>
      <w:r w:rsidRPr="00E51438">
        <w:t xml:space="preserve"> </w:t>
      </w:r>
      <w:r w:rsidRPr="00074C06">
        <w:t>Directory Catalogue</w:t>
      </w:r>
      <w:r w:rsidRPr="006E7D03">
        <w:t xml:space="preserve"> </w:t>
      </w:r>
      <w:r w:rsidRPr="00074C06">
        <w:t>on</w:t>
      </w:r>
      <w:r w:rsidRPr="006E7D03">
        <w:t xml:space="preserve"> </w:t>
      </w:r>
      <w:r w:rsidRPr="00074C06">
        <w:t>Readjustment</w:t>
      </w:r>
      <w:r w:rsidRPr="006E7D03">
        <w:t xml:space="preserve"> </w:t>
      </w:r>
      <w:r w:rsidRPr="00074C06">
        <w:t xml:space="preserve">of </w:t>
      </w:r>
      <w:r w:rsidRPr="006E7D03">
        <w:t>Industrial</w:t>
      </w:r>
      <w:r w:rsidRPr="00074C06">
        <w:t xml:space="preserve"> Structure</w:t>
      </w:r>
      <w:r w:rsidRPr="006E7D03">
        <w:t xml:space="preserve"> </w:t>
      </w:r>
      <w:r w:rsidRPr="00074C06">
        <w:t>(Version</w:t>
      </w:r>
      <w:r w:rsidRPr="006E7D03">
        <w:t xml:space="preserve"> 11) </w:t>
      </w:r>
      <w:r w:rsidRPr="00074C06">
        <w:t>(2013</w:t>
      </w:r>
      <w:r w:rsidRPr="006E7D03">
        <w:t xml:space="preserve"> </w:t>
      </w:r>
      <w:r w:rsidRPr="00074C06">
        <w:t>Amendment)</w:t>
      </w:r>
      <w:r>
        <w:t xml:space="preserve">, </w:t>
      </w:r>
      <w:r w:rsidRPr="00074C06">
        <w:t xml:space="preserve">Steel Industry Adjustment </w:t>
      </w:r>
      <w:r w:rsidRPr="006E7D03">
        <w:t>Policy</w:t>
      </w:r>
      <w:r w:rsidRPr="00074C06">
        <w:t xml:space="preserve"> (2015</w:t>
      </w:r>
      <w:r w:rsidRPr="006E7D03">
        <w:t xml:space="preserve"> </w:t>
      </w:r>
      <w:r w:rsidRPr="00074C06">
        <w:t>Revision)</w:t>
      </w:r>
      <w:r>
        <w:t>. Some of these plans and directives cover other key industries as well as the steel industry.</w:t>
      </w:r>
    </w:p>
  </w:footnote>
  <w:footnote w:id="58">
    <w:p w14:paraId="77EFCDCC" w14:textId="77777777" w:rsidR="009241EC" w:rsidRPr="00545318" w:rsidRDefault="009241EC" w:rsidP="00374264">
      <w:pPr>
        <w:pStyle w:val="FootnoteText"/>
      </w:pPr>
      <w:r w:rsidRPr="00545318">
        <w:rPr>
          <w:rStyle w:val="FootnoteReference"/>
        </w:rPr>
        <w:footnoteRef/>
      </w:r>
      <w:r w:rsidRPr="00545318">
        <w:t xml:space="preserve"> CBSA, 2014, p. 17.</w:t>
      </w:r>
    </w:p>
  </w:footnote>
  <w:footnote w:id="59">
    <w:p w14:paraId="0A75EE15" w14:textId="2FC12AD4" w:rsidR="009241EC" w:rsidRPr="00545318" w:rsidRDefault="009241EC" w:rsidP="00695B99">
      <w:pPr>
        <w:pStyle w:val="FootnoteText"/>
        <w:rPr>
          <w:lang w:val="en-AU"/>
        </w:rPr>
      </w:pPr>
      <w:r w:rsidRPr="00545318">
        <w:rPr>
          <w:rStyle w:val="FootnoteReference"/>
        </w:rPr>
        <w:footnoteRef/>
      </w:r>
      <w:r w:rsidRPr="00545318">
        <w:t xml:space="preserve"> </w:t>
      </w:r>
      <w:r w:rsidRPr="00545318">
        <w:rPr>
          <w:lang w:val="en-AU"/>
        </w:rPr>
        <w:t>Steel Industry Coalition, Steel Industry Coalition Report on Market Research into the People’s Republic of China Steel Industry, Part 1, Final Report, 2016. Associations contributing to the report included the: American Iron and Steel Institute; Steel Manufacturers Association; Committee on Pipe and Tube Imports; Speciality Steel Industry of North America; and the American Institute of Steel Construction.</w:t>
      </w:r>
    </w:p>
  </w:footnote>
  <w:footnote w:id="60">
    <w:p w14:paraId="45B6F189" w14:textId="77777777" w:rsidR="009241EC" w:rsidRPr="0030362A" w:rsidRDefault="009241EC" w:rsidP="00374264">
      <w:pPr>
        <w:pStyle w:val="FootnoteText"/>
      </w:pPr>
      <w:r w:rsidRPr="00545318">
        <w:rPr>
          <w:rStyle w:val="FootnoteReference"/>
        </w:rPr>
        <w:footnoteRef/>
      </w:r>
      <w:r w:rsidRPr="00545318">
        <w:t xml:space="preserve"> Anti-Dumping Commission, 2013, Report Number 198: Dumping of Hot Rolled Plate Steel Exported from the People’s Republic of China, Republic of Indonesia, Japan, The Republic of Korea and Taiwan and Subsidisation of Hot Rolled Plate Steel Exported from The People’s Republic of China</w:t>
      </w:r>
      <w:r w:rsidRPr="0030362A">
        <w:t>, pp</w:t>
      </w:r>
      <w:r>
        <w:t xml:space="preserve">. </w:t>
      </w:r>
      <w:r w:rsidRPr="0030362A">
        <w:t>41-43</w:t>
      </w:r>
      <w:r>
        <w:t>;</w:t>
      </w:r>
      <w:r w:rsidRPr="0030362A">
        <w:t xml:space="preserve"> Australian Customs Service, 2013, Report Number 193: Alleged Subsidisation of Zinc Coated Steel And Aluminium Zinc Coated Steel, pp</w:t>
      </w:r>
      <w:r>
        <w:t xml:space="preserve">. </w:t>
      </w:r>
      <w:r w:rsidRPr="0030362A">
        <w:t>40-41</w:t>
      </w:r>
      <w:r>
        <w:t>.</w:t>
      </w:r>
    </w:p>
  </w:footnote>
  <w:footnote w:id="61">
    <w:p w14:paraId="165CFA4D" w14:textId="77777777" w:rsidR="009241EC" w:rsidRPr="0030362A" w:rsidRDefault="009241EC" w:rsidP="00374264">
      <w:pPr>
        <w:pStyle w:val="FootnoteText"/>
      </w:pPr>
      <w:r w:rsidRPr="0030362A">
        <w:rPr>
          <w:rStyle w:val="FootnoteReference"/>
        </w:rPr>
        <w:footnoteRef/>
      </w:r>
      <w:r w:rsidRPr="0030362A">
        <w:t xml:space="preserve"> Dep</w:t>
      </w:r>
      <w:r>
        <w:t>ar</w:t>
      </w:r>
      <w:r w:rsidRPr="0030362A">
        <w:t>t</w:t>
      </w:r>
      <w:r>
        <w:t>ment</w:t>
      </w:r>
      <w:r w:rsidRPr="0030362A">
        <w:t xml:space="preserve"> of Industry and Science, </w:t>
      </w:r>
      <w:r w:rsidRPr="00AB4B5B">
        <w:rPr>
          <w:i/>
        </w:rPr>
        <w:t>Resources and Energy Quarterly</w:t>
      </w:r>
      <w:r w:rsidRPr="0030362A">
        <w:t>, March 2015, p</w:t>
      </w:r>
      <w:r>
        <w:t xml:space="preserve">. </w:t>
      </w:r>
      <w:r w:rsidRPr="0030362A">
        <w:t>24</w:t>
      </w:r>
      <w:r>
        <w:t>.</w:t>
      </w:r>
    </w:p>
  </w:footnote>
  <w:footnote w:id="62">
    <w:p w14:paraId="07FB142C" w14:textId="77777777" w:rsidR="009241EC" w:rsidRPr="0030362A" w:rsidRDefault="009241EC" w:rsidP="00374264">
      <w:pPr>
        <w:pStyle w:val="FootnoteText"/>
      </w:pPr>
      <w:r w:rsidRPr="0030362A">
        <w:rPr>
          <w:rStyle w:val="FootnoteReference"/>
        </w:rPr>
        <w:footnoteRef/>
      </w:r>
      <w:r w:rsidRPr="0030362A">
        <w:t xml:space="preserve"> Metals Insight, 14 May 2015, p</w:t>
      </w:r>
      <w:r>
        <w:t xml:space="preserve">. </w:t>
      </w:r>
      <w:r w:rsidRPr="0030362A">
        <w:t>4</w:t>
      </w:r>
      <w:r>
        <w:t>.</w:t>
      </w:r>
    </w:p>
  </w:footnote>
  <w:footnote w:id="63">
    <w:p w14:paraId="4641984D" w14:textId="77777777" w:rsidR="009241EC" w:rsidRPr="0030362A" w:rsidRDefault="009241EC" w:rsidP="00374264">
      <w:pPr>
        <w:pStyle w:val="FootnoteText"/>
      </w:pPr>
      <w:r w:rsidRPr="0030362A">
        <w:rPr>
          <w:rStyle w:val="FootnoteReference"/>
        </w:rPr>
        <w:footnoteRef/>
      </w:r>
      <w:r w:rsidRPr="0030362A">
        <w:t xml:space="preserve"> Anti-Dumping Commission calculations</w:t>
      </w:r>
      <w:r>
        <w:t>.</w:t>
      </w:r>
    </w:p>
  </w:footnote>
  <w:footnote w:id="64">
    <w:p w14:paraId="5D7CA447" w14:textId="77777777" w:rsidR="009241EC" w:rsidRPr="0030362A" w:rsidRDefault="009241EC" w:rsidP="00374264">
      <w:pPr>
        <w:pStyle w:val="FootnoteText"/>
      </w:pPr>
      <w:r w:rsidRPr="0030362A">
        <w:rPr>
          <w:rStyle w:val="FootnoteReference"/>
        </w:rPr>
        <w:footnoteRef/>
      </w:r>
      <w:r w:rsidRPr="0030362A">
        <w:t xml:space="preserve"> Anti-Dumping Commission, 2013, Report Number 198: Dumping of Hot Rolled Plate Steel Exported from the People’s Republic of China, Republic of Indonesia, Japan, The Republic of Korea and Taiwan and Subsidisation of Hot Rolled Plate Steel Exported from </w:t>
      </w:r>
      <w:r>
        <w:t>The</w:t>
      </w:r>
      <w:r w:rsidRPr="0030362A">
        <w:t xml:space="preserve"> People’s Republic of China, pp</w:t>
      </w:r>
      <w:r>
        <w:t xml:space="preserve">. </w:t>
      </w:r>
      <w:r w:rsidRPr="0030362A">
        <w:t>41-43.</w:t>
      </w:r>
    </w:p>
  </w:footnote>
  <w:footnote w:id="65">
    <w:p w14:paraId="11B71DA0" w14:textId="77777777" w:rsidR="009241EC" w:rsidRPr="0030362A" w:rsidRDefault="009241EC" w:rsidP="00374264">
      <w:pPr>
        <w:pStyle w:val="FootnoteText"/>
      </w:pPr>
      <w:r w:rsidRPr="0030362A">
        <w:rPr>
          <w:rStyle w:val="FootnoteReference"/>
        </w:rPr>
        <w:footnoteRef/>
      </w:r>
      <w:r w:rsidRPr="0030362A">
        <w:t xml:space="preserve"> </w:t>
      </w:r>
      <w:hyperlink r:id="rId16" w:history="1">
        <w:r w:rsidRPr="0030362A">
          <w:rPr>
            <w:rStyle w:val="Hyperlink"/>
          </w:rPr>
          <w:t>http://finance.yahoo.com/news/chinas-export-tax-cuts-could-worsen-global-steel-082427033--business.html</w:t>
        </w:r>
      </w:hyperlink>
      <w:r w:rsidRPr="0030362A">
        <w:t xml:space="preserve"> </w:t>
      </w:r>
    </w:p>
  </w:footnote>
  <w:footnote w:id="66">
    <w:p w14:paraId="38F830D5" w14:textId="77777777" w:rsidR="009241EC" w:rsidRPr="0030362A" w:rsidRDefault="009241EC" w:rsidP="00374264">
      <w:pPr>
        <w:pStyle w:val="FootnoteText"/>
      </w:pPr>
      <w:r w:rsidRPr="0030362A">
        <w:rPr>
          <w:rStyle w:val="FootnoteReference"/>
        </w:rPr>
        <w:footnoteRef/>
      </w:r>
      <w:r w:rsidRPr="0030362A">
        <w:t xml:space="preserve"> </w:t>
      </w:r>
      <w:r w:rsidRPr="0030362A">
        <w:rPr>
          <w:spacing w:val="-1"/>
        </w:rPr>
        <w:t>CBSA,</w:t>
      </w:r>
      <w:r w:rsidRPr="0030362A">
        <w:rPr>
          <w:spacing w:val="-3"/>
        </w:rPr>
        <w:t xml:space="preserve"> </w:t>
      </w:r>
      <w:r w:rsidRPr="0030362A">
        <w:rPr>
          <w:spacing w:val="-2"/>
        </w:rPr>
        <w:t>2014,</w:t>
      </w:r>
      <w:r w:rsidRPr="0030362A">
        <w:rPr>
          <w:spacing w:val="3"/>
        </w:rPr>
        <w:t xml:space="preserve"> </w:t>
      </w:r>
      <w:r w:rsidRPr="0030362A">
        <w:rPr>
          <w:spacing w:val="-2"/>
        </w:rPr>
        <w:t>p</w:t>
      </w:r>
      <w:r>
        <w:rPr>
          <w:spacing w:val="-2"/>
        </w:rPr>
        <w:t xml:space="preserve">. </w:t>
      </w:r>
      <w:r w:rsidRPr="0030362A">
        <w:rPr>
          <w:spacing w:val="-2"/>
        </w:rPr>
        <w:t>14</w:t>
      </w:r>
      <w:r>
        <w:rPr>
          <w:spacing w:val="-2"/>
        </w:rPr>
        <w:t>.</w:t>
      </w:r>
      <w:r w:rsidRPr="00893064">
        <w:t xml:space="preserve"> </w:t>
      </w:r>
      <w:r w:rsidRPr="0030362A">
        <w:t>World Steel Association</w:t>
      </w:r>
      <w:r>
        <w:t xml:space="preserve"> figures.</w:t>
      </w:r>
      <w:r>
        <w:rPr>
          <w:spacing w:val="-2"/>
        </w:rPr>
        <w:t xml:space="preserve"> </w:t>
      </w:r>
      <w:r w:rsidRPr="0030362A">
        <w:t>In 2010, eight of the largest ten Chinese steel producers were state owned</w:t>
      </w:r>
      <w:r>
        <w:t>; t</w:t>
      </w:r>
      <w:r w:rsidRPr="006E7D03">
        <w:t>hese companies include</w:t>
      </w:r>
      <w:r>
        <w:t>d</w:t>
      </w:r>
      <w:r w:rsidRPr="006E7D03">
        <w:t xml:space="preserve"> Hebei Steel Group; Baosteel Group; Ansteel Group; Wuhan Steel Group; Shougang Group; Maanshan Steel; Tianjin Bohai Steel; and Benxi Steel Group.</w:t>
      </w:r>
      <w:r w:rsidRPr="0030362A">
        <w:t xml:space="preserve"> </w:t>
      </w:r>
      <w:r>
        <w:t>I</w:t>
      </w:r>
      <w:r w:rsidRPr="0030362A">
        <w:t>n 2013 the top steel companies accounted for 45</w:t>
      </w:r>
      <w:r>
        <w:t xml:space="preserve"> per cent</w:t>
      </w:r>
      <w:r w:rsidRPr="0030362A">
        <w:t xml:space="preserve"> of total Chinese crude steel production. </w:t>
      </w:r>
    </w:p>
  </w:footnote>
  <w:footnote w:id="67">
    <w:p w14:paraId="24762D94" w14:textId="77777777" w:rsidR="009241EC" w:rsidRPr="00CE2282" w:rsidRDefault="009241EC">
      <w:pPr>
        <w:pStyle w:val="FootnoteText"/>
        <w:rPr>
          <w:lang w:val="en-AU"/>
        </w:rPr>
      </w:pPr>
      <w:r>
        <w:rPr>
          <w:rStyle w:val="FootnoteReference"/>
        </w:rPr>
        <w:footnoteRef/>
      </w:r>
      <w:r>
        <w:t xml:space="preserve"> </w:t>
      </w:r>
      <w:r w:rsidRPr="00C36DAA">
        <w:t xml:space="preserve">OECD, </w:t>
      </w:r>
      <w:r w:rsidRPr="00C36DAA">
        <w:rPr>
          <w:i/>
          <w:lang w:val="en-AU"/>
        </w:rPr>
        <w:t>Steel Market Developments, Q4 2015</w:t>
      </w:r>
      <w:r w:rsidRPr="00C36DAA">
        <w:rPr>
          <w:lang w:val="en-AU"/>
        </w:rPr>
        <w:t>, 2016, p. 1</w:t>
      </w:r>
      <w:r>
        <w:rPr>
          <w:lang w:val="en-AU"/>
        </w:rPr>
        <w:t>7</w:t>
      </w:r>
      <w:r w:rsidRPr="00C36DAA">
        <w:rPr>
          <w:lang w:val="en-AU"/>
        </w:rPr>
        <w:t>.</w:t>
      </w:r>
    </w:p>
  </w:footnote>
  <w:footnote w:id="68">
    <w:p w14:paraId="64BF4434" w14:textId="7CDA5392" w:rsidR="009241EC" w:rsidRPr="0030362A" w:rsidRDefault="009241EC" w:rsidP="00374264">
      <w:pPr>
        <w:pStyle w:val="FootnoteText"/>
      </w:pPr>
      <w:r w:rsidRPr="0030362A">
        <w:rPr>
          <w:rStyle w:val="FootnoteReference"/>
        </w:rPr>
        <w:footnoteRef/>
      </w:r>
      <w:r w:rsidRPr="0030362A">
        <w:t xml:space="preserve">OECD, </w:t>
      </w:r>
      <w:r w:rsidRPr="003F1840">
        <w:rPr>
          <w:i/>
        </w:rPr>
        <w:t>Excess Capacity in the Global Steel Industry and the Implications of New Investment Projects</w:t>
      </w:r>
      <w:r>
        <w:t>,</w:t>
      </w:r>
      <w:r w:rsidRPr="0030362A">
        <w:t xml:space="preserve"> OECD Science, </w:t>
      </w:r>
      <w:r>
        <w:t>T</w:t>
      </w:r>
      <w:r w:rsidRPr="0030362A">
        <w:t>echnology and Industry Policy Papers, No. 18</w:t>
      </w:r>
      <w:r>
        <w:t>,</w:t>
      </w:r>
      <w:r w:rsidRPr="0030362A">
        <w:t xml:space="preserve"> OECD Publishing, 2015</w:t>
      </w:r>
      <w:r>
        <w:t xml:space="preserve">, </w:t>
      </w:r>
      <w:r w:rsidRPr="0030362A">
        <w:t>p</w:t>
      </w:r>
      <w:r>
        <w:t xml:space="preserve">. </w:t>
      </w:r>
      <w:r w:rsidRPr="0030362A">
        <w:t>15</w:t>
      </w:r>
      <w:r>
        <w:t>.</w:t>
      </w:r>
    </w:p>
  </w:footnote>
  <w:footnote w:id="69">
    <w:p w14:paraId="18A87CFF" w14:textId="77777777" w:rsidR="009241EC" w:rsidRPr="0030362A" w:rsidRDefault="009241EC" w:rsidP="00374264">
      <w:pPr>
        <w:pStyle w:val="FootnoteText"/>
      </w:pPr>
      <w:r w:rsidRPr="0030362A">
        <w:rPr>
          <w:rStyle w:val="FootnoteReference"/>
        </w:rPr>
        <w:footnoteRef/>
      </w:r>
      <w:r w:rsidRPr="0030362A">
        <w:t xml:space="preserve"> ibid.</w:t>
      </w:r>
    </w:p>
  </w:footnote>
  <w:footnote w:id="70">
    <w:p w14:paraId="3EF73FE7" w14:textId="77777777" w:rsidR="009241EC" w:rsidRDefault="009241EC" w:rsidP="00370A41">
      <w:r>
        <w:rPr>
          <w:rStyle w:val="FootnoteReference"/>
        </w:rPr>
        <w:footnoteRef/>
      </w:r>
      <w:r>
        <w:t xml:space="preserve"> </w:t>
      </w:r>
      <w:r w:rsidRPr="009051AF">
        <w:rPr>
          <w:sz w:val="20"/>
          <w:szCs w:val="20"/>
        </w:rPr>
        <w:t>A final translated version of the 13th Five Year Plan was not publicly available at the time of writing</w:t>
      </w:r>
      <w:r>
        <w:rPr>
          <w:sz w:val="20"/>
          <w:szCs w:val="20"/>
        </w:rPr>
        <w:t xml:space="preserve"> this report</w:t>
      </w:r>
      <w:r w:rsidRPr="009051AF">
        <w:rPr>
          <w:sz w:val="20"/>
          <w:szCs w:val="20"/>
        </w:rPr>
        <w:t xml:space="preserve">. </w:t>
      </w:r>
    </w:p>
  </w:footnote>
  <w:footnote w:id="71">
    <w:p w14:paraId="4E406737" w14:textId="6014AE47" w:rsidR="009241EC" w:rsidRPr="00C37BB0" w:rsidRDefault="009241EC">
      <w:pPr>
        <w:pStyle w:val="FootnoteText"/>
        <w:rPr>
          <w:lang w:val="en-AU"/>
        </w:rPr>
      </w:pPr>
      <w:r w:rsidRPr="00545318">
        <w:rPr>
          <w:rStyle w:val="FootnoteReference"/>
        </w:rPr>
        <w:footnoteRef/>
      </w:r>
      <w:r w:rsidRPr="00545318">
        <w:t xml:space="preserve"> Australian Financial Review, </w:t>
      </w:r>
      <w:r w:rsidRPr="00545318">
        <w:rPr>
          <w:i/>
        </w:rPr>
        <w:t>‘China reopens steel mills as profits surge’,</w:t>
      </w:r>
      <w:r w:rsidRPr="00545318">
        <w:t xml:space="preserve"> 28/04/2016, p. 11.</w:t>
      </w:r>
    </w:p>
  </w:footnote>
  <w:footnote w:id="72">
    <w:p w14:paraId="532979C7" w14:textId="77777777" w:rsidR="009241EC" w:rsidRDefault="009241EC" w:rsidP="00374264">
      <w:pPr>
        <w:pStyle w:val="FootnoteText"/>
      </w:pPr>
      <w:r>
        <w:rPr>
          <w:rStyle w:val="FootnoteReference"/>
        </w:rPr>
        <w:footnoteRef/>
      </w:r>
      <w:r>
        <w:t xml:space="preserve"> Anti-Dumping Commission, Statement of Essential Facts No. 301: Alleged Dumping of Certain Steel Rod in Coils Exported from The People’s Republic of China, 15 February 2016, pp. 54-55. For example, </w:t>
      </w:r>
      <w:r w:rsidRPr="00074C06">
        <w:t>the</w:t>
      </w:r>
      <w:r w:rsidRPr="006E7D03">
        <w:t xml:space="preserve"> Chinese Government’s</w:t>
      </w:r>
      <w:r w:rsidRPr="00074C06">
        <w:t xml:space="preserve"> </w:t>
      </w:r>
      <w:r w:rsidRPr="006E7D03">
        <w:t>‘Blueprint for the Adjustment and Revitalisation of the Steel Industry’ (2009)</w:t>
      </w:r>
      <w:r>
        <w:t xml:space="preserve"> and</w:t>
      </w:r>
      <w:r w:rsidRPr="00074C06">
        <w:t xml:space="preserve"> the</w:t>
      </w:r>
      <w:r w:rsidRPr="006E7D03">
        <w:t xml:space="preserve"> ‘Shandong Province Iron and Steel Industry Revitalisation Plan’</w:t>
      </w:r>
      <w:r>
        <w:t xml:space="preserve"> (2009)</w:t>
      </w:r>
      <w:r w:rsidRPr="006E7D03">
        <w:t xml:space="preserve"> </w:t>
      </w:r>
      <w:r w:rsidRPr="00074C06">
        <w:t>identified</w:t>
      </w:r>
      <w:r w:rsidRPr="006E7D03">
        <w:t xml:space="preserve"> </w:t>
      </w:r>
      <w:r>
        <w:t xml:space="preserve">a number of corresponding </w:t>
      </w:r>
      <w:r w:rsidRPr="00074C06">
        <w:t>policy</w:t>
      </w:r>
      <w:r w:rsidRPr="006E7D03">
        <w:t xml:space="preserve"> measures</w:t>
      </w:r>
      <w:r>
        <w:t>.</w:t>
      </w:r>
      <w:r w:rsidRPr="006E7D03">
        <w:t xml:space="preserve"> </w:t>
      </w:r>
    </w:p>
  </w:footnote>
  <w:footnote w:id="73">
    <w:p w14:paraId="597AA89F" w14:textId="77777777" w:rsidR="009241EC" w:rsidRPr="0030362A" w:rsidRDefault="009241EC" w:rsidP="00EE1D78">
      <w:pPr>
        <w:pStyle w:val="FootnoteText"/>
      </w:pPr>
      <w:r w:rsidRPr="0030362A">
        <w:rPr>
          <w:rStyle w:val="FootnoteReference"/>
        </w:rPr>
        <w:footnoteRef/>
      </w:r>
      <w:r w:rsidRPr="0030362A">
        <w:t xml:space="preserve"> </w:t>
      </w:r>
      <w:hyperlink r:id="rId17" w:history="1">
        <w:r w:rsidRPr="0030362A">
          <w:rPr>
            <w:rStyle w:val="Hyperlink"/>
          </w:rPr>
          <w:t>http://www.theaustralian.com.au/business/economics/debtladen-zombie-companies-imperil-chinas-growth/news-story/4083e25e12ae4cff07cb447551079eac</w:t>
        </w:r>
      </w:hyperlink>
      <w:r>
        <w:t>;</w:t>
      </w:r>
      <w:r w:rsidRPr="0030362A">
        <w:t xml:space="preserve"> </w:t>
      </w:r>
      <w:hyperlink r:id="rId18" w:history="1">
        <w:r w:rsidRPr="0030362A">
          <w:rPr>
            <w:rStyle w:val="Hyperlink"/>
          </w:rPr>
          <w:t>http://www.ejinsight.com/20160312-how-china-could-put-zombie-companies-to-rest/</w:t>
        </w:r>
      </w:hyperlink>
      <w:r w:rsidRPr="0030362A">
        <w:t xml:space="preserve"> </w:t>
      </w:r>
    </w:p>
  </w:footnote>
  <w:footnote w:id="74">
    <w:p w14:paraId="34F6FD76" w14:textId="35663343" w:rsidR="009241EC" w:rsidRPr="00EA02F5" w:rsidRDefault="009241EC">
      <w:pPr>
        <w:pStyle w:val="FootnoteText"/>
        <w:rPr>
          <w:lang w:val="en-AU"/>
        </w:rPr>
      </w:pPr>
      <w:r>
        <w:rPr>
          <w:rStyle w:val="FootnoteReference"/>
        </w:rPr>
        <w:footnoteRef/>
      </w:r>
      <w:r>
        <w:t xml:space="preserve"> </w:t>
      </w:r>
      <w:r w:rsidRPr="000471FB">
        <w:t xml:space="preserve">A Price, C Weld, L El-Sabaawi and A Teslik, </w:t>
      </w:r>
      <w:r w:rsidRPr="000471FB">
        <w:rPr>
          <w:i/>
        </w:rPr>
        <w:t>Unsustainable: Government intervention and overcapacity in the global steel industry</w:t>
      </w:r>
      <w:r w:rsidRPr="000471FB">
        <w:t xml:space="preserve">, </w:t>
      </w:r>
      <w:r>
        <w:t>op. cit.</w:t>
      </w:r>
      <w:r w:rsidRPr="000471FB">
        <w:t>, p</w:t>
      </w:r>
      <w:r>
        <w:t>p</w:t>
      </w:r>
      <w:r w:rsidRPr="000471FB">
        <w:t xml:space="preserve">. </w:t>
      </w:r>
      <w:r>
        <w:t>7-8.</w:t>
      </w:r>
    </w:p>
  </w:footnote>
  <w:footnote w:id="75">
    <w:p w14:paraId="026F2AF7" w14:textId="77777777" w:rsidR="009241EC" w:rsidRPr="0040533E" w:rsidRDefault="009241EC">
      <w:pPr>
        <w:pStyle w:val="FootnoteText"/>
        <w:rPr>
          <w:lang w:val="en-AU"/>
        </w:rPr>
      </w:pPr>
      <w:r>
        <w:rPr>
          <w:rStyle w:val="FootnoteReference"/>
        </w:rPr>
        <w:footnoteRef/>
      </w:r>
      <w:r>
        <w:t xml:space="preserve"> </w:t>
      </w:r>
      <w:r>
        <w:rPr>
          <w:lang w:val="en-AU"/>
        </w:rPr>
        <w:t>Presentation to 75</w:t>
      </w:r>
      <w:r w:rsidRPr="0040533E">
        <w:rPr>
          <w:vertAlign w:val="superscript"/>
          <w:lang w:val="en-AU"/>
        </w:rPr>
        <w:t>th</w:t>
      </w:r>
      <w:r>
        <w:rPr>
          <w:lang w:val="en-AU"/>
        </w:rPr>
        <w:t xml:space="preserve"> OECD Steel Committee meeting, </w:t>
      </w:r>
      <w:r w:rsidRPr="0040533E">
        <w:rPr>
          <w:lang w:val="en-AU"/>
        </w:rPr>
        <w:t>‘Japanese steel industry structural adjustment process and status’,</w:t>
      </w:r>
      <w:r>
        <w:rPr>
          <w:lang w:val="en-AU"/>
        </w:rPr>
        <w:t xml:space="preserve"> 5-6 December 2013, Paris, </w:t>
      </w:r>
      <w:r w:rsidRPr="0040533E">
        <w:rPr>
          <w:lang w:val="en-AU"/>
        </w:rPr>
        <w:t>http://www.oecd.org/sti/ind/Item%204.5%20Japan.pdf</w:t>
      </w:r>
      <w:r>
        <w:rPr>
          <w:lang w:val="en-AU"/>
        </w:rPr>
        <w:t>.</w:t>
      </w:r>
    </w:p>
  </w:footnote>
  <w:footnote w:id="76">
    <w:p w14:paraId="7DCFECEA" w14:textId="77777777" w:rsidR="009241EC" w:rsidRPr="00DB68E4" w:rsidRDefault="009241EC">
      <w:pPr>
        <w:pStyle w:val="FootnoteText"/>
        <w:rPr>
          <w:lang w:val="en-AU"/>
        </w:rPr>
      </w:pPr>
      <w:r>
        <w:rPr>
          <w:rStyle w:val="FootnoteReference"/>
        </w:rPr>
        <w:footnoteRef/>
      </w:r>
      <w:r>
        <w:t xml:space="preserve"> </w:t>
      </w:r>
      <w:r w:rsidRPr="00DB68E4">
        <w:rPr>
          <w:i/>
          <w:lang w:val="en-AU"/>
        </w:rPr>
        <w:t>OECD Economic Surveys: Japan 2015</w:t>
      </w:r>
      <w:r>
        <w:rPr>
          <w:lang w:val="en-AU"/>
        </w:rPr>
        <w:t xml:space="preserve">, </w:t>
      </w:r>
      <w:r>
        <w:rPr>
          <w:lang w:val="en"/>
        </w:rPr>
        <w:t>DOI:</w:t>
      </w:r>
      <w:hyperlink r:id="rId19" w:tgtFrame="_blank" w:tooltip="OECD Economic Surveys: Japan 2015" w:history="1">
        <w:r>
          <w:rPr>
            <w:rStyle w:val="Hyperlink"/>
            <w:lang w:val="en"/>
          </w:rPr>
          <w:t>10.1787/eco_surveys-jpn-2015-en</w:t>
        </w:r>
      </w:hyperlink>
      <w:r>
        <w:rPr>
          <w:lang w:val="en"/>
        </w:rPr>
        <w:t>.</w:t>
      </w:r>
    </w:p>
  </w:footnote>
  <w:footnote w:id="77">
    <w:p w14:paraId="2CC0CD24" w14:textId="77777777" w:rsidR="009241EC" w:rsidRPr="00BF40DC" w:rsidRDefault="009241EC">
      <w:pPr>
        <w:pStyle w:val="FootnoteText"/>
        <w:rPr>
          <w:lang w:val="en-AU"/>
        </w:rPr>
      </w:pPr>
      <w:r>
        <w:rPr>
          <w:rStyle w:val="FootnoteReference"/>
        </w:rPr>
        <w:footnoteRef/>
      </w:r>
      <w:r>
        <w:t xml:space="preserve"> </w:t>
      </w:r>
      <w:r>
        <w:rPr>
          <w:lang w:val="en-AU"/>
        </w:rPr>
        <w:t xml:space="preserve">US Department of Commerce-International Trade Administration, </w:t>
      </w:r>
      <w:r w:rsidRPr="001143D1">
        <w:rPr>
          <w:i/>
          <w:lang w:val="en-AU"/>
        </w:rPr>
        <w:t>Global Steel Trade: Structural Problems and Future Solutions</w:t>
      </w:r>
      <w:r>
        <w:rPr>
          <w:lang w:val="en-AU"/>
        </w:rPr>
        <w:t>, Report to the President, July 2000, pp. 85-97</w:t>
      </w:r>
    </w:p>
  </w:footnote>
  <w:footnote w:id="78">
    <w:p w14:paraId="7B8A997E" w14:textId="77777777" w:rsidR="009241EC" w:rsidRPr="00DC5D92" w:rsidRDefault="009241EC" w:rsidP="00DC5D92">
      <w:pPr>
        <w:pStyle w:val="FootnoteText"/>
        <w:rPr>
          <w:lang w:val="en-AU"/>
        </w:rPr>
      </w:pPr>
      <w:r>
        <w:rPr>
          <w:rStyle w:val="FootnoteReference"/>
        </w:rPr>
        <w:footnoteRef/>
      </w:r>
      <w:r>
        <w:t xml:space="preserve"> </w:t>
      </w:r>
      <w:r>
        <w:rPr>
          <w:lang w:val="en-AU"/>
        </w:rPr>
        <w:t xml:space="preserve">OECD, </w:t>
      </w:r>
      <w:r w:rsidRPr="00DC5D92">
        <w:rPr>
          <w:i/>
          <w:lang w:val="en-AU"/>
        </w:rPr>
        <w:t>Korea: Policy priorities for a dynamic, inclusive and creative economy</w:t>
      </w:r>
      <w:r>
        <w:rPr>
          <w:lang w:val="en-AU"/>
        </w:rPr>
        <w:t xml:space="preserve">, </w:t>
      </w:r>
      <w:r w:rsidRPr="00DC5D92">
        <w:rPr>
          <w:lang w:val="en-AU"/>
        </w:rPr>
        <w:t>“Better Policies” Series</w:t>
      </w:r>
      <w:r>
        <w:rPr>
          <w:lang w:val="en-AU"/>
        </w:rPr>
        <w:t>, October</w:t>
      </w:r>
      <w:r w:rsidRPr="00DC5D92">
        <w:rPr>
          <w:lang w:val="en-AU"/>
        </w:rPr>
        <w:t xml:space="preserve"> 2015</w:t>
      </w:r>
      <w:r>
        <w:rPr>
          <w:lang w:val="en-AU"/>
        </w:rPr>
        <w:t xml:space="preserve">, </w:t>
      </w:r>
      <w:r w:rsidRPr="00DC5D92">
        <w:rPr>
          <w:lang w:val="en-AU"/>
        </w:rPr>
        <w:t>http://www.oecd.org/korea/korea-policy-priorities-for-a-dynamic-inclusive-and-creative-economy-EN.pdf</w:t>
      </w:r>
      <w:r>
        <w:rPr>
          <w:lang w:val="en-AU"/>
        </w:rPr>
        <w:t xml:space="preserve">. </w:t>
      </w:r>
    </w:p>
  </w:footnote>
  <w:footnote w:id="79">
    <w:p w14:paraId="0F2F788D" w14:textId="77777777" w:rsidR="009241EC" w:rsidRPr="00312E5F" w:rsidRDefault="009241EC">
      <w:pPr>
        <w:pStyle w:val="FootnoteText"/>
        <w:rPr>
          <w:lang w:val="en-AU"/>
        </w:rPr>
      </w:pPr>
      <w:r>
        <w:rPr>
          <w:rStyle w:val="FootnoteReference"/>
        </w:rPr>
        <w:footnoteRef/>
      </w:r>
      <w:r>
        <w:t xml:space="preserve"> Canada Border Services Agency (CSBA), Statement of Reasons: Concerning the final determinations with respect to the dumping of ‘Certain Concrete Reinforcing Bar Originating in or Exported from The People’s Republic of China, The Republic of Korea and The Republic of Turkey’; and the Subsidising of ‘Certain Concrete Reinforcing Bar Originating in or Exported from The People’s Republic of China’; and the terminations of the investigation with respect to the Subsidising of ‘Certain Concrete Reinforcing Bar Originating in or Exported from The Republic of Korea and The Republic of Turkey’, December 2014.</w:t>
      </w:r>
    </w:p>
  </w:footnote>
  <w:footnote w:id="80">
    <w:p w14:paraId="2B3083C7" w14:textId="77777777" w:rsidR="009241EC" w:rsidRPr="007C7CE8" w:rsidRDefault="009241EC" w:rsidP="0064798F">
      <w:pPr>
        <w:pStyle w:val="FootnoteText"/>
        <w:rPr>
          <w:lang w:val="en-AU"/>
        </w:rPr>
      </w:pPr>
      <w:r>
        <w:rPr>
          <w:rStyle w:val="FootnoteReference"/>
        </w:rPr>
        <w:footnoteRef/>
      </w:r>
      <w:r>
        <w:t xml:space="preserve"> </w:t>
      </w:r>
      <w:r>
        <w:rPr>
          <w:lang w:val="en-AU"/>
        </w:rPr>
        <w:t xml:space="preserve">US Department of Commerce-International Trade Administration, </w:t>
      </w:r>
      <w:r w:rsidRPr="001143D1">
        <w:rPr>
          <w:i/>
          <w:lang w:val="en-AU"/>
        </w:rPr>
        <w:t>Global Steel Trade: Structural Problems and Future Solutions</w:t>
      </w:r>
      <w:r>
        <w:rPr>
          <w:lang w:val="en-AU"/>
        </w:rPr>
        <w:t>, Report to the President, July 2000, pp.162-3.</w:t>
      </w:r>
    </w:p>
  </w:footnote>
  <w:footnote w:id="81">
    <w:p w14:paraId="7F3C38DD" w14:textId="77777777" w:rsidR="009241EC" w:rsidRPr="00024752" w:rsidRDefault="009241EC">
      <w:pPr>
        <w:pStyle w:val="FootnoteText"/>
        <w:rPr>
          <w:lang w:val="en-AU"/>
        </w:rPr>
      </w:pPr>
      <w:r>
        <w:rPr>
          <w:rStyle w:val="FootnoteReference"/>
        </w:rPr>
        <w:footnoteRef/>
      </w:r>
      <w:r>
        <w:t xml:space="preserve"> </w:t>
      </w:r>
      <w:r w:rsidRPr="00024752">
        <w:t>Government of India</w:t>
      </w:r>
      <w:r>
        <w:t>, Ministry of Steel, ‘</w:t>
      </w:r>
      <w:r w:rsidRPr="00EB6071">
        <w:t>An overview of steel sector</w:t>
      </w:r>
      <w:r>
        <w:t xml:space="preserve">’, </w:t>
      </w:r>
      <w:hyperlink r:id="rId20" w:history="1">
        <w:r w:rsidRPr="008E0C73">
          <w:rPr>
            <w:rStyle w:val="Hyperlink"/>
          </w:rPr>
          <w:t>http://steel.nic.in/overview.htm</w:t>
        </w:r>
      </w:hyperlink>
      <w:r>
        <w:t xml:space="preserve">; ‘Development of Indian steel sector since 1991’, </w:t>
      </w:r>
      <w:hyperlink r:id="rId21" w:history="1">
        <w:r w:rsidRPr="008E0C73">
          <w:rPr>
            <w:rStyle w:val="Hyperlink"/>
          </w:rPr>
          <w:t>http://steel.gov.in/development.htm</w:t>
        </w:r>
      </w:hyperlink>
      <w:r>
        <w:t xml:space="preserve">. </w:t>
      </w:r>
    </w:p>
  </w:footnote>
  <w:footnote w:id="82">
    <w:p w14:paraId="445E72BE" w14:textId="77777777" w:rsidR="009241EC" w:rsidRPr="00647D0B" w:rsidRDefault="009241EC" w:rsidP="00647D0B">
      <w:pPr>
        <w:pStyle w:val="FootnoteText"/>
        <w:rPr>
          <w:lang w:val="en-AU"/>
        </w:rPr>
      </w:pPr>
      <w:r>
        <w:rPr>
          <w:rStyle w:val="FootnoteReference"/>
        </w:rPr>
        <w:footnoteRef/>
      </w:r>
      <w:r>
        <w:t xml:space="preserve"> </w:t>
      </w:r>
      <w:r w:rsidRPr="00647D0B">
        <w:rPr>
          <w:bCs/>
        </w:rPr>
        <w:t>Government of India</w:t>
      </w:r>
      <w:r>
        <w:rPr>
          <w:bCs/>
        </w:rPr>
        <w:t xml:space="preserve">, </w:t>
      </w:r>
      <w:r w:rsidRPr="00647D0B">
        <w:rPr>
          <w:bCs/>
          <w:i/>
        </w:rPr>
        <w:t xml:space="preserve">Outcome Budget of Ministry of Steel </w:t>
      </w:r>
      <w:r w:rsidRPr="00647D0B">
        <w:rPr>
          <w:bCs/>
          <w:i/>
          <w:lang w:val="en-AU"/>
        </w:rPr>
        <w:t>2015-2016</w:t>
      </w:r>
      <w:r>
        <w:rPr>
          <w:bCs/>
          <w:lang w:val="en-AU"/>
        </w:rPr>
        <w:t>,</w:t>
      </w:r>
      <w:r w:rsidRPr="00647D0B">
        <w:rPr>
          <w:bCs/>
          <w:lang w:val="en-AU"/>
        </w:rPr>
        <w:t xml:space="preserve"> </w:t>
      </w:r>
      <w:r>
        <w:rPr>
          <w:bCs/>
          <w:lang w:val="en-AU"/>
        </w:rPr>
        <w:t xml:space="preserve">p. 1, </w:t>
      </w:r>
      <w:hyperlink r:id="rId22" w:history="1">
        <w:r w:rsidRPr="008E0C73">
          <w:rPr>
            <w:rStyle w:val="Hyperlink"/>
            <w:bCs/>
            <w:lang w:val="en-AU"/>
          </w:rPr>
          <w:t>http://steel.gov.in/Outcome%20Budget%20(2015-16)/Outcome-Budget-English-2015-16.pdf</w:t>
        </w:r>
      </w:hyperlink>
      <w:r>
        <w:rPr>
          <w:bCs/>
          <w:lang w:val="en-AU"/>
        </w:rPr>
        <w:t xml:space="preserve">. </w:t>
      </w:r>
    </w:p>
  </w:footnote>
  <w:footnote w:id="83">
    <w:p w14:paraId="7664B19F" w14:textId="77777777" w:rsidR="009241EC" w:rsidRPr="00545318" w:rsidRDefault="009241EC">
      <w:pPr>
        <w:pStyle w:val="FootnoteText"/>
        <w:rPr>
          <w:lang w:val="en-AU"/>
        </w:rPr>
      </w:pPr>
      <w:r w:rsidRPr="00545318">
        <w:rPr>
          <w:rStyle w:val="FootnoteReference"/>
        </w:rPr>
        <w:footnoteRef/>
      </w:r>
      <w:r w:rsidRPr="00545318">
        <w:t xml:space="preserve"> Government of India, Ministry of Steel, ‘The Policy Framework’, </w:t>
      </w:r>
      <w:hyperlink r:id="rId23" w:anchor="pol3" w:history="1">
        <w:r w:rsidRPr="00545318">
          <w:rPr>
            <w:rStyle w:val="Hyperlink"/>
          </w:rPr>
          <w:t>http://steel.gov.in/policy.htm#pol3</w:t>
        </w:r>
      </w:hyperlink>
      <w:r w:rsidRPr="00545318">
        <w:t xml:space="preserve">. </w:t>
      </w:r>
    </w:p>
  </w:footnote>
  <w:footnote w:id="84">
    <w:p w14:paraId="0FFF0F5C" w14:textId="77777777" w:rsidR="009241EC" w:rsidRPr="00545318" w:rsidRDefault="009241EC">
      <w:pPr>
        <w:pStyle w:val="FootnoteText"/>
        <w:rPr>
          <w:lang w:val="en-AU"/>
        </w:rPr>
      </w:pPr>
      <w:r w:rsidRPr="00545318">
        <w:rPr>
          <w:rStyle w:val="FootnoteReference"/>
        </w:rPr>
        <w:footnoteRef/>
      </w:r>
      <w:r w:rsidRPr="00545318">
        <w:t xml:space="preserve"> </w:t>
      </w:r>
      <w:r w:rsidRPr="00545318">
        <w:rPr>
          <w:bCs/>
        </w:rPr>
        <w:t xml:space="preserve">Government of India, </w:t>
      </w:r>
      <w:r w:rsidRPr="00545318">
        <w:rPr>
          <w:bCs/>
          <w:i/>
        </w:rPr>
        <w:t xml:space="preserve">Outcome Budget of Ministry of Steel </w:t>
      </w:r>
      <w:r w:rsidRPr="00545318">
        <w:rPr>
          <w:bCs/>
          <w:i/>
          <w:lang w:val="en-AU"/>
        </w:rPr>
        <w:t>2015-2016</w:t>
      </w:r>
      <w:r w:rsidRPr="00545318">
        <w:rPr>
          <w:bCs/>
          <w:lang w:val="en-AU"/>
        </w:rPr>
        <w:t>, p. 1</w:t>
      </w:r>
    </w:p>
  </w:footnote>
  <w:footnote w:id="85">
    <w:p w14:paraId="362179E7" w14:textId="051BCFF6" w:rsidR="009241EC" w:rsidRPr="00545318" w:rsidRDefault="009241EC" w:rsidP="00F53FDA">
      <w:pPr>
        <w:pStyle w:val="FootnoteText"/>
        <w:rPr>
          <w:lang w:val="en-AU"/>
        </w:rPr>
      </w:pPr>
      <w:r w:rsidRPr="00545318">
        <w:rPr>
          <w:rStyle w:val="FootnoteReference"/>
        </w:rPr>
        <w:footnoteRef/>
      </w:r>
      <w:r w:rsidRPr="00545318">
        <w:t xml:space="preserve"> ‘</w:t>
      </w:r>
      <w:r w:rsidRPr="00545318">
        <w:rPr>
          <w:lang w:val="en-AU"/>
        </w:rPr>
        <w:t xml:space="preserve">Government extends safeguard duty on some steel products till March 2018’, </w:t>
      </w:r>
      <w:r w:rsidRPr="00545318">
        <w:rPr>
          <w:i/>
          <w:lang w:val="en-AU"/>
        </w:rPr>
        <w:t>The Economic Times,</w:t>
      </w:r>
      <w:r w:rsidRPr="00545318">
        <w:rPr>
          <w:lang w:val="en-AU"/>
        </w:rPr>
        <w:t xml:space="preserve"> 30 March 2016, </w:t>
      </w:r>
      <w:hyperlink r:id="rId24" w:history="1">
        <w:r w:rsidRPr="00545318">
          <w:rPr>
            <w:rStyle w:val="Hyperlink"/>
            <w:lang w:val="en-AU"/>
          </w:rPr>
          <w:t>http://economictimes.indiatimes.com/industry/indl-goods/svs/steel/government-extends-safeguard-duty-on-some-steel-imports-till-march-2018/articleshow/51617311.cms</w:t>
        </w:r>
      </w:hyperlink>
      <w:r w:rsidRPr="00545318">
        <w:rPr>
          <w:lang w:val="en-AU"/>
        </w:rPr>
        <w:t xml:space="preserve">; </w:t>
      </w:r>
      <w:r w:rsidRPr="00545318">
        <w:t>WTO document G/SG/N/8/IND/28 Suppl. 1 of 5 April 2016</w:t>
      </w:r>
      <w:r w:rsidRPr="00545318">
        <w:rPr>
          <w:lang w:val="en-AU"/>
        </w:rPr>
        <w:t>.</w:t>
      </w:r>
    </w:p>
  </w:footnote>
  <w:footnote w:id="86">
    <w:p w14:paraId="0091CAB8" w14:textId="5A8C0340" w:rsidR="009241EC" w:rsidRPr="00545318" w:rsidRDefault="009241EC" w:rsidP="00E5108A">
      <w:pPr>
        <w:pStyle w:val="Default"/>
        <w:rPr>
          <w:rFonts w:asciiTheme="minorHAnsi" w:hAnsiTheme="minorHAnsi"/>
          <w:sz w:val="20"/>
          <w:szCs w:val="20"/>
        </w:rPr>
      </w:pPr>
      <w:r w:rsidRPr="00545318">
        <w:rPr>
          <w:rStyle w:val="FootnoteReference"/>
        </w:rPr>
        <w:footnoteRef/>
      </w:r>
      <w:r w:rsidRPr="00545318">
        <w:t xml:space="preserve"> </w:t>
      </w:r>
      <w:r w:rsidRPr="00545318">
        <w:rPr>
          <w:rFonts w:asciiTheme="minorHAnsi" w:hAnsiTheme="minorHAnsi"/>
          <w:sz w:val="20"/>
          <w:szCs w:val="20"/>
        </w:rPr>
        <w:t xml:space="preserve">M Manchanda &amp; S Chakraborty, ‘Govt prunes MIP list to 66 steel products’, </w:t>
      </w:r>
      <w:r w:rsidRPr="00545318">
        <w:rPr>
          <w:rFonts w:asciiTheme="minorHAnsi" w:hAnsiTheme="minorHAnsi"/>
          <w:i/>
          <w:sz w:val="20"/>
          <w:szCs w:val="20"/>
        </w:rPr>
        <w:t>Business Standard</w:t>
      </w:r>
      <w:r w:rsidRPr="00545318">
        <w:rPr>
          <w:rFonts w:asciiTheme="minorHAnsi" w:hAnsiTheme="minorHAnsi"/>
          <w:sz w:val="20"/>
          <w:szCs w:val="20"/>
        </w:rPr>
        <w:t xml:space="preserve">, 5 August 2016, </w:t>
      </w:r>
      <w:hyperlink r:id="rId25" w:history="1">
        <w:r w:rsidRPr="00545318">
          <w:rPr>
            <w:rStyle w:val="Hyperlink"/>
            <w:rFonts w:asciiTheme="minorHAnsi" w:hAnsiTheme="minorHAnsi"/>
            <w:sz w:val="20"/>
            <w:szCs w:val="20"/>
          </w:rPr>
          <w:t>http://www.business-standard.com/article/economy-policy/govt-prunes-mip-list-to-66-steel-products-116080500037_1.html</w:t>
        </w:r>
      </w:hyperlink>
      <w:r w:rsidRPr="00545318">
        <w:rPr>
          <w:rFonts w:asciiTheme="minorHAnsi" w:hAnsiTheme="minorHAnsi"/>
          <w:sz w:val="20"/>
          <w:szCs w:val="20"/>
        </w:rPr>
        <w:t xml:space="preserve">; </w:t>
      </w:r>
      <w:r w:rsidRPr="00545318">
        <w:rPr>
          <w:rFonts w:asciiTheme="minorHAnsi" w:hAnsiTheme="minorHAnsi" w:cs="Times New Roman"/>
          <w:sz w:val="20"/>
          <w:szCs w:val="20"/>
        </w:rPr>
        <w:t xml:space="preserve"> Gazette of India, Extraordinary, Part II, Section 3, sub-section (i), Government of India, Ministry of Finance (Department of Revenue), </w:t>
      </w:r>
      <w:r w:rsidRPr="00545318">
        <w:rPr>
          <w:rFonts w:asciiTheme="minorHAnsi" w:hAnsiTheme="minorHAnsi" w:cs="Times New Roman"/>
          <w:bCs/>
          <w:sz w:val="20"/>
          <w:szCs w:val="20"/>
        </w:rPr>
        <w:t>Notification No. 44/2016-Customs (ADD), New Delhi, 8 August 2016</w:t>
      </w:r>
      <w:r w:rsidRPr="00545318">
        <w:rPr>
          <w:rFonts w:asciiTheme="minorHAnsi" w:hAnsiTheme="minorHAnsi"/>
          <w:sz w:val="20"/>
          <w:szCs w:val="20"/>
        </w:rPr>
        <w:t>.</w:t>
      </w:r>
    </w:p>
  </w:footnote>
  <w:footnote w:id="87">
    <w:p w14:paraId="741A9296" w14:textId="77777777" w:rsidR="009241EC" w:rsidRPr="00545318" w:rsidRDefault="009241EC" w:rsidP="00F53FDA">
      <w:pPr>
        <w:pStyle w:val="FootnoteText"/>
        <w:rPr>
          <w:lang w:val="en-AU"/>
        </w:rPr>
      </w:pPr>
      <w:r w:rsidRPr="00545318">
        <w:rPr>
          <w:rStyle w:val="FootnoteReference"/>
        </w:rPr>
        <w:footnoteRef/>
      </w:r>
      <w:r w:rsidRPr="00545318">
        <w:t xml:space="preserve"> ‘Economic survey against more tariff protection for steel producers’, </w:t>
      </w:r>
      <w:r w:rsidRPr="00545318">
        <w:rPr>
          <w:i/>
        </w:rPr>
        <w:t>The Economic Times</w:t>
      </w:r>
      <w:r w:rsidRPr="00545318">
        <w:t xml:space="preserve">, 26 February 2016, </w:t>
      </w:r>
      <w:hyperlink r:id="rId26" w:history="1">
        <w:r w:rsidRPr="00545318">
          <w:rPr>
            <w:rStyle w:val="Hyperlink"/>
          </w:rPr>
          <w:t>www.economictimes.com</w:t>
        </w:r>
      </w:hyperlink>
      <w:r w:rsidRPr="00545318">
        <w:t xml:space="preserve">; D Seth, ‘Decision on steel levy likely today’, </w:t>
      </w:r>
      <w:r w:rsidRPr="00545318">
        <w:rPr>
          <w:i/>
        </w:rPr>
        <w:t>Business Standard</w:t>
      </w:r>
      <w:r w:rsidRPr="00545318">
        <w:t xml:space="preserve">, 28 March 2016, </w:t>
      </w:r>
      <w:hyperlink r:id="rId27" w:history="1">
        <w:r w:rsidRPr="00545318">
          <w:rPr>
            <w:rStyle w:val="Hyperlink"/>
          </w:rPr>
          <w:t>www.business-standard.com/article/economy-policy/decision-on-steel-levy-likely-today</w:t>
        </w:r>
      </w:hyperlink>
      <w:r w:rsidRPr="00545318">
        <w:t xml:space="preserve">; S Darabshaw, ‘India enters the anti-dumping fray in aluminium and steel’, 15 March 2016, agmetalminer.co/2016/03/15/india-enters-the-anti-dumping-fray-in-aluminium-and-steel. </w:t>
      </w:r>
    </w:p>
  </w:footnote>
  <w:footnote w:id="88">
    <w:p w14:paraId="6DAC129D" w14:textId="77777777" w:rsidR="009241EC" w:rsidRPr="00545318" w:rsidRDefault="009241EC" w:rsidP="00F53FDA">
      <w:pPr>
        <w:pStyle w:val="FootnoteText"/>
        <w:rPr>
          <w:lang w:val="en-AU"/>
        </w:rPr>
      </w:pPr>
      <w:r w:rsidRPr="00545318">
        <w:rPr>
          <w:rStyle w:val="FootnoteReference"/>
        </w:rPr>
        <w:footnoteRef/>
      </w:r>
      <w:r w:rsidRPr="00545318">
        <w:t xml:space="preserve"> </w:t>
      </w:r>
      <w:r w:rsidRPr="00545318">
        <w:rPr>
          <w:lang w:val="en-AU"/>
        </w:rPr>
        <w:t xml:space="preserve">For example, see Draft Odisha Industrial Policy-2015, Industries Department, Government of Odisha, </w:t>
      </w:r>
      <w:hyperlink r:id="rId28" w:history="1">
        <w:r w:rsidRPr="00545318">
          <w:rPr>
            <w:rStyle w:val="Hyperlink"/>
            <w:lang w:val="en-AU"/>
          </w:rPr>
          <w:t>http://218.248.11.68/industries/Draft_IPR/Draft_IPR-2015.pdf</w:t>
        </w:r>
      </w:hyperlink>
      <w:r w:rsidRPr="00545318">
        <w:rPr>
          <w:lang w:val="en-AU"/>
        </w:rPr>
        <w:t xml:space="preserve">. </w:t>
      </w:r>
    </w:p>
  </w:footnote>
  <w:footnote w:id="89">
    <w:p w14:paraId="38FA46CD" w14:textId="3B7666BE" w:rsidR="009241EC" w:rsidRPr="009E7005" w:rsidRDefault="009241EC" w:rsidP="009E7005">
      <w:pPr>
        <w:autoSpaceDE w:val="0"/>
        <w:autoSpaceDN w:val="0"/>
        <w:adjustRightInd w:val="0"/>
        <w:rPr>
          <w:color w:val="000000" w:themeColor="text1"/>
          <w:sz w:val="20"/>
          <w:szCs w:val="20"/>
          <w:lang w:val="en-AU"/>
        </w:rPr>
      </w:pPr>
      <w:r w:rsidRPr="00545318">
        <w:rPr>
          <w:rStyle w:val="FootnoteReference"/>
          <w:color w:val="000000" w:themeColor="text1"/>
        </w:rPr>
        <w:footnoteRef/>
      </w:r>
      <w:r w:rsidRPr="00545318">
        <w:rPr>
          <w:color w:val="000000" w:themeColor="text1"/>
        </w:rPr>
        <w:t xml:space="preserve"> </w:t>
      </w:r>
      <w:r w:rsidRPr="00545318">
        <w:rPr>
          <w:color w:val="000000" w:themeColor="text1"/>
          <w:sz w:val="20"/>
          <w:szCs w:val="20"/>
        </w:rPr>
        <w:t xml:space="preserve">Sourced from Platts World Steel Review 27 July 2016, pp. 9-10; World Trade Organisation, </w:t>
      </w:r>
      <w:r w:rsidRPr="00545318">
        <w:rPr>
          <w:rFonts w:cs="Verdana"/>
          <w:bCs/>
          <w:sz w:val="20"/>
          <w:szCs w:val="20"/>
          <w:lang w:val="en-AU"/>
        </w:rPr>
        <w:t xml:space="preserve">WT/TPR/OV/W/10, </w:t>
      </w:r>
      <w:r w:rsidRPr="00545318">
        <w:rPr>
          <w:rFonts w:cs="Verdana"/>
          <w:sz w:val="20"/>
          <w:szCs w:val="20"/>
          <w:lang w:val="en-AU"/>
        </w:rPr>
        <w:t>4 July 2016</w:t>
      </w:r>
      <w:r w:rsidRPr="00545318">
        <w:rPr>
          <w:color w:val="000000" w:themeColor="text1"/>
          <w:sz w:val="20"/>
          <w:szCs w:val="20"/>
        </w:rPr>
        <w:t>.</w:t>
      </w:r>
    </w:p>
  </w:footnote>
  <w:footnote w:id="90">
    <w:p w14:paraId="68DEA86B" w14:textId="6FC4228C" w:rsidR="009241EC" w:rsidRPr="00773986" w:rsidRDefault="009241EC">
      <w:pPr>
        <w:pStyle w:val="FootnoteText"/>
        <w:rPr>
          <w:lang w:val="en-AU"/>
        </w:rPr>
      </w:pPr>
      <w:r>
        <w:rPr>
          <w:rStyle w:val="FootnoteReference"/>
        </w:rPr>
        <w:footnoteRef/>
      </w:r>
      <w:r>
        <w:t xml:space="preserve"> </w:t>
      </w:r>
      <w:r>
        <w:rPr>
          <w:lang w:val="en-AU"/>
        </w:rPr>
        <w:t xml:space="preserve">WTO, </w:t>
      </w:r>
      <w:r w:rsidRPr="00773986">
        <w:rPr>
          <w:i/>
          <w:lang w:val="en-AU"/>
        </w:rPr>
        <w:t>Report to the Trade Policy Review Body from the Director-General on Trade-Related Developments</w:t>
      </w:r>
      <w:r>
        <w:rPr>
          <w:lang w:val="en-AU"/>
        </w:rPr>
        <w:t>, op. cit., p. 51.</w:t>
      </w:r>
    </w:p>
  </w:footnote>
  <w:footnote w:id="91">
    <w:p w14:paraId="6D12F5F6" w14:textId="77777777" w:rsidR="009241EC" w:rsidRPr="00643F8E" w:rsidRDefault="009241EC" w:rsidP="00643F8E">
      <w:pPr>
        <w:pStyle w:val="FootnoteText"/>
        <w:rPr>
          <w:lang w:val="en-AU"/>
        </w:rPr>
      </w:pPr>
      <w:r>
        <w:rPr>
          <w:rStyle w:val="FootnoteReference"/>
        </w:rPr>
        <w:footnoteRef/>
      </w:r>
      <w:r>
        <w:t xml:space="preserve"> ‘List of Indonesia’s Pioneer Industries’, </w:t>
      </w:r>
      <w:hyperlink r:id="rId29" w:history="1">
        <w:r w:rsidRPr="008E0C73">
          <w:rPr>
            <w:rStyle w:val="Hyperlink"/>
          </w:rPr>
          <w:t>www.aseanbriefing.com/news/2015/08/07/indonesia-expands-list-of-pioneer-industries-eligible-for-a-tax-holiday.html</w:t>
        </w:r>
      </w:hyperlink>
      <w:r>
        <w:t xml:space="preserve">. </w:t>
      </w:r>
    </w:p>
  </w:footnote>
  <w:footnote w:id="92">
    <w:p w14:paraId="39099041" w14:textId="77777777" w:rsidR="009241EC" w:rsidRPr="00751579" w:rsidRDefault="009241EC" w:rsidP="00370A41">
      <w:pPr>
        <w:pStyle w:val="FootnoteText"/>
        <w:rPr>
          <w:lang w:val="en-AU"/>
        </w:rPr>
      </w:pPr>
      <w:r>
        <w:rPr>
          <w:rStyle w:val="FootnoteReference"/>
        </w:rPr>
        <w:footnoteRef/>
      </w:r>
      <w:r>
        <w:t xml:space="preserve"> </w:t>
      </w:r>
      <w:hyperlink r:id="rId30" w:history="1">
        <w:r w:rsidRPr="008E0C73">
          <w:rPr>
            <w:rStyle w:val="Hyperlink"/>
          </w:rPr>
          <w:t>www.mida.gov.my/home/basic-metal-products/posts</w:t>
        </w:r>
      </w:hyperlink>
      <w:r>
        <w:t xml:space="preserve">; </w:t>
      </w:r>
      <w:hyperlink r:id="rId31" w:history="1">
        <w:r w:rsidRPr="008E0C73">
          <w:rPr>
            <w:rStyle w:val="Hyperlink"/>
          </w:rPr>
          <w:t>www.mida.gov.my/env3/uploads/images/invest/invest-pdf/APP1_02032012.pdf</w:t>
        </w:r>
      </w:hyperlink>
      <w:r>
        <w:t xml:space="preserve">. </w:t>
      </w:r>
    </w:p>
  </w:footnote>
  <w:footnote w:id="93">
    <w:p w14:paraId="353549B7" w14:textId="77777777" w:rsidR="009241EC" w:rsidRPr="00E54D5C" w:rsidRDefault="009241EC" w:rsidP="00370A41">
      <w:pPr>
        <w:pStyle w:val="FootnoteText"/>
        <w:rPr>
          <w:lang w:val="en-AU"/>
        </w:rPr>
      </w:pPr>
      <w:r>
        <w:rPr>
          <w:rStyle w:val="FootnoteReference"/>
        </w:rPr>
        <w:footnoteRef/>
      </w:r>
      <w:r>
        <w:t xml:space="preserve"> New Policy on Investment Promotion, December 2014, </w:t>
      </w:r>
      <w:hyperlink r:id="rId32" w:history="1">
        <w:r w:rsidRPr="008E0C73">
          <w:rPr>
            <w:rStyle w:val="Hyperlink"/>
          </w:rPr>
          <w:t>www.britcham.org.sg/files/images/pdfs/new_boi_policy.pdf</w:t>
        </w:r>
      </w:hyperlink>
      <w:r>
        <w:t xml:space="preserve">. </w:t>
      </w:r>
    </w:p>
  </w:footnote>
  <w:footnote w:id="94">
    <w:p w14:paraId="24006E97" w14:textId="77777777" w:rsidR="009241EC" w:rsidRPr="00545318" w:rsidRDefault="009241EC" w:rsidP="00370A41">
      <w:pPr>
        <w:pStyle w:val="FootnoteText"/>
      </w:pPr>
      <w:r>
        <w:rPr>
          <w:rStyle w:val="FootnoteReference"/>
        </w:rPr>
        <w:footnoteRef/>
      </w:r>
      <w:r>
        <w:t xml:space="preserve"> Global Trade Alert, </w:t>
      </w:r>
      <w:r w:rsidRPr="0028178D">
        <w:rPr>
          <w:i/>
        </w:rPr>
        <w:t>‘Thailand: Definitive safequard duty on imports of certain types of non alloy hot rolled steel flat product’</w:t>
      </w:r>
      <w:r>
        <w:t xml:space="preserve">, June 2 2015.  </w:t>
      </w:r>
      <w:r w:rsidRPr="00D6443A">
        <w:t>http://www.globaltradealert.org/measure/thailand-definitive-safeguard-duty-</w:t>
      </w:r>
      <w:r w:rsidRPr="00545318">
        <w:t>imports-certain-types-non-alloy-hot-rolled-steel-flat-pro</w:t>
      </w:r>
    </w:p>
  </w:footnote>
  <w:footnote w:id="95">
    <w:p w14:paraId="3F9F6D8C" w14:textId="4734C4D0" w:rsidR="009241EC" w:rsidRPr="00545318" w:rsidRDefault="009241EC" w:rsidP="00370A41">
      <w:pPr>
        <w:pStyle w:val="FootnoteText"/>
        <w:rPr>
          <w:lang w:val="en-AU"/>
        </w:rPr>
      </w:pPr>
      <w:r w:rsidRPr="00545318">
        <w:rPr>
          <w:rStyle w:val="FootnoteReference"/>
        </w:rPr>
        <w:footnoteRef/>
      </w:r>
      <w:r w:rsidRPr="00545318">
        <w:t xml:space="preserve"> World Trade Organisation, WTO document G/SG/N/6/THA/5, </w:t>
      </w:r>
      <w:r w:rsidRPr="00545318">
        <w:rPr>
          <w:lang w:val="en-AU"/>
        </w:rPr>
        <w:t>https://www.wto.org/english/news_e/news16_e/safe_tha_09feb16_e.htm.</w:t>
      </w:r>
    </w:p>
  </w:footnote>
  <w:footnote w:id="96">
    <w:p w14:paraId="747698E1" w14:textId="6AD0FA71" w:rsidR="009241EC" w:rsidRPr="00DA7256" w:rsidRDefault="009241EC" w:rsidP="002C68B5">
      <w:pPr>
        <w:pStyle w:val="FootnoteText"/>
        <w:rPr>
          <w:lang w:val="en-AU"/>
        </w:rPr>
      </w:pPr>
      <w:r w:rsidRPr="00545318">
        <w:rPr>
          <w:rStyle w:val="FootnoteReference"/>
        </w:rPr>
        <w:footnoteRef/>
      </w:r>
      <w:r w:rsidRPr="00545318">
        <w:t xml:space="preserve"> Metal Miner, </w:t>
      </w:r>
      <w:r w:rsidRPr="00545318">
        <w:rPr>
          <w:lang w:val="en-AU"/>
        </w:rPr>
        <w:t>‘Southeast Asian Neighbours Begin tariffing Chinese Steel, Too’, June 23 2016. https://agmetalminer.com/2016/06/23/southeast-asian-neighbors-begin-tariffing-chinese-steel/.</w:t>
      </w:r>
    </w:p>
  </w:footnote>
  <w:footnote w:id="97">
    <w:p w14:paraId="383680C5" w14:textId="77777777" w:rsidR="009241EC" w:rsidRPr="00906D2A" w:rsidRDefault="009241EC">
      <w:pPr>
        <w:pStyle w:val="FootnoteText"/>
        <w:rPr>
          <w:lang w:val="en-AU"/>
        </w:rPr>
      </w:pPr>
      <w:r>
        <w:rPr>
          <w:rStyle w:val="FootnoteReference"/>
        </w:rPr>
        <w:footnoteRef/>
      </w:r>
      <w:r>
        <w:t xml:space="preserve"> ‘</w:t>
      </w:r>
      <w:r w:rsidRPr="00906D2A">
        <w:t>List of Sectors Entitled to Investment Incentives</w:t>
      </w:r>
      <w:r>
        <w:t>’</w:t>
      </w:r>
      <w:r w:rsidRPr="00906D2A">
        <w:t>, vietnamembassy-usa.org/basic-page/list-sectors-entitled-investment-incentives</w:t>
      </w:r>
      <w:r>
        <w:t xml:space="preserve">. </w:t>
      </w:r>
    </w:p>
  </w:footnote>
  <w:footnote w:id="98">
    <w:p w14:paraId="1DF6E900" w14:textId="77777777" w:rsidR="009241EC" w:rsidRPr="00906D2A" w:rsidRDefault="009241EC">
      <w:pPr>
        <w:pStyle w:val="FootnoteText"/>
        <w:rPr>
          <w:lang w:val="en-AU"/>
        </w:rPr>
      </w:pPr>
      <w:r>
        <w:rPr>
          <w:rStyle w:val="FootnoteReference"/>
        </w:rPr>
        <w:footnoteRef/>
      </w:r>
      <w:r>
        <w:t xml:space="preserve"> ‘</w:t>
      </w:r>
      <w:r w:rsidRPr="00906D2A">
        <w:t>Investment Incentives</w:t>
      </w:r>
      <w:r>
        <w:t>’</w:t>
      </w:r>
      <w:r w:rsidRPr="00906D2A">
        <w:t>, Foreign Investment Agency, Vietnam,</w:t>
      </w:r>
      <w:r>
        <w:t xml:space="preserve"> </w:t>
      </w:r>
      <w:r w:rsidRPr="00906D2A">
        <w:t>fia.mpi.gov.vn/detail/689/investment-incentive.</w:t>
      </w:r>
      <w:r>
        <w:t xml:space="preserve"> </w:t>
      </w:r>
    </w:p>
  </w:footnote>
  <w:footnote w:id="99">
    <w:p w14:paraId="245559E7" w14:textId="77777777" w:rsidR="009241EC" w:rsidRPr="00FE35E9" w:rsidRDefault="009241EC" w:rsidP="00374264">
      <w:pPr>
        <w:rPr>
          <w:sz w:val="20"/>
          <w:szCs w:val="20"/>
        </w:rPr>
      </w:pPr>
      <w:r>
        <w:rPr>
          <w:rStyle w:val="FootnoteReference"/>
        </w:rPr>
        <w:footnoteRef/>
      </w:r>
      <w:r>
        <w:t xml:space="preserve"> </w:t>
      </w:r>
      <w:r w:rsidRPr="00FE35E9">
        <w:rPr>
          <w:sz w:val="20"/>
          <w:szCs w:val="20"/>
        </w:rPr>
        <w:t>Anti-Dumping Commission, Report No. 263 – Aluminium Road Wheels, 2015.</w:t>
      </w:r>
    </w:p>
  </w:footnote>
  <w:footnote w:id="100">
    <w:p w14:paraId="7966AF88" w14:textId="77777777" w:rsidR="009241EC" w:rsidRPr="0030362A" w:rsidRDefault="009241EC" w:rsidP="00374264">
      <w:pPr>
        <w:pStyle w:val="FootnoteText"/>
      </w:pPr>
      <w:r w:rsidRPr="0030362A">
        <w:rPr>
          <w:rStyle w:val="FootnoteReference"/>
        </w:rPr>
        <w:footnoteRef/>
      </w:r>
      <w:r w:rsidRPr="0030362A">
        <w:t xml:space="preserve"> </w:t>
      </w:r>
      <w:hyperlink r:id="rId33" w:history="1">
        <w:r w:rsidRPr="0030362A">
          <w:rPr>
            <w:rStyle w:val="Hyperlink"/>
          </w:rPr>
          <w:t>http://www.theaustralian.com.au/business/economics/debtladen-zombie-companies-imperil-chinas-growth/news-story/4083e25e12ae4cff07cb447551079eac</w:t>
        </w:r>
      </w:hyperlink>
      <w:r>
        <w:t>;</w:t>
      </w:r>
      <w:r w:rsidRPr="0030362A">
        <w:t xml:space="preserve"> </w:t>
      </w:r>
      <w:hyperlink r:id="rId34" w:history="1">
        <w:r w:rsidRPr="0030362A">
          <w:rPr>
            <w:rStyle w:val="Hyperlink"/>
          </w:rPr>
          <w:t>http://www.ejinsight.com/20160312-how-china-could-put-zombie-companies-to-rest/</w:t>
        </w:r>
      </w:hyperlink>
      <w:r w:rsidRPr="0030362A">
        <w:t xml:space="preserve"> </w:t>
      </w:r>
    </w:p>
  </w:footnote>
  <w:footnote w:id="101">
    <w:p w14:paraId="7368F295" w14:textId="77777777" w:rsidR="009241EC" w:rsidRPr="00A07BA5" w:rsidRDefault="009241EC" w:rsidP="00374264">
      <w:pPr>
        <w:pStyle w:val="FootnoteText"/>
        <w:rPr>
          <w:lang w:val="en-AU"/>
        </w:rPr>
      </w:pPr>
      <w:r>
        <w:rPr>
          <w:rStyle w:val="FootnoteReference"/>
        </w:rPr>
        <w:footnoteRef/>
      </w:r>
      <w:r>
        <w:t xml:space="preserve"> Variety of sources including Aluminium Association market intelligence, Bl</w:t>
      </w:r>
      <w:r>
        <w:rPr>
          <w:lang w:val="en-AU"/>
        </w:rPr>
        <w:t>oomberg, Metal Bulletin.</w:t>
      </w:r>
    </w:p>
  </w:footnote>
  <w:footnote w:id="102">
    <w:p w14:paraId="1C2F39D7" w14:textId="77777777" w:rsidR="009241EC" w:rsidRPr="0074724C" w:rsidRDefault="009241EC">
      <w:pPr>
        <w:pStyle w:val="FootnoteText"/>
        <w:rPr>
          <w:lang w:val="en-AU"/>
        </w:rPr>
      </w:pPr>
      <w:r>
        <w:rPr>
          <w:rStyle w:val="FootnoteReference"/>
        </w:rPr>
        <w:footnoteRef/>
      </w:r>
      <w:r>
        <w:t xml:space="preserve"> </w:t>
      </w:r>
      <w:r w:rsidRPr="00FE35E9">
        <w:t>Anti-Dumping Commission, Report No. 263 – Aluminium Road Wheels, 2015</w:t>
      </w:r>
      <w:r>
        <w:t>.</w:t>
      </w:r>
    </w:p>
  </w:footnote>
  <w:footnote w:id="103">
    <w:p w14:paraId="5ACA9C62" w14:textId="77777777" w:rsidR="009241EC" w:rsidRDefault="009241EC" w:rsidP="00374264">
      <w:pPr>
        <w:pStyle w:val="FootnoteText"/>
      </w:pPr>
      <w:r>
        <w:rPr>
          <w:rStyle w:val="FootnoteReference"/>
        </w:rPr>
        <w:footnoteRef/>
      </w:r>
      <w:r>
        <w:t xml:space="preserve"> ibid.</w:t>
      </w:r>
    </w:p>
  </w:footnote>
  <w:footnote w:id="104">
    <w:p w14:paraId="29DE4D0B" w14:textId="77777777" w:rsidR="009241EC" w:rsidRPr="00545318" w:rsidRDefault="009241EC" w:rsidP="00374264">
      <w:pPr>
        <w:pStyle w:val="FootnoteText"/>
      </w:pPr>
      <w:r w:rsidRPr="00545318">
        <w:rPr>
          <w:rStyle w:val="FootnoteReference"/>
        </w:rPr>
        <w:footnoteRef/>
      </w:r>
      <w:r w:rsidRPr="00545318">
        <w:t xml:space="preserve"> </w:t>
      </w:r>
      <w:hyperlink r:id="rId35" w:history="1">
        <w:r w:rsidRPr="00545318">
          <w:rPr>
            <w:rStyle w:val="Hyperlink"/>
          </w:rPr>
          <w:t>http://www.smh.com.au/business/how-beijing-kicked-an-own-goal-on-aluminium-20090705-d96e.html</w:t>
        </w:r>
      </w:hyperlink>
      <w:r w:rsidRPr="00545318">
        <w:t xml:space="preserve"> </w:t>
      </w:r>
    </w:p>
  </w:footnote>
  <w:footnote w:id="105">
    <w:p w14:paraId="503E78FC" w14:textId="77777777" w:rsidR="009241EC" w:rsidRPr="00545318" w:rsidRDefault="009241EC" w:rsidP="00374264">
      <w:pPr>
        <w:pStyle w:val="FootnoteText"/>
      </w:pPr>
      <w:r w:rsidRPr="00545318">
        <w:rPr>
          <w:rStyle w:val="FootnoteReference"/>
        </w:rPr>
        <w:footnoteRef/>
      </w:r>
      <w:r w:rsidRPr="00545318">
        <w:t xml:space="preserve"> </w:t>
      </w:r>
      <w:hyperlink r:id="rId36" w:history="1">
        <w:r w:rsidRPr="00545318">
          <w:rPr>
            <w:rStyle w:val="Hyperlink"/>
          </w:rPr>
          <w:t>http://az-china.com/archives/7433</w:t>
        </w:r>
      </w:hyperlink>
      <w:r w:rsidRPr="00545318">
        <w:t xml:space="preserve"> </w:t>
      </w:r>
    </w:p>
  </w:footnote>
  <w:footnote w:id="106">
    <w:p w14:paraId="3DF74B02" w14:textId="557B1A1F" w:rsidR="009241EC" w:rsidRPr="00545318" w:rsidRDefault="009241EC" w:rsidP="00F53FDA">
      <w:pPr>
        <w:pStyle w:val="FootnoteText"/>
        <w:rPr>
          <w:lang w:val="en-AU"/>
        </w:rPr>
      </w:pPr>
      <w:r w:rsidRPr="00545318">
        <w:rPr>
          <w:rStyle w:val="FootnoteReference"/>
        </w:rPr>
        <w:footnoteRef/>
      </w:r>
      <w:r w:rsidRPr="00545318">
        <w:t xml:space="preserve"> </w:t>
      </w:r>
      <w:r w:rsidRPr="00545318">
        <w:rPr>
          <w:lang w:val="en-AU"/>
        </w:rPr>
        <w:t xml:space="preserve">WTO, </w:t>
      </w:r>
      <w:r w:rsidRPr="00545318">
        <w:rPr>
          <w:i/>
          <w:lang w:val="en-AU"/>
        </w:rPr>
        <w:t>Report to the Trade Policy Review Body from the Director-General on Trade-Related Developments</w:t>
      </w:r>
      <w:r w:rsidRPr="00545318">
        <w:rPr>
          <w:lang w:val="en-AU"/>
        </w:rPr>
        <w:t>, op. cit., p. 107.</w:t>
      </w:r>
    </w:p>
  </w:footnote>
  <w:footnote w:id="107">
    <w:p w14:paraId="2C20A183" w14:textId="38B65DAF" w:rsidR="009241EC" w:rsidRPr="00435178" w:rsidRDefault="009241EC">
      <w:pPr>
        <w:pStyle w:val="FootnoteText"/>
        <w:rPr>
          <w:lang w:val="en-AU"/>
        </w:rPr>
      </w:pPr>
      <w:r w:rsidRPr="00545318">
        <w:rPr>
          <w:rStyle w:val="FootnoteReference"/>
        </w:rPr>
        <w:footnoteRef/>
      </w:r>
      <w:r w:rsidRPr="00545318">
        <w:t xml:space="preserve"> </w:t>
      </w:r>
      <w:r w:rsidRPr="00545318">
        <w:rPr>
          <w:lang w:val="en-AU"/>
        </w:rPr>
        <w:t xml:space="preserve">World Trade Organisation, </w:t>
      </w:r>
      <w:r w:rsidRPr="00545318">
        <w:t>WTO document G/SG/N/6/IND/43.</w:t>
      </w:r>
    </w:p>
  </w:footnote>
  <w:footnote w:id="108">
    <w:p w14:paraId="284E3EAE" w14:textId="77777777" w:rsidR="009241EC" w:rsidRPr="00896C32" w:rsidRDefault="009241EC">
      <w:pPr>
        <w:pStyle w:val="FootnoteText"/>
        <w:rPr>
          <w:lang w:val="en-AU"/>
        </w:rPr>
      </w:pPr>
      <w:r>
        <w:rPr>
          <w:rStyle w:val="FootnoteReference"/>
        </w:rPr>
        <w:footnoteRef/>
      </w:r>
      <w:r>
        <w:t xml:space="preserve"> OECD, </w:t>
      </w:r>
      <w:r w:rsidRPr="00473D3C">
        <w:rPr>
          <w:i/>
          <w:lang w:val="en-AU"/>
        </w:rPr>
        <w:t>Steel Market Developments, Q4 2015</w:t>
      </w:r>
      <w:r>
        <w:rPr>
          <w:lang w:val="en-AU"/>
        </w:rPr>
        <w:t>, 2016, p. 21.</w:t>
      </w:r>
    </w:p>
  </w:footnote>
  <w:footnote w:id="109">
    <w:p w14:paraId="5CC7682F" w14:textId="77777777" w:rsidR="009241EC" w:rsidRDefault="009241EC" w:rsidP="00CA2191">
      <w:pPr>
        <w:pStyle w:val="FootnoteText"/>
      </w:pPr>
      <w:r>
        <w:rPr>
          <w:rStyle w:val="FootnoteReference"/>
        </w:rPr>
        <w:footnoteRef/>
      </w:r>
      <w:r>
        <w:t xml:space="preserve"> Consistent with section 2 of this report, the steel industry refers to crude steel production which includes Iron Smelting and Steel Manufacturing (ANZSIC class 2110), Iron and Steel Casting (2121), and Steel Pipe and Tube Manufacturing (2122). The aluminium industry refers to primary aluminium production which includes Aluminium Smelting (2132) and Aluminium Rolling, Drawing and Extruding (2142).</w:t>
      </w:r>
    </w:p>
  </w:footnote>
  <w:footnote w:id="110">
    <w:p w14:paraId="68F4BE25" w14:textId="77777777" w:rsidR="009241EC" w:rsidRDefault="009241EC" w:rsidP="00CA2191">
      <w:pPr>
        <w:pStyle w:val="FootnoteText"/>
      </w:pPr>
      <w:r>
        <w:rPr>
          <w:rStyle w:val="FootnoteReference"/>
        </w:rPr>
        <w:footnoteRef/>
      </w:r>
      <w:r>
        <w:t xml:space="preserve"> IBISWorld Industry Report C2110, February 2016, p. 5; IBISWorld Industry Report C2142, September 2015, p. 4.</w:t>
      </w:r>
    </w:p>
  </w:footnote>
  <w:footnote w:id="111">
    <w:p w14:paraId="102F80F0" w14:textId="77777777" w:rsidR="009241EC" w:rsidRDefault="009241EC" w:rsidP="00CA2191">
      <w:pPr>
        <w:pStyle w:val="FootnoteText"/>
      </w:pPr>
      <w:r>
        <w:rPr>
          <w:rStyle w:val="FootnoteReference"/>
        </w:rPr>
        <w:footnoteRef/>
      </w:r>
      <w:r>
        <w:t xml:space="preserve"> Purchase costs relate to input costs such as iron ore and coking coal for steel production and alumina and electricity for aluminium production.</w:t>
      </w:r>
    </w:p>
  </w:footnote>
  <w:footnote w:id="112">
    <w:p w14:paraId="09723575" w14:textId="77777777" w:rsidR="009241EC" w:rsidRPr="007050C5" w:rsidRDefault="009241EC">
      <w:pPr>
        <w:pStyle w:val="FootnoteText"/>
        <w:rPr>
          <w:lang w:val="en-AU"/>
        </w:rPr>
      </w:pPr>
      <w:r>
        <w:rPr>
          <w:rStyle w:val="FootnoteReference"/>
        </w:rPr>
        <w:footnoteRef/>
      </w:r>
      <w:r>
        <w:t xml:space="preserve"> </w:t>
      </w:r>
      <w:r w:rsidRPr="007050C5">
        <w:t xml:space="preserve">Department of Industry, Innovation and Science, </w:t>
      </w:r>
      <w:r w:rsidRPr="007050C5">
        <w:rPr>
          <w:i/>
        </w:rPr>
        <w:t>Submission to the inquiry into the future of Australia’s steel industry</w:t>
      </w:r>
      <w:r w:rsidRPr="007050C5">
        <w:t>, February 2016, p</w:t>
      </w:r>
      <w:r>
        <w:t>p</w:t>
      </w:r>
      <w:r w:rsidRPr="007050C5">
        <w:t>. </w:t>
      </w:r>
      <w:r>
        <w:t>9-10. Based on analysis in mid-2015, Australian steel plants using blast oxygen furnaces had an estimated material cost advantage (relative to plants in other countries) in terms of raw materials, being about 10 per cent lower than other plants on average. For steel plants using electric arc furnaces, the raw materials advantage was less at 4 per cent on average, possibly because recycled steel is also used as an input.</w:t>
      </w:r>
    </w:p>
  </w:footnote>
  <w:footnote w:id="113">
    <w:p w14:paraId="7D797ACE" w14:textId="77777777" w:rsidR="009241EC" w:rsidRDefault="009241EC" w:rsidP="00CA2191">
      <w:pPr>
        <w:pStyle w:val="FootnoteText"/>
      </w:pPr>
      <w:r>
        <w:rPr>
          <w:rStyle w:val="FootnoteReference"/>
        </w:rPr>
        <w:footnoteRef/>
      </w:r>
      <w:r>
        <w:t xml:space="preserve"> IBISWorld Industry Report C2110, February 2016, p. 20; IBISWorld Industry Report C2142, September 2015, p. 20.</w:t>
      </w:r>
    </w:p>
  </w:footnote>
  <w:footnote w:id="114">
    <w:p w14:paraId="38691E9B" w14:textId="77777777" w:rsidR="009241EC" w:rsidRDefault="009241EC" w:rsidP="00CA2191">
      <w:pPr>
        <w:pStyle w:val="FootnoteText"/>
      </w:pPr>
      <w:r>
        <w:rPr>
          <w:rStyle w:val="FootnoteReference"/>
        </w:rPr>
        <w:footnoteRef/>
      </w:r>
      <w:r>
        <w:t xml:space="preserve"> Department of Industry, Innovation and Science, </w:t>
      </w:r>
      <w:r w:rsidRPr="00980DAC">
        <w:rPr>
          <w:i/>
        </w:rPr>
        <w:t>Submission to the inquiry into the future of Australia’s steel industry</w:t>
      </w:r>
      <w:r>
        <w:t>, February 2016, p. 13.</w:t>
      </w:r>
    </w:p>
  </w:footnote>
  <w:footnote w:id="115">
    <w:p w14:paraId="33C7FE32" w14:textId="77777777" w:rsidR="009241EC" w:rsidRPr="00E81C47" w:rsidRDefault="009241EC" w:rsidP="00C1526A">
      <w:pPr>
        <w:pStyle w:val="FootnoteText"/>
      </w:pPr>
      <w:r>
        <w:rPr>
          <w:rStyle w:val="FootnoteReference"/>
        </w:rPr>
        <w:footnoteRef/>
      </w:r>
      <w:r>
        <w:t xml:space="preserve"> BlueScope – responding to structural change, Sept 2011, p. 3, </w:t>
      </w:r>
      <w:hyperlink r:id="rId37" w:history="1">
        <w:r w:rsidRPr="00E81C47">
          <w:rPr>
            <w:rStyle w:val="Hyperlink"/>
            <w:color w:val="auto"/>
          </w:rPr>
          <w:t>https://s3-ap-southeast-2.amazonaws.com/bluescope-corporate-umbraco-media/media/1362/paul_omalley_asi_presentation.pdf</w:t>
        </w:r>
      </w:hyperlink>
      <w:r w:rsidRPr="00E81C47">
        <w:t xml:space="preserve">. </w:t>
      </w:r>
    </w:p>
  </w:footnote>
  <w:footnote w:id="116">
    <w:p w14:paraId="1A6F8E7F" w14:textId="77777777" w:rsidR="009241EC" w:rsidRDefault="009241EC" w:rsidP="00C1526A">
      <w:pPr>
        <w:pStyle w:val="FootnoteText"/>
      </w:pPr>
      <w:r>
        <w:rPr>
          <w:rStyle w:val="FootnoteReference"/>
        </w:rPr>
        <w:footnoteRef/>
      </w:r>
      <w:r>
        <w:t xml:space="preserve"> BlueScope Annual Report 2014-15, p. 8, </w:t>
      </w:r>
      <w:hyperlink r:id="rId38" w:history="1">
        <w:r w:rsidRPr="001D740C">
          <w:rPr>
            <w:rStyle w:val="Hyperlink"/>
          </w:rPr>
          <w:t>https://s3-ap-southeast-2.amazonaws.com/bluescope-corporate-umbraco-media/media/1905/bluescope-annual-report.pdf</w:t>
        </w:r>
      </w:hyperlink>
      <w:r>
        <w:t xml:space="preserve">; Bluescope 1H-FY2016 Financial Results Presentation, p. 5, </w:t>
      </w:r>
      <w:hyperlink r:id="rId39" w:history="1">
        <w:r w:rsidRPr="001D740C">
          <w:rPr>
            <w:rStyle w:val="Hyperlink"/>
          </w:rPr>
          <w:t>https://s3-ap-southeast-2.amazonaws.com/bluescope-corporate-umbraco-media/media/2097/1h-fy2016-investor-presentation-final.pdf</w:t>
        </w:r>
      </w:hyperlink>
      <w:r>
        <w:t xml:space="preserve">. </w:t>
      </w:r>
    </w:p>
  </w:footnote>
  <w:footnote w:id="117">
    <w:p w14:paraId="44BA58CE" w14:textId="77777777" w:rsidR="009241EC" w:rsidRDefault="009241EC" w:rsidP="00C1526A">
      <w:pPr>
        <w:pStyle w:val="FootnoteText"/>
      </w:pPr>
      <w:r>
        <w:rPr>
          <w:rStyle w:val="FootnoteReference"/>
        </w:rPr>
        <w:footnoteRef/>
      </w:r>
      <w:r>
        <w:t xml:space="preserve"> Bluescope 1H-FY2016 Financial Results Presentation, p. 9. </w:t>
      </w:r>
    </w:p>
  </w:footnote>
  <w:footnote w:id="118">
    <w:p w14:paraId="3BEDB94B" w14:textId="77777777" w:rsidR="009241EC" w:rsidRDefault="009241EC" w:rsidP="00C1526A">
      <w:pPr>
        <w:pStyle w:val="FootnoteText"/>
      </w:pPr>
      <w:r>
        <w:rPr>
          <w:rStyle w:val="FootnoteReference"/>
        </w:rPr>
        <w:footnoteRef/>
      </w:r>
      <w:r>
        <w:t xml:space="preserve"> BlueScope Strategic initiatives and outlook update Oct 2015, p. 10, </w:t>
      </w:r>
      <w:hyperlink r:id="rId40" w:history="1">
        <w:r w:rsidRPr="001D740C">
          <w:rPr>
            <w:rStyle w:val="Hyperlink"/>
          </w:rPr>
          <w:t>https://s3-ap-southeast-2.amazonaws.com/bluescope-corporate-umbraco-media/media/1935/update-pack-151026.pdf</w:t>
        </w:r>
      </w:hyperlink>
      <w:r>
        <w:t>. Announced cost reductions include a new 3 year enterprise agreement with accompanying 3 year wage freeze, 500 job losses, and NSW government deferral of payroll tax payments and reductions in other charges.</w:t>
      </w:r>
    </w:p>
  </w:footnote>
  <w:footnote w:id="119">
    <w:p w14:paraId="29EA3FA6" w14:textId="77777777" w:rsidR="009241EC" w:rsidRPr="00545318" w:rsidRDefault="009241EC" w:rsidP="00C1526A">
      <w:pPr>
        <w:pStyle w:val="FootnoteText"/>
        <w:rPr>
          <w:lang w:val="en-AU"/>
        </w:rPr>
      </w:pPr>
      <w:r w:rsidRPr="00545318">
        <w:rPr>
          <w:rStyle w:val="FootnoteReference"/>
        </w:rPr>
        <w:footnoteRef/>
      </w:r>
      <w:r w:rsidRPr="00545318">
        <w:t xml:space="preserve"> BlueScope ASX Release, </w:t>
      </w:r>
      <w:r w:rsidRPr="00545318">
        <w:rPr>
          <w:i/>
        </w:rPr>
        <w:t>BlueScope expects full year underlying EBIT lift to $570m – net debt reduced by approximately $600m (preliminary unaudited results)</w:t>
      </w:r>
      <w:r w:rsidRPr="00545318">
        <w:t xml:space="preserve">, 14 July 2016, </w:t>
      </w:r>
      <w:r w:rsidRPr="00545318">
        <w:rPr>
          <w:u w:val="single"/>
        </w:rPr>
        <w:t>http://www.asx.com.au/asxpdf/20160714/pdf/438ks815tcjbsp.pdf</w:t>
      </w:r>
    </w:p>
  </w:footnote>
  <w:footnote w:id="120">
    <w:p w14:paraId="7C7913F9" w14:textId="77777777" w:rsidR="009241EC" w:rsidRDefault="009241EC" w:rsidP="00C1526A">
      <w:pPr>
        <w:pStyle w:val="FootnoteText"/>
      </w:pPr>
      <w:r w:rsidRPr="00545318">
        <w:rPr>
          <w:rStyle w:val="FootnoteReference"/>
        </w:rPr>
        <w:footnoteRef/>
      </w:r>
      <w:r w:rsidRPr="00545318">
        <w:t xml:space="preserve"> Capral 2015 Full Year Results Presentation, 19 February 2016, </w:t>
      </w:r>
      <w:hyperlink r:id="rId41" w:history="1">
        <w:r w:rsidRPr="00545318">
          <w:rPr>
            <w:rStyle w:val="Hyperlink"/>
          </w:rPr>
          <w:t>http://www.capral.com.au/Results-Presentations</w:t>
        </w:r>
      </w:hyperlink>
      <w:r>
        <w:t xml:space="preserve">. </w:t>
      </w:r>
    </w:p>
  </w:footnote>
  <w:footnote w:id="121">
    <w:p w14:paraId="4C002BD2" w14:textId="77777777" w:rsidR="009241EC" w:rsidRDefault="009241EC" w:rsidP="00CA2191">
      <w:pPr>
        <w:pStyle w:val="FootnoteText"/>
      </w:pPr>
      <w:r>
        <w:rPr>
          <w:rStyle w:val="FootnoteReference"/>
        </w:rPr>
        <w:footnoteRef/>
      </w:r>
      <w:r>
        <w:t xml:space="preserve"> </w:t>
      </w:r>
      <w:hyperlink r:id="rId42" w:history="1">
        <w:r w:rsidRPr="001D740C">
          <w:rPr>
            <w:rStyle w:val="Hyperlink"/>
          </w:rPr>
          <w:t>http://www.industry.gov.au/industry/IndustryInitiatives/AustralianIndustryParticipation/Pages/Australian-Jobs-Act-2013.aspx</w:t>
        </w:r>
      </w:hyperlink>
      <w:r>
        <w:t xml:space="preserve">. </w:t>
      </w:r>
    </w:p>
  </w:footnote>
  <w:footnote w:id="122">
    <w:p w14:paraId="3D9DF493" w14:textId="77777777" w:rsidR="009241EC" w:rsidRDefault="009241EC" w:rsidP="00CA2191">
      <w:pPr>
        <w:pStyle w:val="FootnoteText"/>
      </w:pPr>
      <w:r>
        <w:rPr>
          <w:rStyle w:val="FootnoteReference"/>
        </w:rPr>
        <w:footnoteRef/>
      </w:r>
      <w:r>
        <w:t xml:space="preserve"> </w:t>
      </w:r>
      <w:hyperlink r:id="rId43" w:history="1">
        <w:r w:rsidRPr="001D740C">
          <w:rPr>
            <w:rStyle w:val="Hyperlink"/>
          </w:rPr>
          <w:t>http://www.minister.industry.gov.au/ministers/macfarlane/media-releases/strengthening-illawarras-economic-future</w:t>
        </w:r>
      </w:hyperlink>
      <w:r>
        <w:t xml:space="preserve">. </w:t>
      </w:r>
    </w:p>
  </w:footnote>
  <w:footnote w:id="123">
    <w:p w14:paraId="2F2243C1" w14:textId="77777777" w:rsidR="009241EC" w:rsidRDefault="009241EC" w:rsidP="00CA2191">
      <w:pPr>
        <w:pStyle w:val="FootnoteText"/>
      </w:pPr>
      <w:r>
        <w:rPr>
          <w:rStyle w:val="FootnoteReference"/>
        </w:rPr>
        <w:footnoteRef/>
      </w:r>
      <w:r>
        <w:t xml:space="preserve"> </w:t>
      </w:r>
      <w:hyperlink r:id="rId44" w:history="1">
        <w:r w:rsidRPr="001D740C">
          <w:rPr>
            <w:rStyle w:val="Hyperlink"/>
          </w:rPr>
          <w:t>http://www.treasury.nsw.gov.au/__data/assets/pdf_file/0005/126941/20152610_Gladys_Berejiklian_ med_rel_-_NSW_Government_supports_Illawarra_steelworkers.pdf</w:t>
        </w:r>
      </w:hyperlink>
      <w:r>
        <w:t xml:space="preserve">. </w:t>
      </w:r>
    </w:p>
  </w:footnote>
  <w:footnote w:id="124">
    <w:p w14:paraId="77D4047B" w14:textId="77777777" w:rsidR="009241EC" w:rsidRDefault="009241EC" w:rsidP="00CA2191">
      <w:pPr>
        <w:pStyle w:val="FootnoteText"/>
      </w:pPr>
      <w:r>
        <w:rPr>
          <w:rStyle w:val="FootnoteReference"/>
        </w:rPr>
        <w:footnoteRef/>
      </w:r>
      <w:r>
        <w:t xml:space="preserve"> </w:t>
      </w:r>
      <w:hyperlink r:id="rId45" w:history="1">
        <w:r w:rsidRPr="00737C9E">
          <w:rPr>
            <w:rStyle w:val="Hyperlink"/>
          </w:rPr>
          <w:t>http://www.statedevelopment.sa.gov.au/news-releases/all-news-updates/high-powered-steel-taskforce-to-secure-whyallas-future</w:t>
        </w:r>
      </w:hyperlink>
      <w:r>
        <w:t xml:space="preserve">. </w:t>
      </w:r>
    </w:p>
  </w:footnote>
  <w:footnote w:id="125">
    <w:p w14:paraId="1BBCDC25" w14:textId="77777777" w:rsidR="009241EC" w:rsidRDefault="009241EC" w:rsidP="00CA2191">
      <w:pPr>
        <w:pStyle w:val="FootnoteText"/>
      </w:pPr>
      <w:r>
        <w:rPr>
          <w:rStyle w:val="FootnoteReference"/>
        </w:rPr>
        <w:footnoteRef/>
      </w:r>
      <w:r>
        <w:t xml:space="preserve"> </w:t>
      </w:r>
      <w:hyperlink r:id="rId46" w:history="1">
        <w:r w:rsidRPr="001D740C">
          <w:rPr>
            <w:rStyle w:val="Hyperlink"/>
          </w:rPr>
          <w:t>http://www.statedevelopment.sa.gov.au/news-releases/all-news-updates/high-powered-steel-taskforce-to-secure-whyallas-future</w:t>
        </w:r>
      </w:hyperlink>
      <w:r>
        <w:t xml:space="preserve">. </w:t>
      </w:r>
    </w:p>
  </w:footnote>
  <w:footnote w:id="126">
    <w:p w14:paraId="29FE0792" w14:textId="77777777" w:rsidR="009241EC" w:rsidRPr="00281137" w:rsidRDefault="009241EC" w:rsidP="00FE24CF">
      <w:pPr>
        <w:pStyle w:val="FootnoteText"/>
        <w:rPr>
          <w:lang w:val="en-AU"/>
        </w:rPr>
      </w:pPr>
      <w:r>
        <w:rPr>
          <w:rStyle w:val="FootnoteReference"/>
        </w:rPr>
        <w:footnoteRef/>
      </w:r>
      <w:r>
        <w:t xml:space="preserve"> </w:t>
      </w:r>
      <w:r w:rsidRPr="0007118E">
        <w:t>http://www.premier.sa.gov.au/index.php/mediacentre/679-state-government-commits-50-million-to-ensure-future-of-whyalla-steelworks</w:t>
      </w:r>
    </w:p>
  </w:footnote>
  <w:footnote w:id="127">
    <w:p w14:paraId="37563BDA" w14:textId="77777777" w:rsidR="009241EC" w:rsidRPr="00B84CB4" w:rsidRDefault="009241EC" w:rsidP="00CA2191">
      <w:pPr>
        <w:pStyle w:val="FootnoteText"/>
        <w:rPr>
          <w:lang w:val="en-AU"/>
        </w:rPr>
      </w:pPr>
      <w:r>
        <w:rPr>
          <w:rStyle w:val="FootnoteReference"/>
        </w:rPr>
        <w:footnoteRef/>
      </w:r>
      <w:r>
        <w:t xml:space="preserve"> Anti-Dumping Commission, </w:t>
      </w:r>
      <w:r w:rsidRPr="00D52373">
        <w:rPr>
          <w:i/>
        </w:rPr>
        <w:t>Dumping and Subsidy Manual</w:t>
      </w:r>
      <w:r>
        <w:t>, section 21.</w:t>
      </w:r>
    </w:p>
  </w:footnote>
  <w:footnote w:id="128">
    <w:p w14:paraId="0242EDD2" w14:textId="77777777" w:rsidR="009241EC" w:rsidRPr="00B84CB4" w:rsidRDefault="009241EC" w:rsidP="00CA2191">
      <w:pPr>
        <w:pStyle w:val="FootnoteText"/>
        <w:rPr>
          <w:lang w:val="en-AU"/>
        </w:rPr>
      </w:pPr>
      <w:r>
        <w:rPr>
          <w:rStyle w:val="FootnoteReference"/>
        </w:rPr>
        <w:footnoteRef/>
      </w:r>
      <w:r>
        <w:t xml:space="preserve"> Anti-Dumping Commission, </w:t>
      </w:r>
      <w:r w:rsidRPr="00B84CB4">
        <w:t xml:space="preserve">Termination Report </w:t>
      </w:r>
      <w:r>
        <w:t>249, 28 July 2015, section 7.</w:t>
      </w:r>
    </w:p>
  </w:footnote>
  <w:footnote w:id="129">
    <w:p w14:paraId="5CAA39AD" w14:textId="77777777" w:rsidR="009241EC" w:rsidRPr="00B84CB4" w:rsidRDefault="009241EC" w:rsidP="00CA2191">
      <w:pPr>
        <w:pStyle w:val="FootnoteText"/>
        <w:rPr>
          <w:lang w:val="en-AU"/>
        </w:rPr>
      </w:pPr>
      <w:r>
        <w:rPr>
          <w:rStyle w:val="FootnoteReference"/>
        </w:rPr>
        <w:footnoteRef/>
      </w:r>
      <w:r>
        <w:t xml:space="preserve"> </w:t>
      </w:r>
      <w:r w:rsidRPr="00B84CB4">
        <w:t>Term</w:t>
      </w:r>
      <w:r>
        <w:t>ination Report 249, section 6.</w:t>
      </w:r>
    </w:p>
  </w:footnote>
  <w:footnote w:id="130">
    <w:p w14:paraId="09737805" w14:textId="77777777" w:rsidR="009241EC" w:rsidRPr="000A2361" w:rsidRDefault="009241EC" w:rsidP="00CA2191">
      <w:pPr>
        <w:pStyle w:val="FootnoteText"/>
        <w:rPr>
          <w:lang w:val="en-AU"/>
        </w:rPr>
      </w:pPr>
      <w:r>
        <w:rPr>
          <w:rStyle w:val="FootnoteReference"/>
        </w:rPr>
        <w:footnoteRef/>
      </w:r>
      <w:r>
        <w:t xml:space="preserve"> </w:t>
      </w:r>
      <w:r w:rsidRPr="000A2361">
        <w:t>Terminatio</w:t>
      </w:r>
      <w:r>
        <w:t>n Report 249, section 8.6.1.</w:t>
      </w:r>
    </w:p>
  </w:footnote>
  <w:footnote w:id="131">
    <w:p w14:paraId="2DD01DF3" w14:textId="77777777" w:rsidR="009241EC" w:rsidRPr="000A2361" w:rsidRDefault="009241EC" w:rsidP="00CA2191">
      <w:pPr>
        <w:pStyle w:val="FootnoteText"/>
        <w:rPr>
          <w:lang w:val="en-AU"/>
        </w:rPr>
      </w:pPr>
      <w:r>
        <w:rPr>
          <w:rStyle w:val="FootnoteReference"/>
        </w:rPr>
        <w:footnoteRef/>
      </w:r>
      <w:r>
        <w:t xml:space="preserve"> </w:t>
      </w:r>
      <w:r w:rsidRPr="000A2361">
        <w:t>Termination Rep</w:t>
      </w:r>
      <w:r>
        <w:t>ort 249, sections 8.6.1, 8.7.</w:t>
      </w:r>
    </w:p>
  </w:footnote>
  <w:footnote w:id="132">
    <w:p w14:paraId="2419CDB8" w14:textId="77777777" w:rsidR="009241EC" w:rsidRPr="000A2361" w:rsidRDefault="009241EC" w:rsidP="00CA2191">
      <w:pPr>
        <w:pStyle w:val="FootnoteText"/>
        <w:rPr>
          <w:lang w:val="en-AU"/>
        </w:rPr>
      </w:pPr>
      <w:r>
        <w:rPr>
          <w:rStyle w:val="FootnoteReference"/>
        </w:rPr>
        <w:footnoteRef/>
      </w:r>
      <w:r>
        <w:t xml:space="preserve"> </w:t>
      </w:r>
      <w:r w:rsidRPr="000A2361">
        <w:t>Termi</w:t>
      </w:r>
      <w:r>
        <w:t xml:space="preserve">nation Report 249, section 9. The investigation was terminated in respect of Vietnam due to negligible volumes. </w:t>
      </w:r>
    </w:p>
  </w:footnote>
  <w:footnote w:id="133">
    <w:p w14:paraId="0CF5C88A" w14:textId="77777777" w:rsidR="009241EC" w:rsidRDefault="009241EC" w:rsidP="00CA2191">
      <w:pPr>
        <w:pStyle w:val="FootnoteText"/>
      </w:pPr>
      <w:r>
        <w:rPr>
          <w:rStyle w:val="FootnoteReference"/>
        </w:rPr>
        <w:footnoteRef/>
      </w:r>
      <w:r>
        <w:t xml:space="preserve"> Importers or foreign exporters may respond to the implementation of trade remedies by increasing their prices (to reduce the extent of dumping or flow-through of subsidisation), and this would reduce the amount of revenue raised by anti-dumping (or countervailing) duties. Therefore, the results reported for Scenario 2 are an estimated upper limit for the overall economic benefits in this scenario.</w:t>
      </w:r>
    </w:p>
  </w:footnote>
  <w:footnote w:id="134">
    <w:p w14:paraId="4C1B0E8E" w14:textId="77777777" w:rsidR="009241EC" w:rsidRDefault="009241EC" w:rsidP="00CA2191">
      <w:pPr>
        <w:pStyle w:val="FootnoteText"/>
      </w:pPr>
      <w:r>
        <w:rPr>
          <w:rStyle w:val="FootnoteReference"/>
        </w:rPr>
        <w:footnoteRef/>
      </w:r>
      <w:r>
        <w:t xml:space="preserve"> Based on industry information, the Commission understands that </w:t>
      </w:r>
      <w:r w:rsidRPr="00931406">
        <w:t xml:space="preserve">blast and arc furnaces </w:t>
      </w:r>
      <w:r>
        <w:t xml:space="preserve">have long asset lives (around 25 years for a blast furnace) </w:t>
      </w:r>
      <w:r w:rsidRPr="00931406">
        <w:t xml:space="preserve">and </w:t>
      </w:r>
      <w:r>
        <w:t xml:space="preserve">significant </w:t>
      </w:r>
      <w:r w:rsidRPr="00931406">
        <w:t>costs</w:t>
      </w:r>
      <w:r>
        <w:t xml:space="preserve"> are</w:t>
      </w:r>
      <w:r w:rsidRPr="00931406">
        <w:t xml:space="preserve"> incurred in shutting down and restarting them</w:t>
      </w:r>
      <w:r>
        <w:t>, including the costs of relining the furnace</w:t>
      </w:r>
      <w:r w:rsidRPr="00931406">
        <w:t xml:space="preserve">. </w:t>
      </w:r>
    </w:p>
  </w:footnote>
  <w:footnote w:id="135">
    <w:p w14:paraId="450A2ECF" w14:textId="77777777" w:rsidR="009241EC" w:rsidRPr="002503BB" w:rsidRDefault="009241EC" w:rsidP="00A536DA">
      <w:pPr>
        <w:pStyle w:val="FootnoteText"/>
        <w:rPr>
          <w:lang w:val="en-AU"/>
        </w:rPr>
      </w:pPr>
      <w:r>
        <w:rPr>
          <w:rStyle w:val="FootnoteReference"/>
        </w:rPr>
        <w:footnoteRef/>
      </w:r>
      <w:r>
        <w:t xml:space="preserve"> </w:t>
      </w:r>
      <w:r w:rsidRPr="002503BB">
        <w:t>Department of Industry</w:t>
      </w:r>
      <w:r>
        <w:t>,</w:t>
      </w:r>
      <w:r w:rsidRPr="002503BB">
        <w:t xml:space="preserve"> Office of the Chief Economist</w:t>
      </w:r>
      <w:r>
        <w:t xml:space="preserve">, </w:t>
      </w:r>
      <w:r w:rsidRPr="002503BB">
        <w:rPr>
          <w:i/>
        </w:rPr>
        <w:t>Australian Industry Report 2014</w:t>
      </w:r>
      <w:r>
        <w:t>, p. 123, www.industry.gov.au.</w:t>
      </w:r>
    </w:p>
  </w:footnote>
  <w:footnote w:id="136">
    <w:p w14:paraId="32B29125" w14:textId="77777777" w:rsidR="009241EC" w:rsidRPr="00A536DA" w:rsidRDefault="009241EC">
      <w:pPr>
        <w:pStyle w:val="FootnoteText"/>
        <w:rPr>
          <w:lang w:val="en-AU"/>
        </w:rPr>
      </w:pPr>
      <w:r>
        <w:rPr>
          <w:rStyle w:val="FootnoteReference"/>
        </w:rPr>
        <w:footnoteRef/>
      </w:r>
      <w:r>
        <w:t xml:space="preserve"> </w:t>
      </w:r>
      <w:r>
        <w:rPr>
          <w:lang w:val="en-AU"/>
        </w:rPr>
        <w:t>ibid.</w:t>
      </w:r>
    </w:p>
  </w:footnote>
  <w:footnote w:id="137">
    <w:p w14:paraId="0776F909" w14:textId="77777777" w:rsidR="009241EC" w:rsidRPr="00103101" w:rsidRDefault="009241EC" w:rsidP="00E20861">
      <w:pPr>
        <w:pStyle w:val="FootnoteText"/>
        <w:rPr>
          <w:lang w:val="en-AU"/>
        </w:rPr>
      </w:pPr>
      <w:r>
        <w:rPr>
          <w:rStyle w:val="FootnoteReference"/>
        </w:rPr>
        <w:footnoteRef/>
      </w:r>
      <w:r>
        <w:t xml:space="preserve"> i</w:t>
      </w:r>
      <w:r>
        <w:rPr>
          <w:lang w:val="en-AU"/>
        </w:rPr>
        <w:t>bid., p. 117.</w:t>
      </w:r>
    </w:p>
  </w:footnote>
  <w:footnote w:id="138">
    <w:p w14:paraId="7A3C7168" w14:textId="77777777" w:rsidR="009241EC" w:rsidRPr="007F6D3E" w:rsidRDefault="009241EC" w:rsidP="00E20861">
      <w:pPr>
        <w:pStyle w:val="FootnoteText"/>
        <w:rPr>
          <w:lang w:val="en-AU"/>
        </w:rPr>
      </w:pPr>
      <w:r>
        <w:rPr>
          <w:rStyle w:val="FootnoteReference"/>
        </w:rPr>
        <w:footnoteRef/>
      </w:r>
      <w:r>
        <w:t xml:space="preserve"> </w:t>
      </w:r>
      <w:r>
        <w:rPr>
          <w:lang w:val="en-AU"/>
        </w:rPr>
        <w:t xml:space="preserve">S Burrows, A Masouman and C Harvie, </w:t>
      </w:r>
      <w:r w:rsidRPr="007F6D3E">
        <w:rPr>
          <w:i/>
          <w:lang w:val="en-AU"/>
        </w:rPr>
        <w:t>Regional Economic Impacts of a Closure of BlueScope Steel Operations in Port Kembla</w:t>
      </w:r>
      <w:r>
        <w:rPr>
          <w:lang w:val="en-AU"/>
        </w:rPr>
        <w:t>, R</w:t>
      </w:r>
      <w:r w:rsidRPr="00DA32DE">
        <w:rPr>
          <w:lang w:val="en-AU"/>
        </w:rPr>
        <w:t>eport</w:t>
      </w:r>
      <w:r>
        <w:rPr>
          <w:lang w:val="en-AU"/>
        </w:rPr>
        <w:t xml:space="preserve"> </w:t>
      </w:r>
      <w:r w:rsidRPr="00DA32DE">
        <w:rPr>
          <w:lang w:val="en-AU"/>
        </w:rPr>
        <w:t>prepared for the Australian Workers Union, Port Kembla, University of</w:t>
      </w:r>
      <w:r>
        <w:rPr>
          <w:lang w:val="en-AU"/>
        </w:rPr>
        <w:t xml:space="preserve"> </w:t>
      </w:r>
      <w:r w:rsidRPr="00DA32DE">
        <w:rPr>
          <w:lang w:val="en-AU"/>
        </w:rPr>
        <w:t>Wollongong</w:t>
      </w:r>
      <w:r>
        <w:rPr>
          <w:lang w:val="en-AU"/>
        </w:rPr>
        <w:t xml:space="preserve">, 2015, </w:t>
      </w:r>
      <w:hyperlink r:id="rId47" w:history="1">
        <w:r w:rsidRPr="00955050">
          <w:rPr>
            <w:rStyle w:val="Hyperlink"/>
            <w:lang w:val="en-AU"/>
          </w:rPr>
          <w:t>http://ro.uow.edu.au/cgi/viewcontent.cgi?article=3100&amp;context=lhapapers</w:t>
        </w:r>
      </w:hyperlink>
      <w:r>
        <w:rPr>
          <w:lang w:val="en-AU"/>
        </w:rPr>
        <w:t xml:space="preserve">. The modelling used </w:t>
      </w:r>
      <w:r w:rsidRPr="00DA32DE">
        <w:rPr>
          <w:lang w:val="en-AU"/>
        </w:rPr>
        <w:t>the Illawarra Interregional</w:t>
      </w:r>
      <w:r>
        <w:rPr>
          <w:lang w:val="en-AU"/>
        </w:rPr>
        <w:t xml:space="preserve"> </w:t>
      </w:r>
      <w:r w:rsidRPr="00DA32DE">
        <w:rPr>
          <w:lang w:val="en-AU"/>
        </w:rPr>
        <w:t>Input-Output Model (IIRI-OM) based upon ABS data</w:t>
      </w:r>
      <w:r>
        <w:rPr>
          <w:lang w:val="en-AU"/>
        </w:rPr>
        <w:t xml:space="preserve"> and developed to estimate impacts of the regional economy of assumed ‘shocks’.</w:t>
      </w:r>
    </w:p>
  </w:footnote>
  <w:footnote w:id="139">
    <w:p w14:paraId="7BD7AA40" w14:textId="77777777" w:rsidR="009241EC" w:rsidRPr="00C21022" w:rsidRDefault="009241EC" w:rsidP="0099798B">
      <w:pPr>
        <w:pStyle w:val="FootnoteText"/>
        <w:rPr>
          <w:lang w:val="en-AU"/>
        </w:rPr>
      </w:pPr>
      <w:r>
        <w:rPr>
          <w:rStyle w:val="FootnoteReference"/>
        </w:rPr>
        <w:footnoteRef/>
      </w:r>
      <w:r>
        <w:t xml:space="preserve"> European Commission, 2016, </w:t>
      </w:r>
      <w:hyperlink r:id="rId48" w:history="1">
        <w:r>
          <w:rPr>
            <w:rStyle w:val="Hyperlink"/>
          </w:rPr>
          <w:t>Commission launches new anti-dumping investigations into several steel products</w:t>
        </w:r>
      </w:hyperlink>
      <w:r>
        <w:t>, 12 February 2016.</w:t>
      </w:r>
    </w:p>
  </w:footnote>
  <w:footnote w:id="140">
    <w:p w14:paraId="1BAB42AD" w14:textId="77777777" w:rsidR="009241EC" w:rsidRPr="00257930" w:rsidRDefault="009241EC" w:rsidP="0099798B">
      <w:pPr>
        <w:pStyle w:val="FootnoteText"/>
        <w:rPr>
          <w:lang w:val="en-AU"/>
        </w:rPr>
      </w:pPr>
      <w:r>
        <w:rPr>
          <w:rStyle w:val="FootnoteReference"/>
        </w:rPr>
        <w:footnoteRef/>
      </w:r>
      <w:r>
        <w:t xml:space="preserve"> </w:t>
      </w:r>
      <w:r w:rsidRPr="00257930">
        <w:t>United States Department of Commerce, International Trade Administration, Enforcement and Compliance website at http://enforcement.trade.gov/stats/inv-initiations-2000-current.html</w:t>
      </w:r>
      <w:r>
        <w:t>, accessed on 24 March 2016.</w:t>
      </w:r>
    </w:p>
  </w:footnote>
  <w:footnote w:id="141">
    <w:p w14:paraId="1429B035" w14:textId="77777777" w:rsidR="009241EC" w:rsidRDefault="009241EC" w:rsidP="0099798B">
      <w:pPr>
        <w:pStyle w:val="FootnoteText"/>
      </w:pPr>
      <w:r>
        <w:rPr>
          <w:rStyle w:val="FootnoteReference"/>
        </w:rPr>
        <w:footnoteRef/>
      </w:r>
      <w:r>
        <w:t xml:space="preserve">Global Trade Alert statistics only report in terms of metals. Steel and aluminium are significant components of this category. Other metals included in this category include: precious metals, copper, lead, zinc and tin, and their respective alloys and other non-ferrous metals. </w:t>
      </w:r>
    </w:p>
  </w:footnote>
  <w:footnote w:id="142">
    <w:p w14:paraId="1E598E10" w14:textId="77777777" w:rsidR="009241EC" w:rsidRPr="000A4EC0" w:rsidRDefault="009241EC" w:rsidP="0099798B">
      <w:pPr>
        <w:pStyle w:val="FootnoteText"/>
        <w:rPr>
          <w:lang w:val="en-AU"/>
        </w:rPr>
      </w:pPr>
      <w:r>
        <w:rPr>
          <w:rStyle w:val="FootnoteReference"/>
        </w:rPr>
        <w:footnoteRef/>
      </w:r>
      <w:r>
        <w:t xml:space="preserve"> Figures include</w:t>
      </w:r>
      <w:r w:rsidRPr="000A4EC0">
        <w:t xml:space="preserve"> anti-dumping, countervailing and anti-circumvention</w:t>
      </w:r>
      <w:r>
        <w:t xml:space="preserve"> investigations.</w:t>
      </w:r>
    </w:p>
  </w:footnote>
  <w:footnote w:id="143">
    <w:p w14:paraId="6CABC71D" w14:textId="77777777" w:rsidR="009241EC" w:rsidRPr="00D6607E" w:rsidRDefault="009241EC" w:rsidP="009861DE">
      <w:pPr>
        <w:pStyle w:val="FootnoteText"/>
        <w:rPr>
          <w:lang w:val="en-AU"/>
        </w:rPr>
      </w:pPr>
      <w:r>
        <w:rPr>
          <w:rStyle w:val="FootnoteReference"/>
        </w:rPr>
        <w:footnoteRef/>
      </w:r>
      <w:r>
        <w:t xml:space="preserve"> </w:t>
      </w:r>
      <w:r>
        <w:rPr>
          <w:lang w:val="en-AU"/>
        </w:rPr>
        <w:t>BlueScope Steel submission, p. 3.</w:t>
      </w:r>
    </w:p>
  </w:footnote>
  <w:footnote w:id="144">
    <w:p w14:paraId="1502926F" w14:textId="77777777" w:rsidR="009241EC" w:rsidRDefault="009241EC" w:rsidP="009861DE">
      <w:pPr>
        <w:pStyle w:val="FootnoteText"/>
      </w:pPr>
      <w:r>
        <w:rPr>
          <w:rStyle w:val="FootnoteReference"/>
        </w:rPr>
        <w:footnoteRef/>
      </w:r>
      <w:r>
        <w:t xml:space="preserve"> </w:t>
      </w:r>
      <w:r>
        <w:rPr>
          <w:rFonts w:eastAsia="Calibri"/>
        </w:rPr>
        <w:t>A</w:t>
      </w:r>
      <w:r w:rsidRPr="004B659B">
        <w:rPr>
          <w:rFonts w:eastAsia="Calibri"/>
        </w:rPr>
        <w:t xml:space="preserve">n ad valorem measure applies duty </w:t>
      </w:r>
      <w:r w:rsidRPr="004B659B">
        <w:t>as a proportion of the actual export price of the goods.</w:t>
      </w:r>
    </w:p>
  </w:footnote>
  <w:footnote w:id="145">
    <w:p w14:paraId="1EB85935" w14:textId="77777777" w:rsidR="009241EC" w:rsidRPr="00640E26" w:rsidRDefault="009241EC" w:rsidP="009861DE">
      <w:pPr>
        <w:pStyle w:val="FootnoteText"/>
        <w:rPr>
          <w:lang w:val="en-AU"/>
        </w:rPr>
      </w:pPr>
      <w:r>
        <w:rPr>
          <w:rStyle w:val="FootnoteReference"/>
        </w:rPr>
        <w:footnoteRef/>
      </w:r>
      <w:r>
        <w:t xml:space="preserve"> S</w:t>
      </w:r>
      <w:r>
        <w:rPr>
          <w:rFonts w:eastAsia="Calibri"/>
          <w:szCs w:val="24"/>
        </w:rPr>
        <w:t xml:space="preserve">ection 269TN of the Customs Act.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B7B655" w14:textId="77777777" w:rsidR="009241EC" w:rsidRPr="00491BEE" w:rsidRDefault="009241EC">
    <w:pPr>
      <w:pStyle w:val="Header"/>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6B5257" w14:textId="77777777" w:rsidR="009241EC" w:rsidRDefault="009241EC">
    <w:pPr>
      <w:pStyle w:val="Header"/>
    </w:pPr>
  </w:p>
  <w:p w14:paraId="65429ADC" w14:textId="77777777" w:rsidR="009241EC" w:rsidRDefault="009241E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13507F" w14:textId="77777777" w:rsidR="009241EC" w:rsidRDefault="009241EC" w:rsidP="00700A2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2678EC" w14:textId="77777777" w:rsidR="009241EC" w:rsidRDefault="009241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23B38"/>
    <w:multiLevelType w:val="multilevel"/>
    <w:tmpl w:val="B22009F6"/>
    <w:styleLink w:val="OCEHeadings"/>
    <w:lvl w:ilvl="0">
      <w:start w:val="1"/>
      <w:numFmt w:val="decimal"/>
      <w:lvlText w:val="%1."/>
      <w:lvlJc w:val="left"/>
      <w:pPr>
        <w:ind w:left="2835" w:hanging="675"/>
      </w:pPr>
      <w:rPr>
        <w:rFonts w:hint="default"/>
      </w:rPr>
    </w:lvl>
    <w:lvl w:ilvl="1">
      <w:start w:val="1"/>
      <w:numFmt w:val="decimal"/>
      <w:lvlText w:val="%1.%2"/>
      <w:lvlJc w:val="left"/>
      <w:pPr>
        <w:ind w:left="2835" w:hanging="675"/>
      </w:pPr>
      <w:rPr>
        <w:rFonts w:hint="default"/>
      </w:rPr>
    </w:lvl>
    <w:lvl w:ilvl="2">
      <w:start w:val="1"/>
      <w:numFmt w:val="none"/>
      <w:suff w:val="nothing"/>
      <w:lvlText w:val=""/>
      <w:lvlJc w:val="left"/>
      <w:pPr>
        <w:ind w:left="216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lvlText w:val="Appendix %6"/>
      <w:lvlJc w:val="left"/>
      <w:pPr>
        <w:ind w:left="4536" w:hanging="2376"/>
      </w:pPr>
      <w:rPr>
        <w:rFonts w:hint="default"/>
      </w:rPr>
    </w:lvl>
    <w:lvl w:ilvl="6">
      <w:start w:val="1"/>
      <w:numFmt w:val="decimal"/>
      <w:lvlText w:val="%6.%7"/>
      <w:lvlJc w:val="left"/>
      <w:pPr>
        <w:ind w:left="2835" w:hanging="675"/>
      </w:pPr>
      <w:rPr>
        <w:rFonts w:hint="default"/>
      </w:rPr>
    </w:lvl>
    <w:lvl w:ilvl="7">
      <w:start w:val="1"/>
      <w:numFmt w:val="none"/>
      <w:suff w:val="nothing"/>
      <w:lvlText w:val=""/>
      <w:lvlJc w:val="left"/>
      <w:pPr>
        <w:ind w:left="2160" w:firstLine="0"/>
      </w:pPr>
      <w:rPr>
        <w:rFonts w:hint="default"/>
      </w:rPr>
    </w:lvl>
    <w:lvl w:ilvl="8">
      <w:start w:val="1"/>
      <w:numFmt w:val="none"/>
      <w:suff w:val="nothing"/>
      <w:lvlText w:val=""/>
      <w:lvlJc w:val="left"/>
      <w:pPr>
        <w:ind w:left="2160" w:firstLine="0"/>
      </w:pPr>
      <w:rPr>
        <w:rFonts w:hint="default"/>
      </w:rPr>
    </w:lvl>
  </w:abstractNum>
  <w:abstractNum w:abstractNumId="1" w15:restartNumberingAfterBreak="0">
    <w:nsid w:val="05786C40"/>
    <w:multiLevelType w:val="hybridMultilevel"/>
    <w:tmpl w:val="091CDB64"/>
    <w:lvl w:ilvl="0" w:tplc="FFFFFFFF">
      <w:start w:val="1"/>
      <w:numFmt w:val="bullet"/>
      <w:pStyle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9E01D1"/>
    <w:multiLevelType w:val="hybridMultilevel"/>
    <w:tmpl w:val="BC42AA68"/>
    <w:lvl w:ilvl="0" w:tplc="0C090001">
      <w:start w:val="1"/>
      <w:numFmt w:val="bullet"/>
      <w:lvlText w:val=""/>
      <w:lvlJc w:val="left"/>
      <w:pPr>
        <w:ind w:left="360" w:hanging="360"/>
      </w:pPr>
      <w:rPr>
        <w:rFonts w:ascii="Symbol" w:hAnsi="Symbol" w:hint="default"/>
      </w:rPr>
    </w:lvl>
    <w:lvl w:ilvl="1" w:tplc="280A73DE">
      <w:start w:val="1"/>
      <w:numFmt w:val="bullet"/>
      <w:lvlText w:val="-"/>
      <w:lvlJc w:val="left"/>
      <w:pPr>
        <w:ind w:left="1080" w:hanging="360"/>
      </w:pPr>
      <w:rPr>
        <w:rFonts w:ascii="Times New Roman" w:hAnsi="Times New Roman"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D227243"/>
    <w:multiLevelType w:val="hybridMultilevel"/>
    <w:tmpl w:val="9CF61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5E310C"/>
    <w:multiLevelType w:val="hybridMultilevel"/>
    <w:tmpl w:val="C100C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9A636F"/>
    <w:multiLevelType w:val="singleLevel"/>
    <w:tmpl w:val="4BF8D1B2"/>
    <w:lvl w:ilvl="0">
      <w:start w:val="1"/>
      <w:numFmt w:val="bullet"/>
      <w:pStyle w:val="Bullet0"/>
      <w:lvlText w:val=""/>
      <w:lvlJc w:val="left"/>
      <w:pPr>
        <w:tabs>
          <w:tab w:val="num" w:pos="644"/>
        </w:tabs>
        <w:ind w:left="567" w:hanging="283"/>
      </w:pPr>
      <w:rPr>
        <w:rFonts w:ascii="Symbol" w:hAnsi="Symbol" w:hint="default"/>
      </w:rPr>
    </w:lvl>
  </w:abstractNum>
  <w:abstractNum w:abstractNumId="6" w15:restartNumberingAfterBreak="0">
    <w:nsid w:val="1D073C17"/>
    <w:multiLevelType w:val="hybridMultilevel"/>
    <w:tmpl w:val="E2404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1003F4"/>
    <w:multiLevelType w:val="multilevel"/>
    <w:tmpl w:val="A1FE19C4"/>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E3107A3"/>
    <w:multiLevelType w:val="hybridMultilevel"/>
    <w:tmpl w:val="3FDE7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D62530C"/>
    <w:multiLevelType w:val="hybridMultilevel"/>
    <w:tmpl w:val="7CECD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F477361"/>
    <w:multiLevelType w:val="hybridMultilevel"/>
    <w:tmpl w:val="385ECA16"/>
    <w:styleLink w:val="OCEHeadings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1B11E8C"/>
    <w:multiLevelType w:val="hybridMultilevel"/>
    <w:tmpl w:val="52B0A2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2F8100F"/>
    <w:multiLevelType w:val="hybridMultilevel"/>
    <w:tmpl w:val="A85A2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602B36"/>
    <w:multiLevelType w:val="hybridMultilevel"/>
    <w:tmpl w:val="67D85BC6"/>
    <w:lvl w:ilvl="0" w:tplc="0C090001">
      <w:start w:val="1"/>
      <w:numFmt w:val="bullet"/>
      <w:lvlText w:val=""/>
      <w:lvlJc w:val="left"/>
      <w:pPr>
        <w:ind w:left="360" w:hanging="360"/>
      </w:pPr>
      <w:rPr>
        <w:rFonts w:ascii="Symbol" w:hAnsi="Symbol" w:hint="default"/>
      </w:rPr>
    </w:lvl>
    <w:lvl w:ilvl="1" w:tplc="10E6C678">
      <w:start w:val="1"/>
      <w:numFmt w:val="decimal"/>
      <w:lvlText w:val="%2."/>
      <w:lvlJc w:val="left"/>
      <w:pPr>
        <w:ind w:left="1080" w:hanging="360"/>
      </w:pPr>
      <w:rPr>
        <w:rFonts w:hint="default"/>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33A90EAD"/>
    <w:multiLevelType w:val="multilevel"/>
    <w:tmpl w:val="0C70798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33B567DF"/>
    <w:multiLevelType w:val="hybridMultilevel"/>
    <w:tmpl w:val="9064C35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33F73670"/>
    <w:multiLevelType w:val="hybridMultilevel"/>
    <w:tmpl w:val="50007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A56D40"/>
    <w:multiLevelType w:val="hybridMultilevel"/>
    <w:tmpl w:val="0A769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782157"/>
    <w:multiLevelType w:val="hybridMultilevel"/>
    <w:tmpl w:val="5AACD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8E5133"/>
    <w:multiLevelType w:val="multilevel"/>
    <w:tmpl w:val="ADD08630"/>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0" w15:restartNumberingAfterBreak="0">
    <w:nsid w:val="3892650B"/>
    <w:multiLevelType w:val="hybridMultilevel"/>
    <w:tmpl w:val="2B98F4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28B21AE"/>
    <w:multiLevelType w:val="hybridMultilevel"/>
    <w:tmpl w:val="6F92B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560DC5"/>
    <w:multiLevelType w:val="hybridMultilevel"/>
    <w:tmpl w:val="E2580B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B94390E"/>
    <w:multiLevelType w:val="multilevel"/>
    <w:tmpl w:val="A3F68728"/>
    <w:styleLink w:val="OCEBulletedList"/>
    <w:lvl w:ilvl="0">
      <w:start w:val="1"/>
      <w:numFmt w:val="bullet"/>
      <w:lvlText w:val=""/>
      <w:lvlJc w:val="left"/>
      <w:pPr>
        <w:ind w:left="2552" w:hanging="392"/>
      </w:pPr>
      <w:rPr>
        <w:rFonts w:ascii="Wingdings" w:hAnsi="Wingdings" w:hint="default"/>
      </w:rPr>
    </w:lvl>
    <w:lvl w:ilvl="1">
      <w:start w:val="1"/>
      <w:numFmt w:val="bullet"/>
      <w:lvlText w:val="-"/>
      <w:lvlJc w:val="left"/>
      <w:pPr>
        <w:ind w:left="2835" w:hanging="283"/>
      </w:pPr>
      <w:rPr>
        <w:rFonts w:ascii="Courier New" w:hAnsi="Courier New" w:hint="default"/>
      </w:rPr>
    </w:lvl>
    <w:lvl w:ilvl="2">
      <w:start w:val="1"/>
      <w:numFmt w:val="bullet"/>
      <w:lvlText w:val=""/>
      <w:lvlJc w:val="left"/>
      <w:pPr>
        <w:ind w:left="3062" w:hanging="227"/>
      </w:pPr>
      <w:rPr>
        <w:rFonts w:ascii="Wingdings" w:hAnsi="Wingdings" w:hint="default"/>
      </w:rPr>
    </w:lvl>
    <w:lvl w:ilvl="3">
      <w:start w:val="1"/>
      <w:numFmt w:val="none"/>
      <w:suff w:val="nothing"/>
      <w:lvlText w:val=""/>
      <w:lvlJc w:val="left"/>
      <w:pPr>
        <w:ind w:left="3062"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4" w15:restartNumberingAfterBreak="0">
    <w:nsid w:val="4C326201"/>
    <w:multiLevelType w:val="hybridMultilevel"/>
    <w:tmpl w:val="0C4AF27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51032690"/>
    <w:multiLevelType w:val="hybridMultilevel"/>
    <w:tmpl w:val="578268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54E17D12"/>
    <w:multiLevelType w:val="hybridMultilevel"/>
    <w:tmpl w:val="D82E15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65128B2"/>
    <w:multiLevelType w:val="hybridMultilevel"/>
    <w:tmpl w:val="59B272BA"/>
    <w:lvl w:ilvl="0" w:tplc="0C090001">
      <w:start w:val="1"/>
      <w:numFmt w:val="bullet"/>
      <w:lvlText w:val=""/>
      <w:lvlJc w:val="left"/>
      <w:pPr>
        <w:ind w:left="720" w:hanging="360"/>
      </w:pPr>
      <w:rPr>
        <w:rFonts w:ascii="Symbol" w:hAnsi="Symbol" w:hint="default"/>
      </w:rPr>
    </w:lvl>
    <w:lvl w:ilvl="1" w:tplc="280A73DE">
      <w:start w:val="1"/>
      <w:numFmt w:val="bullet"/>
      <w:lvlText w:val="-"/>
      <w:lvlJc w:val="left"/>
      <w:pPr>
        <w:ind w:left="1440" w:hanging="360"/>
      </w:pPr>
      <w:rPr>
        <w:rFonts w:ascii="Times New Roman" w:hAnsi="Times New Roman"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D14781"/>
    <w:multiLevelType w:val="hybridMultilevel"/>
    <w:tmpl w:val="C0506F5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6FB3344"/>
    <w:multiLevelType w:val="hybridMultilevel"/>
    <w:tmpl w:val="CA98B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4071F9F"/>
    <w:multiLevelType w:val="hybridMultilevel"/>
    <w:tmpl w:val="8248A036"/>
    <w:lvl w:ilvl="0" w:tplc="37A4FD46">
      <w:start w:val="1"/>
      <w:numFmt w:val="bullet"/>
      <w:pStyle w:val="Points"/>
      <w:lvlText w:val=""/>
      <w:lvlJc w:val="left"/>
      <w:pPr>
        <w:ind w:left="576" w:hanging="360"/>
      </w:pPr>
      <w:rPr>
        <w:rFonts w:ascii="Symbol" w:hAnsi="Symbol" w:hint="default"/>
      </w:rPr>
    </w:lvl>
    <w:lvl w:ilvl="1" w:tplc="0C090003">
      <w:start w:val="1"/>
      <w:numFmt w:val="bullet"/>
      <w:lvlText w:val="o"/>
      <w:lvlJc w:val="left"/>
      <w:pPr>
        <w:ind w:left="1296" w:hanging="360"/>
      </w:pPr>
      <w:rPr>
        <w:rFonts w:ascii="Courier New" w:hAnsi="Courier New" w:cs="Courier New" w:hint="default"/>
      </w:rPr>
    </w:lvl>
    <w:lvl w:ilvl="2" w:tplc="0C090005" w:tentative="1">
      <w:start w:val="1"/>
      <w:numFmt w:val="bullet"/>
      <w:lvlText w:val=""/>
      <w:lvlJc w:val="left"/>
      <w:pPr>
        <w:ind w:left="2016" w:hanging="360"/>
      </w:pPr>
      <w:rPr>
        <w:rFonts w:ascii="Wingdings" w:hAnsi="Wingdings" w:hint="default"/>
      </w:rPr>
    </w:lvl>
    <w:lvl w:ilvl="3" w:tplc="0C090001" w:tentative="1">
      <w:start w:val="1"/>
      <w:numFmt w:val="bullet"/>
      <w:lvlText w:val=""/>
      <w:lvlJc w:val="left"/>
      <w:pPr>
        <w:ind w:left="2736" w:hanging="360"/>
      </w:pPr>
      <w:rPr>
        <w:rFonts w:ascii="Symbol" w:hAnsi="Symbol" w:hint="default"/>
      </w:rPr>
    </w:lvl>
    <w:lvl w:ilvl="4" w:tplc="0C090003" w:tentative="1">
      <w:start w:val="1"/>
      <w:numFmt w:val="bullet"/>
      <w:lvlText w:val="o"/>
      <w:lvlJc w:val="left"/>
      <w:pPr>
        <w:ind w:left="3456" w:hanging="360"/>
      </w:pPr>
      <w:rPr>
        <w:rFonts w:ascii="Courier New" w:hAnsi="Courier New" w:cs="Courier New" w:hint="default"/>
      </w:rPr>
    </w:lvl>
    <w:lvl w:ilvl="5" w:tplc="0C090005" w:tentative="1">
      <w:start w:val="1"/>
      <w:numFmt w:val="bullet"/>
      <w:lvlText w:val=""/>
      <w:lvlJc w:val="left"/>
      <w:pPr>
        <w:ind w:left="4176" w:hanging="360"/>
      </w:pPr>
      <w:rPr>
        <w:rFonts w:ascii="Wingdings" w:hAnsi="Wingdings" w:hint="default"/>
      </w:rPr>
    </w:lvl>
    <w:lvl w:ilvl="6" w:tplc="0C090001" w:tentative="1">
      <w:start w:val="1"/>
      <w:numFmt w:val="bullet"/>
      <w:lvlText w:val=""/>
      <w:lvlJc w:val="left"/>
      <w:pPr>
        <w:ind w:left="4896" w:hanging="360"/>
      </w:pPr>
      <w:rPr>
        <w:rFonts w:ascii="Symbol" w:hAnsi="Symbol" w:hint="default"/>
      </w:rPr>
    </w:lvl>
    <w:lvl w:ilvl="7" w:tplc="0C090003" w:tentative="1">
      <w:start w:val="1"/>
      <w:numFmt w:val="bullet"/>
      <w:lvlText w:val="o"/>
      <w:lvlJc w:val="left"/>
      <w:pPr>
        <w:ind w:left="5616" w:hanging="360"/>
      </w:pPr>
      <w:rPr>
        <w:rFonts w:ascii="Courier New" w:hAnsi="Courier New" w:cs="Courier New" w:hint="default"/>
      </w:rPr>
    </w:lvl>
    <w:lvl w:ilvl="8" w:tplc="0C090005" w:tentative="1">
      <w:start w:val="1"/>
      <w:numFmt w:val="bullet"/>
      <w:lvlText w:val=""/>
      <w:lvlJc w:val="left"/>
      <w:pPr>
        <w:ind w:left="6336" w:hanging="360"/>
      </w:pPr>
      <w:rPr>
        <w:rFonts w:ascii="Wingdings" w:hAnsi="Wingdings" w:hint="default"/>
      </w:rPr>
    </w:lvl>
  </w:abstractNum>
  <w:abstractNum w:abstractNumId="31" w15:restartNumberingAfterBreak="0">
    <w:nsid w:val="662C6496"/>
    <w:multiLevelType w:val="hybridMultilevel"/>
    <w:tmpl w:val="54A8108A"/>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32" w15:restartNumberingAfterBreak="0">
    <w:nsid w:val="66564C34"/>
    <w:multiLevelType w:val="hybridMultilevel"/>
    <w:tmpl w:val="DF5C6DC6"/>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6BBE2F4D"/>
    <w:multiLevelType w:val="hybridMultilevel"/>
    <w:tmpl w:val="A956E2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6C0C6205"/>
    <w:multiLevelType w:val="hybridMultilevel"/>
    <w:tmpl w:val="9064C35E"/>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72667B44"/>
    <w:multiLevelType w:val="hybridMultilevel"/>
    <w:tmpl w:val="6CFA0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7A3EBD"/>
    <w:multiLevelType w:val="hybridMultilevel"/>
    <w:tmpl w:val="190C5926"/>
    <w:lvl w:ilvl="0" w:tplc="030E7EC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EFB25CB"/>
    <w:multiLevelType w:val="hybridMultilevel"/>
    <w:tmpl w:val="6BF63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2"/>
  </w:num>
  <w:num w:numId="3">
    <w:abstractNumId w:val="27"/>
  </w:num>
  <w:num w:numId="4">
    <w:abstractNumId w:val="20"/>
  </w:num>
  <w:num w:numId="5">
    <w:abstractNumId w:val="8"/>
  </w:num>
  <w:num w:numId="6">
    <w:abstractNumId w:val="21"/>
  </w:num>
  <w:num w:numId="7">
    <w:abstractNumId w:val="3"/>
  </w:num>
  <w:num w:numId="8">
    <w:abstractNumId w:val="22"/>
  </w:num>
  <w:num w:numId="9">
    <w:abstractNumId w:val="10"/>
  </w:num>
  <w:num w:numId="10">
    <w:abstractNumId w:val="9"/>
  </w:num>
  <w:num w:numId="11">
    <w:abstractNumId w:val="0"/>
  </w:num>
  <w:num w:numId="12">
    <w:abstractNumId w:val="24"/>
  </w:num>
  <w:num w:numId="13">
    <w:abstractNumId w:val="15"/>
  </w:num>
  <w:num w:numId="14">
    <w:abstractNumId w:val="32"/>
  </w:num>
  <w:num w:numId="15">
    <w:abstractNumId w:val="34"/>
  </w:num>
  <w:num w:numId="16">
    <w:abstractNumId w:val="13"/>
  </w:num>
  <w:num w:numId="17">
    <w:abstractNumId w:val="28"/>
  </w:num>
  <w:num w:numId="18">
    <w:abstractNumId w:val="26"/>
  </w:num>
  <w:num w:numId="19">
    <w:abstractNumId w:val="36"/>
  </w:num>
  <w:num w:numId="20">
    <w:abstractNumId w:val="17"/>
  </w:num>
  <w:num w:numId="21">
    <w:abstractNumId w:val="12"/>
  </w:num>
  <w:num w:numId="22">
    <w:abstractNumId w:val="33"/>
  </w:num>
  <w:num w:numId="23">
    <w:abstractNumId w:val="29"/>
  </w:num>
  <w:num w:numId="24">
    <w:abstractNumId w:val="35"/>
  </w:num>
  <w:num w:numId="25">
    <w:abstractNumId w:val="6"/>
  </w:num>
  <w:num w:numId="26">
    <w:abstractNumId w:val="37"/>
  </w:num>
  <w:num w:numId="27">
    <w:abstractNumId w:val="1"/>
  </w:num>
  <w:num w:numId="28">
    <w:abstractNumId w:val="5"/>
  </w:num>
  <w:num w:numId="29">
    <w:abstractNumId w:val="7"/>
  </w:num>
  <w:num w:numId="30">
    <w:abstractNumId w:val="31"/>
  </w:num>
  <w:num w:numId="31">
    <w:abstractNumId w:val="16"/>
  </w:num>
  <w:num w:numId="32">
    <w:abstractNumId w:val="23"/>
  </w:num>
  <w:num w:numId="33">
    <w:abstractNumId w:val="14"/>
  </w:num>
  <w:num w:numId="34">
    <w:abstractNumId w:val="11"/>
  </w:num>
  <w:num w:numId="35">
    <w:abstractNumId w:val="18"/>
  </w:num>
  <w:num w:numId="36">
    <w:abstractNumId w:val="4"/>
  </w:num>
  <w:num w:numId="37">
    <w:abstractNumId w:val="14"/>
  </w:num>
  <w:num w:numId="38">
    <w:abstractNumId w:val="14"/>
  </w:num>
  <w:num w:numId="39">
    <w:abstractNumId w:val="14"/>
  </w:num>
  <w:num w:numId="40">
    <w:abstractNumId w:val="19"/>
  </w:num>
  <w:num w:numId="41">
    <w:abstractNumId w:val="14"/>
  </w:num>
  <w:num w:numId="42">
    <w:abstractNumId w:val="14"/>
  </w:num>
  <w:num w:numId="43">
    <w:abstractNumId w:val="14"/>
  </w:num>
  <w:num w:numId="44">
    <w:abstractNumId w:val="14"/>
  </w:num>
  <w:num w:numId="45">
    <w:abstractNumId w:val="14"/>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num>
  <w:num w:numId="48">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2432"/>
    <w:rsid w:val="00001D4D"/>
    <w:rsid w:val="000027E9"/>
    <w:rsid w:val="0001141A"/>
    <w:rsid w:val="00011906"/>
    <w:rsid w:val="0001264E"/>
    <w:rsid w:val="00012B26"/>
    <w:rsid w:val="00013B66"/>
    <w:rsid w:val="00014436"/>
    <w:rsid w:val="00014B80"/>
    <w:rsid w:val="00015153"/>
    <w:rsid w:val="000161FD"/>
    <w:rsid w:val="00016961"/>
    <w:rsid w:val="00016966"/>
    <w:rsid w:val="0002196F"/>
    <w:rsid w:val="00021B7D"/>
    <w:rsid w:val="00024752"/>
    <w:rsid w:val="0002478E"/>
    <w:rsid w:val="000263C4"/>
    <w:rsid w:val="000315BB"/>
    <w:rsid w:val="00032D56"/>
    <w:rsid w:val="000330E2"/>
    <w:rsid w:val="000378B6"/>
    <w:rsid w:val="00041E15"/>
    <w:rsid w:val="0004228F"/>
    <w:rsid w:val="000433F3"/>
    <w:rsid w:val="00043BB3"/>
    <w:rsid w:val="00044362"/>
    <w:rsid w:val="00044CD6"/>
    <w:rsid w:val="000471FB"/>
    <w:rsid w:val="00057EAE"/>
    <w:rsid w:val="00057F4E"/>
    <w:rsid w:val="00065392"/>
    <w:rsid w:val="00065A9C"/>
    <w:rsid w:val="000716D3"/>
    <w:rsid w:val="00071A3A"/>
    <w:rsid w:val="00073EDB"/>
    <w:rsid w:val="0007414C"/>
    <w:rsid w:val="0007619E"/>
    <w:rsid w:val="000768A9"/>
    <w:rsid w:val="00086221"/>
    <w:rsid w:val="0009129D"/>
    <w:rsid w:val="00092BDB"/>
    <w:rsid w:val="000A02BD"/>
    <w:rsid w:val="000A0F65"/>
    <w:rsid w:val="000A5650"/>
    <w:rsid w:val="000B5E64"/>
    <w:rsid w:val="000B719E"/>
    <w:rsid w:val="000B77B8"/>
    <w:rsid w:val="000C025F"/>
    <w:rsid w:val="000C02A7"/>
    <w:rsid w:val="000C6C46"/>
    <w:rsid w:val="000D1EB7"/>
    <w:rsid w:val="000D2027"/>
    <w:rsid w:val="000E1B28"/>
    <w:rsid w:val="000E2E01"/>
    <w:rsid w:val="000F2257"/>
    <w:rsid w:val="000F3D8A"/>
    <w:rsid w:val="000F4AD5"/>
    <w:rsid w:val="000F5FAE"/>
    <w:rsid w:val="00103101"/>
    <w:rsid w:val="00104EA1"/>
    <w:rsid w:val="001107B5"/>
    <w:rsid w:val="001143D1"/>
    <w:rsid w:val="00114974"/>
    <w:rsid w:val="001172E1"/>
    <w:rsid w:val="00122491"/>
    <w:rsid w:val="0012382B"/>
    <w:rsid w:val="00124312"/>
    <w:rsid w:val="00126029"/>
    <w:rsid w:val="00126335"/>
    <w:rsid w:val="00126604"/>
    <w:rsid w:val="00127965"/>
    <w:rsid w:val="00131DE4"/>
    <w:rsid w:val="00132A27"/>
    <w:rsid w:val="00134021"/>
    <w:rsid w:val="00134B5C"/>
    <w:rsid w:val="00135D4D"/>
    <w:rsid w:val="00136544"/>
    <w:rsid w:val="00137125"/>
    <w:rsid w:val="00137A84"/>
    <w:rsid w:val="00142906"/>
    <w:rsid w:val="001436AE"/>
    <w:rsid w:val="00145041"/>
    <w:rsid w:val="001460D8"/>
    <w:rsid w:val="001469AD"/>
    <w:rsid w:val="00146B11"/>
    <w:rsid w:val="001506AE"/>
    <w:rsid w:val="001514DC"/>
    <w:rsid w:val="0015322B"/>
    <w:rsid w:val="00155AD3"/>
    <w:rsid w:val="001604D9"/>
    <w:rsid w:val="00162514"/>
    <w:rsid w:val="00162883"/>
    <w:rsid w:val="00162CBD"/>
    <w:rsid w:val="0016615F"/>
    <w:rsid w:val="00167F13"/>
    <w:rsid w:val="00175611"/>
    <w:rsid w:val="00176F91"/>
    <w:rsid w:val="001819F8"/>
    <w:rsid w:val="001856B3"/>
    <w:rsid w:val="00185B54"/>
    <w:rsid w:val="00187A00"/>
    <w:rsid w:val="00187CCC"/>
    <w:rsid w:val="00190599"/>
    <w:rsid w:val="00190C9A"/>
    <w:rsid w:val="00193D89"/>
    <w:rsid w:val="001A3E2F"/>
    <w:rsid w:val="001A41AE"/>
    <w:rsid w:val="001A4438"/>
    <w:rsid w:val="001A6F93"/>
    <w:rsid w:val="001A7D94"/>
    <w:rsid w:val="001B2E55"/>
    <w:rsid w:val="001B4F16"/>
    <w:rsid w:val="001B7550"/>
    <w:rsid w:val="001C3E02"/>
    <w:rsid w:val="001C57A6"/>
    <w:rsid w:val="001C6A0D"/>
    <w:rsid w:val="001C77D6"/>
    <w:rsid w:val="001D0B90"/>
    <w:rsid w:val="001D157D"/>
    <w:rsid w:val="001D58D5"/>
    <w:rsid w:val="001D5B90"/>
    <w:rsid w:val="001D730A"/>
    <w:rsid w:val="001E3673"/>
    <w:rsid w:val="001E4E11"/>
    <w:rsid w:val="001E6E83"/>
    <w:rsid w:val="001E7877"/>
    <w:rsid w:val="001F06A2"/>
    <w:rsid w:val="001F07F4"/>
    <w:rsid w:val="001F10BA"/>
    <w:rsid w:val="001F1281"/>
    <w:rsid w:val="001F205B"/>
    <w:rsid w:val="001F20B8"/>
    <w:rsid w:val="001F6E88"/>
    <w:rsid w:val="00200211"/>
    <w:rsid w:val="00200962"/>
    <w:rsid w:val="00205B71"/>
    <w:rsid w:val="002102B2"/>
    <w:rsid w:val="002106BE"/>
    <w:rsid w:val="00211F29"/>
    <w:rsid w:val="00213ED5"/>
    <w:rsid w:val="0021659E"/>
    <w:rsid w:val="0022252E"/>
    <w:rsid w:val="00223027"/>
    <w:rsid w:val="0022352D"/>
    <w:rsid w:val="00225A03"/>
    <w:rsid w:val="00233AB3"/>
    <w:rsid w:val="00233E10"/>
    <w:rsid w:val="0023714C"/>
    <w:rsid w:val="002411BB"/>
    <w:rsid w:val="00244DD2"/>
    <w:rsid w:val="00246467"/>
    <w:rsid w:val="0024757B"/>
    <w:rsid w:val="00247E37"/>
    <w:rsid w:val="002503BB"/>
    <w:rsid w:val="0025125A"/>
    <w:rsid w:val="002534B0"/>
    <w:rsid w:val="00255349"/>
    <w:rsid w:val="0025549F"/>
    <w:rsid w:val="00261C49"/>
    <w:rsid w:val="002620C9"/>
    <w:rsid w:val="002632E2"/>
    <w:rsid w:val="00265383"/>
    <w:rsid w:val="0026726A"/>
    <w:rsid w:val="00267F29"/>
    <w:rsid w:val="00271DCB"/>
    <w:rsid w:val="00272840"/>
    <w:rsid w:val="002740DD"/>
    <w:rsid w:val="00277CF1"/>
    <w:rsid w:val="0028235F"/>
    <w:rsid w:val="00283882"/>
    <w:rsid w:val="00283A25"/>
    <w:rsid w:val="00283DA4"/>
    <w:rsid w:val="0028410A"/>
    <w:rsid w:val="00294060"/>
    <w:rsid w:val="002949C4"/>
    <w:rsid w:val="00297C7F"/>
    <w:rsid w:val="002A0D3F"/>
    <w:rsid w:val="002A1A01"/>
    <w:rsid w:val="002B05A7"/>
    <w:rsid w:val="002B2FFC"/>
    <w:rsid w:val="002B62E9"/>
    <w:rsid w:val="002C2CDA"/>
    <w:rsid w:val="002C2F25"/>
    <w:rsid w:val="002C52F6"/>
    <w:rsid w:val="002C5D94"/>
    <w:rsid w:val="002C63B6"/>
    <w:rsid w:val="002C68B5"/>
    <w:rsid w:val="002D6385"/>
    <w:rsid w:val="002F16BA"/>
    <w:rsid w:val="002F26F4"/>
    <w:rsid w:val="002F4183"/>
    <w:rsid w:val="002F492F"/>
    <w:rsid w:val="002F5865"/>
    <w:rsid w:val="002F6ADF"/>
    <w:rsid w:val="003011EF"/>
    <w:rsid w:val="00301F52"/>
    <w:rsid w:val="003034E7"/>
    <w:rsid w:val="00305B7D"/>
    <w:rsid w:val="00312E5F"/>
    <w:rsid w:val="00313579"/>
    <w:rsid w:val="003139C5"/>
    <w:rsid w:val="00316B3E"/>
    <w:rsid w:val="00322F83"/>
    <w:rsid w:val="003257F1"/>
    <w:rsid w:val="003265F5"/>
    <w:rsid w:val="00326D80"/>
    <w:rsid w:val="00327064"/>
    <w:rsid w:val="00327F12"/>
    <w:rsid w:val="00330605"/>
    <w:rsid w:val="00331156"/>
    <w:rsid w:val="00331E74"/>
    <w:rsid w:val="00332E3D"/>
    <w:rsid w:val="00333A7A"/>
    <w:rsid w:val="00336BFB"/>
    <w:rsid w:val="00341E46"/>
    <w:rsid w:val="00342CC0"/>
    <w:rsid w:val="00343BE1"/>
    <w:rsid w:val="003442CC"/>
    <w:rsid w:val="00344343"/>
    <w:rsid w:val="00347E72"/>
    <w:rsid w:val="00352706"/>
    <w:rsid w:val="00353788"/>
    <w:rsid w:val="003604A8"/>
    <w:rsid w:val="00361AB4"/>
    <w:rsid w:val="00362505"/>
    <w:rsid w:val="00365778"/>
    <w:rsid w:val="003660B7"/>
    <w:rsid w:val="00370A41"/>
    <w:rsid w:val="0037164B"/>
    <w:rsid w:val="00374264"/>
    <w:rsid w:val="0037659A"/>
    <w:rsid w:val="00380F11"/>
    <w:rsid w:val="003811BE"/>
    <w:rsid w:val="00384667"/>
    <w:rsid w:val="0038615A"/>
    <w:rsid w:val="003878A9"/>
    <w:rsid w:val="00390AC1"/>
    <w:rsid w:val="00391495"/>
    <w:rsid w:val="00393A74"/>
    <w:rsid w:val="003A69AC"/>
    <w:rsid w:val="003A7E7B"/>
    <w:rsid w:val="003B03C1"/>
    <w:rsid w:val="003C6A02"/>
    <w:rsid w:val="003C736D"/>
    <w:rsid w:val="003D02B1"/>
    <w:rsid w:val="003D07D3"/>
    <w:rsid w:val="003D2B85"/>
    <w:rsid w:val="003D4FAD"/>
    <w:rsid w:val="003D532B"/>
    <w:rsid w:val="003D7CB9"/>
    <w:rsid w:val="003E226F"/>
    <w:rsid w:val="003E4F70"/>
    <w:rsid w:val="003F1840"/>
    <w:rsid w:val="003F257E"/>
    <w:rsid w:val="003F3481"/>
    <w:rsid w:val="003F4652"/>
    <w:rsid w:val="00400206"/>
    <w:rsid w:val="004010E4"/>
    <w:rsid w:val="0040301E"/>
    <w:rsid w:val="004044BA"/>
    <w:rsid w:val="0040533E"/>
    <w:rsid w:val="004160C5"/>
    <w:rsid w:val="00416FA7"/>
    <w:rsid w:val="00422B4A"/>
    <w:rsid w:val="00422D70"/>
    <w:rsid w:val="004254BD"/>
    <w:rsid w:val="00432559"/>
    <w:rsid w:val="00433626"/>
    <w:rsid w:val="00434E2B"/>
    <w:rsid w:val="00435108"/>
    <w:rsid w:val="00435178"/>
    <w:rsid w:val="00435D19"/>
    <w:rsid w:val="004403D6"/>
    <w:rsid w:val="00447D8C"/>
    <w:rsid w:val="00454DD2"/>
    <w:rsid w:val="004572D3"/>
    <w:rsid w:val="00472808"/>
    <w:rsid w:val="00473D3C"/>
    <w:rsid w:val="004763B5"/>
    <w:rsid w:val="00477F7C"/>
    <w:rsid w:val="004844CD"/>
    <w:rsid w:val="0048675A"/>
    <w:rsid w:val="00491BEE"/>
    <w:rsid w:val="00491DEA"/>
    <w:rsid w:val="00492D93"/>
    <w:rsid w:val="00494809"/>
    <w:rsid w:val="004A1F75"/>
    <w:rsid w:val="004A26A9"/>
    <w:rsid w:val="004A6AD6"/>
    <w:rsid w:val="004A6D4F"/>
    <w:rsid w:val="004B0D38"/>
    <w:rsid w:val="004B116C"/>
    <w:rsid w:val="004B2CDA"/>
    <w:rsid w:val="004B521F"/>
    <w:rsid w:val="004B53A9"/>
    <w:rsid w:val="004B761D"/>
    <w:rsid w:val="004C1517"/>
    <w:rsid w:val="004C5DCD"/>
    <w:rsid w:val="004C6862"/>
    <w:rsid w:val="004C6F76"/>
    <w:rsid w:val="004C7656"/>
    <w:rsid w:val="004D11DA"/>
    <w:rsid w:val="004D13D3"/>
    <w:rsid w:val="004D597D"/>
    <w:rsid w:val="004D7950"/>
    <w:rsid w:val="004E1B17"/>
    <w:rsid w:val="004E1E84"/>
    <w:rsid w:val="004E23E3"/>
    <w:rsid w:val="004F1E35"/>
    <w:rsid w:val="004F42EF"/>
    <w:rsid w:val="004F6B99"/>
    <w:rsid w:val="004F75AD"/>
    <w:rsid w:val="005038AE"/>
    <w:rsid w:val="00503D0F"/>
    <w:rsid w:val="00504188"/>
    <w:rsid w:val="005054A3"/>
    <w:rsid w:val="00505529"/>
    <w:rsid w:val="00505AFE"/>
    <w:rsid w:val="0051429F"/>
    <w:rsid w:val="00531FAE"/>
    <w:rsid w:val="00532152"/>
    <w:rsid w:val="005324FD"/>
    <w:rsid w:val="0053254B"/>
    <w:rsid w:val="0053270F"/>
    <w:rsid w:val="00533DEC"/>
    <w:rsid w:val="005355AE"/>
    <w:rsid w:val="005355CA"/>
    <w:rsid w:val="00545318"/>
    <w:rsid w:val="00551E1A"/>
    <w:rsid w:val="0055482B"/>
    <w:rsid w:val="00557722"/>
    <w:rsid w:val="005609C8"/>
    <w:rsid w:val="00563DED"/>
    <w:rsid w:val="005644A9"/>
    <w:rsid w:val="00566F1D"/>
    <w:rsid w:val="005747BA"/>
    <w:rsid w:val="00576AC9"/>
    <w:rsid w:val="00584F14"/>
    <w:rsid w:val="00585806"/>
    <w:rsid w:val="00585BF9"/>
    <w:rsid w:val="005944D7"/>
    <w:rsid w:val="005A19D4"/>
    <w:rsid w:val="005A2683"/>
    <w:rsid w:val="005A2906"/>
    <w:rsid w:val="005A3C26"/>
    <w:rsid w:val="005A3CFF"/>
    <w:rsid w:val="005B548E"/>
    <w:rsid w:val="005B55FE"/>
    <w:rsid w:val="005B6B0C"/>
    <w:rsid w:val="005B7EC5"/>
    <w:rsid w:val="005C1D33"/>
    <w:rsid w:val="005C581F"/>
    <w:rsid w:val="005C66A2"/>
    <w:rsid w:val="005C6AFD"/>
    <w:rsid w:val="005D07DE"/>
    <w:rsid w:val="005E14E6"/>
    <w:rsid w:val="005E46FE"/>
    <w:rsid w:val="005E6702"/>
    <w:rsid w:val="005E6B89"/>
    <w:rsid w:val="005F20E4"/>
    <w:rsid w:val="005F2CD9"/>
    <w:rsid w:val="00603D8B"/>
    <w:rsid w:val="00604604"/>
    <w:rsid w:val="00606C1F"/>
    <w:rsid w:val="006119E3"/>
    <w:rsid w:val="00611CC1"/>
    <w:rsid w:val="00612980"/>
    <w:rsid w:val="00614B38"/>
    <w:rsid w:val="00620A65"/>
    <w:rsid w:val="006219D6"/>
    <w:rsid w:val="00622176"/>
    <w:rsid w:val="00624FDF"/>
    <w:rsid w:val="00625EDD"/>
    <w:rsid w:val="00626A4F"/>
    <w:rsid w:val="00637C99"/>
    <w:rsid w:val="00640E26"/>
    <w:rsid w:val="006434A9"/>
    <w:rsid w:val="006435E4"/>
    <w:rsid w:val="00643F8E"/>
    <w:rsid w:val="0064798F"/>
    <w:rsid w:val="00647D0B"/>
    <w:rsid w:val="006522D5"/>
    <w:rsid w:val="00652D49"/>
    <w:rsid w:val="0065318F"/>
    <w:rsid w:val="006535D6"/>
    <w:rsid w:val="00667847"/>
    <w:rsid w:val="00673085"/>
    <w:rsid w:val="00673635"/>
    <w:rsid w:val="006749A0"/>
    <w:rsid w:val="006763B3"/>
    <w:rsid w:val="00680C59"/>
    <w:rsid w:val="00680C61"/>
    <w:rsid w:val="006839E5"/>
    <w:rsid w:val="0068663D"/>
    <w:rsid w:val="006872B9"/>
    <w:rsid w:val="00695B99"/>
    <w:rsid w:val="0069619D"/>
    <w:rsid w:val="006A5047"/>
    <w:rsid w:val="006A5B5C"/>
    <w:rsid w:val="006B36A8"/>
    <w:rsid w:val="006B3A9F"/>
    <w:rsid w:val="006C04E7"/>
    <w:rsid w:val="006C2091"/>
    <w:rsid w:val="006C271B"/>
    <w:rsid w:val="006C4DF1"/>
    <w:rsid w:val="006C5CA7"/>
    <w:rsid w:val="006C63F9"/>
    <w:rsid w:val="006C783B"/>
    <w:rsid w:val="006D0A75"/>
    <w:rsid w:val="006D2C66"/>
    <w:rsid w:val="006D5AD8"/>
    <w:rsid w:val="006D6B06"/>
    <w:rsid w:val="006E0505"/>
    <w:rsid w:val="006E176A"/>
    <w:rsid w:val="006E388E"/>
    <w:rsid w:val="006F06B3"/>
    <w:rsid w:val="006F073A"/>
    <w:rsid w:val="00700A2C"/>
    <w:rsid w:val="0070210B"/>
    <w:rsid w:val="007030F6"/>
    <w:rsid w:val="00704FB2"/>
    <w:rsid w:val="007050C5"/>
    <w:rsid w:val="00705477"/>
    <w:rsid w:val="00712AB8"/>
    <w:rsid w:val="007147E3"/>
    <w:rsid w:val="0071605E"/>
    <w:rsid w:val="007165B6"/>
    <w:rsid w:val="007208EA"/>
    <w:rsid w:val="00720C85"/>
    <w:rsid w:val="0072578F"/>
    <w:rsid w:val="007257CA"/>
    <w:rsid w:val="007264DC"/>
    <w:rsid w:val="00727F01"/>
    <w:rsid w:val="00733D29"/>
    <w:rsid w:val="00734DED"/>
    <w:rsid w:val="00741447"/>
    <w:rsid w:val="007436A2"/>
    <w:rsid w:val="0074724C"/>
    <w:rsid w:val="00750E3D"/>
    <w:rsid w:val="00751579"/>
    <w:rsid w:val="007517B4"/>
    <w:rsid w:val="007543E4"/>
    <w:rsid w:val="00755C65"/>
    <w:rsid w:val="00755F24"/>
    <w:rsid w:val="00761278"/>
    <w:rsid w:val="007616AB"/>
    <w:rsid w:val="007677C4"/>
    <w:rsid w:val="00770BA6"/>
    <w:rsid w:val="00772675"/>
    <w:rsid w:val="00772E24"/>
    <w:rsid w:val="00773986"/>
    <w:rsid w:val="00781514"/>
    <w:rsid w:val="007826AC"/>
    <w:rsid w:val="007839EF"/>
    <w:rsid w:val="00793FB0"/>
    <w:rsid w:val="007A4C7C"/>
    <w:rsid w:val="007A6F6C"/>
    <w:rsid w:val="007B1079"/>
    <w:rsid w:val="007B357F"/>
    <w:rsid w:val="007B3A15"/>
    <w:rsid w:val="007B4C94"/>
    <w:rsid w:val="007B77FA"/>
    <w:rsid w:val="007C0CAC"/>
    <w:rsid w:val="007C3C8C"/>
    <w:rsid w:val="007C45AD"/>
    <w:rsid w:val="007C511C"/>
    <w:rsid w:val="007C5DF9"/>
    <w:rsid w:val="007C5EC6"/>
    <w:rsid w:val="007C66BC"/>
    <w:rsid w:val="007C7CE8"/>
    <w:rsid w:val="007D2641"/>
    <w:rsid w:val="007D5DCC"/>
    <w:rsid w:val="007D6E08"/>
    <w:rsid w:val="007E1EA1"/>
    <w:rsid w:val="007E4F1C"/>
    <w:rsid w:val="007F26D6"/>
    <w:rsid w:val="007F5549"/>
    <w:rsid w:val="007F65C8"/>
    <w:rsid w:val="007F6D3E"/>
    <w:rsid w:val="0080052B"/>
    <w:rsid w:val="008030E2"/>
    <w:rsid w:val="00812AC4"/>
    <w:rsid w:val="008134F4"/>
    <w:rsid w:val="008168D9"/>
    <w:rsid w:val="0082041A"/>
    <w:rsid w:val="00820889"/>
    <w:rsid w:val="00821F8C"/>
    <w:rsid w:val="00823D8D"/>
    <w:rsid w:val="008263AB"/>
    <w:rsid w:val="008263F6"/>
    <w:rsid w:val="008264DF"/>
    <w:rsid w:val="008305C0"/>
    <w:rsid w:val="00832F8A"/>
    <w:rsid w:val="00833AF6"/>
    <w:rsid w:val="00835BF1"/>
    <w:rsid w:val="0083622F"/>
    <w:rsid w:val="00837AEA"/>
    <w:rsid w:val="0084434C"/>
    <w:rsid w:val="00845B9B"/>
    <w:rsid w:val="008475D6"/>
    <w:rsid w:val="00852648"/>
    <w:rsid w:val="00852847"/>
    <w:rsid w:val="00864F8C"/>
    <w:rsid w:val="00870001"/>
    <w:rsid w:val="00871327"/>
    <w:rsid w:val="008717B7"/>
    <w:rsid w:val="008722CA"/>
    <w:rsid w:val="008723B6"/>
    <w:rsid w:val="00872FBF"/>
    <w:rsid w:val="00876CAE"/>
    <w:rsid w:val="008811F2"/>
    <w:rsid w:val="00883516"/>
    <w:rsid w:val="008838F1"/>
    <w:rsid w:val="00893546"/>
    <w:rsid w:val="00896C1E"/>
    <w:rsid w:val="00896C32"/>
    <w:rsid w:val="008A1C35"/>
    <w:rsid w:val="008A234E"/>
    <w:rsid w:val="008A2653"/>
    <w:rsid w:val="008A2701"/>
    <w:rsid w:val="008A4D4F"/>
    <w:rsid w:val="008A5232"/>
    <w:rsid w:val="008A529F"/>
    <w:rsid w:val="008A5F11"/>
    <w:rsid w:val="008B134A"/>
    <w:rsid w:val="008B3806"/>
    <w:rsid w:val="008C02E8"/>
    <w:rsid w:val="008C46C7"/>
    <w:rsid w:val="008C5FAF"/>
    <w:rsid w:val="008C7929"/>
    <w:rsid w:val="008D0966"/>
    <w:rsid w:val="008D460E"/>
    <w:rsid w:val="008E2453"/>
    <w:rsid w:val="008F34F7"/>
    <w:rsid w:val="008F64F0"/>
    <w:rsid w:val="008F7D34"/>
    <w:rsid w:val="00901621"/>
    <w:rsid w:val="00902D96"/>
    <w:rsid w:val="00903E63"/>
    <w:rsid w:val="009040F4"/>
    <w:rsid w:val="00905542"/>
    <w:rsid w:val="00906D2A"/>
    <w:rsid w:val="0091330F"/>
    <w:rsid w:val="0091582C"/>
    <w:rsid w:val="009241EC"/>
    <w:rsid w:val="00924255"/>
    <w:rsid w:val="009257D0"/>
    <w:rsid w:val="00931406"/>
    <w:rsid w:val="0093190F"/>
    <w:rsid w:val="00940E22"/>
    <w:rsid w:val="0094243C"/>
    <w:rsid w:val="00944E4A"/>
    <w:rsid w:val="00945487"/>
    <w:rsid w:val="00945D7C"/>
    <w:rsid w:val="00950F1E"/>
    <w:rsid w:val="00950FFE"/>
    <w:rsid w:val="00951E31"/>
    <w:rsid w:val="00952432"/>
    <w:rsid w:val="0095358D"/>
    <w:rsid w:val="00957BFC"/>
    <w:rsid w:val="0096451D"/>
    <w:rsid w:val="009659A5"/>
    <w:rsid w:val="0097038D"/>
    <w:rsid w:val="0097200C"/>
    <w:rsid w:val="00972A80"/>
    <w:rsid w:val="00974879"/>
    <w:rsid w:val="009751B7"/>
    <w:rsid w:val="009774A8"/>
    <w:rsid w:val="009807F5"/>
    <w:rsid w:val="00983A0E"/>
    <w:rsid w:val="00983D1E"/>
    <w:rsid w:val="00984121"/>
    <w:rsid w:val="0098463B"/>
    <w:rsid w:val="009861DE"/>
    <w:rsid w:val="00995E2F"/>
    <w:rsid w:val="0099798B"/>
    <w:rsid w:val="009A42E3"/>
    <w:rsid w:val="009A43A3"/>
    <w:rsid w:val="009A50C3"/>
    <w:rsid w:val="009B0431"/>
    <w:rsid w:val="009B12EB"/>
    <w:rsid w:val="009B2A49"/>
    <w:rsid w:val="009B5A1A"/>
    <w:rsid w:val="009B5E05"/>
    <w:rsid w:val="009C006C"/>
    <w:rsid w:val="009C0530"/>
    <w:rsid w:val="009C34DC"/>
    <w:rsid w:val="009C521D"/>
    <w:rsid w:val="009D23FE"/>
    <w:rsid w:val="009D74D0"/>
    <w:rsid w:val="009E1255"/>
    <w:rsid w:val="009E44EF"/>
    <w:rsid w:val="009E5895"/>
    <w:rsid w:val="009E59DB"/>
    <w:rsid w:val="009E5AD0"/>
    <w:rsid w:val="009E7005"/>
    <w:rsid w:val="009F0EC7"/>
    <w:rsid w:val="009F37AA"/>
    <w:rsid w:val="009F4664"/>
    <w:rsid w:val="00A00A37"/>
    <w:rsid w:val="00A01076"/>
    <w:rsid w:val="00A020CB"/>
    <w:rsid w:val="00A0227C"/>
    <w:rsid w:val="00A04596"/>
    <w:rsid w:val="00A072F9"/>
    <w:rsid w:val="00A1501E"/>
    <w:rsid w:val="00A15790"/>
    <w:rsid w:val="00A16B7F"/>
    <w:rsid w:val="00A17571"/>
    <w:rsid w:val="00A175BD"/>
    <w:rsid w:val="00A17F33"/>
    <w:rsid w:val="00A21C52"/>
    <w:rsid w:val="00A246BB"/>
    <w:rsid w:val="00A324DF"/>
    <w:rsid w:val="00A3305B"/>
    <w:rsid w:val="00A34A5C"/>
    <w:rsid w:val="00A356E8"/>
    <w:rsid w:val="00A36529"/>
    <w:rsid w:val="00A367DD"/>
    <w:rsid w:val="00A40083"/>
    <w:rsid w:val="00A40966"/>
    <w:rsid w:val="00A40A6E"/>
    <w:rsid w:val="00A426F6"/>
    <w:rsid w:val="00A473E9"/>
    <w:rsid w:val="00A47870"/>
    <w:rsid w:val="00A536DA"/>
    <w:rsid w:val="00A60E69"/>
    <w:rsid w:val="00A61651"/>
    <w:rsid w:val="00A63F2A"/>
    <w:rsid w:val="00A67328"/>
    <w:rsid w:val="00A70B16"/>
    <w:rsid w:val="00A731FE"/>
    <w:rsid w:val="00A73390"/>
    <w:rsid w:val="00A73B8D"/>
    <w:rsid w:val="00A75347"/>
    <w:rsid w:val="00A758C9"/>
    <w:rsid w:val="00A75F76"/>
    <w:rsid w:val="00A813D6"/>
    <w:rsid w:val="00A85514"/>
    <w:rsid w:val="00A86A4E"/>
    <w:rsid w:val="00A86DCD"/>
    <w:rsid w:val="00A9044F"/>
    <w:rsid w:val="00A933AB"/>
    <w:rsid w:val="00AA1D38"/>
    <w:rsid w:val="00AA50D5"/>
    <w:rsid w:val="00AB6772"/>
    <w:rsid w:val="00AB6C53"/>
    <w:rsid w:val="00AC5966"/>
    <w:rsid w:val="00AC6123"/>
    <w:rsid w:val="00AD072C"/>
    <w:rsid w:val="00AD4D44"/>
    <w:rsid w:val="00AD5D40"/>
    <w:rsid w:val="00AE060D"/>
    <w:rsid w:val="00AE1DF4"/>
    <w:rsid w:val="00AE7F43"/>
    <w:rsid w:val="00AF1BC5"/>
    <w:rsid w:val="00AF5DC3"/>
    <w:rsid w:val="00AF7EFB"/>
    <w:rsid w:val="00B01E98"/>
    <w:rsid w:val="00B03273"/>
    <w:rsid w:val="00B04DA8"/>
    <w:rsid w:val="00B102D1"/>
    <w:rsid w:val="00B111DA"/>
    <w:rsid w:val="00B15FC7"/>
    <w:rsid w:val="00B16697"/>
    <w:rsid w:val="00B343DA"/>
    <w:rsid w:val="00B41673"/>
    <w:rsid w:val="00B4360B"/>
    <w:rsid w:val="00B439C8"/>
    <w:rsid w:val="00B44156"/>
    <w:rsid w:val="00B45306"/>
    <w:rsid w:val="00B45930"/>
    <w:rsid w:val="00B46A49"/>
    <w:rsid w:val="00B5492B"/>
    <w:rsid w:val="00B55F26"/>
    <w:rsid w:val="00B56D29"/>
    <w:rsid w:val="00B612EC"/>
    <w:rsid w:val="00B648BD"/>
    <w:rsid w:val="00B64C29"/>
    <w:rsid w:val="00B65113"/>
    <w:rsid w:val="00B67A28"/>
    <w:rsid w:val="00B67E1C"/>
    <w:rsid w:val="00B70EA3"/>
    <w:rsid w:val="00B726BF"/>
    <w:rsid w:val="00B7448F"/>
    <w:rsid w:val="00B75487"/>
    <w:rsid w:val="00B802BF"/>
    <w:rsid w:val="00B84010"/>
    <w:rsid w:val="00B84093"/>
    <w:rsid w:val="00B86BEE"/>
    <w:rsid w:val="00B87091"/>
    <w:rsid w:val="00B870F2"/>
    <w:rsid w:val="00B9308F"/>
    <w:rsid w:val="00B9400B"/>
    <w:rsid w:val="00B971C4"/>
    <w:rsid w:val="00BA12E6"/>
    <w:rsid w:val="00BA39CF"/>
    <w:rsid w:val="00BA3E7F"/>
    <w:rsid w:val="00BA5CF5"/>
    <w:rsid w:val="00BB0A2A"/>
    <w:rsid w:val="00BB0F5F"/>
    <w:rsid w:val="00BB278D"/>
    <w:rsid w:val="00BB3753"/>
    <w:rsid w:val="00BB3912"/>
    <w:rsid w:val="00BB4916"/>
    <w:rsid w:val="00BB5CBF"/>
    <w:rsid w:val="00BC3551"/>
    <w:rsid w:val="00BC7C43"/>
    <w:rsid w:val="00BD7FC6"/>
    <w:rsid w:val="00BE015F"/>
    <w:rsid w:val="00BE2463"/>
    <w:rsid w:val="00BE5838"/>
    <w:rsid w:val="00BE5F78"/>
    <w:rsid w:val="00BF03F3"/>
    <w:rsid w:val="00BF0574"/>
    <w:rsid w:val="00BF2F39"/>
    <w:rsid w:val="00BF40DC"/>
    <w:rsid w:val="00C01726"/>
    <w:rsid w:val="00C0383A"/>
    <w:rsid w:val="00C0706E"/>
    <w:rsid w:val="00C12202"/>
    <w:rsid w:val="00C1479F"/>
    <w:rsid w:val="00C15127"/>
    <w:rsid w:val="00C1526A"/>
    <w:rsid w:val="00C20560"/>
    <w:rsid w:val="00C20C6E"/>
    <w:rsid w:val="00C21022"/>
    <w:rsid w:val="00C27EA5"/>
    <w:rsid w:val="00C36DAA"/>
    <w:rsid w:val="00C36E8A"/>
    <w:rsid w:val="00C37A2F"/>
    <w:rsid w:val="00C37BB0"/>
    <w:rsid w:val="00C37BB3"/>
    <w:rsid w:val="00C37D39"/>
    <w:rsid w:val="00C40CE8"/>
    <w:rsid w:val="00C452A6"/>
    <w:rsid w:val="00C46397"/>
    <w:rsid w:val="00C5202B"/>
    <w:rsid w:val="00C53C6C"/>
    <w:rsid w:val="00C5440C"/>
    <w:rsid w:val="00C54F71"/>
    <w:rsid w:val="00C602DA"/>
    <w:rsid w:val="00C62FB0"/>
    <w:rsid w:val="00C6665E"/>
    <w:rsid w:val="00C715B8"/>
    <w:rsid w:val="00C719BC"/>
    <w:rsid w:val="00C7375D"/>
    <w:rsid w:val="00C748FA"/>
    <w:rsid w:val="00C816E7"/>
    <w:rsid w:val="00C87AC0"/>
    <w:rsid w:val="00C934B1"/>
    <w:rsid w:val="00C960F7"/>
    <w:rsid w:val="00CA2191"/>
    <w:rsid w:val="00CA302E"/>
    <w:rsid w:val="00CA352E"/>
    <w:rsid w:val="00CA3C53"/>
    <w:rsid w:val="00CA3CF8"/>
    <w:rsid w:val="00CA4005"/>
    <w:rsid w:val="00CA50D0"/>
    <w:rsid w:val="00CB2583"/>
    <w:rsid w:val="00CB5E34"/>
    <w:rsid w:val="00CB6094"/>
    <w:rsid w:val="00CB60FA"/>
    <w:rsid w:val="00CC0D6D"/>
    <w:rsid w:val="00CC19BB"/>
    <w:rsid w:val="00CC1EFA"/>
    <w:rsid w:val="00CC38B5"/>
    <w:rsid w:val="00CC411E"/>
    <w:rsid w:val="00CC6DFF"/>
    <w:rsid w:val="00CC7253"/>
    <w:rsid w:val="00CE1132"/>
    <w:rsid w:val="00CE2282"/>
    <w:rsid w:val="00CE2E7D"/>
    <w:rsid w:val="00CE5955"/>
    <w:rsid w:val="00CF1614"/>
    <w:rsid w:val="00CF619D"/>
    <w:rsid w:val="00CF66BA"/>
    <w:rsid w:val="00CF75B4"/>
    <w:rsid w:val="00CF7E19"/>
    <w:rsid w:val="00D046BB"/>
    <w:rsid w:val="00D04BDC"/>
    <w:rsid w:val="00D05982"/>
    <w:rsid w:val="00D05C1B"/>
    <w:rsid w:val="00D06066"/>
    <w:rsid w:val="00D118BE"/>
    <w:rsid w:val="00D1282D"/>
    <w:rsid w:val="00D130CA"/>
    <w:rsid w:val="00D14363"/>
    <w:rsid w:val="00D24032"/>
    <w:rsid w:val="00D26996"/>
    <w:rsid w:val="00D33541"/>
    <w:rsid w:val="00D42129"/>
    <w:rsid w:val="00D424B8"/>
    <w:rsid w:val="00D42C7F"/>
    <w:rsid w:val="00D46819"/>
    <w:rsid w:val="00D5478C"/>
    <w:rsid w:val="00D55F09"/>
    <w:rsid w:val="00D5656E"/>
    <w:rsid w:val="00D56AEB"/>
    <w:rsid w:val="00D6050F"/>
    <w:rsid w:val="00D620F6"/>
    <w:rsid w:val="00D65152"/>
    <w:rsid w:val="00D709AA"/>
    <w:rsid w:val="00D75077"/>
    <w:rsid w:val="00D76B01"/>
    <w:rsid w:val="00D770E4"/>
    <w:rsid w:val="00D77A4A"/>
    <w:rsid w:val="00D77C53"/>
    <w:rsid w:val="00D820A9"/>
    <w:rsid w:val="00D825EB"/>
    <w:rsid w:val="00D84A6E"/>
    <w:rsid w:val="00D8788E"/>
    <w:rsid w:val="00D93F67"/>
    <w:rsid w:val="00D95887"/>
    <w:rsid w:val="00DA0DD4"/>
    <w:rsid w:val="00DA32DE"/>
    <w:rsid w:val="00DA3591"/>
    <w:rsid w:val="00DA4F56"/>
    <w:rsid w:val="00DB1DA6"/>
    <w:rsid w:val="00DB5406"/>
    <w:rsid w:val="00DB5D3E"/>
    <w:rsid w:val="00DB68E4"/>
    <w:rsid w:val="00DB73BD"/>
    <w:rsid w:val="00DB7AA4"/>
    <w:rsid w:val="00DC4216"/>
    <w:rsid w:val="00DC5D92"/>
    <w:rsid w:val="00DC7440"/>
    <w:rsid w:val="00DC7D57"/>
    <w:rsid w:val="00DD1857"/>
    <w:rsid w:val="00DD1EBB"/>
    <w:rsid w:val="00DD2BAC"/>
    <w:rsid w:val="00DD353D"/>
    <w:rsid w:val="00DD390A"/>
    <w:rsid w:val="00DE0DCD"/>
    <w:rsid w:val="00DE0E65"/>
    <w:rsid w:val="00DE1536"/>
    <w:rsid w:val="00DE2F57"/>
    <w:rsid w:val="00DE7278"/>
    <w:rsid w:val="00DF5BF3"/>
    <w:rsid w:val="00E022AA"/>
    <w:rsid w:val="00E04A59"/>
    <w:rsid w:val="00E06DD9"/>
    <w:rsid w:val="00E07436"/>
    <w:rsid w:val="00E07986"/>
    <w:rsid w:val="00E104B1"/>
    <w:rsid w:val="00E13D96"/>
    <w:rsid w:val="00E13F9B"/>
    <w:rsid w:val="00E140F5"/>
    <w:rsid w:val="00E14E70"/>
    <w:rsid w:val="00E20861"/>
    <w:rsid w:val="00E22F9C"/>
    <w:rsid w:val="00E23AFE"/>
    <w:rsid w:val="00E241A4"/>
    <w:rsid w:val="00E2616F"/>
    <w:rsid w:val="00E26AB1"/>
    <w:rsid w:val="00E31E75"/>
    <w:rsid w:val="00E32D15"/>
    <w:rsid w:val="00E36AD4"/>
    <w:rsid w:val="00E37641"/>
    <w:rsid w:val="00E40504"/>
    <w:rsid w:val="00E40AAD"/>
    <w:rsid w:val="00E43E2E"/>
    <w:rsid w:val="00E45B63"/>
    <w:rsid w:val="00E463E7"/>
    <w:rsid w:val="00E50D27"/>
    <w:rsid w:val="00E5108A"/>
    <w:rsid w:val="00E52F47"/>
    <w:rsid w:val="00E54D5C"/>
    <w:rsid w:val="00E54DD0"/>
    <w:rsid w:val="00E56D00"/>
    <w:rsid w:val="00E6056F"/>
    <w:rsid w:val="00E6242E"/>
    <w:rsid w:val="00E62D1B"/>
    <w:rsid w:val="00E654C7"/>
    <w:rsid w:val="00E70022"/>
    <w:rsid w:val="00E726C7"/>
    <w:rsid w:val="00E74A50"/>
    <w:rsid w:val="00E7525C"/>
    <w:rsid w:val="00E758FA"/>
    <w:rsid w:val="00E82851"/>
    <w:rsid w:val="00E91A84"/>
    <w:rsid w:val="00E97353"/>
    <w:rsid w:val="00EA02F5"/>
    <w:rsid w:val="00EA5A75"/>
    <w:rsid w:val="00EA6083"/>
    <w:rsid w:val="00EA7443"/>
    <w:rsid w:val="00EB1BDC"/>
    <w:rsid w:val="00EB384B"/>
    <w:rsid w:val="00EB3F29"/>
    <w:rsid w:val="00EB4791"/>
    <w:rsid w:val="00EB6071"/>
    <w:rsid w:val="00EC16F2"/>
    <w:rsid w:val="00EC3393"/>
    <w:rsid w:val="00EC4EFD"/>
    <w:rsid w:val="00ED4BFE"/>
    <w:rsid w:val="00EE1D78"/>
    <w:rsid w:val="00EE3257"/>
    <w:rsid w:val="00EF013B"/>
    <w:rsid w:val="00EF2A84"/>
    <w:rsid w:val="00EF487D"/>
    <w:rsid w:val="00EF5710"/>
    <w:rsid w:val="00EF784B"/>
    <w:rsid w:val="00EF7EAD"/>
    <w:rsid w:val="00F028D5"/>
    <w:rsid w:val="00F05748"/>
    <w:rsid w:val="00F05A66"/>
    <w:rsid w:val="00F07A37"/>
    <w:rsid w:val="00F10419"/>
    <w:rsid w:val="00F12A7E"/>
    <w:rsid w:val="00F13347"/>
    <w:rsid w:val="00F152E9"/>
    <w:rsid w:val="00F176D8"/>
    <w:rsid w:val="00F21B9A"/>
    <w:rsid w:val="00F254AF"/>
    <w:rsid w:val="00F315B2"/>
    <w:rsid w:val="00F321CC"/>
    <w:rsid w:val="00F36A74"/>
    <w:rsid w:val="00F405EB"/>
    <w:rsid w:val="00F412A0"/>
    <w:rsid w:val="00F41347"/>
    <w:rsid w:val="00F42B4E"/>
    <w:rsid w:val="00F46E50"/>
    <w:rsid w:val="00F5311E"/>
    <w:rsid w:val="00F53FDA"/>
    <w:rsid w:val="00F54A03"/>
    <w:rsid w:val="00F55761"/>
    <w:rsid w:val="00F55965"/>
    <w:rsid w:val="00F55A43"/>
    <w:rsid w:val="00F574EB"/>
    <w:rsid w:val="00F57CDF"/>
    <w:rsid w:val="00F60A67"/>
    <w:rsid w:val="00F62D9B"/>
    <w:rsid w:val="00F62E8B"/>
    <w:rsid w:val="00F6618A"/>
    <w:rsid w:val="00F66A37"/>
    <w:rsid w:val="00F67554"/>
    <w:rsid w:val="00F67ABE"/>
    <w:rsid w:val="00F71CD8"/>
    <w:rsid w:val="00F73FB3"/>
    <w:rsid w:val="00F73FB8"/>
    <w:rsid w:val="00F748E8"/>
    <w:rsid w:val="00F7733D"/>
    <w:rsid w:val="00F81EDC"/>
    <w:rsid w:val="00F911A3"/>
    <w:rsid w:val="00F95CF6"/>
    <w:rsid w:val="00F96B34"/>
    <w:rsid w:val="00FA0E41"/>
    <w:rsid w:val="00FA1174"/>
    <w:rsid w:val="00FA167E"/>
    <w:rsid w:val="00FA4D76"/>
    <w:rsid w:val="00FB04E9"/>
    <w:rsid w:val="00FB3E18"/>
    <w:rsid w:val="00FB47DD"/>
    <w:rsid w:val="00FC026E"/>
    <w:rsid w:val="00FC1446"/>
    <w:rsid w:val="00FC4337"/>
    <w:rsid w:val="00FC496D"/>
    <w:rsid w:val="00FD0308"/>
    <w:rsid w:val="00FD390F"/>
    <w:rsid w:val="00FE016D"/>
    <w:rsid w:val="00FE24CF"/>
    <w:rsid w:val="00FE3700"/>
    <w:rsid w:val="00FF0D12"/>
    <w:rsid w:val="00FF2099"/>
    <w:rsid w:val="00FF2323"/>
    <w:rsid w:val="00FF69A1"/>
    <w:rsid w:val="00FF6F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14:docId w14:val="70B02EB4"/>
  <w15:docId w15:val="{0B5C1DD8-A451-4DDE-8414-D8DF345F4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4"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qFormat="1"/>
    <w:lsdException w:name="List Bullet 3" w:semiHidden="1" w:uiPriority="4"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0E3D"/>
    <w:pPr>
      <w:spacing w:after="0" w:line="240" w:lineRule="auto"/>
    </w:pPr>
    <w:rPr>
      <w:lang w:val="en-US"/>
    </w:rPr>
  </w:style>
  <w:style w:type="paragraph" w:styleId="Heading1">
    <w:name w:val="heading 1"/>
    <w:basedOn w:val="Normal"/>
    <w:next w:val="Normal"/>
    <w:link w:val="Heading1Char"/>
    <w:qFormat/>
    <w:rsid w:val="00952432"/>
    <w:pPr>
      <w:keepNext/>
      <w:keepLines/>
      <w:numPr>
        <w:numId w:val="33"/>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1514DC"/>
    <w:pPr>
      <w:keepNext/>
      <w:keepLines/>
      <w:numPr>
        <w:ilvl w:val="1"/>
        <w:numId w:val="33"/>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1514DC"/>
    <w:pPr>
      <w:keepNext/>
      <w:keepLines/>
      <w:numPr>
        <w:ilvl w:val="2"/>
        <w:numId w:val="33"/>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535D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535D6"/>
    <w:pPr>
      <w:keepNext/>
      <w:keepLines/>
      <w:numPr>
        <w:ilvl w:val="4"/>
        <w:numId w:val="3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1"/>
    <w:unhideWhenUsed/>
    <w:qFormat/>
    <w:rsid w:val="006535D6"/>
    <w:pPr>
      <w:keepNext/>
      <w:keepLines/>
      <w:numPr>
        <w:ilvl w:val="5"/>
        <w:numId w:val="3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1"/>
    <w:unhideWhenUsed/>
    <w:qFormat/>
    <w:rsid w:val="006535D6"/>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1"/>
    <w:unhideWhenUsed/>
    <w:qFormat/>
    <w:rsid w:val="006535D6"/>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6535D6"/>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52432"/>
    <w:pPr>
      <w:ind w:left="720"/>
      <w:contextualSpacing/>
    </w:pPr>
  </w:style>
  <w:style w:type="character" w:customStyle="1" w:styleId="Heading1Char">
    <w:name w:val="Heading 1 Char"/>
    <w:basedOn w:val="DefaultParagraphFont"/>
    <w:link w:val="Heading1"/>
    <w:rsid w:val="00952432"/>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rsid w:val="001514DC"/>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rsid w:val="001514DC"/>
    <w:rPr>
      <w:rFonts w:asciiTheme="majorHAnsi" w:eastAsiaTheme="majorEastAsia" w:hAnsiTheme="majorHAnsi" w:cstheme="majorBidi"/>
      <w:b/>
      <w:bCs/>
      <w:color w:val="4F81BD" w:themeColor="accent1"/>
      <w:lang w:val="en-US"/>
    </w:rPr>
  </w:style>
  <w:style w:type="paragraph" w:customStyle="1" w:styleId="Points">
    <w:name w:val="Points"/>
    <w:basedOn w:val="ListParagraph"/>
    <w:qFormat/>
    <w:rsid w:val="00B870F2"/>
    <w:pPr>
      <w:numPr>
        <w:numId w:val="1"/>
      </w:numPr>
      <w:tabs>
        <w:tab w:val="num" w:pos="360"/>
      </w:tabs>
      <w:spacing w:before="120" w:after="120"/>
      <w:ind w:firstLine="0"/>
      <w:contextualSpacing w:val="0"/>
    </w:pPr>
    <w:rPr>
      <w:rFonts w:ascii="Calibri" w:hAnsi="Calibri" w:cs="Calibri"/>
      <w:lang w:val="en-AU"/>
    </w:rPr>
  </w:style>
  <w:style w:type="paragraph" w:styleId="FootnoteText">
    <w:name w:val="footnote text"/>
    <w:aliases w:val="fn,footnote text,ft,Footnotes,Footnote ak,fn cafc,fn Char,footnote text Char,Footnotes Char,Footnote ak Char,Footnotes Char Char,Footnote Text Char Char,fn Char Char,footnote text Char Char Char Ch,footnote citation,ALTS FOOTNOTE,Cha,f,C"/>
    <w:basedOn w:val="Normal"/>
    <w:link w:val="FootnoteTextChar"/>
    <w:uiPriority w:val="99"/>
    <w:unhideWhenUsed/>
    <w:rsid w:val="00D93F67"/>
    <w:rPr>
      <w:sz w:val="20"/>
      <w:szCs w:val="20"/>
    </w:rPr>
  </w:style>
  <w:style w:type="character" w:customStyle="1" w:styleId="FootnoteTextChar">
    <w:name w:val="Footnote Text Char"/>
    <w:aliases w:val="fn Char1,footnote text Char1,ft Char,Footnotes Char1,Footnote ak Char1,fn cafc Char,fn Char Char1,footnote text Char Char,Footnotes Char Char1,Footnote ak Char Char,Footnotes Char Char Char,Footnote Text Char Char Char,Cha Char,f Char"/>
    <w:basedOn w:val="DefaultParagraphFont"/>
    <w:link w:val="FootnoteText"/>
    <w:uiPriority w:val="99"/>
    <w:rsid w:val="00D93F67"/>
    <w:rPr>
      <w:sz w:val="20"/>
      <w:szCs w:val="20"/>
      <w:lang w:val="en-US"/>
    </w:rPr>
  </w:style>
  <w:style w:type="character" w:styleId="FootnoteReference">
    <w:name w:val="footnote reference"/>
    <w:aliases w:val="de nota al pie,Ref,註腳內容,Footnote Reference1,Ref1,de nota al pie1,de nota al pie + (Asian) MS Mincho,11 pt,註?腳內—e,fr"/>
    <w:basedOn w:val="DefaultParagraphFont"/>
    <w:uiPriority w:val="99"/>
    <w:unhideWhenUsed/>
    <w:rsid w:val="00D93F67"/>
    <w:rPr>
      <w:vertAlign w:val="superscript"/>
    </w:rPr>
  </w:style>
  <w:style w:type="character" w:customStyle="1" w:styleId="Heading4Char">
    <w:name w:val="Heading 4 Char"/>
    <w:basedOn w:val="DefaultParagraphFont"/>
    <w:link w:val="Heading4"/>
    <w:uiPriority w:val="9"/>
    <w:rsid w:val="006535D6"/>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rsid w:val="006535D6"/>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1"/>
    <w:rsid w:val="006535D6"/>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1"/>
    <w:rsid w:val="006535D6"/>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1"/>
    <w:rsid w:val="006535D6"/>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rsid w:val="006535D6"/>
    <w:rPr>
      <w:rFonts w:asciiTheme="majorHAnsi" w:eastAsiaTheme="majorEastAsia" w:hAnsiTheme="majorHAnsi" w:cstheme="majorBidi"/>
      <w:i/>
      <w:iCs/>
      <w:color w:val="404040" w:themeColor="text1" w:themeTint="BF"/>
      <w:sz w:val="20"/>
      <w:szCs w:val="20"/>
      <w:lang w:val="en-US"/>
    </w:rPr>
  </w:style>
  <w:style w:type="character" w:styleId="Hyperlink">
    <w:name w:val="Hyperlink"/>
    <w:basedOn w:val="DefaultParagraphFont"/>
    <w:uiPriority w:val="99"/>
    <w:unhideWhenUsed/>
    <w:rsid w:val="00190599"/>
    <w:rPr>
      <w:color w:val="0000FF"/>
      <w:u w:val="single"/>
    </w:rPr>
  </w:style>
  <w:style w:type="paragraph" w:customStyle="1" w:styleId="Style2">
    <w:name w:val="Style2"/>
    <w:basedOn w:val="Normal"/>
    <w:qFormat/>
    <w:rsid w:val="0094243C"/>
    <w:pPr>
      <w:spacing w:before="120" w:after="120"/>
    </w:pPr>
    <w:rPr>
      <w:lang w:val="en-AU"/>
    </w:rPr>
  </w:style>
  <w:style w:type="character" w:styleId="CommentReference">
    <w:name w:val="annotation reference"/>
    <w:basedOn w:val="DefaultParagraphFont"/>
    <w:semiHidden/>
    <w:unhideWhenUsed/>
    <w:rsid w:val="00C27EA5"/>
    <w:rPr>
      <w:sz w:val="16"/>
      <w:szCs w:val="16"/>
    </w:rPr>
  </w:style>
  <w:style w:type="paragraph" w:styleId="CommentText">
    <w:name w:val="annotation text"/>
    <w:basedOn w:val="Normal"/>
    <w:link w:val="CommentTextChar"/>
    <w:unhideWhenUsed/>
    <w:rsid w:val="00C27EA5"/>
    <w:rPr>
      <w:sz w:val="20"/>
      <w:szCs w:val="20"/>
    </w:rPr>
  </w:style>
  <w:style w:type="character" w:customStyle="1" w:styleId="CommentTextChar">
    <w:name w:val="Comment Text Char"/>
    <w:basedOn w:val="DefaultParagraphFont"/>
    <w:link w:val="CommentText"/>
    <w:rsid w:val="00C27EA5"/>
    <w:rPr>
      <w:sz w:val="20"/>
      <w:szCs w:val="20"/>
      <w:lang w:val="en-US"/>
    </w:rPr>
  </w:style>
  <w:style w:type="paragraph" w:styleId="CommentSubject">
    <w:name w:val="annotation subject"/>
    <w:basedOn w:val="CommentText"/>
    <w:next w:val="CommentText"/>
    <w:link w:val="CommentSubjectChar"/>
    <w:uiPriority w:val="99"/>
    <w:unhideWhenUsed/>
    <w:rsid w:val="00C27EA5"/>
    <w:rPr>
      <w:b/>
      <w:bCs/>
    </w:rPr>
  </w:style>
  <w:style w:type="character" w:customStyle="1" w:styleId="CommentSubjectChar">
    <w:name w:val="Comment Subject Char"/>
    <w:basedOn w:val="CommentTextChar"/>
    <w:link w:val="CommentSubject"/>
    <w:uiPriority w:val="99"/>
    <w:rsid w:val="00C27EA5"/>
    <w:rPr>
      <w:b/>
      <w:bCs/>
      <w:sz w:val="20"/>
      <w:szCs w:val="20"/>
      <w:lang w:val="en-US"/>
    </w:rPr>
  </w:style>
  <w:style w:type="paragraph" w:styleId="BalloonText">
    <w:name w:val="Balloon Text"/>
    <w:basedOn w:val="Normal"/>
    <w:link w:val="BalloonTextChar"/>
    <w:uiPriority w:val="99"/>
    <w:unhideWhenUsed/>
    <w:rsid w:val="00C27EA5"/>
    <w:rPr>
      <w:rFonts w:ascii="Tahoma" w:hAnsi="Tahoma" w:cs="Tahoma"/>
      <w:sz w:val="16"/>
      <w:szCs w:val="16"/>
    </w:rPr>
  </w:style>
  <w:style w:type="character" w:customStyle="1" w:styleId="BalloonTextChar">
    <w:name w:val="Balloon Text Char"/>
    <w:basedOn w:val="DefaultParagraphFont"/>
    <w:link w:val="BalloonText"/>
    <w:uiPriority w:val="99"/>
    <w:rsid w:val="00C27EA5"/>
    <w:rPr>
      <w:rFonts w:ascii="Tahoma" w:hAnsi="Tahoma" w:cs="Tahoma"/>
      <w:sz w:val="16"/>
      <w:szCs w:val="16"/>
      <w:lang w:val="en-US"/>
    </w:rPr>
  </w:style>
  <w:style w:type="table" w:styleId="TableGrid">
    <w:name w:val="Table Grid"/>
    <w:basedOn w:val="TableNormal"/>
    <w:uiPriority w:val="59"/>
    <w:rsid w:val="00162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35D19"/>
    <w:pPr>
      <w:tabs>
        <w:tab w:val="center" w:pos="4513"/>
        <w:tab w:val="right" w:pos="9026"/>
      </w:tabs>
    </w:pPr>
  </w:style>
  <w:style w:type="character" w:customStyle="1" w:styleId="HeaderChar">
    <w:name w:val="Header Char"/>
    <w:basedOn w:val="DefaultParagraphFont"/>
    <w:link w:val="Header"/>
    <w:uiPriority w:val="99"/>
    <w:rsid w:val="00435D19"/>
    <w:rPr>
      <w:lang w:val="en-US"/>
    </w:rPr>
  </w:style>
  <w:style w:type="paragraph" w:styleId="Footer">
    <w:name w:val="footer"/>
    <w:basedOn w:val="Normal"/>
    <w:link w:val="FooterChar"/>
    <w:uiPriority w:val="99"/>
    <w:unhideWhenUsed/>
    <w:rsid w:val="00435D19"/>
    <w:pPr>
      <w:tabs>
        <w:tab w:val="center" w:pos="4513"/>
        <w:tab w:val="right" w:pos="9026"/>
      </w:tabs>
    </w:pPr>
  </w:style>
  <w:style w:type="character" w:customStyle="1" w:styleId="FooterChar">
    <w:name w:val="Footer Char"/>
    <w:basedOn w:val="DefaultParagraphFont"/>
    <w:link w:val="Footer"/>
    <w:uiPriority w:val="99"/>
    <w:rsid w:val="00435D19"/>
    <w:rPr>
      <w:lang w:val="en-US"/>
    </w:rPr>
  </w:style>
  <w:style w:type="paragraph" w:styleId="NoSpacing">
    <w:name w:val="No Spacing"/>
    <w:uiPriority w:val="1"/>
    <w:qFormat/>
    <w:rsid w:val="00DA3591"/>
    <w:pPr>
      <w:spacing w:after="0" w:line="240" w:lineRule="auto"/>
    </w:pPr>
    <w:rPr>
      <w:rFonts w:ascii="Times New Roman" w:eastAsia="Times New Roman" w:hAnsi="Times New Roman" w:cs="Times New Roman"/>
      <w:sz w:val="24"/>
      <w:szCs w:val="24"/>
      <w:lang w:eastAsia="en-AU"/>
    </w:rPr>
  </w:style>
  <w:style w:type="paragraph" w:styleId="Caption">
    <w:name w:val="caption"/>
    <w:aliases w:val="Caption Char1,Caption Char Char,Caption Char1 Char Char,Caption Char Char Char Char,Caption Char1 Char Char Char Char,Caption Char Char Char Char Char Char,Caption Char Char Char Char Char Char Char Char Char Char Char,(NECG) Caption"/>
    <w:basedOn w:val="Normal"/>
    <w:next w:val="Normal"/>
    <w:link w:val="CaptionChar"/>
    <w:unhideWhenUsed/>
    <w:qFormat/>
    <w:rsid w:val="00DA3591"/>
    <w:pPr>
      <w:spacing w:after="200"/>
    </w:pPr>
    <w:rPr>
      <w:b/>
      <w:bCs/>
      <w:color w:val="4F81BD" w:themeColor="accent1"/>
      <w:sz w:val="18"/>
      <w:szCs w:val="18"/>
      <w:lang w:val="en-AU"/>
    </w:rPr>
  </w:style>
  <w:style w:type="paragraph" w:customStyle="1" w:styleId="Source">
    <w:name w:val="Source"/>
    <w:basedOn w:val="Normal"/>
    <w:next w:val="BodyText"/>
    <w:link w:val="SourceChar"/>
    <w:qFormat/>
    <w:rsid w:val="00CC411E"/>
    <w:pPr>
      <w:keepLines/>
      <w:pBdr>
        <w:bottom w:val="single" w:sz="4" w:space="1" w:color="595A5B"/>
      </w:pBdr>
      <w:spacing w:before="60" w:after="360" w:line="270" w:lineRule="exact"/>
      <w:ind w:left="2160"/>
      <w:jc w:val="both"/>
    </w:pPr>
    <w:rPr>
      <w:rFonts w:ascii="Arial" w:eastAsia="Times New Roman" w:hAnsi="Arial" w:cs="Arial"/>
      <w:color w:val="22789A"/>
      <w:sz w:val="16"/>
      <w:szCs w:val="20"/>
      <w:lang w:val="en"/>
    </w:rPr>
  </w:style>
  <w:style w:type="character" w:customStyle="1" w:styleId="SourceChar">
    <w:name w:val="Source Char"/>
    <w:basedOn w:val="DefaultParagraphFont"/>
    <w:link w:val="Source"/>
    <w:rsid w:val="00CC411E"/>
    <w:rPr>
      <w:rFonts w:ascii="Arial" w:eastAsia="Times New Roman" w:hAnsi="Arial" w:cs="Arial"/>
      <w:color w:val="22789A"/>
      <w:sz w:val="16"/>
      <w:szCs w:val="20"/>
      <w:lang w:val="en"/>
    </w:rPr>
  </w:style>
  <w:style w:type="paragraph" w:customStyle="1" w:styleId="Tabletext">
    <w:name w:val="Table text"/>
    <w:basedOn w:val="Normal"/>
    <w:link w:val="TabletextChar"/>
    <w:qFormat/>
    <w:rsid w:val="00CC411E"/>
    <w:pPr>
      <w:keepNext/>
      <w:keepLines/>
      <w:spacing w:before="60" w:after="60"/>
    </w:pPr>
    <w:rPr>
      <w:rFonts w:ascii="Arial" w:hAnsi="Arial" w:cs="Arial"/>
      <w:color w:val="595A5B"/>
      <w:sz w:val="18"/>
      <w:szCs w:val="18"/>
      <w:lang w:val="en-AU"/>
    </w:rPr>
  </w:style>
  <w:style w:type="character" w:customStyle="1" w:styleId="TabletextChar">
    <w:name w:val="Table text Char"/>
    <w:basedOn w:val="DefaultParagraphFont"/>
    <w:link w:val="Tabletext"/>
    <w:rsid w:val="00CC411E"/>
    <w:rPr>
      <w:rFonts w:ascii="Arial" w:hAnsi="Arial" w:cs="Arial"/>
      <w:color w:val="595A5B"/>
      <w:sz w:val="18"/>
      <w:szCs w:val="18"/>
    </w:rPr>
  </w:style>
  <w:style w:type="paragraph" w:customStyle="1" w:styleId="Tableheader">
    <w:name w:val="Table header"/>
    <w:basedOn w:val="Normal"/>
    <w:link w:val="TableheaderChar"/>
    <w:qFormat/>
    <w:rsid w:val="00CC411E"/>
    <w:pPr>
      <w:keepNext/>
      <w:spacing w:before="120" w:after="120"/>
    </w:pPr>
    <w:rPr>
      <w:rFonts w:ascii="Arial" w:hAnsi="Arial" w:cs="Arial"/>
      <w:i/>
      <w:color w:val="FFFFFF" w:themeColor="background1"/>
      <w:sz w:val="18"/>
      <w:szCs w:val="18"/>
      <w:lang w:val="en-AU"/>
    </w:rPr>
  </w:style>
  <w:style w:type="character" w:customStyle="1" w:styleId="TableheaderChar">
    <w:name w:val="Table header Char"/>
    <w:basedOn w:val="DefaultParagraphFont"/>
    <w:link w:val="Tableheader"/>
    <w:rsid w:val="00CC411E"/>
    <w:rPr>
      <w:rFonts w:ascii="Arial" w:hAnsi="Arial" w:cs="Arial"/>
      <w:i/>
      <w:color w:val="FFFFFF" w:themeColor="background1"/>
      <w:sz w:val="18"/>
      <w:szCs w:val="18"/>
    </w:rPr>
  </w:style>
  <w:style w:type="table" w:customStyle="1" w:styleId="OCETable">
    <w:name w:val="OCE Table"/>
    <w:basedOn w:val="TableNormal"/>
    <w:uiPriority w:val="99"/>
    <w:rsid w:val="00CC411E"/>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paragraph" w:styleId="BodyText">
    <w:name w:val="Body Text"/>
    <w:aliases w:val="b,Body Text Char1,Body Text Char Char,Body Text Char1 Char Char,Body Text Char Char Char Char,Body Text Char1 Char Char Char Char,Body Text Char Char Char Char Char Char,Body Text Char1 Char Char Char Char Char Char"/>
    <w:basedOn w:val="Normal"/>
    <w:link w:val="BodyTextChar"/>
    <w:uiPriority w:val="99"/>
    <w:unhideWhenUsed/>
    <w:qFormat/>
    <w:rsid w:val="00CC411E"/>
    <w:pPr>
      <w:spacing w:after="120"/>
    </w:pPr>
  </w:style>
  <w:style w:type="character" w:customStyle="1" w:styleId="BodyTextChar">
    <w:name w:val="Body Text Char"/>
    <w:aliases w:val="b Char,Body Text Char1 Char,Body Text Char Char Char,Body Text Char1 Char Char Char,Body Text Char Char Char Char Char,Body Text Char1 Char Char Char Char Char,Body Text Char Char Char Char Char Char Char"/>
    <w:basedOn w:val="DefaultParagraphFont"/>
    <w:link w:val="BodyText"/>
    <w:uiPriority w:val="99"/>
    <w:rsid w:val="00CC411E"/>
    <w:rPr>
      <w:lang w:val="en-US"/>
    </w:rPr>
  </w:style>
  <w:style w:type="paragraph" w:customStyle="1" w:styleId="Placeholder">
    <w:name w:val="Placeholder"/>
    <w:basedOn w:val="Normal"/>
    <w:rsid w:val="00CC411E"/>
    <w:pPr>
      <w:keepNext/>
      <w:keepLines/>
      <w:jc w:val="center"/>
    </w:pPr>
    <w:rPr>
      <w:rFonts w:ascii="Arial" w:hAnsi="Arial"/>
      <w:color w:val="595A5B"/>
      <w:sz w:val="18"/>
      <w:lang w:val="en-AU"/>
    </w:rPr>
  </w:style>
  <w:style w:type="paragraph" w:customStyle="1" w:styleId="CaptionWide">
    <w:name w:val="Caption Wide"/>
    <w:basedOn w:val="Caption"/>
    <w:next w:val="PlaceholderWide"/>
    <w:rsid w:val="00CC411E"/>
    <w:pPr>
      <w:keepNext/>
      <w:keepLines/>
      <w:pBdr>
        <w:top w:val="single" w:sz="2" w:space="1" w:color="595A5B"/>
      </w:pBdr>
      <w:spacing w:before="360" w:after="240" w:line="240" w:lineRule="atLeast"/>
      <w:jc w:val="both"/>
    </w:pPr>
    <w:rPr>
      <w:rFonts w:ascii="Arial" w:hAnsi="Arial"/>
      <w:b w:val="0"/>
    </w:rPr>
  </w:style>
  <w:style w:type="paragraph" w:customStyle="1" w:styleId="SourceWide">
    <w:name w:val="Source Wide"/>
    <w:basedOn w:val="Source"/>
    <w:next w:val="BodyText"/>
    <w:rsid w:val="00CC411E"/>
    <w:pPr>
      <w:ind w:left="0"/>
    </w:pPr>
    <w:rPr>
      <w:lang w:val="en-AU"/>
    </w:rPr>
  </w:style>
  <w:style w:type="paragraph" w:customStyle="1" w:styleId="PlaceholderWide">
    <w:name w:val="Placeholder Wide"/>
    <w:basedOn w:val="Placeholder"/>
    <w:rsid w:val="00CC411E"/>
  </w:style>
  <w:style w:type="numbering" w:customStyle="1" w:styleId="OCEHeadings">
    <w:name w:val="OCE Headings"/>
    <w:uiPriority w:val="99"/>
    <w:rsid w:val="00CC411E"/>
    <w:pPr>
      <w:numPr>
        <w:numId w:val="11"/>
      </w:numPr>
    </w:pPr>
  </w:style>
  <w:style w:type="paragraph" w:customStyle="1" w:styleId="Note">
    <w:name w:val="Note"/>
    <w:basedOn w:val="Source"/>
    <w:rsid w:val="00CC411E"/>
    <w:pPr>
      <w:keepNext/>
      <w:spacing w:after="60"/>
    </w:pPr>
    <w:rPr>
      <w:lang w:val="en-AU"/>
    </w:rPr>
  </w:style>
  <w:style w:type="table" w:customStyle="1" w:styleId="OCETable1">
    <w:name w:val="OCE Table1"/>
    <w:basedOn w:val="TableNormal"/>
    <w:uiPriority w:val="99"/>
    <w:rsid w:val="005644A9"/>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table" w:customStyle="1" w:styleId="TableGrid1">
    <w:name w:val="Table Grid1"/>
    <w:basedOn w:val="TableNormal"/>
    <w:next w:val="TableGrid"/>
    <w:uiPriority w:val="59"/>
    <w:rsid w:val="00B45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CA2191"/>
  </w:style>
  <w:style w:type="table" w:customStyle="1" w:styleId="TableGrid2">
    <w:name w:val="Table Grid2"/>
    <w:basedOn w:val="TableNormal"/>
    <w:next w:val="TableGrid"/>
    <w:rsid w:val="00CA21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2">
    <w:name w:val="OCE Table2"/>
    <w:basedOn w:val="TableNormal"/>
    <w:uiPriority w:val="99"/>
    <w:rsid w:val="00CA2191"/>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table" w:customStyle="1" w:styleId="OCETable11">
    <w:name w:val="OCE Table11"/>
    <w:basedOn w:val="TableNormal"/>
    <w:uiPriority w:val="99"/>
    <w:rsid w:val="00CA2191"/>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character" w:styleId="FollowedHyperlink">
    <w:name w:val="FollowedHyperlink"/>
    <w:basedOn w:val="DefaultParagraphFont"/>
    <w:unhideWhenUsed/>
    <w:rsid w:val="00CA2191"/>
    <w:rPr>
      <w:color w:val="800080" w:themeColor="followedHyperlink"/>
      <w:u w:val="single"/>
    </w:rPr>
  </w:style>
  <w:style w:type="character" w:customStyle="1" w:styleId="ListParagraphChar">
    <w:name w:val="List Paragraph Char"/>
    <w:basedOn w:val="DefaultParagraphFont"/>
    <w:link w:val="ListParagraph"/>
    <w:uiPriority w:val="34"/>
    <w:rsid w:val="00CA2191"/>
    <w:rPr>
      <w:lang w:val="en-US"/>
    </w:rPr>
  </w:style>
  <w:style w:type="character" w:customStyle="1" w:styleId="CaptionChar">
    <w:name w:val="Caption Char"/>
    <w:aliases w:val="Caption Char1 Char,Caption Char Char Char,Caption Char1 Char Char Char,Caption Char Char Char Char Char,Caption Char1 Char Char Char Char Char,Caption Char Char Char Char Char Char Char,(NECG) Caption Char"/>
    <w:basedOn w:val="DefaultParagraphFont"/>
    <w:link w:val="Caption"/>
    <w:uiPriority w:val="35"/>
    <w:rsid w:val="00CA2191"/>
    <w:rPr>
      <w:b/>
      <w:bCs/>
      <w:color w:val="4F81BD" w:themeColor="accent1"/>
      <w:sz w:val="18"/>
      <w:szCs w:val="18"/>
    </w:rPr>
  </w:style>
  <w:style w:type="character" w:customStyle="1" w:styleId="value">
    <w:name w:val="value"/>
    <w:basedOn w:val="DefaultParagraphFont"/>
    <w:rsid w:val="00CA2191"/>
  </w:style>
  <w:style w:type="table" w:customStyle="1" w:styleId="OCETable3">
    <w:name w:val="OCE Table3"/>
    <w:basedOn w:val="TableNormal"/>
    <w:uiPriority w:val="99"/>
    <w:rsid w:val="00A70B16"/>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numbering" w:customStyle="1" w:styleId="NoList2">
    <w:name w:val="No List2"/>
    <w:next w:val="NoList"/>
    <w:uiPriority w:val="99"/>
    <w:semiHidden/>
    <w:unhideWhenUsed/>
    <w:rsid w:val="00374264"/>
  </w:style>
  <w:style w:type="table" w:customStyle="1" w:styleId="TableGrid3">
    <w:name w:val="Table Grid3"/>
    <w:basedOn w:val="TableNormal"/>
    <w:next w:val="TableGrid"/>
    <w:rsid w:val="003742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4">
    <w:name w:val="OCE Table4"/>
    <w:basedOn w:val="TableNormal"/>
    <w:uiPriority w:val="99"/>
    <w:rsid w:val="00374264"/>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table" w:customStyle="1" w:styleId="OCETable12">
    <w:name w:val="OCE Table12"/>
    <w:basedOn w:val="TableNormal"/>
    <w:uiPriority w:val="99"/>
    <w:rsid w:val="00374264"/>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paragraph" w:styleId="Title">
    <w:name w:val="Title"/>
    <w:basedOn w:val="Normal"/>
    <w:next w:val="Normal"/>
    <w:link w:val="TitleChar"/>
    <w:uiPriority w:val="10"/>
    <w:qFormat/>
    <w:rsid w:val="00374264"/>
    <w:pPr>
      <w:spacing w:line="276" w:lineRule="auto"/>
      <w:jc w:val="both"/>
    </w:pPr>
    <w:rPr>
      <w:rFonts w:asciiTheme="majorHAnsi" w:eastAsiaTheme="majorEastAsia" w:hAnsiTheme="majorHAnsi" w:cstheme="majorBidi"/>
      <w:caps/>
      <w:color w:val="4F81BD" w:themeColor="accent1"/>
      <w:spacing w:val="10"/>
      <w:sz w:val="52"/>
      <w:szCs w:val="52"/>
      <w:lang w:val="en-AU" w:eastAsia="ja-JP"/>
    </w:rPr>
  </w:style>
  <w:style w:type="character" w:customStyle="1" w:styleId="TitleChar">
    <w:name w:val="Title Char"/>
    <w:basedOn w:val="DefaultParagraphFont"/>
    <w:link w:val="Title"/>
    <w:uiPriority w:val="10"/>
    <w:rsid w:val="00374264"/>
    <w:rPr>
      <w:rFonts w:asciiTheme="majorHAnsi" w:eastAsiaTheme="majorEastAsia" w:hAnsiTheme="majorHAnsi" w:cstheme="majorBidi"/>
      <w:caps/>
      <w:color w:val="4F81BD" w:themeColor="accent1"/>
      <w:spacing w:val="10"/>
      <w:sz w:val="52"/>
      <w:szCs w:val="52"/>
      <w:lang w:eastAsia="ja-JP"/>
    </w:rPr>
  </w:style>
  <w:style w:type="paragraph" w:styleId="Subtitle">
    <w:name w:val="Subtitle"/>
    <w:basedOn w:val="Normal"/>
    <w:next w:val="Normal"/>
    <w:link w:val="SubtitleChar"/>
    <w:uiPriority w:val="11"/>
    <w:qFormat/>
    <w:rsid w:val="00374264"/>
    <w:pPr>
      <w:spacing w:after="500"/>
      <w:jc w:val="both"/>
    </w:pPr>
    <w:rPr>
      <w:rFonts w:eastAsiaTheme="minorEastAsia"/>
      <w:caps/>
      <w:color w:val="595959" w:themeColor="text1" w:themeTint="A6"/>
      <w:spacing w:val="10"/>
      <w:sz w:val="21"/>
      <w:szCs w:val="21"/>
      <w:lang w:val="en-AU" w:eastAsia="ja-JP"/>
    </w:rPr>
  </w:style>
  <w:style w:type="character" w:customStyle="1" w:styleId="SubtitleChar">
    <w:name w:val="Subtitle Char"/>
    <w:basedOn w:val="DefaultParagraphFont"/>
    <w:link w:val="Subtitle"/>
    <w:uiPriority w:val="11"/>
    <w:rsid w:val="00374264"/>
    <w:rPr>
      <w:rFonts w:eastAsiaTheme="minorEastAsia"/>
      <w:caps/>
      <w:color w:val="595959" w:themeColor="text1" w:themeTint="A6"/>
      <w:spacing w:val="10"/>
      <w:sz w:val="21"/>
      <w:szCs w:val="21"/>
      <w:lang w:eastAsia="ja-JP"/>
    </w:rPr>
  </w:style>
  <w:style w:type="character" w:styleId="SubtleEmphasis">
    <w:name w:val="Subtle Emphasis"/>
    <w:uiPriority w:val="19"/>
    <w:qFormat/>
    <w:rsid w:val="00374264"/>
    <w:rPr>
      <w:i/>
      <w:iCs/>
      <w:color w:val="243F60" w:themeColor="accent1" w:themeShade="7F"/>
    </w:rPr>
  </w:style>
  <w:style w:type="character" w:styleId="Emphasis">
    <w:name w:val="Emphasis"/>
    <w:uiPriority w:val="20"/>
    <w:qFormat/>
    <w:rsid w:val="00374264"/>
    <w:rPr>
      <w:caps/>
      <w:color w:val="243F60" w:themeColor="accent1" w:themeShade="7F"/>
      <w:spacing w:val="5"/>
    </w:rPr>
  </w:style>
  <w:style w:type="character" w:styleId="IntenseEmphasis">
    <w:name w:val="Intense Emphasis"/>
    <w:uiPriority w:val="21"/>
    <w:qFormat/>
    <w:rsid w:val="00374264"/>
    <w:rPr>
      <w:b/>
      <w:bCs/>
      <w:caps/>
      <w:color w:val="243F60" w:themeColor="accent1" w:themeShade="7F"/>
      <w:spacing w:val="10"/>
    </w:rPr>
  </w:style>
  <w:style w:type="character" w:styleId="Strong">
    <w:name w:val="Strong"/>
    <w:uiPriority w:val="22"/>
    <w:qFormat/>
    <w:rsid w:val="00374264"/>
    <w:rPr>
      <w:b/>
      <w:bCs/>
      <w:color w:val="ED7D31"/>
    </w:rPr>
  </w:style>
  <w:style w:type="paragraph" w:styleId="Quote">
    <w:name w:val="Quote"/>
    <w:basedOn w:val="Normal"/>
    <w:next w:val="Normal"/>
    <w:link w:val="QuoteChar"/>
    <w:uiPriority w:val="29"/>
    <w:qFormat/>
    <w:rsid w:val="00374264"/>
    <w:pPr>
      <w:spacing w:before="100" w:after="200" w:line="276" w:lineRule="auto"/>
      <w:ind w:left="284"/>
      <w:jc w:val="both"/>
    </w:pPr>
    <w:rPr>
      <w:rFonts w:eastAsiaTheme="minorEastAsia"/>
      <w:i/>
      <w:iCs/>
      <w:szCs w:val="24"/>
      <w:lang w:val="en-AU" w:eastAsia="ja-JP"/>
    </w:rPr>
  </w:style>
  <w:style w:type="character" w:customStyle="1" w:styleId="QuoteChar">
    <w:name w:val="Quote Char"/>
    <w:basedOn w:val="DefaultParagraphFont"/>
    <w:link w:val="Quote"/>
    <w:uiPriority w:val="29"/>
    <w:rsid w:val="00374264"/>
    <w:rPr>
      <w:rFonts w:eastAsiaTheme="minorEastAsia"/>
      <w:i/>
      <w:iCs/>
      <w:szCs w:val="24"/>
      <w:lang w:eastAsia="ja-JP"/>
    </w:rPr>
  </w:style>
  <w:style w:type="paragraph" w:styleId="IntenseQuote">
    <w:name w:val="Intense Quote"/>
    <w:basedOn w:val="Normal"/>
    <w:next w:val="Normal"/>
    <w:link w:val="IntenseQuoteChar"/>
    <w:uiPriority w:val="30"/>
    <w:qFormat/>
    <w:rsid w:val="00374264"/>
    <w:pPr>
      <w:spacing w:before="240" w:after="240"/>
      <w:ind w:left="1080" w:right="1080"/>
      <w:jc w:val="center"/>
    </w:pPr>
    <w:rPr>
      <w:rFonts w:eastAsiaTheme="minorEastAsia"/>
      <w:color w:val="4F81BD" w:themeColor="accent1"/>
      <w:sz w:val="24"/>
      <w:szCs w:val="24"/>
      <w:lang w:val="en-AU" w:eastAsia="ja-JP"/>
    </w:rPr>
  </w:style>
  <w:style w:type="character" w:customStyle="1" w:styleId="IntenseQuoteChar">
    <w:name w:val="Intense Quote Char"/>
    <w:basedOn w:val="DefaultParagraphFont"/>
    <w:link w:val="IntenseQuote"/>
    <w:uiPriority w:val="30"/>
    <w:rsid w:val="00374264"/>
    <w:rPr>
      <w:rFonts w:eastAsiaTheme="minorEastAsia"/>
      <w:color w:val="4F81BD" w:themeColor="accent1"/>
      <w:sz w:val="24"/>
      <w:szCs w:val="24"/>
      <w:lang w:eastAsia="ja-JP"/>
    </w:rPr>
  </w:style>
  <w:style w:type="character" w:styleId="SubtleReference">
    <w:name w:val="Subtle Reference"/>
    <w:uiPriority w:val="31"/>
    <w:qFormat/>
    <w:rsid w:val="00374264"/>
    <w:rPr>
      <w:b/>
      <w:bCs/>
      <w:color w:val="4F81BD" w:themeColor="accent1"/>
    </w:rPr>
  </w:style>
  <w:style w:type="character" w:styleId="IntenseReference">
    <w:name w:val="Intense Reference"/>
    <w:uiPriority w:val="32"/>
    <w:qFormat/>
    <w:rsid w:val="00374264"/>
    <w:rPr>
      <w:b/>
      <w:bCs/>
      <w:i/>
      <w:iCs/>
      <w:caps/>
      <w:color w:val="4F81BD" w:themeColor="accent1"/>
    </w:rPr>
  </w:style>
  <w:style w:type="character" w:styleId="BookTitle">
    <w:name w:val="Book Title"/>
    <w:uiPriority w:val="33"/>
    <w:qFormat/>
    <w:rsid w:val="00374264"/>
    <w:rPr>
      <w:b/>
      <w:bCs/>
      <w:i/>
      <w:iCs/>
      <w:spacing w:val="0"/>
    </w:rPr>
  </w:style>
  <w:style w:type="paragraph" w:styleId="TOCHeading">
    <w:name w:val="TOC Heading"/>
    <w:basedOn w:val="Heading1"/>
    <w:next w:val="Normal"/>
    <w:uiPriority w:val="39"/>
    <w:unhideWhenUsed/>
    <w:qFormat/>
    <w:rsid w:val="00374264"/>
    <w:pPr>
      <w:keepLines w:val="0"/>
      <w:numPr>
        <w:numId w:val="0"/>
      </w:numPr>
      <w:spacing w:before="100" w:line="276" w:lineRule="auto"/>
      <w:jc w:val="both"/>
      <w:outlineLvl w:val="9"/>
    </w:pPr>
    <w:rPr>
      <w:rFonts w:asciiTheme="minorHAnsi" w:eastAsiaTheme="minorEastAsia" w:hAnsiTheme="minorHAnsi" w:cstheme="minorBidi"/>
      <w:bCs w:val="0"/>
      <w:color w:val="ED7D31"/>
      <w:spacing w:val="15"/>
      <w:sz w:val="32"/>
      <w:szCs w:val="22"/>
      <w:lang w:val="en-AU" w:eastAsia="ja-JP"/>
    </w:rPr>
  </w:style>
  <w:style w:type="paragraph" w:styleId="TOC1">
    <w:name w:val="toc 1"/>
    <w:basedOn w:val="Normal"/>
    <w:next w:val="Normal"/>
    <w:autoRedefine/>
    <w:uiPriority w:val="39"/>
    <w:unhideWhenUsed/>
    <w:rsid w:val="001F6E88"/>
    <w:pPr>
      <w:tabs>
        <w:tab w:val="left" w:pos="400"/>
        <w:tab w:val="right" w:leader="dot" w:pos="9071"/>
      </w:tabs>
      <w:spacing w:before="100" w:after="100" w:line="276" w:lineRule="auto"/>
      <w:ind w:left="426" w:hanging="426"/>
      <w:jc w:val="both"/>
    </w:pPr>
    <w:rPr>
      <w:rFonts w:eastAsiaTheme="minorEastAsia"/>
      <w:lang w:val="en-AU" w:eastAsia="ja-JP"/>
    </w:rPr>
  </w:style>
  <w:style w:type="paragraph" w:styleId="TOC2">
    <w:name w:val="toc 2"/>
    <w:basedOn w:val="Normal"/>
    <w:next w:val="Normal"/>
    <w:autoRedefine/>
    <w:uiPriority w:val="39"/>
    <w:unhideWhenUsed/>
    <w:rsid w:val="00BE015F"/>
    <w:pPr>
      <w:tabs>
        <w:tab w:val="left" w:pos="993"/>
        <w:tab w:val="right" w:leader="dot" w:pos="9071"/>
      </w:tabs>
      <w:spacing w:before="100" w:after="100" w:line="276" w:lineRule="auto"/>
      <w:ind w:left="426"/>
      <w:jc w:val="both"/>
    </w:pPr>
    <w:rPr>
      <w:rFonts w:eastAsiaTheme="minorEastAsia"/>
      <w:noProof/>
      <w:lang w:val="en-AU" w:eastAsia="ja-JP"/>
    </w:rPr>
  </w:style>
  <w:style w:type="paragraph" w:styleId="TOC3">
    <w:name w:val="toc 3"/>
    <w:basedOn w:val="Normal"/>
    <w:next w:val="Normal"/>
    <w:autoRedefine/>
    <w:uiPriority w:val="39"/>
    <w:unhideWhenUsed/>
    <w:rsid w:val="00374264"/>
    <w:pPr>
      <w:spacing w:before="100" w:after="100" w:line="276" w:lineRule="auto"/>
      <w:ind w:left="400"/>
      <w:jc w:val="both"/>
    </w:pPr>
    <w:rPr>
      <w:rFonts w:eastAsiaTheme="minorEastAsia"/>
      <w:lang w:val="en-AU" w:eastAsia="ja-JP"/>
    </w:rPr>
  </w:style>
  <w:style w:type="paragraph" w:styleId="ListBullet">
    <w:name w:val="List Bullet"/>
    <w:basedOn w:val="Normal"/>
    <w:uiPriority w:val="4"/>
    <w:unhideWhenUsed/>
    <w:qFormat/>
    <w:rsid w:val="00374264"/>
    <w:pPr>
      <w:spacing w:before="100" w:after="240" w:line="276" w:lineRule="auto"/>
      <w:ind w:left="850" w:hanging="408"/>
      <w:jc w:val="both"/>
    </w:pPr>
    <w:rPr>
      <w:rFonts w:ascii="Times New Roman" w:hAnsi="Times New Roman" w:cs="Times New Roman"/>
      <w:lang w:val="en-AU" w:eastAsia="zh-CN"/>
    </w:rPr>
  </w:style>
  <w:style w:type="paragraph" w:styleId="TableofFigures">
    <w:name w:val="table of figures"/>
    <w:basedOn w:val="Normal"/>
    <w:next w:val="Normal"/>
    <w:uiPriority w:val="99"/>
    <w:unhideWhenUsed/>
    <w:rsid w:val="00374264"/>
    <w:pPr>
      <w:spacing w:before="100" w:line="276" w:lineRule="auto"/>
      <w:jc w:val="both"/>
    </w:pPr>
    <w:rPr>
      <w:rFonts w:eastAsiaTheme="minorEastAsia"/>
      <w:lang w:val="en-AU" w:eastAsia="ja-JP"/>
    </w:rPr>
  </w:style>
  <w:style w:type="paragraph" w:styleId="TOC4">
    <w:name w:val="toc 4"/>
    <w:basedOn w:val="Normal"/>
    <w:next w:val="Normal"/>
    <w:autoRedefine/>
    <w:uiPriority w:val="39"/>
    <w:unhideWhenUsed/>
    <w:rsid w:val="00374264"/>
    <w:pPr>
      <w:spacing w:after="100" w:line="259" w:lineRule="auto"/>
      <w:ind w:left="660"/>
      <w:jc w:val="both"/>
    </w:pPr>
    <w:rPr>
      <w:rFonts w:eastAsiaTheme="minorEastAsia"/>
      <w:lang w:val="en-AU" w:eastAsia="en-AU"/>
    </w:rPr>
  </w:style>
  <w:style w:type="paragraph" w:styleId="TOC5">
    <w:name w:val="toc 5"/>
    <w:basedOn w:val="Normal"/>
    <w:next w:val="Normal"/>
    <w:autoRedefine/>
    <w:uiPriority w:val="39"/>
    <w:unhideWhenUsed/>
    <w:rsid w:val="00374264"/>
    <w:pPr>
      <w:spacing w:after="100" w:line="259" w:lineRule="auto"/>
      <w:ind w:left="880"/>
      <w:jc w:val="both"/>
    </w:pPr>
    <w:rPr>
      <w:rFonts w:eastAsiaTheme="minorEastAsia"/>
      <w:lang w:val="en-AU" w:eastAsia="en-AU"/>
    </w:rPr>
  </w:style>
  <w:style w:type="paragraph" w:styleId="TOC6">
    <w:name w:val="toc 6"/>
    <w:basedOn w:val="Normal"/>
    <w:next w:val="Normal"/>
    <w:autoRedefine/>
    <w:uiPriority w:val="39"/>
    <w:unhideWhenUsed/>
    <w:rsid w:val="00374264"/>
    <w:pPr>
      <w:spacing w:after="100" w:line="259" w:lineRule="auto"/>
      <w:ind w:left="1100"/>
      <w:jc w:val="both"/>
    </w:pPr>
    <w:rPr>
      <w:rFonts w:eastAsiaTheme="minorEastAsia"/>
      <w:lang w:val="en-AU" w:eastAsia="en-AU"/>
    </w:rPr>
  </w:style>
  <w:style w:type="paragraph" w:styleId="TOC7">
    <w:name w:val="toc 7"/>
    <w:basedOn w:val="Normal"/>
    <w:next w:val="Normal"/>
    <w:autoRedefine/>
    <w:uiPriority w:val="39"/>
    <w:unhideWhenUsed/>
    <w:rsid w:val="00374264"/>
    <w:pPr>
      <w:spacing w:after="100" w:line="259" w:lineRule="auto"/>
      <w:ind w:left="1320"/>
      <w:jc w:val="both"/>
    </w:pPr>
    <w:rPr>
      <w:rFonts w:eastAsiaTheme="minorEastAsia"/>
      <w:lang w:val="en-AU" w:eastAsia="en-AU"/>
    </w:rPr>
  </w:style>
  <w:style w:type="paragraph" w:styleId="TOC8">
    <w:name w:val="toc 8"/>
    <w:basedOn w:val="Normal"/>
    <w:next w:val="Normal"/>
    <w:autoRedefine/>
    <w:uiPriority w:val="39"/>
    <w:unhideWhenUsed/>
    <w:rsid w:val="00374264"/>
    <w:pPr>
      <w:spacing w:after="100" w:line="259" w:lineRule="auto"/>
      <w:ind w:left="1540"/>
      <w:jc w:val="both"/>
    </w:pPr>
    <w:rPr>
      <w:rFonts w:eastAsiaTheme="minorEastAsia"/>
      <w:lang w:val="en-AU" w:eastAsia="en-AU"/>
    </w:rPr>
  </w:style>
  <w:style w:type="paragraph" w:styleId="TOC9">
    <w:name w:val="toc 9"/>
    <w:basedOn w:val="Normal"/>
    <w:next w:val="Normal"/>
    <w:autoRedefine/>
    <w:uiPriority w:val="39"/>
    <w:unhideWhenUsed/>
    <w:rsid w:val="00374264"/>
    <w:pPr>
      <w:spacing w:after="100" w:line="259" w:lineRule="auto"/>
      <w:ind w:left="1760"/>
      <w:jc w:val="both"/>
    </w:pPr>
    <w:rPr>
      <w:rFonts w:eastAsiaTheme="minorEastAsia"/>
      <w:lang w:val="en-AU" w:eastAsia="en-AU"/>
    </w:rPr>
  </w:style>
  <w:style w:type="paragraph" w:styleId="EndnoteText">
    <w:name w:val="endnote text"/>
    <w:basedOn w:val="Normal"/>
    <w:link w:val="EndnoteTextChar"/>
    <w:uiPriority w:val="99"/>
    <w:semiHidden/>
    <w:unhideWhenUsed/>
    <w:rsid w:val="00374264"/>
    <w:pPr>
      <w:jc w:val="both"/>
    </w:pPr>
    <w:rPr>
      <w:rFonts w:eastAsiaTheme="minorEastAsia"/>
      <w:sz w:val="20"/>
      <w:lang w:val="en-AU" w:eastAsia="ja-JP"/>
    </w:rPr>
  </w:style>
  <w:style w:type="character" w:customStyle="1" w:styleId="EndnoteTextChar">
    <w:name w:val="Endnote Text Char"/>
    <w:basedOn w:val="DefaultParagraphFont"/>
    <w:link w:val="EndnoteText"/>
    <w:uiPriority w:val="99"/>
    <w:semiHidden/>
    <w:rsid w:val="00374264"/>
    <w:rPr>
      <w:rFonts w:eastAsiaTheme="minorEastAsia"/>
      <w:sz w:val="20"/>
      <w:lang w:eastAsia="ja-JP"/>
    </w:rPr>
  </w:style>
  <w:style w:type="character" w:styleId="EndnoteReference">
    <w:name w:val="endnote reference"/>
    <w:basedOn w:val="DefaultParagraphFont"/>
    <w:uiPriority w:val="99"/>
    <w:semiHidden/>
    <w:unhideWhenUsed/>
    <w:rsid w:val="00374264"/>
    <w:rPr>
      <w:vertAlign w:val="superscript"/>
    </w:rPr>
  </w:style>
  <w:style w:type="paragraph" w:customStyle="1" w:styleId="Default">
    <w:name w:val="Default"/>
    <w:rsid w:val="00374264"/>
    <w:pPr>
      <w:autoSpaceDE w:val="0"/>
      <w:autoSpaceDN w:val="0"/>
      <w:adjustRightInd w:val="0"/>
      <w:spacing w:after="0" w:line="240" w:lineRule="auto"/>
    </w:pPr>
    <w:rPr>
      <w:rFonts w:ascii="Calibri" w:eastAsiaTheme="minorEastAsia" w:hAnsi="Calibri" w:cs="Calibri"/>
      <w:color w:val="000000"/>
      <w:sz w:val="24"/>
      <w:szCs w:val="24"/>
      <w:lang w:eastAsia="ja-JP"/>
    </w:rPr>
  </w:style>
  <w:style w:type="paragraph" w:styleId="List">
    <w:name w:val="List"/>
    <w:basedOn w:val="Normal"/>
    <w:rsid w:val="00374264"/>
    <w:pPr>
      <w:spacing w:before="20" w:after="20"/>
      <w:jc w:val="both"/>
    </w:pPr>
    <w:rPr>
      <w:rFonts w:ascii="Arial" w:eastAsia="Times New Roman" w:hAnsi="Arial" w:cs="Times New Roman"/>
      <w:sz w:val="20"/>
      <w:szCs w:val="20"/>
      <w:lang w:val="en-AU"/>
    </w:rPr>
  </w:style>
  <w:style w:type="paragraph" w:customStyle="1" w:styleId="bullet">
    <w:name w:val="bullet"/>
    <w:basedOn w:val="Normal"/>
    <w:rsid w:val="00374264"/>
    <w:pPr>
      <w:numPr>
        <w:numId w:val="27"/>
      </w:numPr>
      <w:spacing w:after="240"/>
      <w:jc w:val="both"/>
    </w:pPr>
    <w:rPr>
      <w:rFonts w:ascii="Arial" w:eastAsia="Times New Roman" w:hAnsi="Arial" w:cs="Times New Roman"/>
      <w:sz w:val="24"/>
      <w:szCs w:val="20"/>
      <w:lang w:val="en-AU"/>
    </w:rPr>
  </w:style>
  <w:style w:type="paragraph" w:customStyle="1" w:styleId="Bullet0">
    <w:name w:val="Bullet"/>
    <w:basedOn w:val="Normal"/>
    <w:link w:val="BulletChar"/>
    <w:rsid w:val="00374264"/>
    <w:pPr>
      <w:numPr>
        <w:numId w:val="28"/>
      </w:numPr>
      <w:spacing w:after="120"/>
    </w:pPr>
    <w:rPr>
      <w:rFonts w:ascii="Arial" w:eastAsia="Times New Roman" w:hAnsi="Arial" w:cs="Times New Roman"/>
      <w:sz w:val="24"/>
      <w:szCs w:val="20"/>
      <w:lang w:val="en-AU"/>
    </w:rPr>
  </w:style>
  <w:style w:type="paragraph" w:customStyle="1" w:styleId="Bulletpoints">
    <w:name w:val="Bullet points"/>
    <w:basedOn w:val="Normal"/>
    <w:autoRedefine/>
    <w:rsid w:val="00374264"/>
    <w:pPr>
      <w:spacing w:after="240"/>
      <w:ind w:left="4156" w:hanging="3799"/>
      <w:jc w:val="both"/>
    </w:pPr>
    <w:rPr>
      <w:rFonts w:ascii="Arial" w:eastAsia="Times New Roman" w:hAnsi="Arial" w:cs="Arial"/>
      <w:sz w:val="24"/>
      <w:szCs w:val="24"/>
      <w:lang w:val="en-AU"/>
    </w:rPr>
  </w:style>
  <w:style w:type="paragraph" w:customStyle="1" w:styleId="StyleLinespacingsingle">
    <w:name w:val="Style Line spacing:  single"/>
    <w:basedOn w:val="Normal"/>
    <w:rsid w:val="00374264"/>
    <w:pPr>
      <w:widowControl w:val="0"/>
      <w:adjustRightInd w:val="0"/>
      <w:spacing w:after="240"/>
      <w:textAlignment w:val="baseline"/>
    </w:pPr>
    <w:rPr>
      <w:rFonts w:ascii="Arial" w:eastAsia="Times New Roman" w:hAnsi="Arial" w:cs="Times New Roman"/>
      <w:sz w:val="20"/>
      <w:szCs w:val="20"/>
      <w:lang w:val="en-GB"/>
    </w:rPr>
  </w:style>
  <w:style w:type="character" w:styleId="PageNumber">
    <w:name w:val="page number"/>
    <w:basedOn w:val="DefaultParagraphFont"/>
    <w:rsid w:val="00374264"/>
  </w:style>
  <w:style w:type="paragraph" w:styleId="NormalIndent">
    <w:name w:val="Normal Indent"/>
    <w:basedOn w:val="Normal"/>
    <w:next w:val="Normal"/>
    <w:rsid w:val="00374264"/>
    <w:pPr>
      <w:spacing w:after="240"/>
      <w:ind w:left="567"/>
      <w:jc w:val="both"/>
    </w:pPr>
    <w:rPr>
      <w:rFonts w:ascii="Arial" w:eastAsia="Times New Roman" w:hAnsi="Arial" w:cs="Times New Roman"/>
      <w:sz w:val="24"/>
      <w:szCs w:val="20"/>
      <w:lang w:val="en-AU"/>
    </w:rPr>
  </w:style>
  <w:style w:type="paragraph" w:styleId="BodyText2">
    <w:name w:val="Body Text 2"/>
    <w:basedOn w:val="Normal"/>
    <w:link w:val="BodyText2Char"/>
    <w:rsid w:val="00374264"/>
    <w:pPr>
      <w:spacing w:after="120" w:line="480" w:lineRule="auto"/>
    </w:pPr>
    <w:rPr>
      <w:rFonts w:ascii="Arial" w:eastAsia="Times New Roman" w:hAnsi="Arial" w:cs="Times New Roman"/>
      <w:sz w:val="24"/>
      <w:szCs w:val="24"/>
      <w:lang w:val="en-AU" w:eastAsia="en-AU"/>
    </w:rPr>
  </w:style>
  <w:style w:type="character" w:customStyle="1" w:styleId="BodyText2Char">
    <w:name w:val="Body Text 2 Char"/>
    <w:basedOn w:val="DefaultParagraphFont"/>
    <w:link w:val="BodyText2"/>
    <w:rsid w:val="00374264"/>
    <w:rPr>
      <w:rFonts w:ascii="Arial" w:eastAsia="Times New Roman" w:hAnsi="Arial" w:cs="Times New Roman"/>
      <w:sz w:val="24"/>
      <w:szCs w:val="24"/>
      <w:lang w:eastAsia="en-AU"/>
    </w:rPr>
  </w:style>
  <w:style w:type="paragraph" w:customStyle="1" w:styleId="Table">
    <w:name w:val="Table"/>
    <w:basedOn w:val="Normal"/>
    <w:rsid w:val="00374264"/>
    <w:pPr>
      <w:spacing w:before="40" w:after="40"/>
    </w:pPr>
    <w:rPr>
      <w:rFonts w:ascii="Arial" w:eastAsia="Times New Roman" w:hAnsi="Arial" w:cs="Times New Roman"/>
      <w:sz w:val="20"/>
      <w:szCs w:val="20"/>
      <w:lang w:val="en-GB"/>
    </w:rPr>
  </w:style>
  <w:style w:type="character" w:customStyle="1" w:styleId="StyleIndigo">
    <w:name w:val="Style Indigo"/>
    <w:rsid w:val="00374264"/>
    <w:rPr>
      <w:color w:val="auto"/>
    </w:rPr>
  </w:style>
  <w:style w:type="character" w:customStyle="1" w:styleId="BulletChar">
    <w:name w:val="Bullet Char"/>
    <w:link w:val="Bullet0"/>
    <w:rsid w:val="00374264"/>
    <w:rPr>
      <w:rFonts w:ascii="Arial" w:eastAsia="Times New Roman" w:hAnsi="Arial" w:cs="Times New Roman"/>
      <w:sz w:val="24"/>
      <w:szCs w:val="20"/>
    </w:rPr>
  </w:style>
  <w:style w:type="table" w:styleId="TableElegant">
    <w:name w:val="Table Elegant"/>
    <w:basedOn w:val="TableNormal"/>
    <w:rsid w:val="00374264"/>
    <w:pPr>
      <w:spacing w:after="240" w:line="240" w:lineRule="auto"/>
    </w:pPr>
    <w:rPr>
      <w:rFonts w:ascii="Arial" w:eastAsia="Times New Roman" w:hAnsi="Arial"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pies">
    <w:name w:val="Copies"/>
    <w:basedOn w:val="Normal"/>
    <w:uiPriority w:val="99"/>
    <w:rsid w:val="00374264"/>
    <w:pPr>
      <w:tabs>
        <w:tab w:val="num" w:pos="360"/>
        <w:tab w:val="left" w:pos="1678"/>
        <w:tab w:val="left" w:pos="2398"/>
        <w:tab w:val="left" w:pos="5398"/>
        <w:tab w:val="left" w:pos="6361"/>
      </w:tabs>
      <w:spacing w:before="480"/>
      <w:ind w:left="360" w:hanging="360"/>
    </w:pPr>
    <w:rPr>
      <w:rFonts w:ascii="Times New Roman" w:eastAsia="Times New Roman" w:hAnsi="Times New Roman" w:cs="Times New Roman"/>
      <w:sz w:val="24"/>
      <w:szCs w:val="20"/>
      <w:lang w:val="en-AU" w:eastAsia="en-GB"/>
    </w:rPr>
  </w:style>
  <w:style w:type="paragraph" w:customStyle="1" w:styleId="TableParagraph">
    <w:name w:val="Table Paragraph"/>
    <w:basedOn w:val="Normal"/>
    <w:uiPriority w:val="1"/>
    <w:qFormat/>
    <w:rsid w:val="00374264"/>
    <w:pPr>
      <w:widowControl w:val="0"/>
    </w:pPr>
  </w:style>
  <w:style w:type="paragraph" w:customStyle="1" w:styleId="APPENDIXHEADINGLEVEL2">
    <w:name w:val="APPENDIX HEADING LEVEL 2"/>
    <w:basedOn w:val="Heading3"/>
    <w:qFormat/>
    <w:rsid w:val="00374264"/>
    <w:pPr>
      <w:keepLines w:val="0"/>
      <w:numPr>
        <w:ilvl w:val="0"/>
        <w:numId w:val="0"/>
      </w:numPr>
      <w:spacing w:before="240" w:after="240"/>
      <w:ind w:left="576" w:hanging="576"/>
    </w:pPr>
    <w:rPr>
      <w:rFonts w:ascii="Arial" w:eastAsia="Times New Roman" w:hAnsi="Arial" w:cs="Times New Roman"/>
      <w:bCs w:val="0"/>
      <w:color w:val="auto"/>
      <w:sz w:val="24"/>
      <w:szCs w:val="20"/>
      <w:lang w:val="en-AU"/>
    </w:rPr>
  </w:style>
  <w:style w:type="paragraph" w:customStyle="1" w:styleId="APPENDIXHEADINGLEVEL1">
    <w:name w:val="APPENDIX HEADING LEVEL 1"/>
    <w:basedOn w:val="Normal"/>
    <w:qFormat/>
    <w:rsid w:val="00374264"/>
    <w:pPr>
      <w:keepNext/>
      <w:spacing w:before="240" w:after="240"/>
      <w:ind w:left="432" w:hanging="432"/>
      <w:outlineLvl w:val="2"/>
    </w:pPr>
    <w:rPr>
      <w:rFonts w:ascii="Arial" w:eastAsia="Times New Roman" w:hAnsi="Arial" w:cs="Times New Roman"/>
      <w:b/>
      <w:sz w:val="28"/>
      <w:szCs w:val="20"/>
      <w:lang w:val="en-AU"/>
    </w:rPr>
  </w:style>
  <w:style w:type="paragraph" w:customStyle="1" w:styleId="TableNote">
    <w:name w:val="Table Note"/>
    <w:basedOn w:val="Normal"/>
    <w:rsid w:val="00374264"/>
    <w:pPr>
      <w:tabs>
        <w:tab w:val="left" w:pos="425"/>
      </w:tabs>
      <w:spacing w:before="60"/>
    </w:pPr>
    <w:rPr>
      <w:rFonts w:ascii="Arial" w:eastAsia="Times New Roman" w:hAnsi="Arial" w:cs="Times New Roman"/>
      <w:sz w:val="18"/>
      <w:szCs w:val="20"/>
      <w:lang w:val="en-AU"/>
    </w:rPr>
  </w:style>
  <w:style w:type="paragraph" w:customStyle="1" w:styleId="Picture">
    <w:name w:val="Picture"/>
    <w:basedOn w:val="Normal"/>
    <w:next w:val="Normal"/>
    <w:rsid w:val="00374264"/>
    <w:pPr>
      <w:jc w:val="center"/>
    </w:pPr>
    <w:rPr>
      <w:rFonts w:ascii="Arial" w:eastAsia="Times New Roman" w:hAnsi="Arial" w:cs="Times New Roman"/>
      <w:sz w:val="28"/>
      <w:szCs w:val="28"/>
      <w:lang w:val="en-AU"/>
    </w:rPr>
  </w:style>
  <w:style w:type="paragraph" w:customStyle="1" w:styleId="Tablecolumntext">
    <w:name w:val="Table column text"/>
    <w:basedOn w:val="Normal"/>
    <w:rsid w:val="00374264"/>
    <w:pPr>
      <w:keepNext/>
      <w:keepLines/>
      <w:spacing w:before="60"/>
      <w:ind w:left="142"/>
    </w:pPr>
    <w:rPr>
      <w:rFonts w:ascii="Arial" w:eastAsia="Times New Roman" w:hAnsi="Arial" w:cs="Times New Roman"/>
      <w:sz w:val="20"/>
      <w:szCs w:val="20"/>
      <w:lang w:val="en-AU"/>
    </w:rPr>
  </w:style>
  <w:style w:type="numbering" w:customStyle="1" w:styleId="Style1">
    <w:name w:val="Style1"/>
    <w:uiPriority w:val="99"/>
    <w:rsid w:val="00374264"/>
    <w:pPr>
      <w:numPr>
        <w:numId w:val="29"/>
      </w:numPr>
    </w:pPr>
  </w:style>
  <w:style w:type="numbering" w:customStyle="1" w:styleId="NoList3">
    <w:name w:val="No List3"/>
    <w:next w:val="NoList"/>
    <w:uiPriority w:val="99"/>
    <w:semiHidden/>
    <w:unhideWhenUsed/>
    <w:rsid w:val="002F4183"/>
  </w:style>
  <w:style w:type="table" w:customStyle="1" w:styleId="TableGrid4">
    <w:name w:val="Table Grid4"/>
    <w:basedOn w:val="TableNormal"/>
    <w:next w:val="TableGrid"/>
    <w:uiPriority w:val="59"/>
    <w:rsid w:val="002F4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CETable5">
    <w:name w:val="OCE Table5"/>
    <w:basedOn w:val="TableNormal"/>
    <w:uiPriority w:val="99"/>
    <w:rsid w:val="002F4183"/>
    <w:pPr>
      <w:spacing w:after="0" w:line="240" w:lineRule="auto"/>
    </w:pPr>
    <w:rPr>
      <w:sz w:val="18"/>
    </w:rPr>
    <w:tblPr/>
    <w:tcPr>
      <w:shd w:val="clear" w:color="auto" w:fill="DBE5F1" w:themeFill="accent1" w:themeFillTint="33"/>
    </w:tcPr>
    <w:tblStylePr w:type="firstRow">
      <w:rPr>
        <w:rFonts w:asciiTheme="minorHAnsi" w:hAnsiTheme="minorHAnsi"/>
        <w:b w:val="0"/>
        <w:i w:val="0"/>
        <w:color w:val="1F497D" w:themeColor="text2"/>
        <w:sz w:val="18"/>
      </w:rPr>
      <w:tblPr/>
      <w:tcPr>
        <w:tcBorders>
          <w:top w:val="nil"/>
          <w:left w:val="nil"/>
          <w:bottom w:val="nil"/>
          <w:right w:val="nil"/>
          <w:insideH w:val="nil"/>
          <w:insideV w:val="nil"/>
          <w:tl2br w:val="nil"/>
          <w:tr2bl w:val="nil"/>
        </w:tcBorders>
        <w:shd w:val="clear" w:color="auto" w:fill="4F81BD" w:themeFill="accent1"/>
      </w:tcPr>
    </w:tblStylePr>
  </w:style>
  <w:style w:type="numbering" w:customStyle="1" w:styleId="OCEHeadings1">
    <w:name w:val="OCE Headings1"/>
    <w:uiPriority w:val="99"/>
    <w:rsid w:val="002F4183"/>
    <w:pPr>
      <w:numPr>
        <w:numId w:val="9"/>
      </w:numPr>
    </w:pPr>
  </w:style>
  <w:style w:type="numbering" w:customStyle="1" w:styleId="OCEBulletedList">
    <w:name w:val="OCE Bulleted List"/>
    <w:uiPriority w:val="99"/>
    <w:rsid w:val="002F4183"/>
    <w:pPr>
      <w:numPr>
        <w:numId w:val="32"/>
      </w:numPr>
    </w:pPr>
  </w:style>
  <w:style w:type="paragraph" w:styleId="ListBullet2">
    <w:name w:val="List Bullet 2"/>
    <w:basedOn w:val="ListBullet"/>
    <w:uiPriority w:val="4"/>
    <w:qFormat/>
    <w:rsid w:val="002F4183"/>
    <w:pPr>
      <w:spacing w:before="0" w:after="120" w:line="270" w:lineRule="exact"/>
      <w:ind w:left="2835" w:hanging="283"/>
    </w:pPr>
    <w:rPr>
      <w:rFonts w:asciiTheme="minorHAnsi" w:hAnsiTheme="minorHAnsi" w:cstheme="minorBidi"/>
      <w:color w:val="595A5B"/>
      <w:sz w:val="20"/>
      <w:lang w:eastAsia="en-US"/>
    </w:rPr>
  </w:style>
  <w:style w:type="paragraph" w:styleId="ListBullet4">
    <w:name w:val="List Bullet 4"/>
    <w:basedOn w:val="ListBullet3"/>
    <w:rsid w:val="002F4183"/>
    <w:pPr>
      <w:ind w:firstLine="0"/>
    </w:pPr>
  </w:style>
  <w:style w:type="paragraph" w:styleId="ListBullet3">
    <w:name w:val="List Bullet 3"/>
    <w:basedOn w:val="ListBullet2"/>
    <w:uiPriority w:val="4"/>
    <w:qFormat/>
    <w:rsid w:val="002F4183"/>
    <w:pPr>
      <w:ind w:left="3062" w:hanging="227"/>
    </w:pPr>
  </w:style>
  <w:style w:type="character" w:customStyle="1" w:styleId="text-with-line-breaks">
    <w:name w:val="text-with-line-breaks"/>
    <w:basedOn w:val="DefaultParagraphFont"/>
    <w:rsid w:val="002F4183"/>
  </w:style>
  <w:style w:type="paragraph" w:styleId="NormalWeb">
    <w:name w:val="Normal (Web)"/>
    <w:basedOn w:val="Normal"/>
    <w:uiPriority w:val="99"/>
    <w:semiHidden/>
    <w:unhideWhenUsed/>
    <w:rsid w:val="002F4183"/>
    <w:rPr>
      <w:rFonts w:ascii="Times New Roman" w:hAnsi="Times New Roman" w:cs="Times New Roman"/>
      <w:sz w:val="24"/>
      <w:szCs w:val="24"/>
    </w:rPr>
  </w:style>
  <w:style w:type="paragraph" w:customStyle="1" w:styleId="PlainParagraph">
    <w:name w:val="Plain Paragraph"/>
    <w:aliases w:val="PP"/>
    <w:basedOn w:val="Normal"/>
    <w:link w:val="PlainParagraphChar"/>
    <w:qFormat/>
    <w:rsid w:val="002A0D3F"/>
    <w:pPr>
      <w:spacing w:before="140" w:after="140" w:line="280" w:lineRule="atLeast"/>
    </w:pPr>
    <w:rPr>
      <w:rFonts w:ascii="Arial" w:eastAsia="Times New Roman" w:hAnsi="Arial" w:cs="Arial"/>
      <w:lang w:val="en-AU" w:eastAsia="en-AU"/>
    </w:rPr>
  </w:style>
  <w:style w:type="character" w:customStyle="1" w:styleId="PlainParagraphChar">
    <w:name w:val="Plain Paragraph Char"/>
    <w:aliases w:val="PP Char"/>
    <w:basedOn w:val="DefaultParagraphFont"/>
    <w:link w:val="PlainParagraph"/>
    <w:rsid w:val="002A0D3F"/>
    <w:rPr>
      <w:rFonts w:ascii="Arial" w:eastAsia="Times New Roman" w:hAnsi="Arial" w:cs="Arial"/>
      <w:lang w:eastAsia="en-AU"/>
    </w:rPr>
  </w:style>
  <w:style w:type="paragraph" w:customStyle="1" w:styleId="Style3">
    <w:name w:val="Style3"/>
    <w:basedOn w:val="Normal"/>
    <w:link w:val="Style3Char"/>
    <w:qFormat/>
    <w:rsid w:val="00A60E69"/>
    <w:pPr>
      <w:keepLines/>
      <w:pBdr>
        <w:top w:val="single" w:sz="4" w:space="1" w:color="auto"/>
        <w:left w:val="single" w:sz="4" w:space="4" w:color="auto"/>
        <w:bottom w:val="single" w:sz="4" w:space="1" w:color="auto"/>
        <w:right w:val="single" w:sz="4" w:space="4" w:color="auto"/>
      </w:pBdr>
      <w:shd w:val="clear" w:color="auto" w:fill="DAEEF3" w:themeFill="accent5" w:themeFillTint="33"/>
      <w:spacing w:after="120"/>
    </w:pPr>
  </w:style>
  <w:style w:type="character" w:customStyle="1" w:styleId="Style3Char">
    <w:name w:val="Style3 Char"/>
    <w:basedOn w:val="DefaultParagraphFont"/>
    <w:link w:val="Style3"/>
    <w:rsid w:val="00A60E69"/>
    <w:rPr>
      <w:shd w:val="clear" w:color="auto" w:fill="DAEEF3" w:themeFill="accent5" w:themeFillTint="33"/>
      <w:lang w:val="en-US"/>
    </w:rPr>
  </w:style>
  <w:style w:type="paragraph" w:styleId="Revision">
    <w:name w:val="Revision"/>
    <w:hidden/>
    <w:uiPriority w:val="99"/>
    <w:semiHidden/>
    <w:rsid w:val="002620C9"/>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603535">
      <w:bodyDiv w:val="1"/>
      <w:marLeft w:val="0"/>
      <w:marRight w:val="0"/>
      <w:marTop w:val="0"/>
      <w:marBottom w:val="0"/>
      <w:divBdr>
        <w:top w:val="none" w:sz="0" w:space="0" w:color="auto"/>
        <w:left w:val="none" w:sz="0" w:space="0" w:color="auto"/>
        <w:bottom w:val="none" w:sz="0" w:space="0" w:color="auto"/>
        <w:right w:val="none" w:sz="0" w:space="0" w:color="auto"/>
      </w:divBdr>
    </w:div>
    <w:div w:id="405035534">
      <w:bodyDiv w:val="1"/>
      <w:marLeft w:val="0"/>
      <w:marRight w:val="0"/>
      <w:marTop w:val="0"/>
      <w:marBottom w:val="0"/>
      <w:divBdr>
        <w:top w:val="none" w:sz="0" w:space="0" w:color="auto"/>
        <w:left w:val="none" w:sz="0" w:space="0" w:color="auto"/>
        <w:bottom w:val="none" w:sz="0" w:space="0" w:color="auto"/>
        <w:right w:val="none" w:sz="0" w:space="0" w:color="auto"/>
      </w:divBdr>
    </w:div>
    <w:div w:id="405691912">
      <w:bodyDiv w:val="1"/>
      <w:marLeft w:val="0"/>
      <w:marRight w:val="0"/>
      <w:marTop w:val="0"/>
      <w:marBottom w:val="0"/>
      <w:divBdr>
        <w:top w:val="none" w:sz="0" w:space="0" w:color="auto"/>
        <w:left w:val="none" w:sz="0" w:space="0" w:color="auto"/>
        <w:bottom w:val="none" w:sz="0" w:space="0" w:color="auto"/>
        <w:right w:val="none" w:sz="0" w:space="0" w:color="auto"/>
      </w:divBdr>
    </w:div>
    <w:div w:id="491524931">
      <w:bodyDiv w:val="1"/>
      <w:marLeft w:val="0"/>
      <w:marRight w:val="0"/>
      <w:marTop w:val="0"/>
      <w:marBottom w:val="0"/>
      <w:divBdr>
        <w:top w:val="none" w:sz="0" w:space="0" w:color="auto"/>
        <w:left w:val="none" w:sz="0" w:space="0" w:color="auto"/>
        <w:bottom w:val="none" w:sz="0" w:space="0" w:color="auto"/>
        <w:right w:val="none" w:sz="0" w:space="0" w:color="auto"/>
      </w:divBdr>
    </w:div>
    <w:div w:id="742683876">
      <w:bodyDiv w:val="1"/>
      <w:marLeft w:val="0"/>
      <w:marRight w:val="0"/>
      <w:marTop w:val="0"/>
      <w:marBottom w:val="0"/>
      <w:divBdr>
        <w:top w:val="none" w:sz="0" w:space="0" w:color="auto"/>
        <w:left w:val="none" w:sz="0" w:space="0" w:color="auto"/>
        <w:bottom w:val="none" w:sz="0" w:space="0" w:color="auto"/>
        <w:right w:val="none" w:sz="0" w:space="0" w:color="auto"/>
      </w:divBdr>
    </w:div>
    <w:div w:id="864515883">
      <w:bodyDiv w:val="1"/>
      <w:marLeft w:val="0"/>
      <w:marRight w:val="0"/>
      <w:marTop w:val="0"/>
      <w:marBottom w:val="0"/>
      <w:divBdr>
        <w:top w:val="none" w:sz="0" w:space="0" w:color="auto"/>
        <w:left w:val="none" w:sz="0" w:space="0" w:color="auto"/>
        <w:bottom w:val="none" w:sz="0" w:space="0" w:color="auto"/>
        <w:right w:val="none" w:sz="0" w:space="0" w:color="auto"/>
      </w:divBdr>
      <w:divsChild>
        <w:div w:id="613370139">
          <w:marLeft w:val="0"/>
          <w:marRight w:val="0"/>
          <w:marTop w:val="0"/>
          <w:marBottom w:val="0"/>
          <w:divBdr>
            <w:top w:val="none" w:sz="0" w:space="0" w:color="auto"/>
            <w:left w:val="none" w:sz="0" w:space="0" w:color="auto"/>
            <w:bottom w:val="none" w:sz="0" w:space="0" w:color="auto"/>
            <w:right w:val="none" w:sz="0" w:space="0" w:color="auto"/>
          </w:divBdr>
          <w:divsChild>
            <w:div w:id="681779566">
              <w:marLeft w:val="0"/>
              <w:marRight w:val="0"/>
              <w:marTop w:val="0"/>
              <w:marBottom w:val="0"/>
              <w:divBdr>
                <w:top w:val="none" w:sz="0" w:space="0" w:color="auto"/>
                <w:left w:val="none" w:sz="0" w:space="0" w:color="auto"/>
                <w:bottom w:val="none" w:sz="0" w:space="0" w:color="auto"/>
                <w:right w:val="none" w:sz="0" w:space="0" w:color="auto"/>
              </w:divBdr>
            </w:div>
            <w:div w:id="208445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505876">
      <w:bodyDiv w:val="1"/>
      <w:marLeft w:val="0"/>
      <w:marRight w:val="0"/>
      <w:marTop w:val="0"/>
      <w:marBottom w:val="0"/>
      <w:divBdr>
        <w:top w:val="none" w:sz="0" w:space="0" w:color="auto"/>
        <w:left w:val="none" w:sz="0" w:space="0" w:color="auto"/>
        <w:bottom w:val="none" w:sz="0" w:space="0" w:color="auto"/>
        <w:right w:val="none" w:sz="0" w:space="0" w:color="auto"/>
      </w:divBdr>
    </w:div>
    <w:div w:id="1083573808">
      <w:bodyDiv w:val="1"/>
      <w:marLeft w:val="0"/>
      <w:marRight w:val="0"/>
      <w:marTop w:val="0"/>
      <w:marBottom w:val="0"/>
      <w:divBdr>
        <w:top w:val="none" w:sz="0" w:space="0" w:color="auto"/>
        <w:left w:val="none" w:sz="0" w:space="0" w:color="auto"/>
        <w:bottom w:val="none" w:sz="0" w:space="0" w:color="auto"/>
        <w:right w:val="none" w:sz="0" w:space="0" w:color="auto"/>
      </w:divBdr>
    </w:div>
    <w:div w:id="1287010695">
      <w:bodyDiv w:val="1"/>
      <w:marLeft w:val="0"/>
      <w:marRight w:val="0"/>
      <w:marTop w:val="0"/>
      <w:marBottom w:val="0"/>
      <w:divBdr>
        <w:top w:val="none" w:sz="0" w:space="0" w:color="auto"/>
        <w:left w:val="none" w:sz="0" w:space="0" w:color="auto"/>
        <w:bottom w:val="none" w:sz="0" w:space="0" w:color="auto"/>
        <w:right w:val="none" w:sz="0" w:space="0" w:color="auto"/>
      </w:divBdr>
    </w:div>
    <w:div w:id="1614434376">
      <w:bodyDiv w:val="1"/>
      <w:marLeft w:val="0"/>
      <w:marRight w:val="0"/>
      <w:marTop w:val="0"/>
      <w:marBottom w:val="0"/>
      <w:divBdr>
        <w:top w:val="none" w:sz="0" w:space="0" w:color="auto"/>
        <w:left w:val="none" w:sz="0" w:space="0" w:color="auto"/>
        <w:bottom w:val="none" w:sz="0" w:space="0" w:color="auto"/>
        <w:right w:val="none" w:sz="0" w:space="0" w:color="auto"/>
      </w:divBdr>
    </w:div>
    <w:div w:id="1762019861">
      <w:bodyDiv w:val="1"/>
      <w:marLeft w:val="0"/>
      <w:marRight w:val="0"/>
      <w:marTop w:val="0"/>
      <w:marBottom w:val="0"/>
      <w:divBdr>
        <w:top w:val="none" w:sz="0" w:space="0" w:color="auto"/>
        <w:left w:val="none" w:sz="0" w:space="0" w:color="auto"/>
        <w:bottom w:val="none" w:sz="0" w:space="0" w:color="auto"/>
        <w:right w:val="none" w:sz="0" w:space="0" w:color="auto"/>
      </w:divBdr>
    </w:div>
    <w:div w:id="1899971744">
      <w:bodyDiv w:val="1"/>
      <w:marLeft w:val="0"/>
      <w:marRight w:val="0"/>
      <w:marTop w:val="0"/>
      <w:marBottom w:val="0"/>
      <w:divBdr>
        <w:top w:val="none" w:sz="0" w:space="0" w:color="auto"/>
        <w:left w:val="none" w:sz="0" w:space="0" w:color="auto"/>
        <w:bottom w:val="none" w:sz="0" w:space="0" w:color="auto"/>
        <w:right w:val="none" w:sz="0" w:space="0" w:color="auto"/>
      </w:divBdr>
    </w:div>
    <w:div w:id="2144884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hyperlink" Target="http://trade.ec.europa.eu/doclib/cfm/doclib_results.cfm?key=anti-dumping%20annual%20report&amp;opt=2" TargetMode="External"/><Relationship Id="rId21" Type="http://schemas.openxmlformats.org/officeDocument/2006/relationships/chart" Target="charts/chart11.xml"/><Relationship Id="rId34" Type="http://schemas.openxmlformats.org/officeDocument/2006/relationships/image" Target="media/image2.png"/><Relationship Id="rId42" Type="http://schemas.openxmlformats.org/officeDocument/2006/relationships/chart" Target="charts/chart28.xml"/><Relationship Id="rId47" Type="http://schemas.openxmlformats.org/officeDocument/2006/relationships/image" Target="media/image5.jpg"/><Relationship Id="rId50" Type="http://schemas.openxmlformats.org/officeDocument/2006/relationships/image" Target="media/image8.emf"/><Relationship Id="rId55" Type="http://schemas.openxmlformats.org/officeDocument/2006/relationships/image" Target="media/image13.emf"/><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chart" Target="charts/chart27.xml"/><Relationship Id="rId54" Type="http://schemas.openxmlformats.org/officeDocument/2006/relationships/image" Target="media/image12.emf"/><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hyperlink" Target="http://www.oecd.org/sti/ind/excess-capacity-in-the-global-steel-industry.pdf" TargetMode="External"/><Relationship Id="rId37" Type="http://schemas.openxmlformats.org/officeDocument/2006/relationships/chart" Target="charts/chart24.xml"/><Relationship Id="rId40" Type="http://schemas.openxmlformats.org/officeDocument/2006/relationships/chart" Target="charts/chart26.xml"/><Relationship Id="rId45" Type="http://schemas.openxmlformats.org/officeDocument/2006/relationships/image" Target="media/image3.jpg"/><Relationship Id="rId53" Type="http://schemas.openxmlformats.org/officeDocument/2006/relationships/image" Target="media/image11.emf"/><Relationship Id="rId58" Type="http://schemas.openxmlformats.org/officeDocument/2006/relationships/image" Target="media/image16.emf"/><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3.xml"/><Relationship Id="rId49" Type="http://schemas.openxmlformats.org/officeDocument/2006/relationships/image" Target="media/image7.emf"/><Relationship Id="rId57" Type="http://schemas.openxmlformats.org/officeDocument/2006/relationships/image" Target="media/image15.emf"/><Relationship Id="rId61" Type="http://schemas.openxmlformats.org/officeDocument/2006/relationships/footer" Target="footer2.xml"/><Relationship Id="rId10" Type="http://schemas.openxmlformats.org/officeDocument/2006/relationships/footer" Target="footer1.xml"/><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chart" Target="charts/chart30.xml"/><Relationship Id="rId52" Type="http://schemas.openxmlformats.org/officeDocument/2006/relationships/image" Target="media/image10.emf"/><Relationship Id="rId60" Type="http://schemas.openxmlformats.org/officeDocument/2006/relationships/header" Target="header3.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2.xml"/><Relationship Id="rId43" Type="http://schemas.openxmlformats.org/officeDocument/2006/relationships/chart" Target="charts/chart29.xml"/><Relationship Id="rId48" Type="http://schemas.openxmlformats.org/officeDocument/2006/relationships/image" Target="media/image6.emf"/><Relationship Id="rId56" Type="http://schemas.openxmlformats.org/officeDocument/2006/relationships/image" Target="media/image14.emf"/><Relationship Id="rId64"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image" Target="media/image9.emf"/><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hyperlink" Target="http://www.oecd.org/sti/ind/excess-capacity-in-the-global-steel-industry.pdf" TargetMode="External"/><Relationship Id="rId38" Type="http://schemas.openxmlformats.org/officeDocument/2006/relationships/chart" Target="charts/chart25.xml"/><Relationship Id="rId46" Type="http://schemas.openxmlformats.org/officeDocument/2006/relationships/image" Target="media/image4.jpg"/><Relationship Id="rId59" Type="http://schemas.openxmlformats.org/officeDocument/2006/relationships/header" Target="header2.xml"/></Relationships>
</file>

<file path=word/_rels/footnotes.xml.rels><?xml version="1.0" encoding="UTF-8" standalone="yes"?>
<Relationships xmlns="http://schemas.openxmlformats.org/package/2006/relationships"><Relationship Id="rId8" Type="http://schemas.openxmlformats.org/officeDocument/2006/relationships/hyperlink" Target="http://www.oecd.org/sti/ind/Evaluating-Financial-Health-Steel-Industry.pdf" TargetMode="External"/><Relationship Id="rId13" Type="http://schemas.openxmlformats.org/officeDocument/2006/relationships/hyperlink" Target="https://www.usitc.gov/trade_remedy/731_ad_701_cvd/investigations/2015/Corrosion-Resistant%20Steel%20from%20China,%20India,%20Italy,%20Korea,%20and%20Taiwan/Preliminary/core_cvd_prelim_ita.pdf" TargetMode="External"/><Relationship Id="rId18" Type="http://schemas.openxmlformats.org/officeDocument/2006/relationships/hyperlink" Target="http://www.ejinsight.com/20160312-how-china-could-put-zombie-companies-to-rest/" TargetMode="External"/><Relationship Id="rId26" Type="http://schemas.openxmlformats.org/officeDocument/2006/relationships/hyperlink" Target="http://www.economictimes.com" TargetMode="External"/><Relationship Id="rId39" Type="http://schemas.openxmlformats.org/officeDocument/2006/relationships/hyperlink" Target="https://s3-ap-southeast-2.amazonaws.com/bluescope-corporate-umbraco-media/media/2097/1h-fy2016-investor-presentation-final.pdf" TargetMode="External"/><Relationship Id="rId3" Type="http://schemas.openxmlformats.org/officeDocument/2006/relationships/hyperlink" Target="https://www.bluescope.com/about-us/our-business/bluescope-australia-and-new-zealand/" TargetMode="External"/><Relationship Id="rId21" Type="http://schemas.openxmlformats.org/officeDocument/2006/relationships/hyperlink" Target="http://steel.gov.in/development.htm" TargetMode="External"/><Relationship Id="rId34" Type="http://schemas.openxmlformats.org/officeDocument/2006/relationships/hyperlink" Target="http://www.ejinsight.com/20160312-how-china-could-put-zombie-companies-to-rest/" TargetMode="External"/><Relationship Id="rId42" Type="http://schemas.openxmlformats.org/officeDocument/2006/relationships/hyperlink" Target="http://www.industry.gov.au/industry/IndustryInitiatives/AustralianIndustryParticipation/Pages/Australian-Jobs-Act-2013.aspx" TargetMode="External"/><Relationship Id="rId47" Type="http://schemas.openxmlformats.org/officeDocument/2006/relationships/hyperlink" Target="http://ro.uow.edu.au/cgi/viewcontent.cgi?article=3100&amp;context=lhapapers" TargetMode="External"/><Relationship Id="rId7" Type="http://schemas.openxmlformats.org/officeDocument/2006/relationships/hyperlink" Target="http://www.oecd.org/sti/ind/excess-capacity-in-the-global-steel-industry.pdf" TargetMode="External"/><Relationship Id="rId12" Type="http://schemas.openxmlformats.org/officeDocument/2006/relationships/hyperlink" Target="https://www.usitc.gov/trade_remedy/731_ad_701_cvd/investigations/2015/Corrosion-Resistant%20Steel%20from%20China,%20India,%20Italy,%20Korea,%20and%20Taiwan/Preliminary/crs-determination-ad-prelim-pr_china.pdf" TargetMode="External"/><Relationship Id="rId17" Type="http://schemas.openxmlformats.org/officeDocument/2006/relationships/hyperlink" Target="http://www.theaustralian.com.au/business/economics/debtladen-zombie-companies-imperil-chinas-growth/news-story/4083e25e12ae4cff07cb447551079eac" TargetMode="External"/><Relationship Id="rId25" Type="http://schemas.openxmlformats.org/officeDocument/2006/relationships/hyperlink" Target="http://www.business-standard.com/article/economy-policy/govt-prunes-mip-list-to-66-steel-products-116080500037_1.html" TargetMode="External"/><Relationship Id="rId33" Type="http://schemas.openxmlformats.org/officeDocument/2006/relationships/hyperlink" Target="http://www.theaustralian.com.au/business/economics/debtladen-zombie-companies-imperil-chinas-growth/news-story/4083e25e12ae4cff07cb447551079eac" TargetMode="External"/><Relationship Id="rId38" Type="http://schemas.openxmlformats.org/officeDocument/2006/relationships/hyperlink" Target="https://s3-ap-southeast-2.amazonaws.com/bluescope-corporate-umbraco-media/media/1905/bluescope-annual-report.pdf" TargetMode="External"/><Relationship Id="rId46" Type="http://schemas.openxmlformats.org/officeDocument/2006/relationships/hyperlink" Target="http://www.statedevelopment.sa.gov.au/news-releases/all-news-updates/high-powered-steel-taskforce-to-secure-whyallas-future" TargetMode="External"/><Relationship Id="rId2" Type="http://schemas.openxmlformats.org/officeDocument/2006/relationships/hyperlink" Target="http://www.arrium.com/our-businesses/arrium-steel" TargetMode="External"/><Relationship Id="rId16" Type="http://schemas.openxmlformats.org/officeDocument/2006/relationships/hyperlink" Target="http://finance.yahoo.com/news/chinas-export-tax-cuts-could-worsen-global-steel-082427033--business.html" TargetMode="External"/><Relationship Id="rId20" Type="http://schemas.openxmlformats.org/officeDocument/2006/relationships/hyperlink" Target="http://steel.nic.in/overview.htm" TargetMode="External"/><Relationship Id="rId29" Type="http://schemas.openxmlformats.org/officeDocument/2006/relationships/hyperlink" Target="http://www.aseanbriefing.com/news/2015/08/07/indonesia-expands-list-of-pioneer-industries-eligible-for-a-tax-holiday.html" TargetMode="External"/><Relationship Id="rId41" Type="http://schemas.openxmlformats.org/officeDocument/2006/relationships/hyperlink" Target="http://www.capral.com.au/Results-Presentations" TargetMode="External"/><Relationship Id="rId1" Type="http://schemas.openxmlformats.org/officeDocument/2006/relationships/hyperlink" Target="http://www.oecd.org/sti/ind/Evaluating-Financial-Health-Steel-Industry.pdf" TargetMode="External"/><Relationship Id="rId6" Type="http://schemas.openxmlformats.org/officeDocument/2006/relationships/hyperlink" Target="http://www.oecd.org/sti/ind/Evaluating-Financial-Health-Steel-Industry.pdf" TargetMode="External"/><Relationship Id="rId11" Type="http://schemas.openxmlformats.org/officeDocument/2006/relationships/hyperlink" Target="http://www.oecd.org/sti/ind/Background%20document%20No%202_FINAL_Meeting.pdf" TargetMode="External"/><Relationship Id="rId24" Type="http://schemas.openxmlformats.org/officeDocument/2006/relationships/hyperlink" Target="http://economictimes.indiatimes.com/industry/indl-goods/svs/steel/government-extends-safeguard-duty-on-some-steel-imports-till-march-2018/articleshow/51617311.cms" TargetMode="External"/><Relationship Id="rId32" Type="http://schemas.openxmlformats.org/officeDocument/2006/relationships/hyperlink" Target="http://www.britcham.org.sg/files/images/pdfs/new_boi_policy.pdf" TargetMode="External"/><Relationship Id="rId37" Type="http://schemas.openxmlformats.org/officeDocument/2006/relationships/hyperlink" Target="https://s3-ap-southeast-2.amazonaws.com/bluescope-corporate-umbraco-media/media/1362/paul_omalley_asi_presentation.pdf" TargetMode="External"/><Relationship Id="rId40" Type="http://schemas.openxmlformats.org/officeDocument/2006/relationships/hyperlink" Target="https://s3-ap-southeast-2.amazonaws.com/bluescope-corporate-umbraco-media/media/1935/update-pack-151026.pdf" TargetMode="External"/><Relationship Id="rId45" Type="http://schemas.openxmlformats.org/officeDocument/2006/relationships/hyperlink" Target="http://www.statedevelopment.sa.gov.au/news-releases/all-news-updates/high-powered-steel-taskforce-to-secure-whyallas-future" TargetMode="External"/><Relationship Id="rId5" Type="http://schemas.openxmlformats.org/officeDocument/2006/relationships/hyperlink" Target="http://www.abs.gov.au/ausstats/abs@.nsf/ViewContent?readform&amp;view=productsbyCatalogue&amp;Action=Expand&amp;Num=2.1" TargetMode="External"/><Relationship Id="rId15" Type="http://schemas.openxmlformats.org/officeDocument/2006/relationships/hyperlink" Target="http://www.vtb.com/group/press/news/releases/392694" TargetMode="External"/><Relationship Id="rId23" Type="http://schemas.openxmlformats.org/officeDocument/2006/relationships/hyperlink" Target="http://steel.gov.in/policy.htm" TargetMode="External"/><Relationship Id="rId28" Type="http://schemas.openxmlformats.org/officeDocument/2006/relationships/hyperlink" Target="http://218.248.11.68/industries/Draft_IPR/Draft_IPR-2015.pdf" TargetMode="External"/><Relationship Id="rId36" Type="http://schemas.openxmlformats.org/officeDocument/2006/relationships/hyperlink" Target="http://az-china.com/archives/7433" TargetMode="External"/><Relationship Id="rId10" Type="http://schemas.openxmlformats.org/officeDocument/2006/relationships/hyperlink" Target="http://www.oecd.org/sti/ind/Background%20document%20No%202_FINAL_Meeting.pdf" TargetMode="External"/><Relationship Id="rId19" Type="http://schemas.openxmlformats.org/officeDocument/2006/relationships/hyperlink" Target="http://dx.doi.org/10.1787/eco_surveys-jpn-2015-en" TargetMode="External"/><Relationship Id="rId31" Type="http://schemas.openxmlformats.org/officeDocument/2006/relationships/hyperlink" Target="http://www.mida.gov.my/env3/uploads/images/invest/invest-pdf/APP1_02032012.pdf" TargetMode="External"/><Relationship Id="rId44" Type="http://schemas.openxmlformats.org/officeDocument/2006/relationships/hyperlink" Target="http://www.treasury.nsw.gov.au/__data/assets/pdf_file/0005/126941/20152610_Gladys_Berejiklian_%20med_rel_-_NSW_Government_supports_Illawarra_steelworkers.pdf" TargetMode="External"/><Relationship Id="rId4" Type="http://schemas.openxmlformats.org/officeDocument/2006/relationships/hyperlink" Target="http://www.abs.gov.au/AUSSTATS/abs@.nsf/DetailsPage/6291.0.55.003May%202016?OpenDocument" TargetMode="External"/><Relationship Id="rId9" Type="http://schemas.openxmlformats.org/officeDocument/2006/relationships/hyperlink" Target="http://www.oecd.org/sti/ind/steel-excess-capacity-outcomes.htm" TargetMode="External"/><Relationship Id="rId14" Type="http://schemas.openxmlformats.org/officeDocument/2006/relationships/hyperlink" Target="http://www.wileyrein.com/media/publication/204_Unsustainable-Government-Intervention-and-Overcapacity-in-the-Global-Steel-Industry-April-2016.pdf" TargetMode="External"/><Relationship Id="rId22" Type="http://schemas.openxmlformats.org/officeDocument/2006/relationships/hyperlink" Target="http://steel.gov.in/Outcome%20Budget%20(2015-16)/Outcome-Budget-English-2015-16.pdf" TargetMode="External"/><Relationship Id="rId27" Type="http://schemas.openxmlformats.org/officeDocument/2006/relationships/hyperlink" Target="http://www.business-standard.com/article/economy-policy/decision-on-steel-levy-likely-today" TargetMode="External"/><Relationship Id="rId30" Type="http://schemas.openxmlformats.org/officeDocument/2006/relationships/hyperlink" Target="http://www.mida.gov.my/home/basic-metal-products/posts" TargetMode="External"/><Relationship Id="rId35" Type="http://schemas.openxmlformats.org/officeDocument/2006/relationships/hyperlink" Target="http://www.smh.com.au/business/how-beijing-kicked-an-own-goal-on-aluminium-20090705-d96e.html" TargetMode="External"/><Relationship Id="rId43" Type="http://schemas.openxmlformats.org/officeDocument/2006/relationships/hyperlink" Target="http://www.minister.industry.gov.au/ministers/macfarlane/media-releases/strengthening-illawarras-economic-future" TargetMode="External"/><Relationship Id="rId48" Type="http://schemas.openxmlformats.org/officeDocument/2006/relationships/hyperlink" Target="http://europa.eu/rapid/press-release_IP-16-287_en.h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Steel%20data%20_%20Jin%20working%20on.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Steel%20data.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20160310%20Figure%20pack%20_%20aluminium.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5.xml"/><Relationship Id="rId1" Type="http://schemas.microsoft.com/office/2011/relationships/chartStyle" Target="style5.xml"/></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6.xml"/><Relationship Id="rId1" Type="http://schemas.microsoft.com/office/2011/relationships/chartStyle" Target="style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adelanew\AppData\Local\Microsoft\Windows\Temporary%20Internet%20Files\Content.Outlook\1BGLEOX7\Aluminium%20margins.xlsx"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20160310%20Figure%20pack%20_%20steel.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Steel%20data%20_%20Jin%20working%20on.xlsx" TargetMode="External"/><Relationship Id="rId1" Type="http://schemas.openxmlformats.org/officeDocument/2006/relationships/themeOverride" Target="../theme/themeOverride13.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RChaustowski\AppData\Local\Microsoft\Windows\Temporary%20Internet%20Files\Content.Outlook\UISJJ6C6\Aluminium%20charts%20and%20tables%20-%20Updated%20August%202016.xlsx" TargetMode="External"/><Relationship Id="rId2" Type="http://schemas.microsoft.com/office/2011/relationships/chartColorStyle" Target="colors7.xml"/><Relationship Id="rId1" Type="http://schemas.microsoft.com/office/2011/relationships/chartStyle" Target="style7.xml"/></Relationships>
</file>

<file path=word/charts/_rels/chart22.xml.rels><?xml version="1.0" encoding="UTF-8" standalone="yes"?>
<Relationships xmlns="http://schemas.openxmlformats.org/package/2006/relationships"><Relationship Id="rId1" Type="http://schemas.openxmlformats.org/officeDocument/2006/relationships/oleObject" Target="file:///\\prod.protected.ind\user\User02\dpeters\my%20Documents\US%20trade%20remedies%20case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prod.protected.ind\user\User02\dpeters\my%20Documents\US%20trade%20remedies%20case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prod.protected.ind\user\User02\dpeters\my%20Documents\US%20trade%20remedies%20cases.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prod.protected.ind\DATA_VI1\user\EKaranikolas\desktop\Steel%20and%20aluminium%20products%20measures_other%20jurisdictions.xlsx" TargetMode="External"/><Relationship Id="rId1" Type="http://schemas.openxmlformats.org/officeDocument/2006/relationships/themeOverride" Target="../theme/themeOverride1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_rels/chart27.xml.rels><?xml version="1.0" encoding="UTF-8" standalone="yes"?>
<Relationships xmlns="http://schemas.openxmlformats.org/package/2006/relationships"><Relationship Id="rId1" Type="http://schemas.openxmlformats.org/officeDocument/2006/relationships/oleObject" Target="file:///\\prod.protected.ind\group\ADCommission\T&amp;C_Trade%20Measures\_Branch%20Data\Operations%20Co-ordination\Dashboard%20Reporting%20Matrix\Monthly%20Statistics%20-%20Archive\2015-16\Performance%20Measures%20July%202016%20for%20steel%20report.xlsx" TargetMode="External"/></Relationships>
</file>

<file path=word/charts/_rels/chart28.xml.rels><?xml version="1.0" encoding="UTF-8" standalone="yes"?>
<Relationships xmlns="http://schemas.openxmlformats.org/package/2006/relationships"><Relationship Id="rId2" Type="http://schemas.openxmlformats.org/officeDocument/2006/relationships/oleObject" Target="file:///\\prod.protected.ind\DATA_VI1\user\EKaranikolas\desktop\measures%20in%20force%20aus.xlsx" TargetMode="External"/><Relationship Id="rId1" Type="http://schemas.openxmlformats.org/officeDocument/2006/relationships/themeOverride" Target="../theme/themeOverride15.xml"/></Relationships>
</file>

<file path=word/charts/_rels/chart29.xml.rels><?xml version="1.0" encoding="UTF-8" standalone="yes"?>
<Relationships xmlns="http://schemas.openxmlformats.org/package/2006/relationships"><Relationship Id="rId1" Type="http://schemas.openxmlformats.org/officeDocument/2006/relationships/oleObject" Target="file:///\\prod.protected.ind\group\ADCommission\T&amp;C_Trade%20Measures\_Branch%20Data\Operations%20Co-ordination\Dashboard%20Reporting%20Matrix\Monthly%20Statistics%20-%20Archive\2015-16\Performance%20Measures%20July%202016%20for%20steel%20report.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oleObject" Target="file:///\\prod.protected.ind\group\ADCommission\T&amp;C_Trade%20Measures\_Branch%20Data\Operations%20Co-ordination\Dashboard%20Reporting%20Matrix\Monthly%20Statistics%20-%20Archive\2015-16\Performance%20Measures%20July%202016%20for%20steel%20report.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Copy%20of%20Aluminium%20Data%20-%20Master%20-%20TN%20-%20V2%20Jin%20is%20working%20on%20_%20update.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20160305%20Figure%20pack.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prod.protected.ind\group\OCE\IEB\SA\Briefs\Steel%20and%20Aluminium%20Dumping\Steel%20data.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28018372703412"/>
          <c:y val="6.0185185185185182E-2"/>
          <c:w val="0.8553864829396326"/>
          <c:h val="0.71044663831054455"/>
        </c:manualLayout>
      </c:layout>
      <c:lineChart>
        <c:grouping val="standard"/>
        <c:varyColors val="0"/>
        <c:ser>
          <c:idx val="0"/>
          <c:order val="0"/>
          <c:tx>
            <c:strRef>
              <c:f>Sheet1!$H$3</c:f>
              <c:strCache>
                <c:ptCount val="1"/>
                <c:pt idx="0">
                  <c:v>World steel consumption growth</c:v>
                </c:pt>
              </c:strCache>
            </c:strRef>
          </c:tx>
          <c:spPr>
            <a:ln>
              <a:solidFill>
                <a:srgbClr val="292B67"/>
              </a:solidFill>
              <a:prstDash val="solid"/>
            </a:ln>
          </c:spPr>
          <c:marker>
            <c:symbol val="none"/>
          </c:marker>
          <c:cat>
            <c:numRef>
              <c:f>Sheet1!$G$5:$G$15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Sheet1!$H$5:$H$15</c:f>
              <c:numCache>
                <c:formatCode>General</c:formatCode>
                <c:ptCount val="11"/>
                <c:pt idx="0">
                  <c:v>7.6136923097237297</c:v>
                </c:pt>
                <c:pt idx="1">
                  <c:v>9.2900964066608296</c:v>
                </c:pt>
                <c:pt idx="2">
                  <c:v>6.655974338412185</c:v>
                </c:pt>
                <c:pt idx="3">
                  <c:v>0.45112781954887993</c:v>
                </c:pt>
                <c:pt idx="4">
                  <c:v>-7.5598802395209557</c:v>
                </c:pt>
                <c:pt idx="5">
                  <c:v>14.251012145748998</c:v>
                </c:pt>
                <c:pt idx="6">
                  <c:v>8.008504606661937</c:v>
                </c:pt>
                <c:pt idx="7">
                  <c:v>1.9685039370078705</c:v>
                </c:pt>
                <c:pt idx="8">
                  <c:v>6.1132561132561047</c:v>
                </c:pt>
                <c:pt idx="9">
                  <c:v>0.84899939357185872</c:v>
                </c:pt>
              </c:numCache>
            </c:numRef>
          </c:val>
          <c:smooth val="1"/>
        </c:ser>
        <c:ser>
          <c:idx val="1"/>
          <c:order val="1"/>
          <c:tx>
            <c:strRef>
              <c:f>Sheet1!$I$3</c:f>
              <c:strCache>
                <c:ptCount val="1"/>
                <c:pt idx="0">
                  <c:v>World aluminium consumption growth</c:v>
                </c:pt>
              </c:strCache>
            </c:strRef>
          </c:tx>
          <c:spPr>
            <a:ln>
              <a:solidFill>
                <a:srgbClr val="9ED9DF"/>
              </a:solidFill>
              <a:prstDash val="solid"/>
            </a:ln>
          </c:spPr>
          <c:marker>
            <c:symbol val="none"/>
          </c:marker>
          <c:cat>
            <c:numRef>
              <c:f>Sheet1!$G$5:$G$15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Sheet1!$I$5:$I$15</c:f>
              <c:numCache>
                <c:formatCode>General</c:formatCode>
                <c:ptCount val="11"/>
                <c:pt idx="0">
                  <c:v>5.7806475612985908</c:v>
                </c:pt>
                <c:pt idx="1">
                  <c:v>7.0881731934537617</c:v>
                </c:pt>
                <c:pt idx="2">
                  <c:v>10.2393919150086</c:v>
                </c:pt>
                <c:pt idx="3">
                  <c:v>-1.3610735685966047</c:v>
                </c:pt>
                <c:pt idx="4">
                  <c:v>-6.3084145454762037</c:v>
                </c:pt>
                <c:pt idx="5">
                  <c:v>16.222180737678716</c:v>
                </c:pt>
                <c:pt idx="6">
                  <c:v>6.8762626816309735</c:v>
                </c:pt>
                <c:pt idx="7">
                  <c:v>7.0295652032980938</c:v>
                </c:pt>
                <c:pt idx="8">
                  <c:v>1.1584407968956212</c:v>
                </c:pt>
                <c:pt idx="9">
                  <c:v>14.64599691945403</c:v>
                </c:pt>
                <c:pt idx="10">
                  <c:v>7.091946291677087</c:v>
                </c:pt>
              </c:numCache>
            </c:numRef>
          </c:val>
          <c:smooth val="1"/>
        </c:ser>
        <c:ser>
          <c:idx val="2"/>
          <c:order val="2"/>
          <c:tx>
            <c:strRef>
              <c:f>Sheet1!$J$3</c:f>
              <c:strCache>
                <c:ptCount val="1"/>
                <c:pt idx="0">
                  <c:v>World GDP growth</c:v>
                </c:pt>
              </c:strCache>
            </c:strRef>
          </c:tx>
          <c:spPr>
            <a:ln>
              <a:solidFill>
                <a:srgbClr val="22789A"/>
              </a:solidFill>
              <a:prstDash val="solid"/>
            </a:ln>
          </c:spPr>
          <c:marker>
            <c:symbol val="none"/>
          </c:marker>
          <c:cat>
            <c:numRef>
              <c:f>Sheet1!$G$5:$G$15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Sheet1!$J$5:$J$15</c:f>
              <c:numCache>
                <c:formatCode>0.0000</c:formatCode>
                <c:ptCount val="11"/>
                <c:pt idx="0">
                  <c:v>4.8609999999999998</c:v>
                </c:pt>
                <c:pt idx="1">
                  <c:v>5.5350000000000001</c:v>
                </c:pt>
                <c:pt idx="2">
                  <c:v>5.6840000000000002</c:v>
                </c:pt>
                <c:pt idx="3">
                  <c:v>3.0579999999999998</c:v>
                </c:pt>
                <c:pt idx="4">
                  <c:v>-8.9999999999999993E-3</c:v>
                </c:pt>
                <c:pt idx="5">
                  <c:v>5.3789999999999996</c:v>
                </c:pt>
                <c:pt idx="6">
                  <c:v>4.1689999999999996</c:v>
                </c:pt>
                <c:pt idx="7">
                  <c:v>3.4039999999999999</c:v>
                </c:pt>
                <c:pt idx="8">
                  <c:v>3.4079999999999999</c:v>
                </c:pt>
                <c:pt idx="9">
                  <c:v>3.3889999999999998</c:v>
                </c:pt>
                <c:pt idx="10">
                  <c:v>3.3889999999999998</c:v>
                </c:pt>
              </c:numCache>
            </c:numRef>
          </c:val>
          <c:smooth val="1"/>
        </c:ser>
        <c:dLbls>
          <c:showLegendKey val="0"/>
          <c:showVal val="0"/>
          <c:showCatName val="0"/>
          <c:showSerName val="0"/>
          <c:showPercent val="0"/>
          <c:showBubbleSize val="0"/>
        </c:dLbls>
        <c:smooth val="0"/>
        <c:axId val="272729464"/>
        <c:axId val="272729856"/>
      </c:lineChart>
      <c:catAx>
        <c:axId val="272729464"/>
        <c:scaling>
          <c:orientation val="minMax"/>
        </c:scaling>
        <c:delete val="0"/>
        <c:axPos val="b"/>
        <c:numFmt formatCode="General" sourceLinked="1"/>
        <c:majorTickMark val="none"/>
        <c:minorTickMark val="none"/>
        <c:tickLblPos val="low"/>
        <c:txPr>
          <a:bodyPr/>
          <a:lstStyle/>
          <a:p>
            <a:pPr>
              <a:defRPr>
                <a:solidFill>
                  <a:sysClr val="windowText" lastClr="000000"/>
                </a:solidFill>
              </a:defRPr>
            </a:pPr>
            <a:endParaRPr lang="en-US"/>
          </a:p>
        </c:txPr>
        <c:crossAx val="272729856"/>
        <c:crosses val="autoZero"/>
        <c:auto val="1"/>
        <c:lblAlgn val="ctr"/>
        <c:lblOffset val="100"/>
        <c:tickLblSkip val="2"/>
        <c:noMultiLvlLbl val="0"/>
      </c:catAx>
      <c:valAx>
        <c:axId val="272729856"/>
        <c:scaling>
          <c:orientation val="minMax"/>
        </c:scaling>
        <c:delete val="0"/>
        <c:axPos val="l"/>
        <c:majorGridlines>
          <c:spPr>
            <a:ln>
              <a:noFill/>
            </a:ln>
          </c:spPr>
        </c:majorGridlines>
        <c:title>
          <c:tx>
            <c:rich>
              <a:bodyPr rot="-5400000" vert="horz"/>
              <a:lstStyle/>
              <a:p>
                <a:pPr>
                  <a:defRPr b="0">
                    <a:ln>
                      <a:noFill/>
                    </a:ln>
                    <a:solidFill>
                      <a:sysClr val="windowText" lastClr="000000"/>
                    </a:solidFill>
                    <a:latin typeface="Arial" panose="020B0604020202020204" pitchFamily="34" charset="0"/>
                    <a:cs typeface="Arial" panose="020B0604020202020204" pitchFamily="34" charset="0"/>
                  </a:defRPr>
                </a:pPr>
                <a:r>
                  <a:rPr lang="en-AU" b="0">
                    <a:ln>
                      <a:noFill/>
                    </a:ln>
                    <a:solidFill>
                      <a:sysClr val="windowText" lastClr="000000"/>
                    </a:solidFill>
                    <a:latin typeface="Arial" panose="020B0604020202020204" pitchFamily="34" charset="0"/>
                    <a:cs typeface="Arial" panose="020B0604020202020204" pitchFamily="34" charset="0"/>
                  </a:rPr>
                  <a:t>Growth (per cent)</a:t>
                </a:r>
              </a:p>
            </c:rich>
          </c:tx>
          <c:overlay val="0"/>
        </c:title>
        <c:numFmt formatCode="General" sourceLinked="1"/>
        <c:majorTickMark val="out"/>
        <c:minorTickMark val="none"/>
        <c:tickLblPos val="nextTo"/>
        <c:txPr>
          <a:bodyPr/>
          <a:lstStyle/>
          <a:p>
            <a:pPr>
              <a:defRPr>
                <a:solidFill>
                  <a:sysClr val="windowText" lastClr="000000"/>
                </a:solidFill>
              </a:defRPr>
            </a:pPr>
            <a:endParaRPr lang="en-US"/>
          </a:p>
        </c:txPr>
        <c:crossAx val="272729464"/>
        <c:crossesAt val="1"/>
        <c:crossBetween val="between"/>
      </c:valAx>
    </c:plotArea>
    <c:legend>
      <c:legendPos val="b"/>
      <c:layout>
        <c:manualLayout>
          <c:xMode val="edge"/>
          <c:yMode val="edge"/>
          <c:x val="3.1655111142080694E-2"/>
          <c:y val="0.84586834582974968"/>
          <c:w val="0.93000349956255468"/>
          <c:h val="0.13051472732575095"/>
        </c:manualLayout>
      </c:layout>
      <c:overlay val="0"/>
    </c:legend>
    <c:plotVisOnly val="1"/>
    <c:dispBlanksAs val="gap"/>
    <c:showDLblsOverMax val="0"/>
  </c:chart>
  <c:spPr>
    <a:ln>
      <a:noFill/>
    </a:ln>
  </c:spPr>
  <c:txPr>
    <a:bodyPr/>
    <a:lstStyle/>
    <a:p>
      <a:pPr>
        <a:defRPr sz="800">
          <a:solidFill>
            <a:srgbClr val="595A5B"/>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'Figure 2.10'!$U$13</c:f>
              <c:strCache>
                <c:ptCount val="1"/>
                <c:pt idx="0">
                  <c:v>Coke Making</c:v>
                </c:pt>
              </c:strCache>
            </c:strRef>
          </c:tx>
          <c:spPr>
            <a:solidFill>
              <a:srgbClr val="292B67"/>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2.10'!$U$14:$U$20</c:f>
              <c:numCache>
                <c:formatCode>0</c:formatCode>
                <c:ptCount val="7"/>
                <c:pt idx="0">
                  <c:v>2.5733333333333333</c:v>
                </c:pt>
                <c:pt idx="1">
                  <c:v>5.64388489208633</c:v>
                </c:pt>
                <c:pt idx="2">
                  <c:v>4.3428571428571425</c:v>
                </c:pt>
                <c:pt idx="3">
                  <c:v>7.1</c:v>
                </c:pt>
                <c:pt idx="4">
                  <c:v>5.052173913043478</c:v>
                </c:pt>
                <c:pt idx="5">
                  <c:v>5.344444444444445</c:v>
                </c:pt>
                <c:pt idx="6">
                  <c:v>0.7728571428571428</c:v>
                </c:pt>
              </c:numCache>
            </c:numRef>
          </c:val>
        </c:ser>
        <c:ser>
          <c:idx val="1"/>
          <c:order val="1"/>
          <c:tx>
            <c:strRef>
              <c:f>'Figure 2.10'!$V$13</c:f>
              <c:strCache>
                <c:ptCount val="1"/>
                <c:pt idx="0">
                  <c:v>Sintering</c:v>
                </c:pt>
              </c:strCache>
            </c:strRef>
          </c:tx>
          <c:spPr>
            <a:solidFill>
              <a:srgbClr val="9ED9DF"/>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2.10'!$V$14:$V$20</c:f>
              <c:numCache>
                <c:formatCode>0</c:formatCode>
                <c:ptCount val="7"/>
                <c:pt idx="0">
                  <c:v>4.0599999999999996</c:v>
                </c:pt>
                <c:pt idx="1">
                  <c:v>12.716546762589932</c:v>
                </c:pt>
                <c:pt idx="2">
                  <c:v>5.9142857142857137</c:v>
                </c:pt>
                <c:pt idx="3">
                  <c:v>5.2</c:v>
                </c:pt>
                <c:pt idx="4">
                  <c:v>12.660869565217391</c:v>
                </c:pt>
                <c:pt idx="5">
                  <c:v>10.662962962962965</c:v>
                </c:pt>
                <c:pt idx="6">
                  <c:v>0.11142857142857142</c:v>
                </c:pt>
              </c:numCache>
            </c:numRef>
          </c:val>
        </c:ser>
        <c:ser>
          <c:idx val="2"/>
          <c:order val="2"/>
          <c:tx>
            <c:strRef>
              <c:f>'Figure 2.10'!$W$13</c:f>
              <c:strCache>
                <c:ptCount val="1"/>
                <c:pt idx="0">
                  <c:v>BF Pig Iron Making</c:v>
                </c:pt>
              </c:strCache>
            </c:strRef>
          </c:tx>
          <c:spPr>
            <a:solidFill>
              <a:srgbClr val="22789A"/>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2.10'!$W$14:$W$20</c:f>
              <c:numCache>
                <c:formatCode>0</c:formatCode>
                <c:ptCount val="7"/>
                <c:pt idx="0">
                  <c:v>6.833333333333333</c:v>
                </c:pt>
                <c:pt idx="1">
                  <c:v>20.865467625899271</c:v>
                </c:pt>
                <c:pt idx="2">
                  <c:v>10.1</c:v>
                </c:pt>
                <c:pt idx="3">
                  <c:v>16.824999999999999</c:v>
                </c:pt>
                <c:pt idx="4">
                  <c:v>13.278260869565216</c:v>
                </c:pt>
                <c:pt idx="5">
                  <c:v>15.648148148148145</c:v>
                </c:pt>
                <c:pt idx="6">
                  <c:v>3.8185714285714281</c:v>
                </c:pt>
              </c:numCache>
            </c:numRef>
          </c:val>
        </c:ser>
        <c:ser>
          <c:idx val="3"/>
          <c:order val="3"/>
          <c:tx>
            <c:strRef>
              <c:f>'Figure 2.10'!$X$13</c:f>
              <c:strCache>
                <c:ptCount val="1"/>
                <c:pt idx="0">
                  <c:v>Steel Making</c:v>
                </c:pt>
              </c:strCache>
            </c:strRef>
          </c:tx>
          <c:spPr>
            <a:solidFill>
              <a:srgbClr val="BCBFC1"/>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2.10'!$X$14:$X$20</c:f>
              <c:numCache>
                <c:formatCode>0</c:formatCode>
                <c:ptCount val="7"/>
                <c:pt idx="0">
                  <c:v>39.080000000000005</c:v>
                </c:pt>
                <c:pt idx="1">
                  <c:v>32.542446043165462</c:v>
                </c:pt>
                <c:pt idx="2">
                  <c:v>67.214285714285708</c:v>
                </c:pt>
                <c:pt idx="3">
                  <c:v>59.099999999999994</c:v>
                </c:pt>
                <c:pt idx="4">
                  <c:v>53.830434782608691</c:v>
                </c:pt>
                <c:pt idx="5">
                  <c:v>83.714814814814815</c:v>
                </c:pt>
                <c:pt idx="6">
                  <c:v>87.167142857142835</c:v>
                </c:pt>
              </c:numCache>
            </c:numRef>
          </c:val>
        </c:ser>
        <c:ser>
          <c:idx val="4"/>
          <c:order val="4"/>
          <c:tx>
            <c:strRef>
              <c:f>'Figure 2.10'!$Y$13</c:f>
              <c:strCache>
                <c:ptCount val="1"/>
                <c:pt idx="0">
                  <c:v>Refining &amp; Casting</c:v>
                </c:pt>
              </c:strCache>
            </c:strRef>
          </c:tx>
          <c:spPr>
            <a:solidFill>
              <a:srgbClr val="595A5B"/>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2.10'!$Y$14:$Y$20</c:f>
              <c:numCache>
                <c:formatCode>0</c:formatCode>
                <c:ptCount val="7"/>
                <c:pt idx="0">
                  <c:v>45.606666666666669</c:v>
                </c:pt>
                <c:pt idx="1">
                  <c:v>47.72446043165467</c:v>
                </c:pt>
                <c:pt idx="2">
                  <c:v>57.8</c:v>
                </c:pt>
                <c:pt idx="3">
                  <c:v>56.575000000000003</c:v>
                </c:pt>
                <c:pt idx="4">
                  <c:v>51.513043478260876</c:v>
                </c:pt>
                <c:pt idx="5">
                  <c:v>61.911111111111104</c:v>
                </c:pt>
                <c:pt idx="6">
                  <c:v>63.499999999999986</c:v>
                </c:pt>
              </c:numCache>
            </c:numRef>
          </c:val>
        </c:ser>
        <c:ser>
          <c:idx val="5"/>
          <c:order val="5"/>
          <c:tx>
            <c:strRef>
              <c:f>'Figure 2.10'!$Z$13</c:f>
              <c:strCache>
                <c:ptCount val="1"/>
                <c:pt idx="0">
                  <c:v>Admin &amp; Support</c:v>
                </c:pt>
              </c:strCache>
            </c:strRef>
          </c:tx>
          <c:spPr>
            <a:solidFill>
              <a:srgbClr val="56B4DF"/>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2.10'!$Z$14:$Z$20</c:f>
              <c:numCache>
                <c:formatCode>0</c:formatCode>
                <c:ptCount val="7"/>
                <c:pt idx="0">
                  <c:v>9.82</c:v>
                </c:pt>
                <c:pt idx="1">
                  <c:v>11.946762589928067</c:v>
                </c:pt>
                <c:pt idx="2">
                  <c:v>14.528571428571428</c:v>
                </c:pt>
                <c:pt idx="3">
                  <c:v>14.475000000000001</c:v>
                </c:pt>
                <c:pt idx="4">
                  <c:v>13.630434782608695</c:v>
                </c:pt>
                <c:pt idx="5">
                  <c:v>17.729629629629628</c:v>
                </c:pt>
                <c:pt idx="6">
                  <c:v>15.531428571428572</c:v>
                </c:pt>
              </c:numCache>
            </c:numRef>
          </c:val>
        </c:ser>
        <c:ser>
          <c:idx val="6"/>
          <c:order val="6"/>
          <c:tx>
            <c:strRef>
              <c:f>'Figure 2.10'!$AA$13</c:f>
              <c:strCache>
                <c:ptCount val="1"/>
                <c:pt idx="0">
                  <c:v>Ferrous Feed Cost</c:v>
                </c:pt>
              </c:strCache>
            </c:strRef>
          </c:tx>
          <c:spPr>
            <a:solidFill>
              <a:srgbClr val="0072B2"/>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2.10'!$AA$14:$AA$20</c:f>
              <c:numCache>
                <c:formatCode>0</c:formatCode>
                <c:ptCount val="7"/>
                <c:pt idx="0">
                  <c:v>132.64000000000001</c:v>
                </c:pt>
                <c:pt idx="1">
                  <c:v>104.7143884892086</c:v>
                </c:pt>
                <c:pt idx="2">
                  <c:v>129.5</c:v>
                </c:pt>
                <c:pt idx="3">
                  <c:v>125.075</c:v>
                </c:pt>
                <c:pt idx="4">
                  <c:v>120.02608695652174</c:v>
                </c:pt>
                <c:pt idx="5">
                  <c:v>118.02222222222223</c:v>
                </c:pt>
                <c:pt idx="6">
                  <c:v>195.59000000000006</c:v>
                </c:pt>
              </c:numCache>
            </c:numRef>
          </c:val>
        </c:ser>
        <c:ser>
          <c:idx val="7"/>
          <c:order val="7"/>
          <c:tx>
            <c:strRef>
              <c:f>'Figure 2.10'!$AB$13</c:f>
              <c:strCache>
                <c:ptCount val="1"/>
                <c:pt idx="0">
                  <c:v>Coal Feed Cost</c:v>
                </c:pt>
              </c:strCache>
            </c:strRef>
          </c:tx>
          <c:spPr>
            <a:solidFill>
              <a:srgbClr val="000000"/>
            </a:solidFill>
            <a:ln>
              <a:noFill/>
            </a:ln>
            <a:effectLst/>
          </c:spPr>
          <c:invertIfNegative val="0"/>
          <c:cat>
            <c:strRef>
              <c:f>'Figure 2.10'!$T$14:$T$20</c:f>
              <c:strCache>
                <c:ptCount val="7"/>
                <c:pt idx="0">
                  <c:v>Russia</c:v>
                </c:pt>
                <c:pt idx="1">
                  <c:v>China</c:v>
                </c:pt>
                <c:pt idx="2">
                  <c:v>South Korea</c:v>
                </c:pt>
                <c:pt idx="3">
                  <c:v>Australia</c:v>
                </c:pt>
                <c:pt idx="4">
                  <c:v>India</c:v>
                </c:pt>
                <c:pt idx="5">
                  <c:v>Japan</c:v>
                </c:pt>
                <c:pt idx="6">
                  <c:v>United States</c:v>
                </c:pt>
              </c:strCache>
            </c:strRef>
          </c:cat>
          <c:val>
            <c:numRef>
              <c:f>'Figure 2.10'!$AB$14:$AB$20</c:f>
              <c:numCache>
                <c:formatCode>0</c:formatCode>
                <c:ptCount val="7"/>
                <c:pt idx="0">
                  <c:v>20.873333333333331</c:v>
                </c:pt>
                <c:pt idx="1">
                  <c:v>62.062589928057562</c:v>
                </c:pt>
                <c:pt idx="2">
                  <c:v>21.185714285714287</c:v>
                </c:pt>
                <c:pt idx="3">
                  <c:v>27</c:v>
                </c:pt>
                <c:pt idx="4">
                  <c:v>43.152173913043477</c:v>
                </c:pt>
                <c:pt idx="5">
                  <c:v>34.277777777777779</c:v>
                </c:pt>
                <c:pt idx="6">
                  <c:v>9.4985714285714291</c:v>
                </c:pt>
              </c:numCache>
            </c:numRef>
          </c:val>
        </c:ser>
        <c:dLbls>
          <c:showLegendKey val="0"/>
          <c:showVal val="0"/>
          <c:showCatName val="0"/>
          <c:showSerName val="0"/>
          <c:showPercent val="0"/>
          <c:showBubbleSize val="0"/>
        </c:dLbls>
        <c:gapWidth val="150"/>
        <c:overlap val="100"/>
        <c:axId val="424530784"/>
        <c:axId val="424531176"/>
      </c:barChart>
      <c:catAx>
        <c:axId val="424530784"/>
        <c:scaling>
          <c:orientation val="minMax"/>
        </c:scaling>
        <c:delete val="0"/>
        <c:axPos val="b"/>
        <c:numFmt formatCode="General" sourceLinked="1"/>
        <c:majorTickMark val="none"/>
        <c:minorTickMark val="none"/>
        <c:tickLblPos val="nextTo"/>
        <c:spPr>
          <a:noFill/>
          <a:ln w="9525" cap="flat" cmpd="sng" algn="ctr">
            <a:solidFill>
              <a:srgbClr val="868686"/>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4531176"/>
        <c:crosses val="autoZero"/>
        <c:auto val="1"/>
        <c:lblAlgn val="ctr"/>
        <c:lblOffset val="100"/>
        <c:noMultiLvlLbl val="0"/>
      </c:catAx>
      <c:valAx>
        <c:axId val="42453117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r>
                  <a:rPr lang="en-AU" b="0">
                    <a:solidFill>
                      <a:sysClr val="windowText" lastClr="000000"/>
                    </a:solidFill>
                  </a:rPr>
                  <a:t>US$/t</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title>
        <c:numFmt formatCode="0" sourceLinked="1"/>
        <c:majorTickMark val="none"/>
        <c:minorTickMark val="none"/>
        <c:tickLblPos val="nextTo"/>
        <c:spPr>
          <a:noFill/>
          <a:ln w="9525">
            <a:solidFill>
              <a:srgbClr val="868686"/>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4530784"/>
        <c:crosses val="autoZero"/>
        <c:crossBetween val="between"/>
        <c:majorUnit val="100"/>
      </c:valAx>
      <c:spPr>
        <a:noFill/>
        <a:ln w="25400">
          <a:noFill/>
        </a:ln>
        <a:effectLst/>
      </c:spPr>
    </c:plotArea>
    <c:legend>
      <c:legendPos val="b"/>
      <c:layout>
        <c:manualLayout>
          <c:xMode val="edge"/>
          <c:yMode val="edge"/>
          <c:x val="0.12076032319580704"/>
          <c:y val="0.83089869863827992"/>
          <c:w val="0.84489637111337157"/>
          <c:h val="0.1412267369017897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3762254673788"/>
          <c:y val="5.1286128209474931E-2"/>
          <c:w val="0.84053425925925929"/>
          <c:h val="0.72283938466025077"/>
        </c:manualLayout>
      </c:layout>
      <c:lineChart>
        <c:grouping val="standard"/>
        <c:varyColors val="0"/>
        <c:ser>
          <c:idx val="0"/>
          <c:order val="0"/>
          <c:tx>
            <c:strRef>
              <c:f>'Australia production by plant'!$M$3</c:f>
              <c:strCache>
                <c:ptCount val="1"/>
                <c:pt idx="0">
                  <c:v>Blast furnace</c:v>
                </c:pt>
              </c:strCache>
            </c:strRef>
          </c:tx>
          <c:spPr>
            <a:ln>
              <a:solidFill>
                <a:srgbClr val="292B67"/>
              </a:solidFill>
            </a:ln>
          </c:spPr>
          <c:marker>
            <c:symbol val="none"/>
          </c:marker>
          <c:cat>
            <c:numRef>
              <c:f>'Australia production by plant'!$L$4:$L$24</c:f>
              <c:numCache>
                <c:formatCode>General</c:formatCod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numCache>
            </c:numRef>
          </c:cat>
          <c:val>
            <c:numRef>
              <c:f>'Australia production by plant'!$M$4:$M$24</c:f>
              <c:numCache>
                <c:formatCode>0</c:formatCode>
                <c:ptCount val="21"/>
                <c:pt idx="0">
                  <c:v>7475.6480000000001</c:v>
                </c:pt>
                <c:pt idx="1">
                  <c:v>7370.549</c:v>
                </c:pt>
                <c:pt idx="2">
                  <c:v>7732</c:v>
                </c:pt>
                <c:pt idx="3">
                  <c:v>7745</c:v>
                </c:pt>
                <c:pt idx="4">
                  <c:v>6998.4000000000005</c:v>
                </c:pt>
                <c:pt idx="5">
                  <c:v>5962.6710000000003</c:v>
                </c:pt>
                <c:pt idx="6">
                  <c:v>5688.4690000000001</c:v>
                </c:pt>
                <c:pt idx="7">
                  <c:v>6120.8446212804329</c:v>
                </c:pt>
                <c:pt idx="8">
                  <c:v>6277.8088106402156</c:v>
                </c:pt>
                <c:pt idx="9">
                  <c:v>5946.7160000000003</c:v>
                </c:pt>
                <c:pt idx="10">
                  <c:v>6351.9359999999997</c:v>
                </c:pt>
                <c:pt idx="11">
                  <c:v>6404.1907833358764</c:v>
                </c:pt>
                <c:pt idx="12">
                  <c:v>6436.8629999999994</c:v>
                </c:pt>
                <c:pt idx="13">
                  <c:v>6158.49</c:v>
                </c:pt>
                <c:pt idx="14">
                  <c:v>4328.6509999999998</c:v>
                </c:pt>
                <c:pt idx="15">
                  <c:v>6067.9589999999998</c:v>
                </c:pt>
                <c:pt idx="16">
                  <c:v>5280.4040000000005</c:v>
                </c:pt>
                <c:pt idx="17">
                  <c:v>3781.5239999999999</c:v>
                </c:pt>
                <c:pt idx="18">
                  <c:v>3640.9</c:v>
                </c:pt>
                <c:pt idx="19">
                  <c:v>3572.2999999999997</c:v>
                </c:pt>
                <c:pt idx="20">
                  <c:v>3795.2999999999997</c:v>
                </c:pt>
              </c:numCache>
            </c:numRef>
          </c:val>
          <c:smooth val="1"/>
        </c:ser>
        <c:ser>
          <c:idx val="1"/>
          <c:order val="1"/>
          <c:tx>
            <c:strRef>
              <c:f>'Australia production by plant'!$N$3</c:f>
              <c:strCache>
                <c:ptCount val="1"/>
                <c:pt idx="0">
                  <c:v>Electric arc furnace</c:v>
                </c:pt>
              </c:strCache>
            </c:strRef>
          </c:tx>
          <c:spPr>
            <a:ln>
              <a:solidFill>
                <a:srgbClr val="9ED9DF"/>
              </a:solidFill>
            </a:ln>
          </c:spPr>
          <c:marker>
            <c:symbol val="none"/>
          </c:marker>
          <c:cat>
            <c:numRef>
              <c:f>'Australia production by plant'!$L$4:$L$24</c:f>
              <c:numCache>
                <c:formatCode>General</c:formatCod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numCache>
            </c:numRef>
          </c:cat>
          <c:val>
            <c:numRef>
              <c:f>'Australia production by plant'!$N$4:$N$24</c:f>
              <c:numCache>
                <c:formatCode>0</c:formatCode>
                <c:ptCount val="21"/>
                <c:pt idx="0">
                  <c:v>1004.8620000000001</c:v>
                </c:pt>
                <c:pt idx="1">
                  <c:v>1058.838</c:v>
                </c:pt>
                <c:pt idx="2">
                  <c:v>1105</c:v>
                </c:pt>
                <c:pt idx="3">
                  <c:v>1141</c:v>
                </c:pt>
                <c:pt idx="4">
                  <c:v>1164</c:v>
                </c:pt>
                <c:pt idx="5">
                  <c:v>1334</c:v>
                </c:pt>
                <c:pt idx="6">
                  <c:v>1387.5</c:v>
                </c:pt>
                <c:pt idx="7">
                  <c:v>1429.5322548766921</c:v>
                </c:pt>
                <c:pt idx="8">
                  <c:v>1437.1901911575189</c:v>
                </c:pt>
                <c:pt idx="9">
                  <c:v>1464.673</c:v>
                </c:pt>
                <c:pt idx="10">
                  <c:v>1428.1184000000001</c:v>
                </c:pt>
                <c:pt idx="11">
                  <c:v>1443.7424000000001</c:v>
                </c:pt>
                <c:pt idx="12">
                  <c:v>1505.0829999999999</c:v>
                </c:pt>
                <c:pt idx="13">
                  <c:v>1420.3910000000001</c:v>
                </c:pt>
                <c:pt idx="14">
                  <c:v>806.04399999999998</c:v>
                </c:pt>
                <c:pt idx="15">
                  <c:v>1340</c:v>
                </c:pt>
                <c:pt idx="16">
                  <c:v>1257.7179999999998</c:v>
                </c:pt>
                <c:pt idx="17">
                  <c:v>1069.3879999999999</c:v>
                </c:pt>
                <c:pt idx="18">
                  <c:v>1090</c:v>
                </c:pt>
                <c:pt idx="19">
                  <c:v>1010</c:v>
                </c:pt>
                <c:pt idx="20">
                  <c:v>1140</c:v>
                </c:pt>
              </c:numCache>
            </c:numRef>
          </c:val>
          <c:smooth val="1"/>
        </c:ser>
        <c:dLbls>
          <c:showLegendKey val="0"/>
          <c:showVal val="0"/>
          <c:showCatName val="0"/>
          <c:showSerName val="0"/>
          <c:showPercent val="0"/>
          <c:showBubbleSize val="0"/>
        </c:dLbls>
        <c:smooth val="0"/>
        <c:axId val="424534312"/>
        <c:axId val="424535096"/>
      </c:lineChart>
      <c:catAx>
        <c:axId val="424534312"/>
        <c:scaling>
          <c:orientation val="minMax"/>
        </c:scaling>
        <c:delete val="0"/>
        <c:axPos val="b"/>
        <c:numFmt formatCode="General" sourceLinked="1"/>
        <c:majorTickMark val="none"/>
        <c:minorTickMark val="none"/>
        <c:tickLblPos val="nextTo"/>
        <c:spPr>
          <a:ln>
            <a:solidFill>
              <a:srgbClr val="BCBFC1"/>
            </a:solidFill>
          </a:ln>
        </c:spPr>
        <c:crossAx val="424535096"/>
        <c:crosses val="autoZero"/>
        <c:auto val="1"/>
        <c:lblAlgn val="ctr"/>
        <c:lblOffset val="100"/>
        <c:tickLblSkip val="2"/>
        <c:noMultiLvlLbl val="0"/>
      </c:catAx>
      <c:valAx>
        <c:axId val="424535096"/>
        <c:scaling>
          <c:orientation val="minMax"/>
        </c:scaling>
        <c:delete val="0"/>
        <c:axPos val="l"/>
        <c:numFmt formatCode="0" sourceLinked="1"/>
        <c:majorTickMark val="none"/>
        <c:minorTickMark val="none"/>
        <c:tickLblPos val="nextTo"/>
        <c:spPr>
          <a:ln>
            <a:solidFill>
              <a:srgbClr val="BCBFC1"/>
            </a:solidFill>
          </a:ln>
        </c:spPr>
        <c:crossAx val="424534312"/>
        <c:crosses val="autoZero"/>
        <c:crossBetween val="between"/>
        <c:majorUnit val="2000"/>
        <c:minorUnit val="500"/>
        <c:dispUnits>
          <c:builtInUnit val="thousands"/>
          <c:dispUnitsLbl>
            <c:layout>
              <c:manualLayout>
                <c:xMode val="edge"/>
                <c:yMode val="edge"/>
                <c:x val="4.6758779961968235E-2"/>
                <c:y val="0.29446013012293287"/>
              </c:manualLayout>
            </c:layout>
            <c:tx>
              <c:rich>
                <a:bodyPr/>
                <a:lstStyle/>
                <a:p>
                  <a:pPr>
                    <a:defRPr/>
                  </a:pPr>
                  <a:r>
                    <a:rPr lang="en-AU" b="0"/>
                    <a:t>Million tonnes</a:t>
                  </a:r>
                </a:p>
              </c:rich>
            </c:tx>
          </c:dispUnitsLbl>
        </c:dispUnits>
      </c:valAx>
    </c:plotArea>
    <c:legend>
      <c:legendPos val="b"/>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59832408589375"/>
          <c:y val="4.214129483814523E-2"/>
          <c:w val="0.84208814523184605"/>
          <c:h val="0.7445512540099154"/>
        </c:manualLayout>
      </c:layout>
      <c:areaChart>
        <c:grouping val="stacked"/>
        <c:varyColors val="0"/>
        <c:ser>
          <c:idx val="0"/>
          <c:order val="0"/>
          <c:tx>
            <c:strRef>
              <c:f>'Australia steel imports'!$B$36</c:f>
              <c:strCache>
                <c:ptCount val="1"/>
                <c:pt idx="0">
                  <c:v>Japan</c:v>
                </c:pt>
              </c:strCache>
            </c:strRef>
          </c:tx>
          <c:spPr>
            <a:solidFill>
              <a:srgbClr val="292B67"/>
            </a:solidFill>
          </c:spPr>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imports'!$B$37:$B$64</c:f>
              <c:numCache>
                <c:formatCode>_-* #,##0_-;\-* #,##0_-;_-* "-"??_-;_-@_-</c:formatCode>
                <c:ptCount val="28"/>
                <c:pt idx="0">
                  <c:v>431461.35263958143</c:v>
                </c:pt>
                <c:pt idx="1">
                  <c:v>358859.87061686366</c:v>
                </c:pt>
                <c:pt idx="2">
                  <c:v>260137.8960744536</c:v>
                </c:pt>
                <c:pt idx="3">
                  <c:v>203397.82633979779</c:v>
                </c:pt>
                <c:pt idx="4">
                  <c:v>239319.79620994939</c:v>
                </c:pt>
                <c:pt idx="5">
                  <c:v>277822.81814418582</c:v>
                </c:pt>
                <c:pt idx="6">
                  <c:v>364394.68945764861</c:v>
                </c:pt>
                <c:pt idx="7">
                  <c:v>345618.52442216873</c:v>
                </c:pt>
                <c:pt idx="8">
                  <c:v>252013.61738390551</c:v>
                </c:pt>
                <c:pt idx="9">
                  <c:v>282092.27237599296</c:v>
                </c:pt>
                <c:pt idx="10">
                  <c:v>407506.17409770092</c:v>
                </c:pt>
                <c:pt idx="11">
                  <c:v>482852.639812482</c:v>
                </c:pt>
                <c:pt idx="12">
                  <c:v>371551.62446146947</c:v>
                </c:pt>
                <c:pt idx="13">
                  <c:v>462485.55732313445</c:v>
                </c:pt>
                <c:pt idx="14">
                  <c:v>531121.40876788192</c:v>
                </c:pt>
                <c:pt idx="15">
                  <c:v>813911.80024004506</c:v>
                </c:pt>
                <c:pt idx="16">
                  <c:v>808695.58766641514</c:v>
                </c:pt>
                <c:pt idx="17">
                  <c:v>520572.92006069142</c:v>
                </c:pt>
                <c:pt idx="18">
                  <c:v>558185.47509833227</c:v>
                </c:pt>
                <c:pt idx="19">
                  <c:v>587128.70479369909</c:v>
                </c:pt>
                <c:pt idx="20">
                  <c:v>585062.25742595375</c:v>
                </c:pt>
                <c:pt idx="21">
                  <c:v>828036.11336744402</c:v>
                </c:pt>
                <c:pt idx="22">
                  <c:v>774058.79579467385</c:v>
                </c:pt>
                <c:pt idx="23">
                  <c:v>609089.83034783404</c:v>
                </c:pt>
                <c:pt idx="24">
                  <c:v>652774.37963725219</c:v>
                </c:pt>
                <c:pt idx="25">
                  <c:v>654297.66841345839</c:v>
                </c:pt>
                <c:pt idx="26">
                  <c:v>1114984.482598118</c:v>
                </c:pt>
                <c:pt idx="27">
                  <c:v>1419121.2556601507</c:v>
                </c:pt>
              </c:numCache>
            </c:numRef>
          </c:val>
        </c:ser>
        <c:ser>
          <c:idx val="1"/>
          <c:order val="1"/>
          <c:tx>
            <c:strRef>
              <c:f>'Australia steel imports'!$C$36</c:f>
              <c:strCache>
                <c:ptCount val="1"/>
                <c:pt idx="0">
                  <c:v>China</c:v>
                </c:pt>
              </c:strCache>
            </c:strRef>
          </c:tx>
          <c:spPr>
            <a:solidFill>
              <a:srgbClr val="9ED9DF"/>
            </a:solidFill>
          </c:spPr>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imports'!$C$37:$C$64</c:f>
              <c:numCache>
                <c:formatCode>_-* #,##0_-;\-* #,##0_-;_-* "-"??_-;_-@_-</c:formatCode>
                <c:ptCount val="28"/>
                <c:pt idx="0">
                  <c:v>3369.9975806631933</c:v>
                </c:pt>
                <c:pt idx="1">
                  <c:v>2846.8157912203628</c:v>
                </c:pt>
                <c:pt idx="2">
                  <c:v>2580.5773091692045</c:v>
                </c:pt>
                <c:pt idx="3">
                  <c:v>4022.7644419762482</c:v>
                </c:pt>
                <c:pt idx="4">
                  <c:v>6139.3201878086784</c:v>
                </c:pt>
                <c:pt idx="5">
                  <c:v>3388.0576432997427</c:v>
                </c:pt>
                <c:pt idx="6">
                  <c:v>13238.906450393104</c:v>
                </c:pt>
                <c:pt idx="7">
                  <c:v>45278.842016983006</c:v>
                </c:pt>
                <c:pt idx="8">
                  <c:v>26448.247689393396</c:v>
                </c:pt>
                <c:pt idx="9">
                  <c:v>39857.174779017892</c:v>
                </c:pt>
                <c:pt idx="10">
                  <c:v>41208.802839288168</c:v>
                </c:pt>
                <c:pt idx="11">
                  <c:v>25049.239250987415</c:v>
                </c:pt>
                <c:pt idx="12">
                  <c:v>31103.464437934523</c:v>
                </c:pt>
                <c:pt idx="13">
                  <c:v>43295.704329835724</c:v>
                </c:pt>
                <c:pt idx="14">
                  <c:v>81305.394584732945</c:v>
                </c:pt>
                <c:pt idx="15">
                  <c:v>97774.279828210259</c:v>
                </c:pt>
                <c:pt idx="16">
                  <c:v>136859.42118726304</c:v>
                </c:pt>
                <c:pt idx="17">
                  <c:v>423735.19401446451</c:v>
                </c:pt>
                <c:pt idx="18">
                  <c:v>447659.15021843376</c:v>
                </c:pt>
                <c:pt idx="19">
                  <c:v>561919.52555267618</c:v>
                </c:pt>
                <c:pt idx="20">
                  <c:v>611635.86634050519</c:v>
                </c:pt>
                <c:pt idx="21">
                  <c:v>320529.6424823858</c:v>
                </c:pt>
                <c:pt idx="22">
                  <c:v>562948.85729130579</c:v>
                </c:pt>
                <c:pt idx="23">
                  <c:v>614800.5797667366</c:v>
                </c:pt>
                <c:pt idx="24">
                  <c:v>841756.28007418581</c:v>
                </c:pt>
                <c:pt idx="25">
                  <c:v>537606.21219484217</c:v>
                </c:pt>
                <c:pt idx="26">
                  <c:v>590420.9521550606</c:v>
                </c:pt>
                <c:pt idx="27">
                  <c:v>479747.19594526436</c:v>
                </c:pt>
              </c:numCache>
            </c:numRef>
          </c:val>
        </c:ser>
        <c:ser>
          <c:idx val="2"/>
          <c:order val="2"/>
          <c:tx>
            <c:strRef>
              <c:f>'Australia steel imports'!$D$36</c:f>
              <c:strCache>
                <c:ptCount val="1"/>
                <c:pt idx="0">
                  <c:v>Chinese Taipei</c:v>
                </c:pt>
              </c:strCache>
            </c:strRef>
          </c:tx>
          <c:spPr>
            <a:solidFill>
              <a:srgbClr val="22789A"/>
            </a:solidFill>
          </c:spPr>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imports'!$D$37:$D$64</c:f>
              <c:numCache>
                <c:formatCode>_-* #,##0_-;\-* #,##0_-;_-* "-"??_-;_-@_-</c:formatCode>
                <c:ptCount val="28"/>
                <c:pt idx="0">
                  <c:v>19014.097389486393</c:v>
                </c:pt>
                <c:pt idx="1">
                  <c:v>78959.131179713309</c:v>
                </c:pt>
                <c:pt idx="2">
                  <c:v>16889.433561390171</c:v>
                </c:pt>
                <c:pt idx="3">
                  <c:v>37079.666633523862</c:v>
                </c:pt>
                <c:pt idx="4">
                  <c:v>60222.913524243544</c:v>
                </c:pt>
                <c:pt idx="5">
                  <c:v>15756.559434950779</c:v>
                </c:pt>
                <c:pt idx="6">
                  <c:v>42803.899842836661</c:v>
                </c:pt>
                <c:pt idx="7">
                  <c:v>53795.229034763492</c:v>
                </c:pt>
                <c:pt idx="8">
                  <c:v>30389.929227360295</c:v>
                </c:pt>
                <c:pt idx="9">
                  <c:v>82533.353587953374</c:v>
                </c:pt>
                <c:pt idx="10">
                  <c:v>57453.363971031933</c:v>
                </c:pt>
                <c:pt idx="11">
                  <c:v>66058.359003943042</c:v>
                </c:pt>
                <c:pt idx="12">
                  <c:v>73882.448826530701</c:v>
                </c:pt>
                <c:pt idx="13">
                  <c:v>69364.699021603839</c:v>
                </c:pt>
                <c:pt idx="14">
                  <c:v>121876.69022654832</c:v>
                </c:pt>
                <c:pt idx="15">
                  <c:v>181147.78155804105</c:v>
                </c:pt>
                <c:pt idx="16">
                  <c:v>162084.37273168465</c:v>
                </c:pt>
                <c:pt idx="17">
                  <c:v>250451.28584695727</c:v>
                </c:pt>
                <c:pt idx="18">
                  <c:v>238591.08399242349</c:v>
                </c:pt>
                <c:pt idx="19">
                  <c:v>255785.8601930865</c:v>
                </c:pt>
                <c:pt idx="20">
                  <c:v>204493.06469409386</c:v>
                </c:pt>
                <c:pt idx="21">
                  <c:v>162562.41817035893</c:v>
                </c:pt>
                <c:pt idx="22">
                  <c:v>230140.97447163417</c:v>
                </c:pt>
                <c:pt idx="23">
                  <c:v>179532.04950774115</c:v>
                </c:pt>
                <c:pt idx="24">
                  <c:v>181435.05644804399</c:v>
                </c:pt>
                <c:pt idx="25">
                  <c:v>184148.30468165511</c:v>
                </c:pt>
                <c:pt idx="26">
                  <c:v>235607.85652667194</c:v>
                </c:pt>
                <c:pt idx="27">
                  <c:v>187269.31234010585</c:v>
                </c:pt>
              </c:numCache>
            </c:numRef>
          </c:val>
        </c:ser>
        <c:ser>
          <c:idx val="3"/>
          <c:order val="3"/>
          <c:tx>
            <c:strRef>
              <c:f>'Australia steel imports'!$E$36</c:f>
              <c:strCache>
                <c:ptCount val="1"/>
                <c:pt idx="0">
                  <c:v>South Korea</c:v>
                </c:pt>
              </c:strCache>
            </c:strRef>
          </c:tx>
          <c:spPr>
            <a:solidFill>
              <a:srgbClr val="BCBFC1"/>
            </a:solidFill>
          </c:spPr>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imports'!$E$37:$E$64</c:f>
              <c:numCache>
                <c:formatCode>_-* #,##0_-;\-* #,##0_-;_-* "-"??_-;_-@_-</c:formatCode>
                <c:ptCount val="28"/>
                <c:pt idx="0">
                  <c:v>54903.057503968877</c:v>
                </c:pt>
                <c:pt idx="1">
                  <c:v>57476.410684206086</c:v>
                </c:pt>
                <c:pt idx="2">
                  <c:v>75522.453177876843</c:v>
                </c:pt>
                <c:pt idx="3">
                  <c:v>103456.84764415299</c:v>
                </c:pt>
                <c:pt idx="4">
                  <c:v>135769.09461204422</c:v>
                </c:pt>
                <c:pt idx="5">
                  <c:v>150136.96425753203</c:v>
                </c:pt>
                <c:pt idx="6">
                  <c:v>147390.22570270527</c:v>
                </c:pt>
                <c:pt idx="7">
                  <c:v>111764.43703581064</c:v>
                </c:pt>
                <c:pt idx="8">
                  <c:v>106036.62441391819</c:v>
                </c:pt>
                <c:pt idx="9">
                  <c:v>176776.01075118515</c:v>
                </c:pt>
                <c:pt idx="10">
                  <c:v>205820.92765772421</c:v>
                </c:pt>
                <c:pt idx="11">
                  <c:v>264098.15459971991</c:v>
                </c:pt>
                <c:pt idx="12">
                  <c:v>223730.68258820733</c:v>
                </c:pt>
                <c:pt idx="13">
                  <c:v>212106.76762473109</c:v>
                </c:pt>
                <c:pt idx="14">
                  <c:v>229065.43299599705</c:v>
                </c:pt>
                <c:pt idx="15">
                  <c:v>206902.18206519241</c:v>
                </c:pt>
                <c:pt idx="16">
                  <c:v>201061.4713297401</c:v>
                </c:pt>
                <c:pt idx="17">
                  <c:v>323913.86149989604</c:v>
                </c:pt>
                <c:pt idx="18">
                  <c:v>235389.42009759403</c:v>
                </c:pt>
                <c:pt idx="19">
                  <c:v>271446.43769887084</c:v>
                </c:pt>
                <c:pt idx="20">
                  <c:v>260238.19893714268</c:v>
                </c:pt>
                <c:pt idx="21">
                  <c:v>140150.72256616512</c:v>
                </c:pt>
                <c:pt idx="22">
                  <c:v>192764.24018807922</c:v>
                </c:pt>
                <c:pt idx="23">
                  <c:v>156654.72855927912</c:v>
                </c:pt>
                <c:pt idx="24">
                  <c:v>226789.4661982914</c:v>
                </c:pt>
                <c:pt idx="25">
                  <c:v>182234.16976790573</c:v>
                </c:pt>
                <c:pt idx="26">
                  <c:v>147096.22566537114</c:v>
                </c:pt>
                <c:pt idx="27">
                  <c:v>105281.46809710797</c:v>
                </c:pt>
              </c:numCache>
            </c:numRef>
          </c:val>
        </c:ser>
        <c:ser>
          <c:idx val="4"/>
          <c:order val="4"/>
          <c:tx>
            <c:strRef>
              <c:f>'Australia steel imports'!$F$36</c:f>
              <c:strCache>
                <c:ptCount val="1"/>
                <c:pt idx="0">
                  <c:v>New Zealand</c:v>
                </c:pt>
              </c:strCache>
            </c:strRef>
          </c:tx>
          <c:spPr>
            <a:solidFill>
              <a:srgbClr val="595A5B"/>
            </a:solidFill>
          </c:spPr>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imports'!$F$37:$F$64</c:f>
              <c:numCache>
                <c:formatCode>_(* #,##0.00_);_(* \(#,##0.00\);_(* "-"??_);_(@_)</c:formatCode>
                <c:ptCount val="28"/>
                <c:pt idx="0">
                  <c:v>37458.23690830222</c:v>
                </c:pt>
                <c:pt idx="1">
                  <c:v>53435.70099237778</c:v>
                </c:pt>
                <c:pt idx="2">
                  <c:v>64644.246760198461</c:v>
                </c:pt>
                <c:pt idx="3">
                  <c:v>105813.65040244255</c:v>
                </c:pt>
                <c:pt idx="4">
                  <c:v>132405.29787305629</c:v>
                </c:pt>
                <c:pt idx="5">
                  <c:v>135543.21966805946</c:v>
                </c:pt>
                <c:pt idx="6">
                  <c:v>116462.78425589656</c:v>
                </c:pt>
                <c:pt idx="7">
                  <c:v>94274.352514337428</c:v>
                </c:pt>
                <c:pt idx="8">
                  <c:v>90755.09209681346</c:v>
                </c:pt>
                <c:pt idx="9">
                  <c:v>120021.67943083633</c:v>
                </c:pt>
                <c:pt idx="10">
                  <c:v>113006.20223722761</c:v>
                </c:pt>
                <c:pt idx="11">
                  <c:v>101333.54267160181</c:v>
                </c:pt>
                <c:pt idx="12">
                  <c:v>97986.852380167547</c:v>
                </c:pt>
                <c:pt idx="13">
                  <c:v>130135.79862513498</c:v>
                </c:pt>
                <c:pt idx="14">
                  <c:v>120265.29404921606</c:v>
                </c:pt>
                <c:pt idx="15">
                  <c:v>112323.50831009098</c:v>
                </c:pt>
                <c:pt idx="16">
                  <c:v>111628.41983692495</c:v>
                </c:pt>
                <c:pt idx="17">
                  <c:v>95615.043291116279</c:v>
                </c:pt>
                <c:pt idx="18">
                  <c:v>59280.507214917554</c:v>
                </c:pt>
                <c:pt idx="19">
                  <c:v>114601.85341102083</c:v>
                </c:pt>
                <c:pt idx="20">
                  <c:v>135953.0826594317</c:v>
                </c:pt>
                <c:pt idx="21">
                  <c:v>90835.931799984857</c:v>
                </c:pt>
                <c:pt idx="22">
                  <c:v>133854.60303706265</c:v>
                </c:pt>
                <c:pt idx="23">
                  <c:v>124605.18583689384</c:v>
                </c:pt>
                <c:pt idx="24">
                  <c:v>128522.63972268588</c:v>
                </c:pt>
                <c:pt idx="25">
                  <c:v>200449.17976684915</c:v>
                </c:pt>
                <c:pt idx="26">
                  <c:v>155031.9627910917</c:v>
                </c:pt>
                <c:pt idx="27">
                  <c:v>83768.070756428962</c:v>
                </c:pt>
              </c:numCache>
            </c:numRef>
          </c:val>
        </c:ser>
        <c:ser>
          <c:idx val="5"/>
          <c:order val="5"/>
          <c:tx>
            <c:strRef>
              <c:f>'Australia steel imports'!$G$36</c:f>
              <c:strCache>
                <c:ptCount val="1"/>
                <c:pt idx="0">
                  <c:v>Malaysia</c:v>
                </c:pt>
              </c:strCache>
            </c:strRef>
          </c:tx>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imports'!$G$37:$G$64</c:f>
              <c:numCache>
                <c:formatCode>_(* #,##0.00_);_(* \(#,##0.00\);_(* "-"??_);_(@_)</c:formatCode>
                <c:ptCount val="28"/>
                <c:pt idx="0">
                  <c:v>3202.3629128189073</c:v>
                </c:pt>
                <c:pt idx="1">
                  <c:v>3201.6149486320719</c:v>
                </c:pt>
                <c:pt idx="2">
                  <c:v>3956.1872824951006</c:v>
                </c:pt>
                <c:pt idx="3">
                  <c:v>4042.6222035760275</c:v>
                </c:pt>
                <c:pt idx="4">
                  <c:v>22437.828046235183</c:v>
                </c:pt>
                <c:pt idx="5">
                  <c:v>23919.268682974787</c:v>
                </c:pt>
                <c:pt idx="6">
                  <c:v>13615.423434078053</c:v>
                </c:pt>
                <c:pt idx="7">
                  <c:v>11454.198576832659</c:v>
                </c:pt>
                <c:pt idx="8">
                  <c:v>34092.124064835261</c:v>
                </c:pt>
                <c:pt idx="9">
                  <c:v>36378.224405522007</c:v>
                </c:pt>
                <c:pt idx="10">
                  <c:v>32832.332323051625</c:v>
                </c:pt>
                <c:pt idx="11">
                  <c:v>61638.426836858678</c:v>
                </c:pt>
                <c:pt idx="12">
                  <c:v>40315.194246695268</c:v>
                </c:pt>
                <c:pt idx="13">
                  <c:v>81816.412039135845</c:v>
                </c:pt>
                <c:pt idx="14">
                  <c:v>68452.252214507243</c:v>
                </c:pt>
                <c:pt idx="15">
                  <c:v>92261.009773373968</c:v>
                </c:pt>
                <c:pt idx="16">
                  <c:v>142640.21024398078</c:v>
                </c:pt>
                <c:pt idx="17">
                  <c:v>162672.69402842654</c:v>
                </c:pt>
                <c:pt idx="18">
                  <c:v>138933.95519910785</c:v>
                </c:pt>
                <c:pt idx="19">
                  <c:v>108721.93541873388</c:v>
                </c:pt>
                <c:pt idx="20">
                  <c:v>76479.565999203944</c:v>
                </c:pt>
                <c:pt idx="21">
                  <c:v>61213.839875154139</c:v>
                </c:pt>
                <c:pt idx="22">
                  <c:v>106566.52982113982</c:v>
                </c:pt>
                <c:pt idx="23">
                  <c:v>85641.170383488658</c:v>
                </c:pt>
                <c:pt idx="24">
                  <c:v>174542.9334048265</c:v>
                </c:pt>
                <c:pt idx="25">
                  <c:v>70372.743512648813</c:v>
                </c:pt>
                <c:pt idx="26">
                  <c:v>91278.239862619623</c:v>
                </c:pt>
                <c:pt idx="27">
                  <c:v>61954.953614721948</c:v>
                </c:pt>
              </c:numCache>
            </c:numRef>
          </c:val>
        </c:ser>
        <c:ser>
          <c:idx val="6"/>
          <c:order val="6"/>
          <c:tx>
            <c:strRef>
              <c:f>'Australia steel imports'!$H$36</c:f>
              <c:strCache>
                <c:ptCount val="1"/>
                <c:pt idx="0">
                  <c:v>Other</c:v>
                </c:pt>
              </c:strCache>
            </c:strRef>
          </c:tx>
          <c:cat>
            <c:numRef>
              <c:f>'Australia steel imports'!$A$37:$A$64</c:f>
              <c:numCache>
                <c:formatCode>General</c:formatCod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numCache>
            </c:numRef>
          </c:cat>
          <c:val>
            <c:numRef>
              <c:f>'Australia steel imports'!$H$37:$H$64</c:f>
              <c:numCache>
                <c:formatCode>_-* #,##0_-;\-* #,##0_-;_-* "-"??_-;_-@_-</c:formatCode>
                <c:ptCount val="28"/>
                <c:pt idx="0">
                  <c:v>417961.89506517898</c:v>
                </c:pt>
                <c:pt idx="1">
                  <c:v>619003.45578698674</c:v>
                </c:pt>
                <c:pt idx="2">
                  <c:v>274479.20583441667</c:v>
                </c:pt>
                <c:pt idx="3">
                  <c:v>404132.62233453058</c:v>
                </c:pt>
                <c:pt idx="4">
                  <c:v>302742.74954666267</c:v>
                </c:pt>
                <c:pt idx="5">
                  <c:v>201788.11216899741</c:v>
                </c:pt>
                <c:pt idx="6">
                  <c:v>616027.07085644174</c:v>
                </c:pt>
                <c:pt idx="7">
                  <c:v>515413.41639910406</c:v>
                </c:pt>
                <c:pt idx="8">
                  <c:v>682375.36512377393</c:v>
                </c:pt>
                <c:pt idx="9">
                  <c:v>597287.28466949228</c:v>
                </c:pt>
                <c:pt idx="10">
                  <c:v>395233.19687397557</c:v>
                </c:pt>
                <c:pt idx="11">
                  <c:v>338703.63782440708</c:v>
                </c:pt>
                <c:pt idx="12">
                  <c:v>377733.7330589951</c:v>
                </c:pt>
                <c:pt idx="13">
                  <c:v>410645.06103642413</c:v>
                </c:pt>
                <c:pt idx="14">
                  <c:v>508881.52716111648</c:v>
                </c:pt>
                <c:pt idx="15">
                  <c:v>515185.72822504584</c:v>
                </c:pt>
                <c:pt idx="16">
                  <c:v>660109.2270039923</c:v>
                </c:pt>
                <c:pt idx="17">
                  <c:v>768337.02125844639</c:v>
                </c:pt>
                <c:pt idx="18">
                  <c:v>677233.75417919038</c:v>
                </c:pt>
                <c:pt idx="19">
                  <c:v>770843.20293191401</c:v>
                </c:pt>
                <c:pt idx="20">
                  <c:v>1109923.3549436703</c:v>
                </c:pt>
                <c:pt idx="21">
                  <c:v>584815.11073850631</c:v>
                </c:pt>
                <c:pt idx="22">
                  <c:v>728683.95539610577</c:v>
                </c:pt>
                <c:pt idx="23">
                  <c:v>683672.13659802708</c:v>
                </c:pt>
                <c:pt idx="24">
                  <c:v>948759.03851471655</c:v>
                </c:pt>
                <c:pt idx="25">
                  <c:v>576191.06666263938</c:v>
                </c:pt>
                <c:pt idx="26">
                  <c:v>755507.42440106766</c:v>
                </c:pt>
                <c:pt idx="27">
                  <c:v>603625.81763622211</c:v>
                </c:pt>
              </c:numCache>
            </c:numRef>
          </c:val>
        </c:ser>
        <c:dLbls>
          <c:showLegendKey val="0"/>
          <c:showVal val="0"/>
          <c:showCatName val="0"/>
          <c:showSerName val="0"/>
          <c:showPercent val="0"/>
          <c:showBubbleSize val="0"/>
        </c:dLbls>
        <c:axId val="424532352"/>
        <c:axId val="424533136"/>
      </c:areaChart>
      <c:catAx>
        <c:axId val="424532352"/>
        <c:scaling>
          <c:orientation val="minMax"/>
        </c:scaling>
        <c:delete val="0"/>
        <c:axPos val="b"/>
        <c:numFmt formatCode="General" sourceLinked="1"/>
        <c:majorTickMark val="none"/>
        <c:minorTickMark val="none"/>
        <c:tickLblPos val="nextTo"/>
        <c:spPr>
          <a:ln>
            <a:solidFill>
              <a:srgbClr val="BCBFC1"/>
            </a:solidFill>
          </a:ln>
        </c:spPr>
        <c:crossAx val="424533136"/>
        <c:crosses val="autoZero"/>
        <c:auto val="1"/>
        <c:lblAlgn val="ctr"/>
        <c:lblOffset val="100"/>
        <c:tickLblSkip val="3"/>
        <c:tickMarkSkip val="3"/>
        <c:noMultiLvlLbl val="0"/>
      </c:catAx>
      <c:valAx>
        <c:axId val="424533136"/>
        <c:scaling>
          <c:orientation val="minMax"/>
        </c:scaling>
        <c:delete val="0"/>
        <c:axPos val="l"/>
        <c:numFmt formatCode="#,##0.0" sourceLinked="0"/>
        <c:majorTickMark val="none"/>
        <c:minorTickMark val="none"/>
        <c:tickLblPos val="nextTo"/>
        <c:spPr>
          <a:ln>
            <a:solidFill>
              <a:srgbClr val="BCBFC1"/>
            </a:solidFill>
          </a:ln>
        </c:spPr>
        <c:crossAx val="424532352"/>
        <c:crosses val="autoZero"/>
        <c:crossBetween val="midCat"/>
        <c:dispUnits>
          <c:builtInUnit val="millions"/>
          <c:dispUnitsLbl>
            <c:layout>
              <c:manualLayout>
                <c:xMode val="edge"/>
                <c:yMode val="edge"/>
                <c:x val="1.1828083989501314E-2"/>
                <c:y val="0.31065981335666376"/>
              </c:manualLayout>
            </c:layout>
            <c:tx>
              <c:rich>
                <a:bodyPr/>
                <a:lstStyle/>
                <a:p>
                  <a:pPr>
                    <a:defRPr/>
                  </a:pPr>
                  <a:r>
                    <a:rPr lang="en-AU" b="0"/>
                    <a:t>Million tonnes</a:t>
                  </a:r>
                </a:p>
              </c:rich>
            </c:tx>
          </c:dispUnitsLbl>
        </c:dispUnits>
      </c:valAx>
    </c:plotArea>
    <c:legend>
      <c:legendPos val="b"/>
      <c:layout>
        <c:manualLayout>
          <c:xMode val="edge"/>
          <c:yMode val="edge"/>
          <c:x val="0.10506299212598424"/>
          <c:y val="0.89968175853018373"/>
          <c:w val="0.88382589676290468"/>
          <c:h val="7.3840405365995912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84951881014874"/>
          <c:y val="5.1400554097404488E-2"/>
          <c:w val="0.86497433613959218"/>
          <c:h val="0.76342931114069534"/>
        </c:manualLayout>
      </c:layout>
      <c:barChart>
        <c:barDir val="col"/>
        <c:grouping val="stacked"/>
        <c:varyColors val="0"/>
        <c:ser>
          <c:idx val="0"/>
          <c:order val="0"/>
          <c:tx>
            <c:strRef>
              <c:f>Sheet2!$A$5</c:f>
              <c:strCache>
                <c:ptCount val="1"/>
                <c:pt idx="0">
                  <c:v>Alumina Feed</c:v>
                </c:pt>
              </c:strCache>
            </c:strRef>
          </c:tx>
          <c:spPr>
            <a:solidFill>
              <a:srgbClr val="292B67"/>
            </a:solidFill>
          </c:spPr>
          <c:invertIfNegative val="0"/>
          <c:cat>
            <c:strRef>
              <c:f>Sheet2!$B$4:$F$4</c:f>
              <c:strCache>
                <c:ptCount val="5"/>
                <c:pt idx="0">
                  <c:v>Australia</c:v>
                </c:pt>
                <c:pt idx="1">
                  <c:v>China</c:v>
                </c:pt>
                <c:pt idx="2">
                  <c:v>India</c:v>
                </c:pt>
                <c:pt idx="3">
                  <c:v>Indonesia</c:v>
                </c:pt>
                <c:pt idx="4">
                  <c:v>Malaysia</c:v>
                </c:pt>
              </c:strCache>
            </c:strRef>
          </c:cat>
          <c:val>
            <c:numRef>
              <c:f>Sheet2!$B$5:$F$5</c:f>
              <c:numCache>
                <c:formatCode>0.0</c:formatCode>
                <c:ptCount val="5"/>
                <c:pt idx="0">
                  <c:v>22.19</c:v>
                </c:pt>
                <c:pt idx="1">
                  <c:v>23.18</c:v>
                </c:pt>
                <c:pt idx="2">
                  <c:v>25.51</c:v>
                </c:pt>
                <c:pt idx="3">
                  <c:v>27.29</c:v>
                </c:pt>
                <c:pt idx="4">
                  <c:v>27.45</c:v>
                </c:pt>
              </c:numCache>
            </c:numRef>
          </c:val>
        </c:ser>
        <c:ser>
          <c:idx val="1"/>
          <c:order val="1"/>
          <c:tx>
            <c:strRef>
              <c:f>Sheet2!$A$6</c:f>
              <c:strCache>
                <c:ptCount val="1"/>
                <c:pt idx="0">
                  <c:v>Labour</c:v>
                </c:pt>
              </c:strCache>
            </c:strRef>
          </c:tx>
          <c:spPr>
            <a:solidFill>
              <a:srgbClr val="9ED9DF"/>
            </a:solidFill>
          </c:spPr>
          <c:invertIfNegative val="0"/>
          <c:cat>
            <c:strRef>
              <c:f>Sheet2!$B$4:$F$4</c:f>
              <c:strCache>
                <c:ptCount val="5"/>
                <c:pt idx="0">
                  <c:v>Australia</c:v>
                </c:pt>
                <c:pt idx="1">
                  <c:v>China</c:v>
                </c:pt>
                <c:pt idx="2">
                  <c:v>India</c:v>
                </c:pt>
                <c:pt idx="3">
                  <c:v>Indonesia</c:v>
                </c:pt>
                <c:pt idx="4">
                  <c:v>Malaysia</c:v>
                </c:pt>
              </c:strCache>
            </c:strRef>
          </c:cat>
          <c:val>
            <c:numRef>
              <c:f>Sheet2!$B$6:$F$6</c:f>
              <c:numCache>
                <c:formatCode>0.0</c:formatCode>
                <c:ptCount val="5"/>
                <c:pt idx="0">
                  <c:v>9.57</c:v>
                </c:pt>
                <c:pt idx="1">
                  <c:v>3.46</c:v>
                </c:pt>
                <c:pt idx="2">
                  <c:v>2.14</c:v>
                </c:pt>
                <c:pt idx="3">
                  <c:v>4.1500000000000004</c:v>
                </c:pt>
                <c:pt idx="4">
                  <c:v>2.27</c:v>
                </c:pt>
              </c:numCache>
            </c:numRef>
          </c:val>
        </c:ser>
        <c:ser>
          <c:idx val="2"/>
          <c:order val="2"/>
          <c:tx>
            <c:strRef>
              <c:f>Sheet2!$A$7</c:f>
              <c:strCache>
                <c:ptCount val="1"/>
                <c:pt idx="0">
                  <c:v>Power</c:v>
                </c:pt>
              </c:strCache>
            </c:strRef>
          </c:tx>
          <c:spPr>
            <a:solidFill>
              <a:srgbClr val="22789A"/>
            </a:solidFill>
          </c:spPr>
          <c:invertIfNegative val="0"/>
          <c:cat>
            <c:strRef>
              <c:f>Sheet2!$B$4:$F$4</c:f>
              <c:strCache>
                <c:ptCount val="5"/>
                <c:pt idx="0">
                  <c:v>Australia</c:v>
                </c:pt>
                <c:pt idx="1">
                  <c:v>China</c:v>
                </c:pt>
                <c:pt idx="2">
                  <c:v>India</c:v>
                </c:pt>
                <c:pt idx="3">
                  <c:v>Indonesia</c:v>
                </c:pt>
                <c:pt idx="4">
                  <c:v>Malaysia</c:v>
                </c:pt>
              </c:strCache>
            </c:strRef>
          </c:cat>
          <c:val>
            <c:numRef>
              <c:f>Sheet2!$B$7:$F$7</c:f>
              <c:numCache>
                <c:formatCode>0.0</c:formatCode>
                <c:ptCount val="5"/>
                <c:pt idx="0">
                  <c:v>21.26</c:v>
                </c:pt>
                <c:pt idx="1">
                  <c:v>30.76</c:v>
                </c:pt>
                <c:pt idx="2">
                  <c:v>26.68</c:v>
                </c:pt>
                <c:pt idx="3">
                  <c:v>18.190000000000001</c:v>
                </c:pt>
                <c:pt idx="4">
                  <c:v>23.48</c:v>
                </c:pt>
              </c:numCache>
            </c:numRef>
          </c:val>
        </c:ser>
        <c:ser>
          <c:idx val="3"/>
          <c:order val="3"/>
          <c:tx>
            <c:strRef>
              <c:f>Sheet2!$A$8</c:f>
              <c:strCache>
                <c:ptCount val="1"/>
                <c:pt idx="0">
                  <c:v>Admin &amp; Support</c:v>
                </c:pt>
              </c:strCache>
            </c:strRef>
          </c:tx>
          <c:spPr>
            <a:solidFill>
              <a:srgbClr val="BCBFC1"/>
            </a:solidFill>
          </c:spPr>
          <c:invertIfNegative val="0"/>
          <c:cat>
            <c:strRef>
              <c:f>Sheet2!$B$4:$F$4</c:f>
              <c:strCache>
                <c:ptCount val="5"/>
                <c:pt idx="0">
                  <c:v>Australia</c:v>
                </c:pt>
                <c:pt idx="1">
                  <c:v>China</c:v>
                </c:pt>
                <c:pt idx="2">
                  <c:v>India</c:v>
                </c:pt>
                <c:pt idx="3">
                  <c:v>Indonesia</c:v>
                </c:pt>
                <c:pt idx="4">
                  <c:v>Malaysia</c:v>
                </c:pt>
              </c:strCache>
            </c:strRef>
          </c:cat>
          <c:val>
            <c:numRef>
              <c:f>Sheet2!$B$8:$F$8</c:f>
              <c:numCache>
                <c:formatCode>0.0</c:formatCode>
                <c:ptCount val="5"/>
                <c:pt idx="0">
                  <c:v>4.95</c:v>
                </c:pt>
                <c:pt idx="1">
                  <c:v>2.78</c:v>
                </c:pt>
                <c:pt idx="2">
                  <c:v>4.3600000000000003</c:v>
                </c:pt>
                <c:pt idx="3">
                  <c:v>3.52</c:v>
                </c:pt>
                <c:pt idx="4">
                  <c:v>4.67</c:v>
                </c:pt>
              </c:numCache>
            </c:numRef>
          </c:val>
        </c:ser>
        <c:ser>
          <c:idx val="4"/>
          <c:order val="4"/>
          <c:tx>
            <c:strRef>
              <c:f>Sheet2!$A$9</c:f>
              <c:strCache>
                <c:ptCount val="1"/>
                <c:pt idx="0">
                  <c:v>Consumables</c:v>
                </c:pt>
              </c:strCache>
            </c:strRef>
          </c:tx>
          <c:spPr>
            <a:solidFill>
              <a:srgbClr val="595A5B"/>
            </a:solidFill>
          </c:spPr>
          <c:invertIfNegative val="0"/>
          <c:cat>
            <c:strRef>
              <c:f>Sheet2!$B$4:$F$4</c:f>
              <c:strCache>
                <c:ptCount val="5"/>
                <c:pt idx="0">
                  <c:v>Australia</c:v>
                </c:pt>
                <c:pt idx="1">
                  <c:v>China</c:v>
                </c:pt>
                <c:pt idx="2">
                  <c:v>India</c:v>
                </c:pt>
                <c:pt idx="3">
                  <c:v>Indonesia</c:v>
                </c:pt>
                <c:pt idx="4">
                  <c:v>Malaysia</c:v>
                </c:pt>
              </c:strCache>
            </c:strRef>
          </c:cat>
          <c:val>
            <c:numRef>
              <c:f>Sheet2!$B$9:$F$9</c:f>
              <c:numCache>
                <c:formatCode>0.0</c:formatCode>
                <c:ptCount val="5"/>
                <c:pt idx="0">
                  <c:v>3.19</c:v>
                </c:pt>
                <c:pt idx="1">
                  <c:v>4.1100000000000003</c:v>
                </c:pt>
                <c:pt idx="2">
                  <c:v>3.56</c:v>
                </c:pt>
                <c:pt idx="3">
                  <c:v>3.18</c:v>
                </c:pt>
                <c:pt idx="4">
                  <c:v>8.09</c:v>
                </c:pt>
              </c:numCache>
            </c:numRef>
          </c:val>
        </c:ser>
        <c:ser>
          <c:idx val="5"/>
          <c:order val="5"/>
          <c:tx>
            <c:strRef>
              <c:f>Sheet2!$A$10</c:f>
              <c:strCache>
                <c:ptCount val="1"/>
                <c:pt idx="0">
                  <c:v>Others</c:v>
                </c:pt>
              </c:strCache>
            </c:strRef>
          </c:tx>
          <c:invertIfNegative val="0"/>
          <c:cat>
            <c:strRef>
              <c:f>Sheet2!$B$4:$F$4</c:f>
              <c:strCache>
                <c:ptCount val="5"/>
                <c:pt idx="0">
                  <c:v>Australia</c:v>
                </c:pt>
                <c:pt idx="1">
                  <c:v>China</c:v>
                </c:pt>
                <c:pt idx="2">
                  <c:v>India</c:v>
                </c:pt>
                <c:pt idx="3">
                  <c:v>Indonesia</c:v>
                </c:pt>
                <c:pt idx="4">
                  <c:v>Malaysia</c:v>
                </c:pt>
              </c:strCache>
            </c:strRef>
          </c:cat>
          <c:val>
            <c:numRef>
              <c:f>Sheet2!$B$10:$F$10</c:f>
              <c:numCache>
                <c:formatCode>0.0</c:formatCode>
                <c:ptCount val="5"/>
                <c:pt idx="0">
                  <c:v>7.97</c:v>
                </c:pt>
                <c:pt idx="1">
                  <c:v>6.73</c:v>
                </c:pt>
                <c:pt idx="2">
                  <c:v>6.43</c:v>
                </c:pt>
                <c:pt idx="3">
                  <c:v>6.12</c:v>
                </c:pt>
                <c:pt idx="4">
                  <c:v>6.63</c:v>
                </c:pt>
              </c:numCache>
            </c:numRef>
          </c:val>
        </c:ser>
        <c:dLbls>
          <c:showLegendKey val="0"/>
          <c:showVal val="0"/>
          <c:showCatName val="0"/>
          <c:showSerName val="0"/>
          <c:showPercent val="0"/>
          <c:showBubbleSize val="0"/>
        </c:dLbls>
        <c:gapWidth val="150"/>
        <c:overlap val="100"/>
        <c:axId val="424532744"/>
        <c:axId val="424533920"/>
      </c:barChart>
      <c:catAx>
        <c:axId val="424532744"/>
        <c:scaling>
          <c:orientation val="minMax"/>
        </c:scaling>
        <c:delete val="0"/>
        <c:axPos val="b"/>
        <c:numFmt formatCode="General" sourceLinked="0"/>
        <c:majorTickMark val="none"/>
        <c:minorTickMark val="none"/>
        <c:tickLblPos val="nextTo"/>
        <c:spPr>
          <a:ln>
            <a:solidFill>
              <a:srgbClr val="BCBFC1"/>
            </a:solidFill>
          </a:ln>
        </c:spPr>
        <c:crossAx val="424533920"/>
        <c:crosses val="autoZero"/>
        <c:auto val="1"/>
        <c:lblAlgn val="ctr"/>
        <c:lblOffset val="100"/>
        <c:noMultiLvlLbl val="0"/>
      </c:catAx>
      <c:valAx>
        <c:axId val="424533920"/>
        <c:scaling>
          <c:orientation val="minMax"/>
        </c:scaling>
        <c:delete val="0"/>
        <c:axPos val="l"/>
        <c:title>
          <c:tx>
            <c:rich>
              <a:bodyPr rot="-5400000" vert="horz"/>
              <a:lstStyle/>
              <a:p>
                <a:pPr>
                  <a:defRPr/>
                </a:pPr>
                <a:r>
                  <a:rPr lang="en-AU" b="0"/>
                  <a:t>US$/lb</a:t>
                </a:r>
              </a:p>
            </c:rich>
          </c:tx>
          <c:layout>
            <c:manualLayout>
              <c:xMode val="edge"/>
              <c:yMode val="edge"/>
              <c:x val="1.991925602623508E-2"/>
              <c:y val="0.37491487098522203"/>
            </c:manualLayout>
          </c:layout>
          <c:overlay val="0"/>
        </c:title>
        <c:numFmt formatCode="0" sourceLinked="0"/>
        <c:majorTickMark val="none"/>
        <c:minorTickMark val="none"/>
        <c:tickLblPos val="nextTo"/>
        <c:spPr>
          <a:ln>
            <a:solidFill>
              <a:srgbClr val="BCBFC1"/>
            </a:solidFill>
          </a:ln>
        </c:spPr>
        <c:crossAx val="424532744"/>
        <c:crosses val="autoZero"/>
        <c:crossBetween val="between"/>
        <c:majorUnit val="20"/>
      </c:valAx>
    </c:plotArea>
    <c:legend>
      <c:legendPos val="b"/>
      <c:layout>
        <c:manualLayout>
          <c:xMode val="edge"/>
          <c:yMode val="edge"/>
          <c:x val="0.15456815999665105"/>
          <c:y val="0.91042387224961363"/>
          <c:w val="0.7596187819635416"/>
          <c:h val="6.3063038956199816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292B67"/>
            </a:solidFill>
            <a:ln w="0">
              <a:solidFill>
                <a:srgbClr val="868686"/>
              </a:solidFill>
            </a:ln>
            <a:effectLst/>
          </c:spPr>
          <c:invertIfNegative val="0"/>
          <c:cat>
            <c:numRef>
              <c:f>'F12.14'!$B$3:$B$28</c:f>
              <c:numCache>
                <c:formatCode>General</c:formatCode>
                <c:ptCount val="26"/>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numCache>
            </c:numRef>
          </c:cat>
          <c:val>
            <c:numRef>
              <c:f>'F12.14'!$C$3:$C$28</c:f>
              <c:numCache>
                <c:formatCode>0</c:formatCode>
                <c:ptCount val="26"/>
                <c:pt idx="0">
                  <c:v>1233.6289999999999</c:v>
                </c:pt>
                <c:pt idx="1">
                  <c:v>1234.6799999999998</c:v>
                </c:pt>
                <c:pt idx="2">
                  <c:v>1244.7249999999999</c:v>
                </c:pt>
                <c:pt idx="3">
                  <c:v>1387.992</c:v>
                </c:pt>
                <c:pt idx="4">
                  <c:v>1317.2619999999999</c:v>
                </c:pt>
                <c:pt idx="5">
                  <c:v>1296.941</c:v>
                </c:pt>
                <c:pt idx="6">
                  <c:v>1371.633</c:v>
                </c:pt>
                <c:pt idx="7">
                  <c:v>1494.8400000000001</c:v>
                </c:pt>
                <c:pt idx="8">
                  <c:v>1627.0609999999999</c:v>
                </c:pt>
                <c:pt idx="9">
                  <c:v>1718.383</c:v>
                </c:pt>
                <c:pt idx="10">
                  <c:v>1768.9780000000001</c:v>
                </c:pt>
                <c:pt idx="11">
                  <c:v>1797.059</c:v>
                </c:pt>
                <c:pt idx="12">
                  <c:v>1835.982</c:v>
                </c:pt>
                <c:pt idx="13">
                  <c:v>1857.4494500000001</c:v>
                </c:pt>
                <c:pt idx="14">
                  <c:v>1894.0795999999998</c:v>
                </c:pt>
                <c:pt idx="15">
                  <c:v>1903.0398520000001</c:v>
                </c:pt>
                <c:pt idx="16">
                  <c:v>1928.634712</c:v>
                </c:pt>
                <c:pt idx="17">
                  <c:v>1957.1163320000001</c:v>
                </c:pt>
                <c:pt idx="18">
                  <c:v>1973.592044</c:v>
                </c:pt>
                <c:pt idx="19">
                  <c:v>1945.1523690000001</c:v>
                </c:pt>
                <c:pt idx="20">
                  <c:v>1927.9213800000002</c:v>
                </c:pt>
                <c:pt idx="21">
                  <c:v>1944.858925</c:v>
                </c:pt>
                <c:pt idx="22">
                  <c:v>1864.1836373768001</c:v>
                </c:pt>
                <c:pt idx="23">
                  <c:v>1777.4093500480499</c:v>
                </c:pt>
                <c:pt idx="24">
                  <c:v>1704.2861129999999</c:v>
                </c:pt>
                <c:pt idx="25">
                  <c:v>1645.9628250000001</c:v>
                </c:pt>
              </c:numCache>
            </c:numRef>
          </c:val>
        </c:ser>
        <c:dLbls>
          <c:showLegendKey val="0"/>
          <c:showVal val="0"/>
          <c:showCatName val="0"/>
          <c:showSerName val="0"/>
          <c:showPercent val="0"/>
          <c:showBubbleSize val="0"/>
        </c:dLbls>
        <c:gapWidth val="150"/>
        <c:axId val="424535880"/>
        <c:axId val="424536272"/>
      </c:barChart>
      <c:catAx>
        <c:axId val="424535880"/>
        <c:scaling>
          <c:orientation val="minMax"/>
        </c:scaling>
        <c:delete val="0"/>
        <c:axPos val="b"/>
        <c:numFmt formatCode="General" sourceLinked="1"/>
        <c:majorTickMark val="none"/>
        <c:minorTickMark val="none"/>
        <c:tickLblPos val="nextTo"/>
        <c:spPr>
          <a:noFill/>
          <a:ln w="9525" cap="flat" cmpd="sng" algn="ctr">
            <a:solidFill>
              <a:srgbClr val="868686"/>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536272"/>
        <c:crosses val="autoZero"/>
        <c:auto val="1"/>
        <c:lblAlgn val="ctr"/>
        <c:lblOffset val="100"/>
        <c:tickLblSkip val="5"/>
        <c:noMultiLvlLbl val="0"/>
      </c:catAx>
      <c:valAx>
        <c:axId val="42453627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Thousand</a:t>
                </a:r>
                <a:r>
                  <a:rPr lang="en-AU" baseline="0"/>
                  <a:t> tonnes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535880"/>
        <c:crossesAt val="1"/>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'F2.15'!$B$3</c:f>
              <c:strCache>
                <c:ptCount val="1"/>
                <c:pt idx="0">
                  <c:v>Bahrain</c:v>
                </c:pt>
              </c:strCache>
            </c:strRef>
          </c:tx>
          <c:spPr>
            <a:solidFill>
              <a:srgbClr val="292B67"/>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'F2.15'!$B$4:$B$13</c:f>
              <c:numCache>
                <c:formatCode>0</c:formatCode>
                <c:ptCount val="10"/>
                <c:pt idx="0">
                  <c:v>1.4122422900000002</c:v>
                </c:pt>
                <c:pt idx="1">
                  <c:v>1.253069</c:v>
                </c:pt>
                <c:pt idx="2">
                  <c:v>0.96441999999999994</c:v>
                </c:pt>
                <c:pt idx="3">
                  <c:v>0.758876</c:v>
                </c:pt>
                <c:pt idx="4">
                  <c:v>0.75980449999999999</c:v>
                </c:pt>
                <c:pt idx="5">
                  <c:v>0.92472949999999998</c:v>
                </c:pt>
                <c:pt idx="6">
                  <c:v>1.476109643</c:v>
                </c:pt>
                <c:pt idx="7">
                  <c:v>5.1763219509999994</c:v>
                </c:pt>
                <c:pt idx="8">
                  <c:v>10.065981873999998</c:v>
                </c:pt>
                <c:pt idx="9">
                  <c:v>12.286776307</c:v>
                </c:pt>
              </c:numCache>
            </c:numRef>
          </c:val>
        </c:ser>
        <c:ser>
          <c:idx val="1"/>
          <c:order val="1"/>
          <c:tx>
            <c:strRef>
              <c:f>'F2.15'!$C$3</c:f>
              <c:strCache>
                <c:ptCount val="1"/>
                <c:pt idx="0">
                  <c:v>China</c:v>
                </c:pt>
              </c:strCache>
            </c:strRef>
          </c:tx>
          <c:spPr>
            <a:solidFill>
              <a:srgbClr val="9ED9DF"/>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'F2.15'!$C$4:$C$13</c:f>
              <c:numCache>
                <c:formatCode>0</c:formatCode>
                <c:ptCount val="10"/>
                <c:pt idx="0">
                  <c:v>1.9139949999999999</c:v>
                </c:pt>
                <c:pt idx="1">
                  <c:v>0.181258</c:v>
                </c:pt>
                <c:pt idx="2">
                  <c:v>0.14724679999999998</c:v>
                </c:pt>
                <c:pt idx="3">
                  <c:v>0.39216480000000004</c:v>
                </c:pt>
                <c:pt idx="4">
                  <c:v>2.7848538999999999</c:v>
                </c:pt>
                <c:pt idx="5">
                  <c:v>7.4280358529999999</c:v>
                </c:pt>
                <c:pt idx="6">
                  <c:v>10.17567612</c:v>
                </c:pt>
                <c:pt idx="7">
                  <c:v>9.8472728700000012</c:v>
                </c:pt>
                <c:pt idx="8">
                  <c:v>15.611140930000001</c:v>
                </c:pt>
                <c:pt idx="9">
                  <c:v>16.906657232000001</c:v>
                </c:pt>
              </c:numCache>
            </c:numRef>
          </c:val>
        </c:ser>
        <c:ser>
          <c:idx val="2"/>
          <c:order val="2"/>
          <c:tx>
            <c:strRef>
              <c:f>'F2.15'!$D$3</c:f>
              <c:strCache>
                <c:ptCount val="1"/>
                <c:pt idx="0">
                  <c:v>Japan</c:v>
                </c:pt>
              </c:strCache>
            </c:strRef>
          </c:tx>
          <c:spPr>
            <a:solidFill>
              <a:srgbClr val="BCBFC1"/>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'F2.15'!$D$4:$D$13</c:f>
              <c:numCache>
                <c:formatCode>0</c:formatCode>
                <c:ptCount val="10"/>
                <c:pt idx="0">
                  <c:v>0</c:v>
                </c:pt>
                <c:pt idx="1">
                  <c:v>8.0000000000000004E-4</c:v>
                </c:pt>
                <c:pt idx="2">
                  <c:v>2.9E-4</c:v>
                </c:pt>
                <c:pt idx="3">
                  <c:v>5.9716189999999996</c:v>
                </c:pt>
                <c:pt idx="4">
                  <c:v>2.7012860499999998</c:v>
                </c:pt>
                <c:pt idx="5">
                  <c:v>1.3106110000000002</c:v>
                </c:pt>
                <c:pt idx="6">
                  <c:v>0.119306117</c:v>
                </c:pt>
                <c:pt idx="7">
                  <c:v>1.295165205</c:v>
                </c:pt>
                <c:pt idx="8">
                  <c:v>2.4777080000000002</c:v>
                </c:pt>
                <c:pt idx="9">
                  <c:v>1.5845580479999999</c:v>
                </c:pt>
              </c:numCache>
            </c:numRef>
          </c:val>
        </c:ser>
        <c:ser>
          <c:idx val="3"/>
          <c:order val="3"/>
          <c:tx>
            <c:strRef>
              <c:f>'F2.15'!$E$3</c:f>
              <c:strCache>
                <c:ptCount val="1"/>
                <c:pt idx="0">
                  <c:v>Malaysia</c:v>
                </c:pt>
              </c:strCache>
            </c:strRef>
          </c:tx>
          <c:spPr>
            <a:solidFill>
              <a:srgbClr val="56B4DF"/>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'F2.15'!$E$4:$E$13</c:f>
              <c:numCache>
                <c:formatCode>0</c:formatCode>
                <c:ptCount val="10"/>
                <c:pt idx="0">
                  <c:v>0.25461246500000001</c:v>
                </c:pt>
                <c:pt idx="1">
                  <c:v>0.53232421299999999</c:v>
                </c:pt>
                <c:pt idx="2">
                  <c:v>0.330401</c:v>
                </c:pt>
                <c:pt idx="3">
                  <c:v>0</c:v>
                </c:pt>
                <c:pt idx="4">
                  <c:v>0</c:v>
                </c:pt>
                <c:pt idx="5">
                  <c:v>0.13648099999999999</c:v>
                </c:pt>
                <c:pt idx="6">
                  <c:v>1.711913</c:v>
                </c:pt>
                <c:pt idx="7">
                  <c:v>3.8521735870000002</c:v>
                </c:pt>
                <c:pt idx="8">
                  <c:v>1.0213220000000001</c:v>
                </c:pt>
                <c:pt idx="9">
                  <c:v>2.809736</c:v>
                </c:pt>
              </c:numCache>
            </c:numRef>
          </c:val>
        </c:ser>
        <c:ser>
          <c:idx val="4"/>
          <c:order val="4"/>
          <c:tx>
            <c:strRef>
              <c:f>'F2.15'!$F$3</c:f>
              <c:strCache>
                <c:ptCount val="1"/>
                <c:pt idx="0">
                  <c:v>Qatar</c:v>
                </c:pt>
              </c:strCache>
            </c:strRef>
          </c:tx>
          <c:spPr>
            <a:solidFill>
              <a:srgbClr val="22789A"/>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'F2.15'!$F$4:$F$13</c:f>
              <c:numCache>
                <c:formatCode>0</c:formatCode>
                <c:ptCount val="10"/>
                <c:pt idx="0">
                  <c:v>0</c:v>
                </c:pt>
                <c:pt idx="1">
                  <c:v>0</c:v>
                </c:pt>
                <c:pt idx="2">
                  <c:v>0</c:v>
                </c:pt>
                <c:pt idx="3">
                  <c:v>0</c:v>
                </c:pt>
                <c:pt idx="4">
                  <c:v>0.18790899999999999</c:v>
                </c:pt>
                <c:pt idx="5">
                  <c:v>0</c:v>
                </c:pt>
                <c:pt idx="6">
                  <c:v>5.5418979999999998</c:v>
                </c:pt>
                <c:pt idx="7">
                  <c:v>20.471880515999999</c:v>
                </c:pt>
                <c:pt idx="8">
                  <c:v>21.340623261000001</c:v>
                </c:pt>
                <c:pt idx="9">
                  <c:v>18.461486000000001</c:v>
                </c:pt>
              </c:numCache>
            </c:numRef>
          </c:val>
        </c:ser>
        <c:ser>
          <c:idx val="5"/>
          <c:order val="5"/>
          <c:tx>
            <c:strRef>
              <c:f>'F2.15'!$G$3</c:f>
              <c:strCache>
                <c:ptCount val="1"/>
                <c:pt idx="0">
                  <c:v>Other</c:v>
                </c:pt>
              </c:strCache>
            </c:strRef>
          </c:tx>
          <c:spPr>
            <a:solidFill>
              <a:srgbClr val="595A5B"/>
            </a:solidFill>
            <a:ln>
              <a:noFill/>
            </a:ln>
            <a:effectLst/>
          </c:spPr>
          <c:cat>
            <c:numRef>
              <c:f>'F2.15'!$A$4:$A$13</c:f>
              <c:numCache>
                <c:formatCode>0</c:formatCode>
                <c:ptCount val="10"/>
                <c:pt idx="0">
                  <c:v>2006</c:v>
                </c:pt>
                <c:pt idx="1">
                  <c:v>2007</c:v>
                </c:pt>
                <c:pt idx="2">
                  <c:v>2008</c:v>
                </c:pt>
                <c:pt idx="3">
                  <c:v>2009</c:v>
                </c:pt>
                <c:pt idx="4">
                  <c:v>2010</c:v>
                </c:pt>
                <c:pt idx="5">
                  <c:v>2011</c:v>
                </c:pt>
                <c:pt idx="6">
                  <c:v>2012</c:v>
                </c:pt>
                <c:pt idx="7">
                  <c:v>2013</c:v>
                </c:pt>
                <c:pt idx="8">
                  <c:v>2014</c:v>
                </c:pt>
                <c:pt idx="9" formatCode="General">
                  <c:v>2015</c:v>
                </c:pt>
              </c:numCache>
            </c:numRef>
          </c:cat>
          <c:val>
            <c:numRef>
              <c:f>'F2.15'!$G$4:$G$13</c:f>
              <c:numCache>
                <c:formatCode>0</c:formatCode>
                <c:ptCount val="10"/>
                <c:pt idx="0">
                  <c:v>1.0135828100000002</c:v>
                </c:pt>
                <c:pt idx="1">
                  <c:v>0.89837941399999999</c:v>
                </c:pt>
                <c:pt idx="2">
                  <c:v>1.1558214720000002</c:v>
                </c:pt>
                <c:pt idx="3">
                  <c:v>1.910435578</c:v>
                </c:pt>
                <c:pt idx="4">
                  <c:v>2.3115195010000003</c:v>
                </c:pt>
                <c:pt idx="5">
                  <c:v>1.7633138999999998</c:v>
                </c:pt>
                <c:pt idx="6">
                  <c:v>2.8709082220000002</c:v>
                </c:pt>
                <c:pt idx="7">
                  <c:v>7.1767478670000013</c:v>
                </c:pt>
                <c:pt idx="8">
                  <c:v>6.1056058460000004</c:v>
                </c:pt>
                <c:pt idx="9">
                  <c:v>3.6695869160000001</c:v>
                </c:pt>
              </c:numCache>
            </c:numRef>
          </c:val>
        </c:ser>
        <c:dLbls>
          <c:showLegendKey val="0"/>
          <c:showVal val="0"/>
          <c:showCatName val="0"/>
          <c:showSerName val="0"/>
          <c:showPercent val="0"/>
          <c:showBubbleSize val="0"/>
        </c:dLbls>
        <c:axId val="424530392"/>
        <c:axId val="426756520"/>
      </c:areaChart>
      <c:catAx>
        <c:axId val="424530392"/>
        <c:scaling>
          <c:orientation val="minMax"/>
        </c:scaling>
        <c:delete val="0"/>
        <c:axPos val="b"/>
        <c:numFmt formatCode="0" sourceLinked="1"/>
        <c:majorTickMark val="none"/>
        <c:minorTickMark val="none"/>
        <c:tickLblPos val="nextTo"/>
        <c:spPr>
          <a:noFill/>
          <a:ln w="9525" cap="flat" cmpd="sng" algn="ctr">
            <a:solidFill>
              <a:srgbClr val="868686"/>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6756520"/>
        <c:crosses val="autoZero"/>
        <c:auto val="1"/>
        <c:lblAlgn val="ctr"/>
        <c:lblOffset val="100"/>
        <c:tickLblSkip val="2"/>
        <c:noMultiLvlLbl val="0"/>
      </c:catAx>
      <c:valAx>
        <c:axId val="42675652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Thousand</a:t>
                </a:r>
                <a:r>
                  <a:rPr lang="en-AU" baseline="0">
                    <a:solidFill>
                      <a:sysClr val="windowText" lastClr="000000"/>
                    </a:solidFill>
                  </a:rPr>
                  <a:t> tonnes</a:t>
                </a:r>
                <a:endParaRPr lang="en-A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45303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13233281737217"/>
          <c:y val="4.9633380917901343E-2"/>
          <c:w val="0.85274210053131916"/>
          <c:h val="0.68695299359988748"/>
        </c:manualLayout>
      </c:layout>
      <c:lineChart>
        <c:grouping val="standard"/>
        <c:varyColors val="0"/>
        <c:ser>
          <c:idx val="0"/>
          <c:order val="0"/>
          <c:tx>
            <c:strRef>
              <c:f>'Figure 2.16'!$B$3</c:f>
              <c:strCache>
                <c:ptCount val="1"/>
                <c:pt idx="0">
                  <c:v>Hot rolled coil benchmarker</c:v>
                </c:pt>
              </c:strCache>
            </c:strRef>
          </c:tx>
          <c:spPr>
            <a:ln w="28575" cap="rnd">
              <a:solidFill>
                <a:srgbClr val="292B67"/>
              </a:solidFill>
              <a:prstDash val="solid"/>
              <a:round/>
            </a:ln>
            <a:effectLst/>
          </c:spPr>
          <c:marker>
            <c:symbol val="none"/>
          </c:marker>
          <c:cat>
            <c:numRef>
              <c:f>'Figure 2.16'!$A$15:$A$231</c:f>
              <c:numCache>
                <c:formatCode>m/d/yyyy</c:formatCode>
                <c:ptCount val="217"/>
                <c:pt idx="0">
                  <c:v>39272</c:v>
                </c:pt>
                <c:pt idx="1">
                  <c:v>39286</c:v>
                </c:pt>
                <c:pt idx="2">
                  <c:v>39307</c:v>
                </c:pt>
                <c:pt idx="3">
                  <c:v>39321</c:v>
                </c:pt>
                <c:pt idx="4">
                  <c:v>39335</c:v>
                </c:pt>
                <c:pt idx="5">
                  <c:v>39349</c:v>
                </c:pt>
                <c:pt idx="6">
                  <c:v>39363</c:v>
                </c:pt>
                <c:pt idx="7">
                  <c:v>39377</c:v>
                </c:pt>
                <c:pt idx="8">
                  <c:v>39398</c:v>
                </c:pt>
                <c:pt idx="9">
                  <c:v>39412</c:v>
                </c:pt>
                <c:pt idx="10">
                  <c:v>39426</c:v>
                </c:pt>
                <c:pt idx="11">
                  <c:v>39440</c:v>
                </c:pt>
                <c:pt idx="12">
                  <c:v>39461</c:v>
                </c:pt>
                <c:pt idx="13">
                  <c:v>39475</c:v>
                </c:pt>
                <c:pt idx="14">
                  <c:v>39489</c:v>
                </c:pt>
                <c:pt idx="15">
                  <c:v>39503</c:v>
                </c:pt>
                <c:pt idx="16">
                  <c:v>39517</c:v>
                </c:pt>
                <c:pt idx="17">
                  <c:v>39531</c:v>
                </c:pt>
                <c:pt idx="18">
                  <c:v>39552</c:v>
                </c:pt>
                <c:pt idx="19">
                  <c:v>39566</c:v>
                </c:pt>
                <c:pt idx="20">
                  <c:v>39580</c:v>
                </c:pt>
                <c:pt idx="21">
                  <c:v>39594</c:v>
                </c:pt>
                <c:pt idx="22">
                  <c:v>39608</c:v>
                </c:pt>
                <c:pt idx="23">
                  <c:v>39622</c:v>
                </c:pt>
                <c:pt idx="24">
                  <c:v>39643</c:v>
                </c:pt>
                <c:pt idx="25">
                  <c:v>39657</c:v>
                </c:pt>
                <c:pt idx="26">
                  <c:v>39671</c:v>
                </c:pt>
                <c:pt idx="27">
                  <c:v>39685</c:v>
                </c:pt>
                <c:pt idx="28">
                  <c:v>39699</c:v>
                </c:pt>
                <c:pt idx="29">
                  <c:v>39713</c:v>
                </c:pt>
                <c:pt idx="30">
                  <c:v>39734</c:v>
                </c:pt>
                <c:pt idx="31">
                  <c:v>39748</c:v>
                </c:pt>
                <c:pt idx="32">
                  <c:v>39762</c:v>
                </c:pt>
                <c:pt idx="33">
                  <c:v>39776</c:v>
                </c:pt>
                <c:pt idx="34">
                  <c:v>39790</c:v>
                </c:pt>
                <c:pt idx="35">
                  <c:v>39804</c:v>
                </c:pt>
                <c:pt idx="36">
                  <c:v>39825</c:v>
                </c:pt>
                <c:pt idx="37">
                  <c:v>39839</c:v>
                </c:pt>
                <c:pt idx="38">
                  <c:v>39857</c:v>
                </c:pt>
                <c:pt idx="39">
                  <c:v>39867</c:v>
                </c:pt>
                <c:pt idx="40">
                  <c:v>39881</c:v>
                </c:pt>
                <c:pt idx="41">
                  <c:v>39895</c:v>
                </c:pt>
                <c:pt idx="42">
                  <c:v>39916</c:v>
                </c:pt>
                <c:pt idx="43">
                  <c:v>39930</c:v>
                </c:pt>
                <c:pt idx="44">
                  <c:v>39946</c:v>
                </c:pt>
                <c:pt idx="45">
                  <c:v>39958</c:v>
                </c:pt>
                <c:pt idx="46">
                  <c:v>39972</c:v>
                </c:pt>
                <c:pt idx="47">
                  <c:v>39986</c:v>
                </c:pt>
                <c:pt idx="48">
                  <c:v>40007</c:v>
                </c:pt>
                <c:pt idx="49">
                  <c:v>40021</c:v>
                </c:pt>
                <c:pt idx="50">
                  <c:v>40035</c:v>
                </c:pt>
                <c:pt idx="51">
                  <c:v>40051</c:v>
                </c:pt>
                <c:pt idx="52">
                  <c:v>40070</c:v>
                </c:pt>
                <c:pt idx="53">
                  <c:v>40084</c:v>
                </c:pt>
                <c:pt idx="54">
                  <c:v>40098</c:v>
                </c:pt>
                <c:pt idx="55">
                  <c:v>40112</c:v>
                </c:pt>
                <c:pt idx="56">
                  <c:v>40126</c:v>
                </c:pt>
                <c:pt idx="57">
                  <c:v>40140</c:v>
                </c:pt>
                <c:pt idx="58">
                  <c:v>40161</c:v>
                </c:pt>
                <c:pt idx="59">
                  <c:v>40175</c:v>
                </c:pt>
                <c:pt idx="60">
                  <c:v>40189</c:v>
                </c:pt>
                <c:pt idx="61">
                  <c:v>40203</c:v>
                </c:pt>
                <c:pt idx="62">
                  <c:v>40217</c:v>
                </c:pt>
                <c:pt idx="63">
                  <c:v>40231</c:v>
                </c:pt>
                <c:pt idx="64">
                  <c:v>40245</c:v>
                </c:pt>
                <c:pt idx="65">
                  <c:v>40259</c:v>
                </c:pt>
                <c:pt idx="66">
                  <c:v>40280</c:v>
                </c:pt>
                <c:pt idx="67">
                  <c:v>40294</c:v>
                </c:pt>
                <c:pt idx="68">
                  <c:v>40308</c:v>
                </c:pt>
                <c:pt idx="69">
                  <c:v>40322</c:v>
                </c:pt>
                <c:pt idx="70">
                  <c:v>40343</c:v>
                </c:pt>
                <c:pt idx="71">
                  <c:v>40357</c:v>
                </c:pt>
                <c:pt idx="72">
                  <c:v>40371</c:v>
                </c:pt>
                <c:pt idx="73">
                  <c:v>40385</c:v>
                </c:pt>
                <c:pt idx="74">
                  <c:v>40399</c:v>
                </c:pt>
                <c:pt idx="75">
                  <c:v>40413</c:v>
                </c:pt>
                <c:pt idx="76">
                  <c:v>40434</c:v>
                </c:pt>
                <c:pt idx="77">
                  <c:v>40448</c:v>
                </c:pt>
                <c:pt idx="78">
                  <c:v>40462</c:v>
                </c:pt>
                <c:pt idx="79">
                  <c:v>40476</c:v>
                </c:pt>
                <c:pt idx="80">
                  <c:v>40490</c:v>
                </c:pt>
                <c:pt idx="81">
                  <c:v>40504</c:v>
                </c:pt>
                <c:pt idx="82">
                  <c:v>40525</c:v>
                </c:pt>
                <c:pt idx="83">
                  <c:v>40539</c:v>
                </c:pt>
                <c:pt idx="84">
                  <c:v>40553</c:v>
                </c:pt>
                <c:pt idx="85">
                  <c:v>40567</c:v>
                </c:pt>
                <c:pt idx="86">
                  <c:v>40588</c:v>
                </c:pt>
                <c:pt idx="87">
                  <c:v>40602</c:v>
                </c:pt>
                <c:pt idx="88">
                  <c:v>40616</c:v>
                </c:pt>
                <c:pt idx="89">
                  <c:v>40630</c:v>
                </c:pt>
                <c:pt idx="90">
                  <c:v>40644</c:v>
                </c:pt>
                <c:pt idx="91">
                  <c:v>40658</c:v>
                </c:pt>
                <c:pt idx="92">
                  <c:v>40672</c:v>
                </c:pt>
                <c:pt idx="93">
                  <c:v>40686</c:v>
                </c:pt>
                <c:pt idx="94">
                  <c:v>40707</c:v>
                </c:pt>
                <c:pt idx="95">
                  <c:v>40721</c:v>
                </c:pt>
                <c:pt idx="96">
                  <c:v>40735</c:v>
                </c:pt>
                <c:pt idx="97">
                  <c:v>40749</c:v>
                </c:pt>
                <c:pt idx="98">
                  <c:v>40763</c:v>
                </c:pt>
                <c:pt idx="99">
                  <c:v>40777</c:v>
                </c:pt>
                <c:pt idx="100">
                  <c:v>40798</c:v>
                </c:pt>
                <c:pt idx="101">
                  <c:v>40812</c:v>
                </c:pt>
                <c:pt idx="102">
                  <c:v>40826</c:v>
                </c:pt>
                <c:pt idx="103">
                  <c:v>40840</c:v>
                </c:pt>
                <c:pt idx="104">
                  <c:v>40861</c:v>
                </c:pt>
                <c:pt idx="105">
                  <c:v>40875</c:v>
                </c:pt>
                <c:pt idx="106">
                  <c:v>40889</c:v>
                </c:pt>
                <c:pt idx="107">
                  <c:v>40903</c:v>
                </c:pt>
                <c:pt idx="108">
                  <c:v>40917</c:v>
                </c:pt>
                <c:pt idx="109">
                  <c:v>40931</c:v>
                </c:pt>
                <c:pt idx="110">
                  <c:v>40952</c:v>
                </c:pt>
                <c:pt idx="111">
                  <c:v>40966</c:v>
                </c:pt>
                <c:pt idx="112">
                  <c:v>40980</c:v>
                </c:pt>
                <c:pt idx="113">
                  <c:v>40994</c:v>
                </c:pt>
                <c:pt idx="114">
                  <c:v>41008</c:v>
                </c:pt>
                <c:pt idx="115">
                  <c:v>41022</c:v>
                </c:pt>
                <c:pt idx="116">
                  <c:v>41043</c:v>
                </c:pt>
                <c:pt idx="117">
                  <c:v>41057</c:v>
                </c:pt>
                <c:pt idx="118">
                  <c:v>41071</c:v>
                </c:pt>
                <c:pt idx="119">
                  <c:v>41085</c:v>
                </c:pt>
                <c:pt idx="120">
                  <c:v>41099</c:v>
                </c:pt>
                <c:pt idx="121">
                  <c:v>41113</c:v>
                </c:pt>
                <c:pt idx="122">
                  <c:v>41134</c:v>
                </c:pt>
                <c:pt idx="123">
                  <c:v>41148</c:v>
                </c:pt>
                <c:pt idx="124">
                  <c:v>41162</c:v>
                </c:pt>
                <c:pt idx="125">
                  <c:v>41176</c:v>
                </c:pt>
                <c:pt idx="126">
                  <c:v>41190</c:v>
                </c:pt>
                <c:pt idx="127">
                  <c:v>41204</c:v>
                </c:pt>
                <c:pt idx="128">
                  <c:v>41225</c:v>
                </c:pt>
                <c:pt idx="129">
                  <c:v>41239</c:v>
                </c:pt>
                <c:pt idx="130">
                  <c:v>41253</c:v>
                </c:pt>
                <c:pt idx="131">
                  <c:v>41267</c:v>
                </c:pt>
                <c:pt idx="132">
                  <c:v>41288</c:v>
                </c:pt>
                <c:pt idx="133">
                  <c:v>41302</c:v>
                </c:pt>
                <c:pt idx="134">
                  <c:v>41316</c:v>
                </c:pt>
                <c:pt idx="135">
                  <c:v>41330</c:v>
                </c:pt>
                <c:pt idx="136">
                  <c:v>41344</c:v>
                </c:pt>
                <c:pt idx="137">
                  <c:v>41358</c:v>
                </c:pt>
                <c:pt idx="138">
                  <c:v>41372</c:v>
                </c:pt>
                <c:pt idx="139">
                  <c:v>41386</c:v>
                </c:pt>
                <c:pt idx="140">
                  <c:v>41407</c:v>
                </c:pt>
                <c:pt idx="141">
                  <c:v>41421</c:v>
                </c:pt>
                <c:pt idx="142">
                  <c:v>41435</c:v>
                </c:pt>
                <c:pt idx="143">
                  <c:v>41449</c:v>
                </c:pt>
                <c:pt idx="144">
                  <c:v>41463</c:v>
                </c:pt>
                <c:pt idx="145">
                  <c:v>41477</c:v>
                </c:pt>
                <c:pt idx="146">
                  <c:v>41498</c:v>
                </c:pt>
                <c:pt idx="147">
                  <c:v>41512</c:v>
                </c:pt>
                <c:pt idx="148">
                  <c:v>41526</c:v>
                </c:pt>
                <c:pt idx="149">
                  <c:v>41540</c:v>
                </c:pt>
                <c:pt idx="150">
                  <c:v>41561</c:v>
                </c:pt>
                <c:pt idx="151">
                  <c:v>41575</c:v>
                </c:pt>
                <c:pt idx="152">
                  <c:v>41589</c:v>
                </c:pt>
                <c:pt idx="153">
                  <c:v>41603</c:v>
                </c:pt>
                <c:pt idx="154">
                  <c:v>41617</c:v>
                </c:pt>
                <c:pt idx="155">
                  <c:v>41631</c:v>
                </c:pt>
                <c:pt idx="156">
                  <c:v>41652</c:v>
                </c:pt>
                <c:pt idx="157">
                  <c:v>41666</c:v>
                </c:pt>
                <c:pt idx="158">
                  <c:v>41680</c:v>
                </c:pt>
                <c:pt idx="159">
                  <c:v>41694</c:v>
                </c:pt>
                <c:pt idx="160">
                  <c:v>41708</c:v>
                </c:pt>
                <c:pt idx="161">
                  <c:v>41722</c:v>
                </c:pt>
                <c:pt idx="162">
                  <c:v>41743</c:v>
                </c:pt>
                <c:pt idx="163">
                  <c:v>41757</c:v>
                </c:pt>
                <c:pt idx="164">
                  <c:v>41771</c:v>
                </c:pt>
                <c:pt idx="165">
                  <c:v>41785</c:v>
                </c:pt>
                <c:pt idx="166">
                  <c:v>41799</c:v>
                </c:pt>
                <c:pt idx="167">
                  <c:v>41813</c:v>
                </c:pt>
                <c:pt idx="168">
                  <c:v>41834</c:v>
                </c:pt>
                <c:pt idx="169">
                  <c:v>41848</c:v>
                </c:pt>
                <c:pt idx="170">
                  <c:v>41862</c:v>
                </c:pt>
                <c:pt idx="171">
                  <c:v>41876</c:v>
                </c:pt>
                <c:pt idx="172">
                  <c:v>41890</c:v>
                </c:pt>
                <c:pt idx="173">
                  <c:v>41904</c:v>
                </c:pt>
                <c:pt idx="174">
                  <c:v>41925</c:v>
                </c:pt>
                <c:pt idx="175">
                  <c:v>41939</c:v>
                </c:pt>
                <c:pt idx="176">
                  <c:v>41953</c:v>
                </c:pt>
                <c:pt idx="177">
                  <c:v>41967</c:v>
                </c:pt>
                <c:pt idx="178">
                  <c:v>41983</c:v>
                </c:pt>
                <c:pt idx="179">
                  <c:v>41995</c:v>
                </c:pt>
                <c:pt idx="180">
                  <c:v>42016</c:v>
                </c:pt>
                <c:pt idx="181">
                  <c:v>42030</c:v>
                </c:pt>
                <c:pt idx="182">
                  <c:v>42044</c:v>
                </c:pt>
                <c:pt idx="183">
                  <c:v>42058</c:v>
                </c:pt>
                <c:pt idx="184">
                  <c:v>42072</c:v>
                </c:pt>
                <c:pt idx="185">
                  <c:v>42086</c:v>
                </c:pt>
                <c:pt idx="186">
                  <c:v>42107</c:v>
                </c:pt>
                <c:pt idx="187">
                  <c:v>42121</c:v>
                </c:pt>
                <c:pt idx="188">
                  <c:v>42135</c:v>
                </c:pt>
                <c:pt idx="189">
                  <c:v>42149</c:v>
                </c:pt>
                <c:pt idx="190">
                  <c:v>42163</c:v>
                </c:pt>
                <c:pt idx="191">
                  <c:v>42177</c:v>
                </c:pt>
                <c:pt idx="192">
                  <c:v>42212</c:v>
                </c:pt>
                <c:pt idx="193">
                  <c:v>42214</c:v>
                </c:pt>
                <c:pt idx="194">
                  <c:v>42226</c:v>
                </c:pt>
                <c:pt idx="195">
                  <c:v>42240</c:v>
                </c:pt>
                <c:pt idx="196">
                  <c:v>42261</c:v>
                </c:pt>
                <c:pt idx="197">
                  <c:v>42275</c:v>
                </c:pt>
                <c:pt idx="198">
                  <c:v>42289</c:v>
                </c:pt>
                <c:pt idx="199">
                  <c:v>42303</c:v>
                </c:pt>
                <c:pt idx="200">
                  <c:v>42317</c:v>
                </c:pt>
                <c:pt idx="201">
                  <c:v>42331</c:v>
                </c:pt>
                <c:pt idx="202">
                  <c:v>42352</c:v>
                </c:pt>
                <c:pt idx="203">
                  <c:v>42366</c:v>
                </c:pt>
                <c:pt idx="204">
                  <c:v>42380</c:v>
                </c:pt>
                <c:pt idx="205">
                  <c:v>42394</c:v>
                </c:pt>
                <c:pt idx="206">
                  <c:v>42408</c:v>
                </c:pt>
                <c:pt idx="207">
                  <c:v>42424</c:v>
                </c:pt>
                <c:pt idx="208">
                  <c:v>42443</c:v>
                </c:pt>
                <c:pt idx="209">
                  <c:v>42457</c:v>
                </c:pt>
                <c:pt idx="210">
                  <c:v>42471</c:v>
                </c:pt>
                <c:pt idx="211">
                  <c:v>42485</c:v>
                </c:pt>
                <c:pt idx="212">
                  <c:v>42499</c:v>
                </c:pt>
                <c:pt idx="213">
                  <c:v>42513</c:v>
                </c:pt>
                <c:pt idx="214">
                  <c:v>42534</c:v>
                </c:pt>
                <c:pt idx="215">
                  <c:v>42548</c:v>
                </c:pt>
                <c:pt idx="216">
                  <c:v>42562</c:v>
                </c:pt>
              </c:numCache>
            </c:numRef>
          </c:cat>
          <c:val>
            <c:numRef>
              <c:f>'Figure 2.16'!$B$15:$B$231</c:f>
              <c:numCache>
                <c:formatCode>General</c:formatCode>
                <c:ptCount val="217"/>
                <c:pt idx="0">
                  <c:v>402</c:v>
                </c:pt>
                <c:pt idx="1">
                  <c:v>410</c:v>
                </c:pt>
                <c:pt idx="2">
                  <c:v>428</c:v>
                </c:pt>
                <c:pt idx="3">
                  <c:v>460</c:v>
                </c:pt>
                <c:pt idx="4">
                  <c:v>487</c:v>
                </c:pt>
                <c:pt idx="5">
                  <c:v>477</c:v>
                </c:pt>
                <c:pt idx="6">
                  <c:v>472</c:v>
                </c:pt>
                <c:pt idx="7">
                  <c:v>470</c:v>
                </c:pt>
                <c:pt idx="8">
                  <c:v>486</c:v>
                </c:pt>
                <c:pt idx="9">
                  <c:v>499</c:v>
                </c:pt>
                <c:pt idx="10">
                  <c:v>529</c:v>
                </c:pt>
                <c:pt idx="11">
                  <c:v>525</c:v>
                </c:pt>
                <c:pt idx="12">
                  <c:v>543</c:v>
                </c:pt>
                <c:pt idx="13">
                  <c:v>544</c:v>
                </c:pt>
                <c:pt idx="14">
                  <c:v>549</c:v>
                </c:pt>
                <c:pt idx="15">
                  <c:v>604</c:v>
                </c:pt>
                <c:pt idx="16">
                  <c:v>628</c:v>
                </c:pt>
                <c:pt idx="17">
                  <c:v>627</c:v>
                </c:pt>
                <c:pt idx="18">
                  <c:v>657</c:v>
                </c:pt>
                <c:pt idx="19">
                  <c:v>671</c:v>
                </c:pt>
                <c:pt idx="20">
                  <c:v>697</c:v>
                </c:pt>
                <c:pt idx="21">
                  <c:v>704</c:v>
                </c:pt>
                <c:pt idx="22">
                  <c:v>719</c:v>
                </c:pt>
                <c:pt idx="23">
                  <c:v>717</c:v>
                </c:pt>
                <c:pt idx="24">
                  <c:v>733</c:v>
                </c:pt>
                <c:pt idx="25">
                  <c:v>721</c:v>
                </c:pt>
                <c:pt idx="26">
                  <c:v>687</c:v>
                </c:pt>
                <c:pt idx="27">
                  <c:v>636</c:v>
                </c:pt>
                <c:pt idx="28">
                  <c:v>640</c:v>
                </c:pt>
                <c:pt idx="29">
                  <c:v>599</c:v>
                </c:pt>
                <c:pt idx="30">
                  <c:v>458</c:v>
                </c:pt>
                <c:pt idx="31">
                  <c:v>408</c:v>
                </c:pt>
                <c:pt idx="32">
                  <c:v>378</c:v>
                </c:pt>
                <c:pt idx="33">
                  <c:v>396</c:v>
                </c:pt>
                <c:pt idx="34">
                  <c:v>427</c:v>
                </c:pt>
                <c:pt idx="35">
                  <c:v>437</c:v>
                </c:pt>
                <c:pt idx="36">
                  <c:v>472</c:v>
                </c:pt>
                <c:pt idx="37">
                  <c:v>485</c:v>
                </c:pt>
                <c:pt idx="38">
                  <c:v>477</c:v>
                </c:pt>
                <c:pt idx="39">
                  <c:v>436</c:v>
                </c:pt>
                <c:pt idx="40">
                  <c:v>417</c:v>
                </c:pt>
                <c:pt idx="41">
                  <c:v>413</c:v>
                </c:pt>
                <c:pt idx="42">
                  <c:v>391</c:v>
                </c:pt>
                <c:pt idx="43">
                  <c:v>400</c:v>
                </c:pt>
                <c:pt idx="44">
                  <c:v>416</c:v>
                </c:pt>
                <c:pt idx="45">
                  <c:v>421</c:v>
                </c:pt>
                <c:pt idx="46">
                  <c:v>429</c:v>
                </c:pt>
                <c:pt idx="47">
                  <c:v>447</c:v>
                </c:pt>
                <c:pt idx="48">
                  <c:v>462</c:v>
                </c:pt>
                <c:pt idx="49">
                  <c:v>492</c:v>
                </c:pt>
                <c:pt idx="50">
                  <c:v>508</c:v>
                </c:pt>
                <c:pt idx="51">
                  <c:v>462</c:v>
                </c:pt>
                <c:pt idx="52">
                  <c:v>437</c:v>
                </c:pt>
                <c:pt idx="53">
                  <c:v>415</c:v>
                </c:pt>
                <c:pt idx="54">
                  <c:v>407</c:v>
                </c:pt>
                <c:pt idx="55">
                  <c:v>430</c:v>
                </c:pt>
                <c:pt idx="56">
                  <c:v>437</c:v>
                </c:pt>
                <c:pt idx="57">
                  <c:v>453</c:v>
                </c:pt>
                <c:pt idx="58">
                  <c:v>457</c:v>
                </c:pt>
                <c:pt idx="59">
                  <c:v>473</c:v>
                </c:pt>
                <c:pt idx="60">
                  <c:v>483</c:v>
                </c:pt>
                <c:pt idx="61">
                  <c:v>468</c:v>
                </c:pt>
                <c:pt idx="62">
                  <c:v>466</c:v>
                </c:pt>
                <c:pt idx="63">
                  <c:v>473</c:v>
                </c:pt>
                <c:pt idx="64">
                  <c:v>485</c:v>
                </c:pt>
                <c:pt idx="65">
                  <c:v>526</c:v>
                </c:pt>
                <c:pt idx="66">
                  <c:v>573</c:v>
                </c:pt>
                <c:pt idx="67">
                  <c:v>574</c:v>
                </c:pt>
                <c:pt idx="68">
                  <c:v>567</c:v>
                </c:pt>
                <c:pt idx="69">
                  <c:v>535</c:v>
                </c:pt>
                <c:pt idx="70">
                  <c:v>517</c:v>
                </c:pt>
                <c:pt idx="71">
                  <c:v>511</c:v>
                </c:pt>
                <c:pt idx="72">
                  <c:v>482</c:v>
                </c:pt>
                <c:pt idx="73">
                  <c:v>515</c:v>
                </c:pt>
                <c:pt idx="74">
                  <c:v>527</c:v>
                </c:pt>
                <c:pt idx="75">
                  <c:v>527</c:v>
                </c:pt>
                <c:pt idx="76">
                  <c:v>551</c:v>
                </c:pt>
                <c:pt idx="77">
                  <c:v>539</c:v>
                </c:pt>
                <c:pt idx="78">
                  <c:v>548</c:v>
                </c:pt>
                <c:pt idx="79">
                  <c:v>539</c:v>
                </c:pt>
                <c:pt idx="80">
                  <c:v>552</c:v>
                </c:pt>
                <c:pt idx="81">
                  <c:v>552</c:v>
                </c:pt>
                <c:pt idx="82">
                  <c:v>560</c:v>
                </c:pt>
                <c:pt idx="83">
                  <c:v>576</c:v>
                </c:pt>
                <c:pt idx="84">
                  <c:v>591</c:v>
                </c:pt>
                <c:pt idx="85">
                  <c:v>614</c:v>
                </c:pt>
                <c:pt idx="86">
                  <c:v>630</c:v>
                </c:pt>
                <c:pt idx="87">
                  <c:v>614</c:v>
                </c:pt>
                <c:pt idx="88">
                  <c:v>593</c:v>
                </c:pt>
                <c:pt idx="89">
                  <c:v>606</c:v>
                </c:pt>
                <c:pt idx="90">
                  <c:v>628</c:v>
                </c:pt>
                <c:pt idx="91">
                  <c:v>633</c:v>
                </c:pt>
                <c:pt idx="92">
                  <c:v>636</c:v>
                </c:pt>
                <c:pt idx="93">
                  <c:v>634</c:v>
                </c:pt>
                <c:pt idx="94">
                  <c:v>631</c:v>
                </c:pt>
                <c:pt idx="95">
                  <c:v>620</c:v>
                </c:pt>
                <c:pt idx="96">
                  <c:v>621</c:v>
                </c:pt>
                <c:pt idx="97">
                  <c:v>630</c:v>
                </c:pt>
                <c:pt idx="98">
                  <c:v>633</c:v>
                </c:pt>
                <c:pt idx="99">
                  <c:v>637</c:v>
                </c:pt>
                <c:pt idx="100">
                  <c:v>636</c:v>
                </c:pt>
                <c:pt idx="101">
                  <c:v>617</c:v>
                </c:pt>
                <c:pt idx="102">
                  <c:v>609</c:v>
                </c:pt>
                <c:pt idx="103">
                  <c:v>555</c:v>
                </c:pt>
                <c:pt idx="104">
                  <c:v>563</c:v>
                </c:pt>
                <c:pt idx="105">
                  <c:v>557</c:v>
                </c:pt>
                <c:pt idx="106">
                  <c:v>561</c:v>
                </c:pt>
                <c:pt idx="107">
                  <c:v>562</c:v>
                </c:pt>
                <c:pt idx="108">
                  <c:v>558</c:v>
                </c:pt>
                <c:pt idx="109">
                  <c:v>560</c:v>
                </c:pt>
                <c:pt idx="110">
                  <c:v>564</c:v>
                </c:pt>
                <c:pt idx="111">
                  <c:v>566</c:v>
                </c:pt>
                <c:pt idx="112">
                  <c:v>569</c:v>
                </c:pt>
                <c:pt idx="113">
                  <c:v>582</c:v>
                </c:pt>
                <c:pt idx="114">
                  <c:v>583</c:v>
                </c:pt>
                <c:pt idx="115">
                  <c:v>583</c:v>
                </c:pt>
                <c:pt idx="116">
                  <c:v>570</c:v>
                </c:pt>
                <c:pt idx="117">
                  <c:v>552</c:v>
                </c:pt>
                <c:pt idx="118">
                  <c:v>549</c:v>
                </c:pt>
                <c:pt idx="119">
                  <c:v>546</c:v>
                </c:pt>
                <c:pt idx="120">
                  <c:v>535</c:v>
                </c:pt>
                <c:pt idx="121">
                  <c:v>498</c:v>
                </c:pt>
                <c:pt idx="122">
                  <c:v>479</c:v>
                </c:pt>
                <c:pt idx="123">
                  <c:v>462</c:v>
                </c:pt>
                <c:pt idx="124">
                  <c:v>447</c:v>
                </c:pt>
                <c:pt idx="125">
                  <c:v>475</c:v>
                </c:pt>
                <c:pt idx="126">
                  <c:v>495</c:v>
                </c:pt>
                <c:pt idx="127">
                  <c:v>498</c:v>
                </c:pt>
                <c:pt idx="128">
                  <c:v>523</c:v>
                </c:pt>
                <c:pt idx="129">
                  <c:v>520</c:v>
                </c:pt>
                <c:pt idx="130">
                  <c:v>518</c:v>
                </c:pt>
                <c:pt idx="131">
                  <c:v>525</c:v>
                </c:pt>
                <c:pt idx="132">
                  <c:v>545</c:v>
                </c:pt>
                <c:pt idx="133">
                  <c:v>549</c:v>
                </c:pt>
                <c:pt idx="134">
                  <c:v>557</c:v>
                </c:pt>
                <c:pt idx="135">
                  <c:v>553</c:v>
                </c:pt>
                <c:pt idx="136">
                  <c:v>538</c:v>
                </c:pt>
                <c:pt idx="137">
                  <c:v>529</c:v>
                </c:pt>
                <c:pt idx="138">
                  <c:v>519</c:v>
                </c:pt>
                <c:pt idx="139">
                  <c:v>511</c:v>
                </c:pt>
                <c:pt idx="140">
                  <c:v>499</c:v>
                </c:pt>
                <c:pt idx="141">
                  <c:v>484</c:v>
                </c:pt>
                <c:pt idx="142">
                  <c:v>473</c:v>
                </c:pt>
                <c:pt idx="143">
                  <c:v>473</c:v>
                </c:pt>
                <c:pt idx="144">
                  <c:v>481</c:v>
                </c:pt>
                <c:pt idx="145">
                  <c:v>492</c:v>
                </c:pt>
                <c:pt idx="146">
                  <c:v>497</c:v>
                </c:pt>
                <c:pt idx="147">
                  <c:v>503</c:v>
                </c:pt>
                <c:pt idx="148">
                  <c:v>500</c:v>
                </c:pt>
                <c:pt idx="149">
                  <c:v>491</c:v>
                </c:pt>
                <c:pt idx="150">
                  <c:v>488</c:v>
                </c:pt>
                <c:pt idx="151">
                  <c:v>480</c:v>
                </c:pt>
                <c:pt idx="152">
                  <c:v>482</c:v>
                </c:pt>
                <c:pt idx="153">
                  <c:v>476</c:v>
                </c:pt>
                <c:pt idx="154">
                  <c:v>476</c:v>
                </c:pt>
                <c:pt idx="155">
                  <c:v>477</c:v>
                </c:pt>
                <c:pt idx="156">
                  <c:v>477</c:v>
                </c:pt>
                <c:pt idx="157">
                  <c:v>475</c:v>
                </c:pt>
                <c:pt idx="158">
                  <c:v>474</c:v>
                </c:pt>
                <c:pt idx="159">
                  <c:v>467</c:v>
                </c:pt>
                <c:pt idx="160">
                  <c:v>456</c:v>
                </c:pt>
                <c:pt idx="161">
                  <c:v>448</c:v>
                </c:pt>
                <c:pt idx="162">
                  <c:v>459</c:v>
                </c:pt>
                <c:pt idx="163">
                  <c:v>455</c:v>
                </c:pt>
                <c:pt idx="164">
                  <c:v>454</c:v>
                </c:pt>
                <c:pt idx="165">
                  <c:v>451</c:v>
                </c:pt>
                <c:pt idx="166">
                  <c:v>452</c:v>
                </c:pt>
                <c:pt idx="167">
                  <c:v>451</c:v>
                </c:pt>
                <c:pt idx="168">
                  <c:v>450</c:v>
                </c:pt>
                <c:pt idx="169">
                  <c:v>450</c:v>
                </c:pt>
                <c:pt idx="170">
                  <c:v>452</c:v>
                </c:pt>
                <c:pt idx="171">
                  <c:v>445</c:v>
                </c:pt>
                <c:pt idx="172">
                  <c:v>436</c:v>
                </c:pt>
                <c:pt idx="173">
                  <c:v>418</c:v>
                </c:pt>
                <c:pt idx="174">
                  <c:v>415</c:v>
                </c:pt>
                <c:pt idx="175">
                  <c:v>413</c:v>
                </c:pt>
                <c:pt idx="176">
                  <c:v>410</c:v>
                </c:pt>
                <c:pt idx="177">
                  <c:v>407</c:v>
                </c:pt>
                <c:pt idx="178">
                  <c:v>410</c:v>
                </c:pt>
                <c:pt idx="179">
                  <c:v>405</c:v>
                </c:pt>
                <c:pt idx="180">
                  <c:v>392</c:v>
                </c:pt>
                <c:pt idx="181">
                  <c:v>361</c:v>
                </c:pt>
                <c:pt idx="182">
                  <c:v>348</c:v>
                </c:pt>
                <c:pt idx="183">
                  <c:v>350</c:v>
                </c:pt>
                <c:pt idx="184">
                  <c:v>349</c:v>
                </c:pt>
                <c:pt idx="185">
                  <c:v>352</c:v>
                </c:pt>
                <c:pt idx="186">
                  <c:v>330</c:v>
                </c:pt>
                <c:pt idx="187">
                  <c:v>333</c:v>
                </c:pt>
                <c:pt idx="188">
                  <c:v>335</c:v>
                </c:pt>
                <c:pt idx="189">
                  <c:v>325</c:v>
                </c:pt>
                <c:pt idx="190">
                  <c:v>321</c:v>
                </c:pt>
                <c:pt idx="191">
                  <c:v>307</c:v>
                </c:pt>
                <c:pt idx="192">
                  <c:v>275</c:v>
                </c:pt>
                <c:pt idx="193">
                  <c:v>275</c:v>
                </c:pt>
                <c:pt idx="194">
                  <c:v>282</c:v>
                </c:pt>
                <c:pt idx="195">
                  <c:v>269</c:v>
                </c:pt>
                <c:pt idx="196">
                  <c:v>265</c:v>
                </c:pt>
                <c:pt idx="197">
                  <c:v>261</c:v>
                </c:pt>
                <c:pt idx="198">
                  <c:v>259</c:v>
                </c:pt>
                <c:pt idx="199">
                  <c:v>253</c:v>
                </c:pt>
                <c:pt idx="200">
                  <c:v>244</c:v>
                </c:pt>
                <c:pt idx="201">
                  <c:v>238</c:v>
                </c:pt>
                <c:pt idx="202">
                  <c:v>231</c:v>
                </c:pt>
                <c:pt idx="203">
                  <c:v>244</c:v>
                </c:pt>
                <c:pt idx="204">
                  <c:v>251</c:v>
                </c:pt>
                <c:pt idx="205">
                  <c:v>248</c:v>
                </c:pt>
                <c:pt idx="206">
                  <c:v>250</c:v>
                </c:pt>
                <c:pt idx="207">
                  <c:v>262</c:v>
                </c:pt>
                <c:pt idx="208">
                  <c:v>310</c:v>
                </c:pt>
                <c:pt idx="209">
                  <c:v>320</c:v>
                </c:pt>
                <c:pt idx="210">
                  <c:v>352</c:v>
                </c:pt>
                <c:pt idx="211">
                  <c:v>414</c:v>
                </c:pt>
                <c:pt idx="212">
                  <c:v>361</c:v>
                </c:pt>
                <c:pt idx="213">
                  <c:v>333</c:v>
                </c:pt>
                <c:pt idx="214">
                  <c:v>327</c:v>
                </c:pt>
                <c:pt idx="215">
                  <c:v>313</c:v>
                </c:pt>
                <c:pt idx="216">
                  <c:v>320</c:v>
                </c:pt>
              </c:numCache>
            </c:numRef>
          </c:val>
          <c:smooth val="0"/>
        </c:ser>
        <c:ser>
          <c:idx val="1"/>
          <c:order val="1"/>
          <c:tx>
            <c:strRef>
              <c:f>'Figure 2.16'!$C$3</c:f>
              <c:strCache>
                <c:ptCount val="1"/>
                <c:pt idx="0">
                  <c:v>Rebar benchmarker</c:v>
                </c:pt>
              </c:strCache>
            </c:strRef>
          </c:tx>
          <c:spPr>
            <a:ln w="28575" cap="rnd">
              <a:solidFill>
                <a:srgbClr val="9ED9DF"/>
              </a:solidFill>
              <a:prstDash val="solid"/>
              <a:round/>
            </a:ln>
            <a:effectLst/>
          </c:spPr>
          <c:marker>
            <c:symbol val="none"/>
          </c:marker>
          <c:cat>
            <c:numRef>
              <c:f>'Figure 2.16'!$A$15:$A$231</c:f>
              <c:numCache>
                <c:formatCode>m/d/yyyy</c:formatCode>
                <c:ptCount val="217"/>
                <c:pt idx="0">
                  <c:v>39272</c:v>
                </c:pt>
                <c:pt idx="1">
                  <c:v>39286</c:v>
                </c:pt>
                <c:pt idx="2">
                  <c:v>39307</c:v>
                </c:pt>
                <c:pt idx="3">
                  <c:v>39321</c:v>
                </c:pt>
                <c:pt idx="4">
                  <c:v>39335</c:v>
                </c:pt>
                <c:pt idx="5">
                  <c:v>39349</c:v>
                </c:pt>
                <c:pt idx="6">
                  <c:v>39363</c:v>
                </c:pt>
                <c:pt idx="7">
                  <c:v>39377</c:v>
                </c:pt>
                <c:pt idx="8">
                  <c:v>39398</c:v>
                </c:pt>
                <c:pt idx="9">
                  <c:v>39412</c:v>
                </c:pt>
                <c:pt idx="10">
                  <c:v>39426</c:v>
                </c:pt>
                <c:pt idx="11">
                  <c:v>39440</c:v>
                </c:pt>
                <c:pt idx="12">
                  <c:v>39461</c:v>
                </c:pt>
                <c:pt idx="13">
                  <c:v>39475</c:v>
                </c:pt>
                <c:pt idx="14">
                  <c:v>39489</c:v>
                </c:pt>
                <c:pt idx="15">
                  <c:v>39503</c:v>
                </c:pt>
                <c:pt idx="16">
                  <c:v>39517</c:v>
                </c:pt>
                <c:pt idx="17">
                  <c:v>39531</c:v>
                </c:pt>
                <c:pt idx="18">
                  <c:v>39552</c:v>
                </c:pt>
                <c:pt idx="19">
                  <c:v>39566</c:v>
                </c:pt>
                <c:pt idx="20">
                  <c:v>39580</c:v>
                </c:pt>
                <c:pt idx="21">
                  <c:v>39594</c:v>
                </c:pt>
                <c:pt idx="22">
                  <c:v>39608</c:v>
                </c:pt>
                <c:pt idx="23">
                  <c:v>39622</c:v>
                </c:pt>
                <c:pt idx="24">
                  <c:v>39643</c:v>
                </c:pt>
                <c:pt idx="25">
                  <c:v>39657</c:v>
                </c:pt>
                <c:pt idx="26">
                  <c:v>39671</c:v>
                </c:pt>
                <c:pt idx="27">
                  <c:v>39685</c:v>
                </c:pt>
                <c:pt idx="28">
                  <c:v>39699</c:v>
                </c:pt>
                <c:pt idx="29">
                  <c:v>39713</c:v>
                </c:pt>
                <c:pt idx="30">
                  <c:v>39734</c:v>
                </c:pt>
                <c:pt idx="31">
                  <c:v>39748</c:v>
                </c:pt>
                <c:pt idx="32">
                  <c:v>39762</c:v>
                </c:pt>
                <c:pt idx="33">
                  <c:v>39776</c:v>
                </c:pt>
                <c:pt idx="34">
                  <c:v>39790</c:v>
                </c:pt>
                <c:pt idx="35">
                  <c:v>39804</c:v>
                </c:pt>
                <c:pt idx="36">
                  <c:v>39825</c:v>
                </c:pt>
                <c:pt idx="37">
                  <c:v>39839</c:v>
                </c:pt>
                <c:pt idx="38">
                  <c:v>39857</c:v>
                </c:pt>
                <c:pt idx="39">
                  <c:v>39867</c:v>
                </c:pt>
                <c:pt idx="40">
                  <c:v>39881</c:v>
                </c:pt>
                <c:pt idx="41">
                  <c:v>39895</c:v>
                </c:pt>
                <c:pt idx="42">
                  <c:v>39916</c:v>
                </c:pt>
                <c:pt idx="43">
                  <c:v>39930</c:v>
                </c:pt>
                <c:pt idx="44">
                  <c:v>39946</c:v>
                </c:pt>
                <c:pt idx="45">
                  <c:v>39958</c:v>
                </c:pt>
                <c:pt idx="46">
                  <c:v>39972</c:v>
                </c:pt>
                <c:pt idx="47">
                  <c:v>39986</c:v>
                </c:pt>
                <c:pt idx="48">
                  <c:v>40007</c:v>
                </c:pt>
                <c:pt idx="49">
                  <c:v>40021</c:v>
                </c:pt>
                <c:pt idx="50">
                  <c:v>40035</c:v>
                </c:pt>
                <c:pt idx="51">
                  <c:v>40051</c:v>
                </c:pt>
                <c:pt idx="52">
                  <c:v>40070</c:v>
                </c:pt>
                <c:pt idx="53">
                  <c:v>40084</c:v>
                </c:pt>
                <c:pt idx="54">
                  <c:v>40098</c:v>
                </c:pt>
                <c:pt idx="55">
                  <c:v>40112</c:v>
                </c:pt>
                <c:pt idx="56">
                  <c:v>40126</c:v>
                </c:pt>
                <c:pt idx="57">
                  <c:v>40140</c:v>
                </c:pt>
                <c:pt idx="58">
                  <c:v>40161</c:v>
                </c:pt>
                <c:pt idx="59">
                  <c:v>40175</c:v>
                </c:pt>
                <c:pt idx="60">
                  <c:v>40189</c:v>
                </c:pt>
                <c:pt idx="61">
                  <c:v>40203</c:v>
                </c:pt>
                <c:pt idx="62">
                  <c:v>40217</c:v>
                </c:pt>
                <c:pt idx="63">
                  <c:v>40231</c:v>
                </c:pt>
                <c:pt idx="64">
                  <c:v>40245</c:v>
                </c:pt>
                <c:pt idx="65">
                  <c:v>40259</c:v>
                </c:pt>
                <c:pt idx="66">
                  <c:v>40280</c:v>
                </c:pt>
                <c:pt idx="67">
                  <c:v>40294</c:v>
                </c:pt>
                <c:pt idx="68">
                  <c:v>40308</c:v>
                </c:pt>
                <c:pt idx="69">
                  <c:v>40322</c:v>
                </c:pt>
                <c:pt idx="70">
                  <c:v>40343</c:v>
                </c:pt>
                <c:pt idx="71">
                  <c:v>40357</c:v>
                </c:pt>
                <c:pt idx="72">
                  <c:v>40371</c:v>
                </c:pt>
                <c:pt idx="73">
                  <c:v>40385</c:v>
                </c:pt>
                <c:pt idx="74">
                  <c:v>40399</c:v>
                </c:pt>
                <c:pt idx="75">
                  <c:v>40413</c:v>
                </c:pt>
                <c:pt idx="76">
                  <c:v>40434</c:v>
                </c:pt>
                <c:pt idx="77">
                  <c:v>40448</c:v>
                </c:pt>
                <c:pt idx="78">
                  <c:v>40462</c:v>
                </c:pt>
                <c:pt idx="79">
                  <c:v>40476</c:v>
                </c:pt>
                <c:pt idx="80">
                  <c:v>40490</c:v>
                </c:pt>
                <c:pt idx="81">
                  <c:v>40504</c:v>
                </c:pt>
                <c:pt idx="82">
                  <c:v>40525</c:v>
                </c:pt>
                <c:pt idx="83">
                  <c:v>40539</c:v>
                </c:pt>
                <c:pt idx="84">
                  <c:v>40553</c:v>
                </c:pt>
                <c:pt idx="85">
                  <c:v>40567</c:v>
                </c:pt>
                <c:pt idx="86">
                  <c:v>40588</c:v>
                </c:pt>
                <c:pt idx="87">
                  <c:v>40602</c:v>
                </c:pt>
                <c:pt idx="88">
                  <c:v>40616</c:v>
                </c:pt>
                <c:pt idx="89">
                  <c:v>40630</c:v>
                </c:pt>
                <c:pt idx="90">
                  <c:v>40644</c:v>
                </c:pt>
                <c:pt idx="91">
                  <c:v>40658</c:v>
                </c:pt>
                <c:pt idx="92">
                  <c:v>40672</c:v>
                </c:pt>
                <c:pt idx="93">
                  <c:v>40686</c:v>
                </c:pt>
                <c:pt idx="94">
                  <c:v>40707</c:v>
                </c:pt>
                <c:pt idx="95">
                  <c:v>40721</c:v>
                </c:pt>
                <c:pt idx="96">
                  <c:v>40735</c:v>
                </c:pt>
                <c:pt idx="97">
                  <c:v>40749</c:v>
                </c:pt>
                <c:pt idx="98">
                  <c:v>40763</c:v>
                </c:pt>
                <c:pt idx="99">
                  <c:v>40777</c:v>
                </c:pt>
                <c:pt idx="100">
                  <c:v>40798</c:v>
                </c:pt>
                <c:pt idx="101">
                  <c:v>40812</c:v>
                </c:pt>
                <c:pt idx="102">
                  <c:v>40826</c:v>
                </c:pt>
                <c:pt idx="103">
                  <c:v>40840</c:v>
                </c:pt>
                <c:pt idx="104">
                  <c:v>40861</c:v>
                </c:pt>
                <c:pt idx="105">
                  <c:v>40875</c:v>
                </c:pt>
                <c:pt idx="106">
                  <c:v>40889</c:v>
                </c:pt>
                <c:pt idx="107">
                  <c:v>40903</c:v>
                </c:pt>
                <c:pt idx="108">
                  <c:v>40917</c:v>
                </c:pt>
                <c:pt idx="109">
                  <c:v>40931</c:v>
                </c:pt>
                <c:pt idx="110">
                  <c:v>40952</c:v>
                </c:pt>
                <c:pt idx="111">
                  <c:v>40966</c:v>
                </c:pt>
                <c:pt idx="112">
                  <c:v>40980</c:v>
                </c:pt>
                <c:pt idx="113">
                  <c:v>40994</c:v>
                </c:pt>
                <c:pt idx="114">
                  <c:v>41008</c:v>
                </c:pt>
                <c:pt idx="115">
                  <c:v>41022</c:v>
                </c:pt>
                <c:pt idx="116">
                  <c:v>41043</c:v>
                </c:pt>
                <c:pt idx="117">
                  <c:v>41057</c:v>
                </c:pt>
                <c:pt idx="118">
                  <c:v>41071</c:v>
                </c:pt>
                <c:pt idx="119">
                  <c:v>41085</c:v>
                </c:pt>
                <c:pt idx="120">
                  <c:v>41099</c:v>
                </c:pt>
                <c:pt idx="121">
                  <c:v>41113</c:v>
                </c:pt>
                <c:pt idx="122">
                  <c:v>41134</c:v>
                </c:pt>
                <c:pt idx="123">
                  <c:v>41148</c:v>
                </c:pt>
                <c:pt idx="124">
                  <c:v>41162</c:v>
                </c:pt>
                <c:pt idx="125">
                  <c:v>41176</c:v>
                </c:pt>
                <c:pt idx="126">
                  <c:v>41190</c:v>
                </c:pt>
                <c:pt idx="127">
                  <c:v>41204</c:v>
                </c:pt>
                <c:pt idx="128">
                  <c:v>41225</c:v>
                </c:pt>
                <c:pt idx="129">
                  <c:v>41239</c:v>
                </c:pt>
                <c:pt idx="130">
                  <c:v>41253</c:v>
                </c:pt>
                <c:pt idx="131">
                  <c:v>41267</c:v>
                </c:pt>
                <c:pt idx="132">
                  <c:v>41288</c:v>
                </c:pt>
                <c:pt idx="133">
                  <c:v>41302</c:v>
                </c:pt>
                <c:pt idx="134">
                  <c:v>41316</c:v>
                </c:pt>
                <c:pt idx="135">
                  <c:v>41330</c:v>
                </c:pt>
                <c:pt idx="136">
                  <c:v>41344</c:v>
                </c:pt>
                <c:pt idx="137">
                  <c:v>41358</c:v>
                </c:pt>
                <c:pt idx="138">
                  <c:v>41372</c:v>
                </c:pt>
                <c:pt idx="139">
                  <c:v>41386</c:v>
                </c:pt>
                <c:pt idx="140">
                  <c:v>41407</c:v>
                </c:pt>
                <c:pt idx="141">
                  <c:v>41421</c:v>
                </c:pt>
                <c:pt idx="142">
                  <c:v>41435</c:v>
                </c:pt>
                <c:pt idx="143">
                  <c:v>41449</c:v>
                </c:pt>
                <c:pt idx="144">
                  <c:v>41463</c:v>
                </c:pt>
                <c:pt idx="145">
                  <c:v>41477</c:v>
                </c:pt>
                <c:pt idx="146">
                  <c:v>41498</c:v>
                </c:pt>
                <c:pt idx="147">
                  <c:v>41512</c:v>
                </c:pt>
                <c:pt idx="148">
                  <c:v>41526</c:v>
                </c:pt>
                <c:pt idx="149">
                  <c:v>41540</c:v>
                </c:pt>
                <c:pt idx="150">
                  <c:v>41561</c:v>
                </c:pt>
                <c:pt idx="151">
                  <c:v>41575</c:v>
                </c:pt>
                <c:pt idx="152">
                  <c:v>41589</c:v>
                </c:pt>
                <c:pt idx="153">
                  <c:v>41603</c:v>
                </c:pt>
                <c:pt idx="154">
                  <c:v>41617</c:v>
                </c:pt>
                <c:pt idx="155">
                  <c:v>41631</c:v>
                </c:pt>
                <c:pt idx="156">
                  <c:v>41652</c:v>
                </c:pt>
                <c:pt idx="157">
                  <c:v>41666</c:v>
                </c:pt>
                <c:pt idx="158">
                  <c:v>41680</c:v>
                </c:pt>
                <c:pt idx="159">
                  <c:v>41694</c:v>
                </c:pt>
                <c:pt idx="160">
                  <c:v>41708</c:v>
                </c:pt>
                <c:pt idx="161">
                  <c:v>41722</c:v>
                </c:pt>
                <c:pt idx="162">
                  <c:v>41743</c:v>
                </c:pt>
                <c:pt idx="163">
                  <c:v>41757</c:v>
                </c:pt>
                <c:pt idx="164">
                  <c:v>41771</c:v>
                </c:pt>
                <c:pt idx="165">
                  <c:v>41785</c:v>
                </c:pt>
                <c:pt idx="166">
                  <c:v>41799</c:v>
                </c:pt>
                <c:pt idx="167">
                  <c:v>41813</c:v>
                </c:pt>
                <c:pt idx="168">
                  <c:v>41834</c:v>
                </c:pt>
                <c:pt idx="169">
                  <c:v>41848</c:v>
                </c:pt>
                <c:pt idx="170">
                  <c:v>41862</c:v>
                </c:pt>
                <c:pt idx="171">
                  <c:v>41876</c:v>
                </c:pt>
                <c:pt idx="172">
                  <c:v>41890</c:v>
                </c:pt>
                <c:pt idx="173">
                  <c:v>41904</c:v>
                </c:pt>
                <c:pt idx="174">
                  <c:v>41925</c:v>
                </c:pt>
                <c:pt idx="175">
                  <c:v>41939</c:v>
                </c:pt>
                <c:pt idx="176">
                  <c:v>41953</c:v>
                </c:pt>
                <c:pt idx="177">
                  <c:v>41967</c:v>
                </c:pt>
                <c:pt idx="178">
                  <c:v>41983</c:v>
                </c:pt>
                <c:pt idx="179">
                  <c:v>41995</c:v>
                </c:pt>
                <c:pt idx="180">
                  <c:v>42016</c:v>
                </c:pt>
                <c:pt idx="181">
                  <c:v>42030</c:v>
                </c:pt>
                <c:pt idx="182">
                  <c:v>42044</c:v>
                </c:pt>
                <c:pt idx="183">
                  <c:v>42058</c:v>
                </c:pt>
                <c:pt idx="184">
                  <c:v>42072</c:v>
                </c:pt>
                <c:pt idx="185">
                  <c:v>42086</c:v>
                </c:pt>
                <c:pt idx="186">
                  <c:v>42107</c:v>
                </c:pt>
                <c:pt idx="187">
                  <c:v>42121</c:v>
                </c:pt>
                <c:pt idx="188">
                  <c:v>42135</c:v>
                </c:pt>
                <c:pt idx="189">
                  <c:v>42149</c:v>
                </c:pt>
                <c:pt idx="190">
                  <c:v>42163</c:v>
                </c:pt>
                <c:pt idx="191">
                  <c:v>42177</c:v>
                </c:pt>
                <c:pt idx="192">
                  <c:v>42212</c:v>
                </c:pt>
                <c:pt idx="193">
                  <c:v>42214</c:v>
                </c:pt>
                <c:pt idx="194">
                  <c:v>42226</c:v>
                </c:pt>
                <c:pt idx="195">
                  <c:v>42240</c:v>
                </c:pt>
                <c:pt idx="196">
                  <c:v>42261</c:v>
                </c:pt>
                <c:pt idx="197">
                  <c:v>42275</c:v>
                </c:pt>
                <c:pt idx="198">
                  <c:v>42289</c:v>
                </c:pt>
                <c:pt idx="199">
                  <c:v>42303</c:v>
                </c:pt>
                <c:pt idx="200">
                  <c:v>42317</c:v>
                </c:pt>
                <c:pt idx="201">
                  <c:v>42331</c:v>
                </c:pt>
                <c:pt idx="202">
                  <c:v>42352</c:v>
                </c:pt>
                <c:pt idx="203">
                  <c:v>42366</c:v>
                </c:pt>
                <c:pt idx="204">
                  <c:v>42380</c:v>
                </c:pt>
                <c:pt idx="205">
                  <c:v>42394</c:v>
                </c:pt>
                <c:pt idx="206">
                  <c:v>42408</c:v>
                </c:pt>
                <c:pt idx="207">
                  <c:v>42424</c:v>
                </c:pt>
                <c:pt idx="208">
                  <c:v>42443</c:v>
                </c:pt>
                <c:pt idx="209">
                  <c:v>42457</c:v>
                </c:pt>
                <c:pt idx="210">
                  <c:v>42471</c:v>
                </c:pt>
                <c:pt idx="211">
                  <c:v>42485</c:v>
                </c:pt>
                <c:pt idx="212">
                  <c:v>42499</c:v>
                </c:pt>
                <c:pt idx="213">
                  <c:v>42513</c:v>
                </c:pt>
                <c:pt idx="214">
                  <c:v>42534</c:v>
                </c:pt>
                <c:pt idx="215">
                  <c:v>42548</c:v>
                </c:pt>
                <c:pt idx="216">
                  <c:v>42562</c:v>
                </c:pt>
              </c:numCache>
            </c:numRef>
          </c:cat>
          <c:val>
            <c:numRef>
              <c:f>'Figure 2.16'!$C$15:$C$231</c:f>
              <c:numCache>
                <c:formatCode>General</c:formatCode>
                <c:ptCount val="217"/>
                <c:pt idx="0">
                  <c:v>377</c:v>
                </c:pt>
                <c:pt idx="1">
                  <c:v>385</c:v>
                </c:pt>
                <c:pt idx="2">
                  <c:v>401</c:v>
                </c:pt>
                <c:pt idx="3">
                  <c:v>415</c:v>
                </c:pt>
                <c:pt idx="4">
                  <c:v>438</c:v>
                </c:pt>
                <c:pt idx="5">
                  <c:v>433</c:v>
                </c:pt>
                <c:pt idx="6">
                  <c:v>433</c:v>
                </c:pt>
                <c:pt idx="7">
                  <c:v>438</c:v>
                </c:pt>
                <c:pt idx="8">
                  <c:v>465</c:v>
                </c:pt>
                <c:pt idx="9">
                  <c:v>482</c:v>
                </c:pt>
                <c:pt idx="10">
                  <c:v>517</c:v>
                </c:pt>
                <c:pt idx="11">
                  <c:v>510</c:v>
                </c:pt>
                <c:pt idx="12">
                  <c:v>512</c:v>
                </c:pt>
                <c:pt idx="13">
                  <c:v>510</c:v>
                </c:pt>
                <c:pt idx="14">
                  <c:v>512</c:v>
                </c:pt>
                <c:pt idx="15">
                  <c:v>563</c:v>
                </c:pt>
                <c:pt idx="16">
                  <c:v>585</c:v>
                </c:pt>
                <c:pt idx="17">
                  <c:v>583</c:v>
                </c:pt>
                <c:pt idx="20">
                  <c:v>679</c:v>
                </c:pt>
                <c:pt idx="21">
                  <c:v>678</c:v>
                </c:pt>
                <c:pt idx="22">
                  <c:v>685</c:v>
                </c:pt>
                <c:pt idx="23">
                  <c:v>670</c:v>
                </c:pt>
                <c:pt idx="24">
                  <c:v>675</c:v>
                </c:pt>
                <c:pt idx="25">
                  <c:v>666</c:v>
                </c:pt>
                <c:pt idx="26">
                  <c:v>647</c:v>
                </c:pt>
                <c:pt idx="27">
                  <c:v>623</c:v>
                </c:pt>
                <c:pt idx="28">
                  <c:v>617</c:v>
                </c:pt>
                <c:pt idx="29">
                  <c:v>589</c:v>
                </c:pt>
                <c:pt idx="30">
                  <c:v>462</c:v>
                </c:pt>
                <c:pt idx="31">
                  <c:v>439</c:v>
                </c:pt>
                <c:pt idx="32">
                  <c:v>438</c:v>
                </c:pt>
                <c:pt idx="33">
                  <c:v>437</c:v>
                </c:pt>
                <c:pt idx="34">
                  <c:v>444</c:v>
                </c:pt>
                <c:pt idx="35">
                  <c:v>444</c:v>
                </c:pt>
                <c:pt idx="36">
                  <c:v>457</c:v>
                </c:pt>
                <c:pt idx="37">
                  <c:v>464</c:v>
                </c:pt>
                <c:pt idx="38">
                  <c:v>481</c:v>
                </c:pt>
                <c:pt idx="39">
                  <c:v>443</c:v>
                </c:pt>
                <c:pt idx="40">
                  <c:v>420</c:v>
                </c:pt>
                <c:pt idx="41">
                  <c:v>406</c:v>
                </c:pt>
                <c:pt idx="42">
                  <c:v>402</c:v>
                </c:pt>
                <c:pt idx="43">
                  <c:v>412</c:v>
                </c:pt>
                <c:pt idx="44">
                  <c:v>427</c:v>
                </c:pt>
                <c:pt idx="45">
                  <c:v>435</c:v>
                </c:pt>
                <c:pt idx="46">
                  <c:v>441</c:v>
                </c:pt>
                <c:pt idx="47">
                  <c:v>454</c:v>
                </c:pt>
                <c:pt idx="48">
                  <c:v>473</c:v>
                </c:pt>
                <c:pt idx="49">
                  <c:v>497</c:v>
                </c:pt>
                <c:pt idx="50">
                  <c:v>541</c:v>
                </c:pt>
                <c:pt idx="51">
                  <c:v>541</c:v>
                </c:pt>
                <c:pt idx="52">
                  <c:v>435</c:v>
                </c:pt>
                <c:pt idx="53">
                  <c:v>431</c:v>
                </c:pt>
                <c:pt idx="54">
                  <c:v>425</c:v>
                </c:pt>
                <c:pt idx="55">
                  <c:v>430</c:v>
                </c:pt>
                <c:pt idx="56">
                  <c:v>440</c:v>
                </c:pt>
                <c:pt idx="57">
                  <c:v>444</c:v>
                </c:pt>
                <c:pt idx="58">
                  <c:v>447</c:v>
                </c:pt>
                <c:pt idx="59">
                  <c:v>456</c:v>
                </c:pt>
                <c:pt idx="60">
                  <c:v>471</c:v>
                </c:pt>
                <c:pt idx="61">
                  <c:v>462</c:v>
                </c:pt>
                <c:pt idx="62">
                  <c:v>459</c:v>
                </c:pt>
                <c:pt idx="63">
                  <c:v>461</c:v>
                </c:pt>
                <c:pt idx="64">
                  <c:v>460</c:v>
                </c:pt>
                <c:pt idx="65">
                  <c:v>500</c:v>
                </c:pt>
                <c:pt idx="66">
                  <c:v>557</c:v>
                </c:pt>
                <c:pt idx="67">
                  <c:v>551</c:v>
                </c:pt>
                <c:pt idx="68">
                  <c:v>543</c:v>
                </c:pt>
                <c:pt idx="69">
                  <c:v>503</c:v>
                </c:pt>
                <c:pt idx="70">
                  <c:v>481</c:v>
                </c:pt>
                <c:pt idx="71">
                  <c:v>483</c:v>
                </c:pt>
                <c:pt idx="72">
                  <c:v>464</c:v>
                </c:pt>
                <c:pt idx="73">
                  <c:v>485</c:v>
                </c:pt>
                <c:pt idx="74">
                  <c:v>504</c:v>
                </c:pt>
                <c:pt idx="75">
                  <c:v>504</c:v>
                </c:pt>
                <c:pt idx="76">
                  <c:v>544</c:v>
                </c:pt>
                <c:pt idx="77">
                  <c:v>528</c:v>
                </c:pt>
                <c:pt idx="78">
                  <c:v>532</c:v>
                </c:pt>
                <c:pt idx="79">
                  <c:v>527</c:v>
                </c:pt>
                <c:pt idx="80">
                  <c:v>554</c:v>
                </c:pt>
                <c:pt idx="81">
                  <c:v>563</c:v>
                </c:pt>
                <c:pt idx="82">
                  <c:v>577</c:v>
                </c:pt>
                <c:pt idx="83">
                  <c:v>582</c:v>
                </c:pt>
                <c:pt idx="84">
                  <c:v>585</c:v>
                </c:pt>
                <c:pt idx="85">
                  <c:v>606</c:v>
                </c:pt>
                <c:pt idx="86">
                  <c:v>624</c:v>
                </c:pt>
                <c:pt idx="87">
                  <c:v>613</c:v>
                </c:pt>
                <c:pt idx="88">
                  <c:v>591</c:v>
                </c:pt>
                <c:pt idx="89">
                  <c:v>596</c:v>
                </c:pt>
                <c:pt idx="90">
                  <c:v>617</c:v>
                </c:pt>
                <c:pt idx="91">
                  <c:v>624</c:v>
                </c:pt>
                <c:pt idx="92">
                  <c:v>639</c:v>
                </c:pt>
                <c:pt idx="93">
                  <c:v>641</c:v>
                </c:pt>
                <c:pt idx="94">
                  <c:v>645</c:v>
                </c:pt>
                <c:pt idx="95">
                  <c:v>633</c:v>
                </c:pt>
                <c:pt idx="96">
                  <c:v>633</c:v>
                </c:pt>
                <c:pt idx="97">
                  <c:v>645</c:v>
                </c:pt>
                <c:pt idx="98">
                  <c:v>652</c:v>
                </c:pt>
                <c:pt idx="99">
                  <c:v>654</c:v>
                </c:pt>
                <c:pt idx="100">
                  <c:v>648</c:v>
                </c:pt>
                <c:pt idx="101">
                  <c:v>624</c:v>
                </c:pt>
                <c:pt idx="102">
                  <c:v>608</c:v>
                </c:pt>
                <c:pt idx="103">
                  <c:v>560</c:v>
                </c:pt>
                <c:pt idx="104">
                  <c:v>573</c:v>
                </c:pt>
                <c:pt idx="105">
                  <c:v>569</c:v>
                </c:pt>
                <c:pt idx="106">
                  <c:v>570</c:v>
                </c:pt>
                <c:pt idx="107">
                  <c:v>567</c:v>
                </c:pt>
                <c:pt idx="108">
                  <c:v>561</c:v>
                </c:pt>
                <c:pt idx="109">
                  <c:v>558</c:v>
                </c:pt>
                <c:pt idx="110">
                  <c:v>553</c:v>
                </c:pt>
                <c:pt idx="111">
                  <c:v>555</c:v>
                </c:pt>
                <c:pt idx="112">
                  <c:v>564</c:v>
                </c:pt>
                <c:pt idx="113">
                  <c:v>574</c:v>
                </c:pt>
                <c:pt idx="114">
                  <c:v>576</c:v>
                </c:pt>
                <c:pt idx="115">
                  <c:v>572</c:v>
                </c:pt>
                <c:pt idx="116">
                  <c:v>556</c:v>
                </c:pt>
                <c:pt idx="117">
                  <c:v>535</c:v>
                </c:pt>
                <c:pt idx="118">
                  <c:v>535</c:v>
                </c:pt>
                <c:pt idx="119">
                  <c:v>534</c:v>
                </c:pt>
                <c:pt idx="120">
                  <c:v>524</c:v>
                </c:pt>
                <c:pt idx="121">
                  <c:v>493</c:v>
                </c:pt>
                <c:pt idx="122">
                  <c:v>479</c:v>
                </c:pt>
                <c:pt idx="123">
                  <c:v>468</c:v>
                </c:pt>
                <c:pt idx="124">
                  <c:v>462</c:v>
                </c:pt>
                <c:pt idx="125">
                  <c:v>484</c:v>
                </c:pt>
                <c:pt idx="126">
                  <c:v>501</c:v>
                </c:pt>
                <c:pt idx="127">
                  <c:v>504</c:v>
                </c:pt>
                <c:pt idx="128">
                  <c:v>505</c:v>
                </c:pt>
                <c:pt idx="129">
                  <c:v>492</c:v>
                </c:pt>
                <c:pt idx="130">
                  <c:v>482</c:v>
                </c:pt>
                <c:pt idx="131">
                  <c:v>488</c:v>
                </c:pt>
                <c:pt idx="132">
                  <c:v>500</c:v>
                </c:pt>
                <c:pt idx="133">
                  <c:v>498</c:v>
                </c:pt>
                <c:pt idx="134">
                  <c:v>510</c:v>
                </c:pt>
                <c:pt idx="135">
                  <c:v>512</c:v>
                </c:pt>
                <c:pt idx="136">
                  <c:v>501</c:v>
                </c:pt>
                <c:pt idx="137">
                  <c:v>494</c:v>
                </c:pt>
                <c:pt idx="138">
                  <c:v>490</c:v>
                </c:pt>
                <c:pt idx="139">
                  <c:v>485</c:v>
                </c:pt>
                <c:pt idx="140">
                  <c:v>484</c:v>
                </c:pt>
                <c:pt idx="141">
                  <c:v>477</c:v>
                </c:pt>
                <c:pt idx="142">
                  <c:v>459</c:v>
                </c:pt>
                <c:pt idx="143">
                  <c:v>459</c:v>
                </c:pt>
                <c:pt idx="144">
                  <c:v>463</c:v>
                </c:pt>
                <c:pt idx="145">
                  <c:v>471</c:v>
                </c:pt>
                <c:pt idx="146">
                  <c:v>479</c:v>
                </c:pt>
                <c:pt idx="147">
                  <c:v>481</c:v>
                </c:pt>
                <c:pt idx="148">
                  <c:v>479</c:v>
                </c:pt>
                <c:pt idx="149">
                  <c:v>472</c:v>
                </c:pt>
                <c:pt idx="150">
                  <c:v>474</c:v>
                </c:pt>
                <c:pt idx="151">
                  <c:v>471</c:v>
                </c:pt>
                <c:pt idx="152">
                  <c:v>479</c:v>
                </c:pt>
                <c:pt idx="153">
                  <c:v>477</c:v>
                </c:pt>
                <c:pt idx="154">
                  <c:v>482</c:v>
                </c:pt>
                <c:pt idx="155">
                  <c:v>478</c:v>
                </c:pt>
                <c:pt idx="156">
                  <c:v>469</c:v>
                </c:pt>
                <c:pt idx="157">
                  <c:v>464</c:v>
                </c:pt>
                <c:pt idx="158">
                  <c:v>462</c:v>
                </c:pt>
                <c:pt idx="159">
                  <c:v>452</c:v>
                </c:pt>
                <c:pt idx="160">
                  <c:v>442</c:v>
                </c:pt>
                <c:pt idx="161">
                  <c:v>437</c:v>
                </c:pt>
                <c:pt idx="162">
                  <c:v>447</c:v>
                </c:pt>
                <c:pt idx="163">
                  <c:v>437</c:v>
                </c:pt>
                <c:pt idx="164">
                  <c:v>434</c:v>
                </c:pt>
                <c:pt idx="165">
                  <c:v>426</c:v>
                </c:pt>
                <c:pt idx="166">
                  <c:v>423</c:v>
                </c:pt>
                <c:pt idx="167">
                  <c:v>417</c:v>
                </c:pt>
                <c:pt idx="168">
                  <c:v>416</c:v>
                </c:pt>
                <c:pt idx="169">
                  <c:v>415</c:v>
                </c:pt>
                <c:pt idx="170">
                  <c:v>417</c:v>
                </c:pt>
                <c:pt idx="171">
                  <c:v>410</c:v>
                </c:pt>
                <c:pt idx="172">
                  <c:v>401</c:v>
                </c:pt>
                <c:pt idx="173">
                  <c:v>390</c:v>
                </c:pt>
                <c:pt idx="174">
                  <c:v>390</c:v>
                </c:pt>
                <c:pt idx="175">
                  <c:v>402</c:v>
                </c:pt>
                <c:pt idx="176">
                  <c:v>405</c:v>
                </c:pt>
                <c:pt idx="177">
                  <c:v>394</c:v>
                </c:pt>
                <c:pt idx="178">
                  <c:v>387</c:v>
                </c:pt>
                <c:pt idx="179">
                  <c:v>374</c:v>
                </c:pt>
                <c:pt idx="180">
                  <c:v>364</c:v>
                </c:pt>
                <c:pt idx="181">
                  <c:v>346</c:v>
                </c:pt>
                <c:pt idx="182">
                  <c:v>337</c:v>
                </c:pt>
                <c:pt idx="183">
                  <c:v>338</c:v>
                </c:pt>
                <c:pt idx="184">
                  <c:v>337</c:v>
                </c:pt>
                <c:pt idx="185">
                  <c:v>340</c:v>
                </c:pt>
                <c:pt idx="186">
                  <c:v>335</c:v>
                </c:pt>
                <c:pt idx="187">
                  <c:v>334</c:v>
                </c:pt>
                <c:pt idx="188">
                  <c:v>319</c:v>
                </c:pt>
                <c:pt idx="189">
                  <c:v>307</c:v>
                </c:pt>
                <c:pt idx="190">
                  <c:v>299</c:v>
                </c:pt>
                <c:pt idx="191">
                  <c:v>287</c:v>
                </c:pt>
                <c:pt idx="192">
                  <c:v>268</c:v>
                </c:pt>
                <c:pt idx="193">
                  <c:v>268</c:v>
                </c:pt>
                <c:pt idx="194">
                  <c:v>292</c:v>
                </c:pt>
                <c:pt idx="195">
                  <c:v>282</c:v>
                </c:pt>
                <c:pt idx="196">
                  <c:v>270</c:v>
                </c:pt>
                <c:pt idx="197">
                  <c:v>261</c:v>
                </c:pt>
                <c:pt idx="198">
                  <c:v>263</c:v>
                </c:pt>
                <c:pt idx="199">
                  <c:v>261</c:v>
                </c:pt>
                <c:pt idx="200">
                  <c:v>263</c:v>
                </c:pt>
                <c:pt idx="201">
                  <c:v>251</c:v>
                </c:pt>
                <c:pt idx="202">
                  <c:v>232</c:v>
                </c:pt>
                <c:pt idx="203">
                  <c:v>238</c:v>
                </c:pt>
                <c:pt idx="204">
                  <c:v>243</c:v>
                </c:pt>
                <c:pt idx="205">
                  <c:v>241</c:v>
                </c:pt>
                <c:pt idx="206">
                  <c:v>241</c:v>
                </c:pt>
                <c:pt idx="207">
                  <c:v>253</c:v>
                </c:pt>
                <c:pt idx="208">
                  <c:v>292</c:v>
                </c:pt>
                <c:pt idx="209">
                  <c:v>298</c:v>
                </c:pt>
                <c:pt idx="210">
                  <c:v>331</c:v>
                </c:pt>
                <c:pt idx="211">
                  <c:v>390</c:v>
                </c:pt>
                <c:pt idx="212">
                  <c:v>339</c:v>
                </c:pt>
                <c:pt idx="213">
                  <c:v>292</c:v>
                </c:pt>
                <c:pt idx="214">
                  <c:v>282</c:v>
                </c:pt>
                <c:pt idx="215">
                  <c:v>278</c:v>
                </c:pt>
                <c:pt idx="216">
                  <c:v>293</c:v>
                </c:pt>
              </c:numCache>
            </c:numRef>
          </c:val>
          <c:smooth val="0"/>
        </c:ser>
        <c:ser>
          <c:idx val="2"/>
          <c:order val="2"/>
          <c:tx>
            <c:strRef>
              <c:f>'Figure 2.16'!$D$3</c:f>
              <c:strCache>
                <c:ptCount val="1"/>
                <c:pt idx="0">
                  <c:v>Cold rolled coil benchmarker</c:v>
                </c:pt>
              </c:strCache>
            </c:strRef>
          </c:tx>
          <c:spPr>
            <a:ln w="28575" cap="rnd">
              <a:solidFill>
                <a:srgbClr val="22789A"/>
              </a:solidFill>
              <a:prstDash val="solid"/>
              <a:round/>
            </a:ln>
            <a:effectLst/>
          </c:spPr>
          <c:marker>
            <c:symbol val="none"/>
          </c:marker>
          <c:cat>
            <c:numRef>
              <c:f>'Figure 2.16'!$A$15:$A$231</c:f>
              <c:numCache>
                <c:formatCode>m/d/yyyy</c:formatCode>
                <c:ptCount val="217"/>
                <c:pt idx="0">
                  <c:v>39272</c:v>
                </c:pt>
                <c:pt idx="1">
                  <c:v>39286</c:v>
                </c:pt>
                <c:pt idx="2">
                  <c:v>39307</c:v>
                </c:pt>
                <c:pt idx="3">
                  <c:v>39321</c:v>
                </c:pt>
                <c:pt idx="4">
                  <c:v>39335</c:v>
                </c:pt>
                <c:pt idx="5">
                  <c:v>39349</c:v>
                </c:pt>
                <c:pt idx="6">
                  <c:v>39363</c:v>
                </c:pt>
                <c:pt idx="7">
                  <c:v>39377</c:v>
                </c:pt>
                <c:pt idx="8">
                  <c:v>39398</c:v>
                </c:pt>
                <c:pt idx="9">
                  <c:v>39412</c:v>
                </c:pt>
                <c:pt idx="10">
                  <c:v>39426</c:v>
                </c:pt>
                <c:pt idx="11">
                  <c:v>39440</c:v>
                </c:pt>
                <c:pt idx="12">
                  <c:v>39461</c:v>
                </c:pt>
                <c:pt idx="13">
                  <c:v>39475</c:v>
                </c:pt>
                <c:pt idx="14">
                  <c:v>39489</c:v>
                </c:pt>
                <c:pt idx="15">
                  <c:v>39503</c:v>
                </c:pt>
                <c:pt idx="16">
                  <c:v>39517</c:v>
                </c:pt>
                <c:pt idx="17">
                  <c:v>39531</c:v>
                </c:pt>
                <c:pt idx="18">
                  <c:v>39552</c:v>
                </c:pt>
                <c:pt idx="19">
                  <c:v>39566</c:v>
                </c:pt>
                <c:pt idx="20">
                  <c:v>39580</c:v>
                </c:pt>
                <c:pt idx="21">
                  <c:v>39594</c:v>
                </c:pt>
                <c:pt idx="22">
                  <c:v>39608</c:v>
                </c:pt>
                <c:pt idx="23">
                  <c:v>39622</c:v>
                </c:pt>
                <c:pt idx="24">
                  <c:v>39643</c:v>
                </c:pt>
                <c:pt idx="25">
                  <c:v>39657</c:v>
                </c:pt>
                <c:pt idx="26">
                  <c:v>39671</c:v>
                </c:pt>
                <c:pt idx="27">
                  <c:v>39685</c:v>
                </c:pt>
                <c:pt idx="28">
                  <c:v>39699</c:v>
                </c:pt>
                <c:pt idx="29">
                  <c:v>39713</c:v>
                </c:pt>
                <c:pt idx="30">
                  <c:v>39734</c:v>
                </c:pt>
                <c:pt idx="31">
                  <c:v>39748</c:v>
                </c:pt>
                <c:pt idx="32">
                  <c:v>39762</c:v>
                </c:pt>
                <c:pt idx="33">
                  <c:v>39776</c:v>
                </c:pt>
                <c:pt idx="34">
                  <c:v>39790</c:v>
                </c:pt>
                <c:pt idx="35">
                  <c:v>39804</c:v>
                </c:pt>
                <c:pt idx="36">
                  <c:v>39825</c:v>
                </c:pt>
                <c:pt idx="37">
                  <c:v>39839</c:v>
                </c:pt>
                <c:pt idx="38">
                  <c:v>39857</c:v>
                </c:pt>
                <c:pt idx="39">
                  <c:v>39867</c:v>
                </c:pt>
                <c:pt idx="40">
                  <c:v>39881</c:v>
                </c:pt>
                <c:pt idx="41">
                  <c:v>39895</c:v>
                </c:pt>
                <c:pt idx="42">
                  <c:v>39916</c:v>
                </c:pt>
                <c:pt idx="43">
                  <c:v>39930</c:v>
                </c:pt>
                <c:pt idx="44">
                  <c:v>39946</c:v>
                </c:pt>
                <c:pt idx="45">
                  <c:v>39958</c:v>
                </c:pt>
                <c:pt idx="46">
                  <c:v>39972</c:v>
                </c:pt>
                <c:pt idx="47">
                  <c:v>39986</c:v>
                </c:pt>
                <c:pt idx="48">
                  <c:v>40007</c:v>
                </c:pt>
                <c:pt idx="49">
                  <c:v>40021</c:v>
                </c:pt>
                <c:pt idx="50">
                  <c:v>40035</c:v>
                </c:pt>
                <c:pt idx="51">
                  <c:v>40051</c:v>
                </c:pt>
                <c:pt idx="52">
                  <c:v>40070</c:v>
                </c:pt>
                <c:pt idx="53">
                  <c:v>40084</c:v>
                </c:pt>
                <c:pt idx="54">
                  <c:v>40098</c:v>
                </c:pt>
                <c:pt idx="55">
                  <c:v>40112</c:v>
                </c:pt>
                <c:pt idx="56">
                  <c:v>40126</c:v>
                </c:pt>
                <c:pt idx="57">
                  <c:v>40140</c:v>
                </c:pt>
                <c:pt idx="58">
                  <c:v>40161</c:v>
                </c:pt>
                <c:pt idx="59">
                  <c:v>40175</c:v>
                </c:pt>
                <c:pt idx="60">
                  <c:v>40189</c:v>
                </c:pt>
                <c:pt idx="61">
                  <c:v>40203</c:v>
                </c:pt>
                <c:pt idx="62">
                  <c:v>40217</c:v>
                </c:pt>
                <c:pt idx="63">
                  <c:v>40231</c:v>
                </c:pt>
                <c:pt idx="64">
                  <c:v>40245</c:v>
                </c:pt>
                <c:pt idx="65">
                  <c:v>40259</c:v>
                </c:pt>
                <c:pt idx="66">
                  <c:v>40280</c:v>
                </c:pt>
                <c:pt idx="67">
                  <c:v>40294</c:v>
                </c:pt>
                <c:pt idx="68">
                  <c:v>40308</c:v>
                </c:pt>
                <c:pt idx="69">
                  <c:v>40322</c:v>
                </c:pt>
                <c:pt idx="70">
                  <c:v>40343</c:v>
                </c:pt>
                <c:pt idx="71">
                  <c:v>40357</c:v>
                </c:pt>
                <c:pt idx="72">
                  <c:v>40371</c:v>
                </c:pt>
                <c:pt idx="73">
                  <c:v>40385</c:v>
                </c:pt>
                <c:pt idx="74">
                  <c:v>40399</c:v>
                </c:pt>
                <c:pt idx="75">
                  <c:v>40413</c:v>
                </c:pt>
                <c:pt idx="76">
                  <c:v>40434</c:v>
                </c:pt>
                <c:pt idx="77">
                  <c:v>40448</c:v>
                </c:pt>
                <c:pt idx="78">
                  <c:v>40462</c:v>
                </c:pt>
                <c:pt idx="79">
                  <c:v>40476</c:v>
                </c:pt>
                <c:pt idx="80">
                  <c:v>40490</c:v>
                </c:pt>
                <c:pt idx="81">
                  <c:v>40504</c:v>
                </c:pt>
                <c:pt idx="82">
                  <c:v>40525</c:v>
                </c:pt>
                <c:pt idx="83">
                  <c:v>40539</c:v>
                </c:pt>
                <c:pt idx="84">
                  <c:v>40553</c:v>
                </c:pt>
                <c:pt idx="85">
                  <c:v>40567</c:v>
                </c:pt>
                <c:pt idx="86">
                  <c:v>40588</c:v>
                </c:pt>
                <c:pt idx="87">
                  <c:v>40602</c:v>
                </c:pt>
                <c:pt idx="88">
                  <c:v>40616</c:v>
                </c:pt>
                <c:pt idx="89">
                  <c:v>40630</c:v>
                </c:pt>
                <c:pt idx="90">
                  <c:v>40644</c:v>
                </c:pt>
                <c:pt idx="91">
                  <c:v>40658</c:v>
                </c:pt>
                <c:pt idx="92">
                  <c:v>40672</c:v>
                </c:pt>
                <c:pt idx="93">
                  <c:v>40686</c:v>
                </c:pt>
                <c:pt idx="94">
                  <c:v>40707</c:v>
                </c:pt>
                <c:pt idx="95">
                  <c:v>40721</c:v>
                </c:pt>
                <c:pt idx="96">
                  <c:v>40735</c:v>
                </c:pt>
                <c:pt idx="97">
                  <c:v>40749</c:v>
                </c:pt>
                <c:pt idx="98">
                  <c:v>40763</c:v>
                </c:pt>
                <c:pt idx="99">
                  <c:v>40777</c:v>
                </c:pt>
                <c:pt idx="100">
                  <c:v>40798</c:v>
                </c:pt>
                <c:pt idx="101">
                  <c:v>40812</c:v>
                </c:pt>
                <c:pt idx="102">
                  <c:v>40826</c:v>
                </c:pt>
                <c:pt idx="103">
                  <c:v>40840</c:v>
                </c:pt>
                <c:pt idx="104">
                  <c:v>40861</c:v>
                </c:pt>
                <c:pt idx="105">
                  <c:v>40875</c:v>
                </c:pt>
                <c:pt idx="106">
                  <c:v>40889</c:v>
                </c:pt>
                <c:pt idx="107">
                  <c:v>40903</c:v>
                </c:pt>
                <c:pt idx="108">
                  <c:v>40917</c:v>
                </c:pt>
                <c:pt idx="109">
                  <c:v>40931</c:v>
                </c:pt>
                <c:pt idx="110">
                  <c:v>40952</c:v>
                </c:pt>
                <c:pt idx="111">
                  <c:v>40966</c:v>
                </c:pt>
                <c:pt idx="112">
                  <c:v>40980</c:v>
                </c:pt>
                <c:pt idx="113">
                  <c:v>40994</c:v>
                </c:pt>
                <c:pt idx="114">
                  <c:v>41008</c:v>
                </c:pt>
                <c:pt idx="115">
                  <c:v>41022</c:v>
                </c:pt>
                <c:pt idx="116">
                  <c:v>41043</c:v>
                </c:pt>
                <c:pt idx="117">
                  <c:v>41057</c:v>
                </c:pt>
                <c:pt idx="118">
                  <c:v>41071</c:v>
                </c:pt>
                <c:pt idx="119">
                  <c:v>41085</c:v>
                </c:pt>
                <c:pt idx="120">
                  <c:v>41099</c:v>
                </c:pt>
                <c:pt idx="121">
                  <c:v>41113</c:v>
                </c:pt>
                <c:pt idx="122">
                  <c:v>41134</c:v>
                </c:pt>
                <c:pt idx="123">
                  <c:v>41148</c:v>
                </c:pt>
                <c:pt idx="124">
                  <c:v>41162</c:v>
                </c:pt>
                <c:pt idx="125">
                  <c:v>41176</c:v>
                </c:pt>
                <c:pt idx="126">
                  <c:v>41190</c:v>
                </c:pt>
                <c:pt idx="127">
                  <c:v>41204</c:v>
                </c:pt>
                <c:pt idx="128">
                  <c:v>41225</c:v>
                </c:pt>
                <c:pt idx="129">
                  <c:v>41239</c:v>
                </c:pt>
                <c:pt idx="130">
                  <c:v>41253</c:v>
                </c:pt>
                <c:pt idx="131">
                  <c:v>41267</c:v>
                </c:pt>
                <c:pt idx="132">
                  <c:v>41288</c:v>
                </c:pt>
                <c:pt idx="133">
                  <c:v>41302</c:v>
                </c:pt>
                <c:pt idx="134">
                  <c:v>41316</c:v>
                </c:pt>
                <c:pt idx="135">
                  <c:v>41330</c:v>
                </c:pt>
                <c:pt idx="136">
                  <c:v>41344</c:v>
                </c:pt>
                <c:pt idx="137">
                  <c:v>41358</c:v>
                </c:pt>
                <c:pt idx="138">
                  <c:v>41372</c:v>
                </c:pt>
                <c:pt idx="139">
                  <c:v>41386</c:v>
                </c:pt>
                <c:pt idx="140">
                  <c:v>41407</c:v>
                </c:pt>
                <c:pt idx="141">
                  <c:v>41421</c:v>
                </c:pt>
                <c:pt idx="142">
                  <c:v>41435</c:v>
                </c:pt>
                <c:pt idx="143">
                  <c:v>41449</c:v>
                </c:pt>
                <c:pt idx="144">
                  <c:v>41463</c:v>
                </c:pt>
                <c:pt idx="145">
                  <c:v>41477</c:v>
                </c:pt>
                <c:pt idx="146">
                  <c:v>41498</c:v>
                </c:pt>
                <c:pt idx="147">
                  <c:v>41512</c:v>
                </c:pt>
                <c:pt idx="148">
                  <c:v>41526</c:v>
                </c:pt>
                <c:pt idx="149">
                  <c:v>41540</c:v>
                </c:pt>
                <c:pt idx="150">
                  <c:v>41561</c:v>
                </c:pt>
                <c:pt idx="151">
                  <c:v>41575</c:v>
                </c:pt>
                <c:pt idx="152">
                  <c:v>41589</c:v>
                </c:pt>
                <c:pt idx="153">
                  <c:v>41603</c:v>
                </c:pt>
                <c:pt idx="154">
                  <c:v>41617</c:v>
                </c:pt>
                <c:pt idx="155">
                  <c:v>41631</c:v>
                </c:pt>
                <c:pt idx="156">
                  <c:v>41652</c:v>
                </c:pt>
                <c:pt idx="157">
                  <c:v>41666</c:v>
                </c:pt>
                <c:pt idx="158">
                  <c:v>41680</c:v>
                </c:pt>
                <c:pt idx="159">
                  <c:v>41694</c:v>
                </c:pt>
                <c:pt idx="160">
                  <c:v>41708</c:v>
                </c:pt>
                <c:pt idx="161">
                  <c:v>41722</c:v>
                </c:pt>
                <c:pt idx="162">
                  <c:v>41743</c:v>
                </c:pt>
                <c:pt idx="163">
                  <c:v>41757</c:v>
                </c:pt>
                <c:pt idx="164">
                  <c:v>41771</c:v>
                </c:pt>
                <c:pt idx="165">
                  <c:v>41785</c:v>
                </c:pt>
                <c:pt idx="166">
                  <c:v>41799</c:v>
                </c:pt>
                <c:pt idx="167">
                  <c:v>41813</c:v>
                </c:pt>
                <c:pt idx="168">
                  <c:v>41834</c:v>
                </c:pt>
                <c:pt idx="169">
                  <c:v>41848</c:v>
                </c:pt>
                <c:pt idx="170">
                  <c:v>41862</c:v>
                </c:pt>
                <c:pt idx="171">
                  <c:v>41876</c:v>
                </c:pt>
                <c:pt idx="172">
                  <c:v>41890</c:v>
                </c:pt>
                <c:pt idx="173">
                  <c:v>41904</c:v>
                </c:pt>
                <c:pt idx="174">
                  <c:v>41925</c:v>
                </c:pt>
                <c:pt idx="175">
                  <c:v>41939</c:v>
                </c:pt>
                <c:pt idx="176">
                  <c:v>41953</c:v>
                </c:pt>
                <c:pt idx="177">
                  <c:v>41967</c:v>
                </c:pt>
                <c:pt idx="178">
                  <c:v>41983</c:v>
                </c:pt>
                <c:pt idx="179">
                  <c:v>41995</c:v>
                </c:pt>
                <c:pt idx="180">
                  <c:v>42016</c:v>
                </c:pt>
                <c:pt idx="181">
                  <c:v>42030</c:v>
                </c:pt>
                <c:pt idx="182">
                  <c:v>42044</c:v>
                </c:pt>
                <c:pt idx="183">
                  <c:v>42058</c:v>
                </c:pt>
                <c:pt idx="184">
                  <c:v>42072</c:v>
                </c:pt>
                <c:pt idx="185">
                  <c:v>42086</c:v>
                </c:pt>
                <c:pt idx="186">
                  <c:v>42107</c:v>
                </c:pt>
                <c:pt idx="187">
                  <c:v>42121</c:v>
                </c:pt>
                <c:pt idx="188">
                  <c:v>42135</c:v>
                </c:pt>
                <c:pt idx="189">
                  <c:v>42149</c:v>
                </c:pt>
                <c:pt idx="190">
                  <c:v>42163</c:v>
                </c:pt>
                <c:pt idx="191">
                  <c:v>42177</c:v>
                </c:pt>
                <c:pt idx="192">
                  <c:v>42212</c:v>
                </c:pt>
                <c:pt idx="193">
                  <c:v>42214</c:v>
                </c:pt>
                <c:pt idx="194">
                  <c:v>42226</c:v>
                </c:pt>
                <c:pt idx="195">
                  <c:v>42240</c:v>
                </c:pt>
                <c:pt idx="196">
                  <c:v>42261</c:v>
                </c:pt>
                <c:pt idx="197">
                  <c:v>42275</c:v>
                </c:pt>
                <c:pt idx="198">
                  <c:v>42289</c:v>
                </c:pt>
                <c:pt idx="199">
                  <c:v>42303</c:v>
                </c:pt>
                <c:pt idx="200">
                  <c:v>42317</c:v>
                </c:pt>
                <c:pt idx="201">
                  <c:v>42331</c:v>
                </c:pt>
                <c:pt idx="202">
                  <c:v>42352</c:v>
                </c:pt>
                <c:pt idx="203">
                  <c:v>42366</c:v>
                </c:pt>
                <c:pt idx="204">
                  <c:v>42380</c:v>
                </c:pt>
                <c:pt idx="205">
                  <c:v>42394</c:v>
                </c:pt>
                <c:pt idx="206">
                  <c:v>42408</c:v>
                </c:pt>
                <c:pt idx="207">
                  <c:v>42424</c:v>
                </c:pt>
                <c:pt idx="208">
                  <c:v>42443</c:v>
                </c:pt>
                <c:pt idx="209">
                  <c:v>42457</c:v>
                </c:pt>
                <c:pt idx="210">
                  <c:v>42471</c:v>
                </c:pt>
                <c:pt idx="211">
                  <c:v>42485</c:v>
                </c:pt>
                <c:pt idx="212">
                  <c:v>42499</c:v>
                </c:pt>
                <c:pt idx="213">
                  <c:v>42513</c:v>
                </c:pt>
                <c:pt idx="214">
                  <c:v>42534</c:v>
                </c:pt>
                <c:pt idx="215">
                  <c:v>42548</c:v>
                </c:pt>
                <c:pt idx="216">
                  <c:v>42562</c:v>
                </c:pt>
              </c:numCache>
            </c:numRef>
          </c:cat>
          <c:val>
            <c:numRef>
              <c:f>'Figure 2.16'!$D$15:$D$231</c:f>
              <c:numCache>
                <c:formatCode>General</c:formatCode>
                <c:ptCount val="217"/>
                <c:pt idx="0">
                  <c:v>529</c:v>
                </c:pt>
                <c:pt idx="1">
                  <c:v>529</c:v>
                </c:pt>
                <c:pt idx="2">
                  <c:v>533</c:v>
                </c:pt>
                <c:pt idx="3">
                  <c:v>547</c:v>
                </c:pt>
                <c:pt idx="4">
                  <c:v>568</c:v>
                </c:pt>
                <c:pt idx="5">
                  <c:v>575</c:v>
                </c:pt>
                <c:pt idx="6">
                  <c:v>574</c:v>
                </c:pt>
                <c:pt idx="7">
                  <c:v>572</c:v>
                </c:pt>
                <c:pt idx="8">
                  <c:v>577</c:v>
                </c:pt>
                <c:pt idx="9">
                  <c:v>584</c:v>
                </c:pt>
                <c:pt idx="10">
                  <c:v>619</c:v>
                </c:pt>
                <c:pt idx="11">
                  <c:v>629</c:v>
                </c:pt>
                <c:pt idx="12">
                  <c:v>657</c:v>
                </c:pt>
                <c:pt idx="13">
                  <c:v>666</c:v>
                </c:pt>
                <c:pt idx="14">
                  <c:v>672</c:v>
                </c:pt>
                <c:pt idx="15">
                  <c:v>730</c:v>
                </c:pt>
                <c:pt idx="16">
                  <c:v>774</c:v>
                </c:pt>
                <c:pt idx="17">
                  <c:v>776</c:v>
                </c:pt>
                <c:pt idx="18">
                  <c:v>790</c:v>
                </c:pt>
                <c:pt idx="19">
                  <c:v>796</c:v>
                </c:pt>
                <c:pt idx="20">
                  <c:v>824</c:v>
                </c:pt>
                <c:pt idx="21">
                  <c:v>854</c:v>
                </c:pt>
                <c:pt idx="22">
                  <c:v>874</c:v>
                </c:pt>
                <c:pt idx="23">
                  <c:v>888</c:v>
                </c:pt>
                <c:pt idx="24">
                  <c:v>891</c:v>
                </c:pt>
                <c:pt idx="25">
                  <c:v>881</c:v>
                </c:pt>
                <c:pt idx="26">
                  <c:v>849</c:v>
                </c:pt>
                <c:pt idx="27">
                  <c:v>802</c:v>
                </c:pt>
                <c:pt idx="28">
                  <c:v>792</c:v>
                </c:pt>
                <c:pt idx="29">
                  <c:v>762</c:v>
                </c:pt>
                <c:pt idx="30">
                  <c:v>627</c:v>
                </c:pt>
                <c:pt idx="31">
                  <c:v>539</c:v>
                </c:pt>
                <c:pt idx="32">
                  <c:v>498</c:v>
                </c:pt>
                <c:pt idx="33">
                  <c:v>502</c:v>
                </c:pt>
                <c:pt idx="34">
                  <c:v>614</c:v>
                </c:pt>
                <c:pt idx="35">
                  <c:v>592</c:v>
                </c:pt>
                <c:pt idx="36">
                  <c:v>582</c:v>
                </c:pt>
                <c:pt idx="37">
                  <c:v>574</c:v>
                </c:pt>
                <c:pt idx="38">
                  <c:v>578</c:v>
                </c:pt>
                <c:pt idx="39">
                  <c:v>550</c:v>
                </c:pt>
                <c:pt idx="40">
                  <c:v>531</c:v>
                </c:pt>
                <c:pt idx="41">
                  <c:v>523</c:v>
                </c:pt>
                <c:pt idx="42">
                  <c:v>511</c:v>
                </c:pt>
                <c:pt idx="43">
                  <c:v>508</c:v>
                </c:pt>
                <c:pt idx="44">
                  <c:v>519</c:v>
                </c:pt>
                <c:pt idx="45">
                  <c:v>535</c:v>
                </c:pt>
                <c:pt idx="46">
                  <c:v>544</c:v>
                </c:pt>
                <c:pt idx="47">
                  <c:v>569</c:v>
                </c:pt>
                <c:pt idx="48">
                  <c:v>588</c:v>
                </c:pt>
                <c:pt idx="49">
                  <c:v>630</c:v>
                </c:pt>
                <c:pt idx="50">
                  <c:v>667</c:v>
                </c:pt>
                <c:pt idx="51">
                  <c:v>667</c:v>
                </c:pt>
                <c:pt idx="52">
                  <c:v>607</c:v>
                </c:pt>
                <c:pt idx="53">
                  <c:v>616</c:v>
                </c:pt>
                <c:pt idx="54">
                  <c:v>609</c:v>
                </c:pt>
                <c:pt idx="55">
                  <c:v>592</c:v>
                </c:pt>
                <c:pt idx="56">
                  <c:v>599</c:v>
                </c:pt>
                <c:pt idx="57">
                  <c:v>626</c:v>
                </c:pt>
                <c:pt idx="58">
                  <c:v>640</c:v>
                </c:pt>
                <c:pt idx="59">
                  <c:v>670</c:v>
                </c:pt>
                <c:pt idx="60">
                  <c:v>685</c:v>
                </c:pt>
                <c:pt idx="61">
                  <c:v>678</c:v>
                </c:pt>
                <c:pt idx="62">
                  <c:v>673</c:v>
                </c:pt>
                <c:pt idx="63">
                  <c:v>675</c:v>
                </c:pt>
                <c:pt idx="64">
                  <c:v>691</c:v>
                </c:pt>
                <c:pt idx="65">
                  <c:v>719</c:v>
                </c:pt>
                <c:pt idx="66">
                  <c:v>742</c:v>
                </c:pt>
                <c:pt idx="67">
                  <c:v>742</c:v>
                </c:pt>
                <c:pt idx="68">
                  <c:v>735</c:v>
                </c:pt>
                <c:pt idx="69">
                  <c:v>713</c:v>
                </c:pt>
                <c:pt idx="70">
                  <c:v>671</c:v>
                </c:pt>
                <c:pt idx="71">
                  <c:v>651</c:v>
                </c:pt>
                <c:pt idx="72">
                  <c:v>622</c:v>
                </c:pt>
                <c:pt idx="73">
                  <c:v>632</c:v>
                </c:pt>
                <c:pt idx="74">
                  <c:v>649</c:v>
                </c:pt>
                <c:pt idx="75">
                  <c:v>649</c:v>
                </c:pt>
                <c:pt idx="76">
                  <c:v>671</c:v>
                </c:pt>
                <c:pt idx="77">
                  <c:v>670</c:v>
                </c:pt>
                <c:pt idx="78">
                  <c:v>674</c:v>
                </c:pt>
                <c:pt idx="79">
                  <c:v>670</c:v>
                </c:pt>
                <c:pt idx="80">
                  <c:v>675</c:v>
                </c:pt>
                <c:pt idx="81">
                  <c:v>680</c:v>
                </c:pt>
                <c:pt idx="82">
                  <c:v>681</c:v>
                </c:pt>
                <c:pt idx="83">
                  <c:v>694</c:v>
                </c:pt>
                <c:pt idx="84">
                  <c:v>703</c:v>
                </c:pt>
                <c:pt idx="85">
                  <c:v>717</c:v>
                </c:pt>
                <c:pt idx="86">
                  <c:v>727</c:v>
                </c:pt>
                <c:pt idx="87">
                  <c:v>727</c:v>
                </c:pt>
                <c:pt idx="88">
                  <c:v>715</c:v>
                </c:pt>
                <c:pt idx="89">
                  <c:v>717</c:v>
                </c:pt>
                <c:pt idx="90">
                  <c:v>726</c:v>
                </c:pt>
                <c:pt idx="91">
                  <c:v>728</c:v>
                </c:pt>
                <c:pt idx="92">
                  <c:v>728</c:v>
                </c:pt>
                <c:pt idx="93">
                  <c:v>724</c:v>
                </c:pt>
                <c:pt idx="94">
                  <c:v>716</c:v>
                </c:pt>
                <c:pt idx="95">
                  <c:v>708</c:v>
                </c:pt>
                <c:pt idx="96">
                  <c:v>704</c:v>
                </c:pt>
                <c:pt idx="97">
                  <c:v>711</c:v>
                </c:pt>
                <c:pt idx="98">
                  <c:v>716</c:v>
                </c:pt>
                <c:pt idx="99">
                  <c:v>723</c:v>
                </c:pt>
                <c:pt idx="100">
                  <c:v>728</c:v>
                </c:pt>
                <c:pt idx="101">
                  <c:v>729</c:v>
                </c:pt>
                <c:pt idx="102">
                  <c:v>726</c:v>
                </c:pt>
                <c:pt idx="103">
                  <c:v>704</c:v>
                </c:pt>
                <c:pt idx="104">
                  <c:v>703</c:v>
                </c:pt>
                <c:pt idx="105">
                  <c:v>696</c:v>
                </c:pt>
                <c:pt idx="106">
                  <c:v>694</c:v>
                </c:pt>
                <c:pt idx="107">
                  <c:v>692</c:v>
                </c:pt>
                <c:pt idx="108">
                  <c:v>689</c:v>
                </c:pt>
                <c:pt idx="109">
                  <c:v>688</c:v>
                </c:pt>
                <c:pt idx="110">
                  <c:v>690</c:v>
                </c:pt>
                <c:pt idx="111">
                  <c:v>687</c:v>
                </c:pt>
                <c:pt idx="112">
                  <c:v>686</c:v>
                </c:pt>
                <c:pt idx="113">
                  <c:v>691</c:v>
                </c:pt>
                <c:pt idx="114">
                  <c:v>689</c:v>
                </c:pt>
                <c:pt idx="115">
                  <c:v>689</c:v>
                </c:pt>
                <c:pt idx="116">
                  <c:v>681</c:v>
                </c:pt>
                <c:pt idx="117">
                  <c:v>663</c:v>
                </c:pt>
                <c:pt idx="118">
                  <c:v>652</c:v>
                </c:pt>
                <c:pt idx="119">
                  <c:v>644</c:v>
                </c:pt>
                <c:pt idx="120">
                  <c:v>634</c:v>
                </c:pt>
                <c:pt idx="121">
                  <c:v>613</c:v>
                </c:pt>
                <c:pt idx="122">
                  <c:v>601</c:v>
                </c:pt>
                <c:pt idx="123">
                  <c:v>590</c:v>
                </c:pt>
                <c:pt idx="124">
                  <c:v>577</c:v>
                </c:pt>
                <c:pt idx="125">
                  <c:v>591</c:v>
                </c:pt>
                <c:pt idx="126">
                  <c:v>601</c:v>
                </c:pt>
                <c:pt idx="127">
                  <c:v>606</c:v>
                </c:pt>
                <c:pt idx="128">
                  <c:v>611</c:v>
                </c:pt>
                <c:pt idx="129">
                  <c:v>616</c:v>
                </c:pt>
                <c:pt idx="130">
                  <c:v>615</c:v>
                </c:pt>
                <c:pt idx="131">
                  <c:v>620</c:v>
                </c:pt>
                <c:pt idx="132">
                  <c:v>637</c:v>
                </c:pt>
                <c:pt idx="133">
                  <c:v>642</c:v>
                </c:pt>
                <c:pt idx="134">
                  <c:v>648</c:v>
                </c:pt>
                <c:pt idx="135">
                  <c:v>656</c:v>
                </c:pt>
                <c:pt idx="136">
                  <c:v>651</c:v>
                </c:pt>
                <c:pt idx="137">
                  <c:v>645</c:v>
                </c:pt>
                <c:pt idx="138">
                  <c:v>642</c:v>
                </c:pt>
                <c:pt idx="139">
                  <c:v>640</c:v>
                </c:pt>
                <c:pt idx="140">
                  <c:v>637</c:v>
                </c:pt>
                <c:pt idx="141">
                  <c:v>628</c:v>
                </c:pt>
                <c:pt idx="142">
                  <c:v>615</c:v>
                </c:pt>
                <c:pt idx="143">
                  <c:v>614</c:v>
                </c:pt>
                <c:pt idx="144">
                  <c:v>606</c:v>
                </c:pt>
                <c:pt idx="145">
                  <c:v>606</c:v>
                </c:pt>
                <c:pt idx="146">
                  <c:v>610</c:v>
                </c:pt>
                <c:pt idx="147">
                  <c:v>619</c:v>
                </c:pt>
                <c:pt idx="148">
                  <c:v>620</c:v>
                </c:pt>
                <c:pt idx="149">
                  <c:v>617</c:v>
                </c:pt>
                <c:pt idx="150">
                  <c:v>615</c:v>
                </c:pt>
                <c:pt idx="151">
                  <c:v>614</c:v>
                </c:pt>
                <c:pt idx="152">
                  <c:v>612</c:v>
                </c:pt>
                <c:pt idx="153">
                  <c:v>609</c:v>
                </c:pt>
                <c:pt idx="154">
                  <c:v>610</c:v>
                </c:pt>
                <c:pt idx="155">
                  <c:v>607</c:v>
                </c:pt>
                <c:pt idx="156">
                  <c:v>607</c:v>
                </c:pt>
                <c:pt idx="157">
                  <c:v>606</c:v>
                </c:pt>
                <c:pt idx="158">
                  <c:v>604</c:v>
                </c:pt>
                <c:pt idx="159">
                  <c:v>598</c:v>
                </c:pt>
                <c:pt idx="160">
                  <c:v>588</c:v>
                </c:pt>
                <c:pt idx="161">
                  <c:v>576</c:v>
                </c:pt>
                <c:pt idx="162">
                  <c:v>569</c:v>
                </c:pt>
                <c:pt idx="163">
                  <c:v>565</c:v>
                </c:pt>
                <c:pt idx="164">
                  <c:v>564</c:v>
                </c:pt>
                <c:pt idx="165">
                  <c:v>559</c:v>
                </c:pt>
                <c:pt idx="166">
                  <c:v>557</c:v>
                </c:pt>
                <c:pt idx="167">
                  <c:v>556</c:v>
                </c:pt>
                <c:pt idx="168">
                  <c:v>552</c:v>
                </c:pt>
                <c:pt idx="169">
                  <c:v>551</c:v>
                </c:pt>
                <c:pt idx="170">
                  <c:v>554</c:v>
                </c:pt>
                <c:pt idx="171">
                  <c:v>552</c:v>
                </c:pt>
                <c:pt idx="172">
                  <c:v>551</c:v>
                </c:pt>
                <c:pt idx="173">
                  <c:v>546</c:v>
                </c:pt>
                <c:pt idx="174">
                  <c:v>543</c:v>
                </c:pt>
                <c:pt idx="175">
                  <c:v>542</c:v>
                </c:pt>
                <c:pt idx="176">
                  <c:v>538</c:v>
                </c:pt>
                <c:pt idx="177">
                  <c:v>531</c:v>
                </c:pt>
                <c:pt idx="178">
                  <c:v>529</c:v>
                </c:pt>
                <c:pt idx="179">
                  <c:v>520</c:v>
                </c:pt>
                <c:pt idx="180">
                  <c:v>512</c:v>
                </c:pt>
                <c:pt idx="181">
                  <c:v>495</c:v>
                </c:pt>
                <c:pt idx="182">
                  <c:v>479</c:v>
                </c:pt>
                <c:pt idx="183">
                  <c:v>482</c:v>
                </c:pt>
                <c:pt idx="184">
                  <c:v>481</c:v>
                </c:pt>
                <c:pt idx="185">
                  <c:v>485</c:v>
                </c:pt>
                <c:pt idx="186">
                  <c:v>444</c:v>
                </c:pt>
                <c:pt idx="187">
                  <c:v>435</c:v>
                </c:pt>
                <c:pt idx="188">
                  <c:v>429</c:v>
                </c:pt>
                <c:pt idx="189">
                  <c:v>421</c:v>
                </c:pt>
                <c:pt idx="190">
                  <c:v>412</c:v>
                </c:pt>
                <c:pt idx="191">
                  <c:v>404</c:v>
                </c:pt>
                <c:pt idx="192">
                  <c:v>366</c:v>
                </c:pt>
                <c:pt idx="193">
                  <c:v>366</c:v>
                </c:pt>
                <c:pt idx="194">
                  <c:v>362</c:v>
                </c:pt>
                <c:pt idx="195">
                  <c:v>350</c:v>
                </c:pt>
                <c:pt idx="196">
                  <c:v>348</c:v>
                </c:pt>
                <c:pt idx="197">
                  <c:v>342</c:v>
                </c:pt>
                <c:pt idx="198">
                  <c:v>339</c:v>
                </c:pt>
                <c:pt idx="199">
                  <c:v>331</c:v>
                </c:pt>
                <c:pt idx="200">
                  <c:v>321</c:v>
                </c:pt>
                <c:pt idx="201">
                  <c:v>311</c:v>
                </c:pt>
                <c:pt idx="202">
                  <c:v>304</c:v>
                </c:pt>
                <c:pt idx="203">
                  <c:v>325</c:v>
                </c:pt>
                <c:pt idx="204">
                  <c:v>336</c:v>
                </c:pt>
                <c:pt idx="205">
                  <c:v>341</c:v>
                </c:pt>
                <c:pt idx="206">
                  <c:v>342</c:v>
                </c:pt>
                <c:pt idx="207">
                  <c:v>347</c:v>
                </c:pt>
                <c:pt idx="208">
                  <c:v>407</c:v>
                </c:pt>
                <c:pt idx="209">
                  <c:v>413</c:v>
                </c:pt>
                <c:pt idx="210">
                  <c:v>429</c:v>
                </c:pt>
                <c:pt idx="211">
                  <c:v>490</c:v>
                </c:pt>
                <c:pt idx="212">
                  <c:v>465</c:v>
                </c:pt>
                <c:pt idx="213">
                  <c:v>426</c:v>
                </c:pt>
                <c:pt idx="214">
                  <c:v>384</c:v>
                </c:pt>
                <c:pt idx="215">
                  <c:v>377</c:v>
                </c:pt>
                <c:pt idx="216">
                  <c:v>378</c:v>
                </c:pt>
              </c:numCache>
            </c:numRef>
          </c:val>
          <c:smooth val="0"/>
        </c:ser>
        <c:dLbls>
          <c:showLegendKey val="0"/>
          <c:showVal val="0"/>
          <c:showCatName val="0"/>
          <c:showSerName val="0"/>
          <c:showPercent val="0"/>
          <c:showBubbleSize val="0"/>
        </c:dLbls>
        <c:smooth val="0"/>
        <c:axId val="426752600"/>
        <c:axId val="426750248"/>
      </c:lineChart>
      <c:dateAx>
        <c:axId val="426752600"/>
        <c:scaling>
          <c:orientation val="minMax"/>
        </c:scaling>
        <c:delete val="0"/>
        <c:axPos val="b"/>
        <c:numFmt formatCode="[$-C09]mmm\-yy;@" sourceLinked="0"/>
        <c:majorTickMark val="none"/>
        <c:minorTickMark val="none"/>
        <c:tickLblPos val="nextTo"/>
        <c:spPr>
          <a:noFill/>
          <a:ln w="9525" cap="flat" cmpd="sng" algn="ctr">
            <a:solidFill>
              <a:srgbClr val="868686"/>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6750248"/>
        <c:crosses val="autoZero"/>
        <c:auto val="1"/>
        <c:lblOffset val="100"/>
        <c:baseTimeUnit val="days"/>
      </c:dateAx>
      <c:valAx>
        <c:axId val="4267502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r>
                  <a:rPr lang="en-AU">
                    <a:solidFill>
                      <a:sysClr val="windowText" lastClr="000000"/>
                    </a:solidFill>
                  </a:rPr>
                  <a:t>US$/t</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title>
        <c:numFmt formatCode="General" sourceLinked="1"/>
        <c:majorTickMark val="none"/>
        <c:minorTickMark val="none"/>
        <c:tickLblPos val="nextTo"/>
        <c:spPr>
          <a:noFill/>
          <a:ln w="9525" cap="flat" cmpd="sng" algn="ctr">
            <a:solidFill>
              <a:srgbClr val="868686"/>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6752600"/>
        <c:crosses val="autoZero"/>
        <c:crossBetween val="between"/>
        <c:majorUnit val="200"/>
      </c:valAx>
      <c:spPr>
        <a:noFill/>
        <a:ln w="25400">
          <a:noFill/>
        </a:ln>
        <a:effectLst/>
      </c:spPr>
    </c:plotArea>
    <c:legend>
      <c:legendPos val="b"/>
      <c:layout>
        <c:manualLayout>
          <c:xMode val="edge"/>
          <c:yMode val="edge"/>
          <c:x val="2.7018478266085097E-2"/>
          <c:y val="0.83576289384283164"/>
          <c:w val="0.96302561814142518"/>
          <c:h val="0.1371643529292221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spPr>
            <a:ln w="28575" cap="rnd">
              <a:solidFill>
                <a:srgbClr val="9ED9DF"/>
              </a:solidFill>
              <a:round/>
            </a:ln>
            <a:effectLst/>
          </c:spPr>
          <c:marker>
            <c:symbol val="none"/>
          </c:marker>
          <c:cat>
            <c:numRef>
              <c:f>'F2.17'!$A$3:$A$18</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'F2.17'!$B$3:$B$18</c:f>
              <c:numCache>
                <c:formatCode>0</c:formatCode>
                <c:ptCount val="16"/>
                <c:pt idx="0">
                  <c:v>1540.535900297619</c:v>
                </c:pt>
                <c:pt idx="1">
                  <c:v>1394.6896669255686</c:v>
                </c:pt>
                <c:pt idx="2">
                  <c:v>1353.6265038331433</c:v>
                </c:pt>
                <c:pt idx="3">
                  <c:v>1494.441911648802</c:v>
                </c:pt>
                <c:pt idx="4">
                  <c:v>1779.0592981557377</c:v>
                </c:pt>
                <c:pt idx="5">
                  <c:v>2028.0328454097985</c:v>
                </c:pt>
                <c:pt idx="6">
                  <c:v>2663.2884043431241</c:v>
                </c:pt>
                <c:pt idx="7">
                  <c:v>2622.2420430317379</c:v>
                </c:pt>
                <c:pt idx="8">
                  <c:v>2230.8105425824178</c:v>
                </c:pt>
                <c:pt idx="9">
                  <c:v>1865.0653752405096</c:v>
                </c:pt>
                <c:pt idx="10">
                  <c:v>2256.6860193561847</c:v>
                </c:pt>
                <c:pt idx="11">
                  <c:v>2316.4087339743592</c:v>
                </c:pt>
                <c:pt idx="12">
                  <c:v>1974.0506720430108</c:v>
                </c:pt>
                <c:pt idx="13">
                  <c:v>1773.0876454708484</c:v>
                </c:pt>
                <c:pt idx="14">
                  <c:v>1887.9368672467674</c:v>
                </c:pt>
                <c:pt idx="15">
                  <c:v>1591.7985732645527</c:v>
                </c:pt>
              </c:numCache>
            </c:numRef>
          </c:val>
          <c:smooth val="0"/>
        </c:ser>
        <c:dLbls>
          <c:showLegendKey val="0"/>
          <c:showVal val="0"/>
          <c:showCatName val="0"/>
          <c:showSerName val="0"/>
          <c:showPercent val="0"/>
          <c:showBubbleSize val="0"/>
        </c:dLbls>
        <c:smooth val="0"/>
        <c:axId val="426754952"/>
        <c:axId val="426753384"/>
      </c:lineChart>
      <c:catAx>
        <c:axId val="426754952"/>
        <c:scaling>
          <c:orientation val="minMax"/>
        </c:scaling>
        <c:delete val="0"/>
        <c:axPos val="b"/>
        <c:numFmt formatCode="General" sourceLinked="1"/>
        <c:majorTickMark val="none"/>
        <c:minorTickMark val="none"/>
        <c:tickLblPos val="nextTo"/>
        <c:spPr>
          <a:noFill/>
          <a:ln w="9525" cap="flat" cmpd="sng" algn="ctr">
            <a:solidFill>
              <a:srgbClr val="868686"/>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6753384"/>
        <c:crosses val="autoZero"/>
        <c:auto val="1"/>
        <c:lblAlgn val="ctr"/>
        <c:lblOffset val="100"/>
        <c:tickLblSkip val="3"/>
        <c:noMultiLvlLbl val="0"/>
      </c:catAx>
      <c:valAx>
        <c:axId val="42675338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US$/t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6754952"/>
        <c:crosses val="autoZero"/>
        <c:crossBetween val="between"/>
        <c:majorUnit val="1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'Figure 2.18'!$B$3</c:f>
              <c:strCache>
                <c:ptCount val="1"/>
                <c:pt idx="0">
                  <c:v>Australia</c:v>
                </c:pt>
              </c:strCache>
            </c:strRef>
          </c:tx>
          <c:spPr>
            <a:ln w="28575" cap="rnd">
              <a:solidFill>
                <a:srgbClr val="292B67"/>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2.18'!$B$4:$B$15</c:f>
              <c:numCache>
                <c:formatCode>0</c:formatCode>
                <c:ptCount val="12"/>
                <c:pt idx="0">
                  <c:v>3.5037150837989102</c:v>
                </c:pt>
                <c:pt idx="1">
                  <c:v>119.67097260273999</c:v>
                </c:pt>
                <c:pt idx="2">
                  <c:v>154.50811217510301</c:v>
                </c:pt>
                <c:pt idx="3">
                  <c:v>222.977538247566</c:v>
                </c:pt>
                <c:pt idx="4">
                  <c:v>48.017638603696</c:v>
                </c:pt>
                <c:pt idx="5">
                  <c:v>19.020758017492799</c:v>
                </c:pt>
                <c:pt idx="6">
                  <c:v>-36.8977704918033</c:v>
                </c:pt>
                <c:pt idx="7">
                  <c:v>-63.401603563474403</c:v>
                </c:pt>
                <c:pt idx="8">
                  <c:v>-82.709303944315707</c:v>
                </c:pt>
                <c:pt idx="9">
                  <c:v>-48.637270588235197</c:v>
                </c:pt>
                <c:pt idx="10">
                  <c:v>-89.781655773420397</c:v>
                </c:pt>
                <c:pt idx="11">
                  <c:v>-53.601336302895298</c:v>
                </c:pt>
              </c:numCache>
            </c:numRef>
          </c:val>
          <c:smooth val="0"/>
        </c:ser>
        <c:ser>
          <c:idx val="1"/>
          <c:order val="1"/>
          <c:tx>
            <c:strRef>
              <c:f>'Figure 2.18'!$C$3</c:f>
              <c:strCache>
                <c:ptCount val="1"/>
                <c:pt idx="0">
                  <c:v>China</c:v>
                </c:pt>
              </c:strCache>
            </c:strRef>
          </c:tx>
          <c:spPr>
            <a:ln w="28575" cap="rnd">
              <a:solidFill>
                <a:srgbClr val="9ED9DF"/>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2.18'!$C$4:$C$15</c:f>
              <c:numCache>
                <c:formatCode>0</c:formatCode>
                <c:ptCount val="12"/>
                <c:pt idx="0">
                  <c:v>64.851558360186104</c:v>
                </c:pt>
                <c:pt idx="1">
                  <c:v>74.294965040338198</c:v>
                </c:pt>
                <c:pt idx="2">
                  <c:v>101.542816563537</c:v>
                </c:pt>
                <c:pt idx="3">
                  <c:v>114.514555082868</c:v>
                </c:pt>
                <c:pt idx="4">
                  <c:v>26.157258122455701</c:v>
                </c:pt>
                <c:pt idx="5">
                  <c:v>-46.358615613036498</c:v>
                </c:pt>
                <c:pt idx="6">
                  <c:v>-96.229998644940196</c:v>
                </c:pt>
                <c:pt idx="7">
                  <c:v>-78.299702906859196</c:v>
                </c:pt>
                <c:pt idx="8">
                  <c:v>-98.009651146478205</c:v>
                </c:pt>
                <c:pt idx="9">
                  <c:v>-54.175113518533102</c:v>
                </c:pt>
                <c:pt idx="10">
                  <c:v>-97.3851389735852</c:v>
                </c:pt>
                <c:pt idx="11">
                  <c:v>-64.280078723121207</c:v>
                </c:pt>
              </c:numCache>
            </c:numRef>
          </c:val>
          <c:smooth val="0"/>
        </c:ser>
        <c:ser>
          <c:idx val="2"/>
          <c:order val="2"/>
          <c:tx>
            <c:strRef>
              <c:f>'Figure 2.18'!$D$3</c:f>
              <c:strCache>
                <c:ptCount val="1"/>
                <c:pt idx="0">
                  <c:v>India</c:v>
                </c:pt>
              </c:strCache>
            </c:strRef>
          </c:tx>
          <c:spPr>
            <a:ln w="28575" cap="rnd">
              <a:solidFill>
                <a:srgbClr val="22789A"/>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2.18'!$D$4:$D$15</c:f>
              <c:numCache>
                <c:formatCode>0</c:formatCode>
                <c:ptCount val="12"/>
                <c:pt idx="0">
                  <c:v>118.277223550508</c:v>
                </c:pt>
                <c:pt idx="1">
                  <c:v>121.34132909563699</c:v>
                </c:pt>
                <c:pt idx="2">
                  <c:v>153.82599827883001</c:v>
                </c:pt>
                <c:pt idx="3">
                  <c:v>208.97844808126399</c:v>
                </c:pt>
                <c:pt idx="4">
                  <c:v>93.631832870487102</c:v>
                </c:pt>
                <c:pt idx="5">
                  <c:v>52.372308590102797</c:v>
                </c:pt>
                <c:pt idx="6">
                  <c:v>-3.5586804451508001</c:v>
                </c:pt>
                <c:pt idx="7">
                  <c:v>16.214884970974101</c:v>
                </c:pt>
                <c:pt idx="8">
                  <c:v>-21.538823410696502</c:v>
                </c:pt>
                <c:pt idx="9">
                  <c:v>-16.488740418479399</c:v>
                </c:pt>
                <c:pt idx="10">
                  <c:v>-113.45801951219499</c:v>
                </c:pt>
                <c:pt idx="11">
                  <c:v>-71.492726833199001</c:v>
                </c:pt>
              </c:numCache>
            </c:numRef>
          </c:val>
          <c:smooth val="0"/>
        </c:ser>
        <c:ser>
          <c:idx val="3"/>
          <c:order val="3"/>
          <c:tx>
            <c:strRef>
              <c:f>'Figure 2.18'!$E$3</c:f>
              <c:strCache>
                <c:ptCount val="1"/>
                <c:pt idx="0">
                  <c:v>Japan</c:v>
                </c:pt>
              </c:strCache>
            </c:strRef>
          </c:tx>
          <c:spPr>
            <a:ln w="28575" cap="rnd">
              <a:solidFill>
                <a:srgbClr val="BCBFC1"/>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2.18'!$E$4:$E$15</c:f>
              <c:numCache>
                <c:formatCode>0</c:formatCode>
                <c:ptCount val="12"/>
                <c:pt idx="0">
                  <c:v>177.68557096155999</c:v>
                </c:pt>
                <c:pt idx="1">
                  <c:v>164.127989668059</c:v>
                </c:pt>
                <c:pt idx="2">
                  <c:v>197.788418960245</c:v>
                </c:pt>
                <c:pt idx="3">
                  <c:v>244.58506547753501</c:v>
                </c:pt>
                <c:pt idx="4">
                  <c:v>102.81265895202201</c:v>
                </c:pt>
                <c:pt idx="5">
                  <c:v>91.414579710145105</c:v>
                </c:pt>
                <c:pt idx="6">
                  <c:v>16.565495547588601</c:v>
                </c:pt>
                <c:pt idx="7">
                  <c:v>14.493457196613001</c:v>
                </c:pt>
                <c:pt idx="8">
                  <c:v>5.4953712086918403</c:v>
                </c:pt>
                <c:pt idx="9">
                  <c:v>38.589613700168599</c:v>
                </c:pt>
                <c:pt idx="10">
                  <c:v>-36.272777842976197</c:v>
                </c:pt>
                <c:pt idx="11">
                  <c:v>4.1932678956190399</c:v>
                </c:pt>
              </c:numCache>
            </c:numRef>
          </c:val>
          <c:smooth val="0"/>
        </c:ser>
        <c:ser>
          <c:idx val="4"/>
          <c:order val="4"/>
          <c:tx>
            <c:strRef>
              <c:f>'Figure 2.18'!$F$3</c:f>
              <c:strCache>
                <c:ptCount val="1"/>
                <c:pt idx="0">
                  <c:v>United States</c:v>
                </c:pt>
              </c:strCache>
            </c:strRef>
          </c:tx>
          <c:spPr>
            <a:ln w="28575" cap="rnd">
              <a:solidFill>
                <a:srgbClr val="595A5B"/>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2.18'!$F$4:$F$15</c:f>
              <c:numCache>
                <c:formatCode>0</c:formatCode>
                <c:ptCount val="12"/>
                <c:pt idx="0">
                  <c:v>106.04200253339501</c:v>
                </c:pt>
                <c:pt idx="1">
                  <c:v>131.19688861716301</c:v>
                </c:pt>
                <c:pt idx="2">
                  <c:v>161.616380152152</c:v>
                </c:pt>
                <c:pt idx="3">
                  <c:v>299.075698679472</c:v>
                </c:pt>
                <c:pt idx="4">
                  <c:v>5.3521760029582301</c:v>
                </c:pt>
                <c:pt idx="5">
                  <c:v>66.642093085106595</c:v>
                </c:pt>
                <c:pt idx="6">
                  <c:v>97.854375226367395</c:v>
                </c:pt>
                <c:pt idx="7">
                  <c:v>59.682830165985102</c:v>
                </c:pt>
                <c:pt idx="8">
                  <c:v>43.686163007070697</c:v>
                </c:pt>
                <c:pt idx="9">
                  <c:v>74.460666335773197</c:v>
                </c:pt>
                <c:pt idx="10">
                  <c:v>-32.828847939232197</c:v>
                </c:pt>
                <c:pt idx="11">
                  <c:v>-59.362165534451499</c:v>
                </c:pt>
              </c:numCache>
            </c:numRef>
          </c:val>
          <c:smooth val="0"/>
        </c:ser>
        <c:ser>
          <c:idx val="5"/>
          <c:order val="5"/>
          <c:tx>
            <c:strRef>
              <c:f>'Figure 2.18'!$G$3</c:f>
              <c:strCache>
                <c:ptCount val="1"/>
                <c:pt idx="0">
                  <c:v>Korea</c:v>
                </c:pt>
              </c:strCache>
            </c:strRef>
          </c:tx>
          <c:spPr>
            <a:ln w="28575" cap="rnd">
              <a:solidFill>
                <a:srgbClr val="56B4DF"/>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2.18'!$G$4:$G$15</c:f>
              <c:numCache>
                <c:formatCode>0</c:formatCode>
                <c:ptCount val="12"/>
                <c:pt idx="0">
                  <c:v>122.565178157284</c:v>
                </c:pt>
                <c:pt idx="1">
                  <c:v>122.667709615793</c:v>
                </c:pt>
                <c:pt idx="2">
                  <c:v>156.996339583333</c:v>
                </c:pt>
                <c:pt idx="3">
                  <c:v>259.63975075376902</c:v>
                </c:pt>
                <c:pt idx="4">
                  <c:v>78.227592674316</c:v>
                </c:pt>
                <c:pt idx="5">
                  <c:v>67.571360344490003</c:v>
                </c:pt>
                <c:pt idx="6">
                  <c:v>30.580170141784699</c:v>
                </c:pt>
                <c:pt idx="7">
                  <c:v>40.350581300147603</c:v>
                </c:pt>
                <c:pt idx="8">
                  <c:v>22.3534211851604</c:v>
                </c:pt>
                <c:pt idx="9">
                  <c:v>57.983921073401802</c:v>
                </c:pt>
                <c:pt idx="10">
                  <c:v>-10.1073142132783</c:v>
                </c:pt>
                <c:pt idx="11">
                  <c:v>22.916589658966</c:v>
                </c:pt>
              </c:numCache>
            </c:numRef>
          </c:val>
          <c:smooth val="0"/>
        </c:ser>
        <c:ser>
          <c:idx val="6"/>
          <c:order val="6"/>
          <c:tx>
            <c:strRef>
              <c:f>'Figure 2.18'!$H$3</c:f>
              <c:strCache>
                <c:ptCount val="1"/>
                <c:pt idx="0">
                  <c:v>Chinese Taipei</c:v>
                </c:pt>
              </c:strCache>
            </c:strRef>
          </c:tx>
          <c:spPr>
            <a:ln w="28575" cap="rnd">
              <a:solidFill>
                <a:srgbClr val="0072B2"/>
              </a:solidFill>
              <a:prstDash val="solid"/>
              <a:round/>
            </a:ln>
            <a:effectLst/>
          </c:spPr>
          <c:marker>
            <c:symbol val="none"/>
          </c:marker>
          <c:cat>
            <c:numRef>
              <c:f>'Figure 2.18'!$A$4:$A$15</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'Figure 2.18'!$H$4:$H$15</c:f>
              <c:numCache>
                <c:formatCode>0</c:formatCode>
                <c:ptCount val="12"/>
                <c:pt idx="0">
                  <c:v>160.78734224201901</c:v>
                </c:pt>
                <c:pt idx="1">
                  <c:v>151.81522862823101</c:v>
                </c:pt>
                <c:pt idx="2">
                  <c:v>182.132838926174</c:v>
                </c:pt>
                <c:pt idx="3">
                  <c:v>253.23821531791901</c:v>
                </c:pt>
                <c:pt idx="4">
                  <c:v>99.243229437229502</c:v>
                </c:pt>
                <c:pt idx="5">
                  <c:v>71.544072229140596</c:v>
                </c:pt>
                <c:pt idx="6">
                  <c:v>11.7031269160022</c:v>
                </c:pt>
                <c:pt idx="7">
                  <c:v>14.4277629826897</c:v>
                </c:pt>
                <c:pt idx="8">
                  <c:v>-7.1845221736413096</c:v>
                </c:pt>
                <c:pt idx="9">
                  <c:v>30.422314923619201</c:v>
                </c:pt>
                <c:pt idx="10">
                  <c:v>-43.109684210526403</c:v>
                </c:pt>
                <c:pt idx="11">
                  <c:v>-3.5099124343256598</c:v>
                </c:pt>
              </c:numCache>
            </c:numRef>
          </c:val>
          <c:smooth val="0"/>
        </c:ser>
        <c:dLbls>
          <c:showLegendKey val="0"/>
          <c:showVal val="0"/>
          <c:showCatName val="0"/>
          <c:showSerName val="0"/>
          <c:showPercent val="0"/>
          <c:showBubbleSize val="0"/>
        </c:dLbls>
        <c:smooth val="0"/>
        <c:axId val="426753776"/>
        <c:axId val="426755344"/>
      </c:lineChart>
      <c:catAx>
        <c:axId val="426753776"/>
        <c:scaling>
          <c:orientation val="minMax"/>
        </c:scaling>
        <c:delete val="0"/>
        <c:axPos val="b"/>
        <c:numFmt formatCode="General" sourceLinked="1"/>
        <c:majorTickMark val="none"/>
        <c:minorTickMark val="none"/>
        <c:tickLblPos val="low"/>
        <c:spPr>
          <a:noFill/>
          <a:ln w="9525" cap="flat" cmpd="sng" algn="ctr">
            <a:solidFill>
              <a:srgbClr val="868686"/>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6755344"/>
        <c:crosses val="autoZero"/>
        <c:auto val="1"/>
        <c:lblAlgn val="ctr"/>
        <c:lblOffset val="100"/>
        <c:tickLblSkip val="2"/>
        <c:noMultiLvlLbl val="0"/>
      </c:catAx>
      <c:valAx>
        <c:axId val="426755344"/>
        <c:scaling>
          <c:orientation val="minMax"/>
          <c:max val="300"/>
          <c:min val="-2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r>
                  <a:rPr lang="en-AU">
                    <a:solidFill>
                      <a:sysClr val="windowText" lastClr="000000"/>
                    </a:solidFill>
                  </a:rPr>
                  <a:t>US$/t</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title>
        <c:numFmt formatCode="0" sourceLinked="1"/>
        <c:majorTickMark val="none"/>
        <c:minorTickMark val="none"/>
        <c:tickLblPos val="low"/>
        <c:spPr>
          <a:noFill/>
          <a:ln w="9525">
            <a:solidFill>
              <a:srgbClr val="868686"/>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426753776"/>
        <c:crossesAt val="1"/>
        <c:crossBetween val="between"/>
        <c:majorUnit val="100"/>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842588856480794E-2"/>
          <c:y val="5.7347663057643931E-2"/>
          <c:w val="0.86906614711228447"/>
          <c:h val="0.79021718106884919"/>
        </c:manualLayout>
      </c:layout>
      <c:lineChart>
        <c:grouping val="standard"/>
        <c:varyColors val="0"/>
        <c:ser>
          <c:idx val="1"/>
          <c:order val="0"/>
          <c:tx>
            <c:strRef>
              <c:f>Sheet1!$B$7</c:f>
              <c:strCache>
                <c:ptCount val="1"/>
                <c:pt idx="0">
                  <c:v>Russia</c:v>
                </c:pt>
              </c:strCache>
            </c:strRef>
          </c:tx>
          <c:spPr>
            <a:ln>
              <a:solidFill>
                <a:srgbClr val="292B67"/>
              </a:solidFill>
            </a:ln>
          </c:spPr>
          <c:marker>
            <c:symbol val="none"/>
          </c:marker>
          <c:cat>
            <c:numRef>
              <c:f>Sheet1!$C$6:$M$6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Sheet1!$C$7:$M$7</c:f>
              <c:numCache>
                <c:formatCode>#,##0.00</c:formatCode>
                <c:ptCount val="11"/>
                <c:pt idx="0">
                  <c:v>349.32</c:v>
                </c:pt>
                <c:pt idx="1">
                  <c:v>1006.54</c:v>
                </c:pt>
                <c:pt idx="2">
                  <c:v>1100.06</c:v>
                </c:pt>
                <c:pt idx="3">
                  <c:v>813.17</c:v>
                </c:pt>
                <c:pt idx="4">
                  <c:v>361.32</c:v>
                </c:pt>
                <c:pt idx="5">
                  <c:v>570.9</c:v>
                </c:pt>
                <c:pt idx="6">
                  <c:v>495.82</c:v>
                </c:pt>
                <c:pt idx="7">
                  <c:v>307.83</c:v>
                </c:pt>
                <c:pt idx="8">
                  <c:v>118.44</c:v>
                </c:pt>
                <c:pt idx="9">
                  <c:v>156.44</c:v>
                </c:pt>
                <c:pt idx="10">
                  <c:v>203.99</c:v>
                </c:pt>
              </c:numCache>
            </c:numRef>
          </c:val>
          <c:smooth val="0"/>
        </c:ser>
        <c:ser>
          <c:idx val="3"/>
          <c:order val="1"/>
          <c:tx>
            <c:strRef>
              <c:f>Sheet1!$B$9</c:f>
              <c:strCache>
                <c:ptCount val="1"/>
                <c:pt idx="0">
                  <c:v>India</c:v>
                </c:pt>
              </c:strCache>
            </c:strRef>
          </c:tx>
          <c:spPr>
            <a:ln>
              <a:solidFill>
                <a:srgbClr val="22789A"/>
              </a:solidFill>
            </a:ln>
          </c:spPr>
          <c:marker>
            <c:symbol val="none"/>
          </c:marker>
          <c:cat>
            <c:numRef>
              <c:f>Sheet1!$C$6:$M$6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Sheet1!$C$9:$M$9</c:f>
              <c:numCache>
                <c:formatCode>#,##0.00</c:formatCode>
                <c:ptCount val="11"/>
                <c:pt idx="0">
                  <c:v>115.99</c:v>
                </c:pt>
                <c:pt idx="1">
                  <c:v>795.05</c:v>
                </c:pt>
                <c:pt idx="2">
                  <c:v>968.91</c:v>
                </c:pt>
                <c:pt idx="3">
                  <c:v>810.12</c:v>
                </c:pt>
                <c:pt idx="4">
                  <c:v>289.61</c:v>
                </c:pt>
                <c:pt idx="5">
                  <c:v>504.15</c:v>
                </c:pt>
                <c:pt idx="6">
                  <c:v>588.95000000000005</c:v>
                </c:pt>
                <c:pt idx="7">
                  <c:v>383.51</c:v>
                </c:pt>
                <c:pt idx="8">
                  <c:v>244.5</c:v>
                </c:pt>
                <c:pt idx="9">
                  <c:v>181.91</c:v>
                </c:pt>
                <c:pt idx="10">
                  <c:v>61.29</c:v>
                </c:pt>
              </c:numCache>
            </c:numRef>
          </c:val>
          <c:smooth val="0"/>
        </c:ser>
        <c:ser>
          <c:idx val="4"/>
          <c:order val="2"/>
          <c:tx>
            <c:strRef>
              <c:f>Sheet1!$B$10</c:f>
              <c:strCache>
                <c:ptCount val="1"/>
                <c:pt idx="0">
                  <c:v>Australia</c:v>
                </c:pt>
              </c:strCache>
            </c:strRef>
          </c:tx>
          <c:spPr>
            <a:ln>
              <a:solidFill>
                <a:srgbClr val="BCBFC1"/>
              </a:solidFill>
            </a:ln>
          </c:spPr>
          <c:marker>
            <c:symbol val="none"/>
          </c:marker>
          <c:cat>
            <c:numRef>
              <c:f>Sheet1!$C$6:$M$6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Sheet1!$C$10:$M$10</c:f>
              <c:numCache>
                <c:formatCode>#,##0.00</c:formatCode>
                <c:ptCount val="11"/>
                <c:pt idx="0">
                  <c:v>50.14</c:v>
                </c:pt>
                <c:pt idx="1">
                  <c:v>699.76</c:v>
                </c:pt>
                <c:pt idx="2">
                  <c:v>834.69</c:v>
                </c:pt>
                <c:pt idx="3">
                  <c:v>603.24</c:v>
                </c:pt>
                <c:pt idx="4">
                  <c:v>128.72999999999999</c:v>
                </c:pt>
                <c:pt idx="5">
                  <c:v>304.02</c:v>
                </c:pt>
                <c:pt idx="6">
                  <c:v>336.79</c:v>
                </c:pt>
                <c:pt idx="7">
                  <c:v>123.27</c:v>
                </c:pt>
                <c:pt idx="8">
                  <c:v>2.04</c:v>
                </c:pt>
                <c:pt idx="9">
                  <c:v>77.06</c:v>
                </c:pt>
                <c:pt idx="10">
                  <c:v>38</c:v>
                </c:pt>
              </c:numCache>
            </c:numRef>
          </c:val>
          <c:smooth val="0"/>
        </c:ser>
        <c:ser>
          <c:idx val="6"/>
          <c:order val="3"/>
          <c:tx>
            <c:strRef>
              <c:f>Sheet1!$B$12</c:f>
              <c:strCache>
                <c:ptCount val="1"/>
                <c:pt idx="0">
                  <c:v>China</c:v>
                </c:pt>
              </c:strCache>
            </c:strRef>
          </c:tx>
          <c:spPr>
            <a:ln>
              <a:solidFill>
                <a:srgbClr val="56B4DF"/>
              </a:solidFill>
            </a:ln>
          </c:spPr>
          <c:marker>
            <c:symbol val="none"/>
          </c:marker>
          <c:cat>
            <c:numRef>
              <c:f>Sheet1!$C$6:$M$6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Sheet1!$C$12:$M$12</c:f>
              <c:numCache>
                <c:formatCode>#,##0.00</c:formatCode>
                <c:ptCount val="11"/>
                <c:pt idx="0">
                  <c:v>44.91</c:v>
                </c:pt>
                <c:pt idx="1">
                  <c:v>625.62</c:v>
                </c:pt>
                <c:pt idx="2">
                  <c:v>728.5</c:v>
                </c:pt>
                <c:pt idx="3">
                  <c:v>492.74</c:v>
                </c:pt>
                <c:pt idx="4">
                  <c:v>-93.53</c:v>
                </c:pt>
                <c:pt idx="5">
                  <c:v>203.53</c:v>
                </c:pt>
                <c:pt idx="6">
                  <c:v>266.18</c:v>
                </c:pt>
                <c:pt idx="7">
                  <c:v>-80.12</c:v>
                </c:pt>
                <c:pt idx="8">
                  <c:v>-88.88</c:v>
                </c:pt>
                <c:pt idx="9">
                  <c:v>-43.69</c:v>
                </c:pt>
                <c:pt idx="10">
                  <c:v>7.56</c:v>
                </c:pt>
              </c:numCache>
            </c:numRef>
          </c:val>
          <c:smooth val="0"/>
        </c:ser>
        <c:ser>
          <c:idx val="7"/>
          <c:order val="4"/>
          <c:tx>
            <c:strRef>
              <c:f>Sheet1!$B$13</c:f>
              <c:strCache>
                <c:ptCount val="1"/>
                <c:pt idx="0">
                  <c:v>United States</c:v>
                </c:pt>
              </c:strCache>
            </c:strRef>
          </c:tx>
          <c:spPr>
            <a:ln>
              <a:solidFill>
                <a:srgbClr val="0072B2"/>
              </a:solidFill>
            </a:ln>
          </c:spPr>
          <c:marker>
            <c:symbol val="none"/>
          </c:marker>
          <c:cat>
            <c:numRef>
              <c:f>Sheet1!$C$6:$M$6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Sheet1!$C$13:$M$13</c:f>
              <c:numCache>
                <c:formatCode>#,##0.00</c:formatCode>
                <c:ptCount val="11"/>
                <c:pt idx="0">
                  <c:v>-134.27000000000001</c:v>
                </c:pt>
                <c:pt idx="1">
                  <c:v>450.3</c:v>
                </c:pt>
                <c:pt idx="2">
                  <c:v>548.46</c:v>
                </c:pt>
                <c:pt idx="3">
                  <c:v>380.02</c:v>
                </c:pt>
                <c:pt idx="4">
                  <c:v>-50.74</c:v>
                </c:pt>
                <c:pt idx="5">
                  <c:v>179.09</c:v>
                </c:pt>
                <c:pt idx="6">
                  <c:v>303.01</c:v>
                </c:pt>
                <c:pt idx="7">
                  <c:v>-19.399999999999999</c:v>
                </c:pt>
                <c:pt idx="8">
                  <c:v>-161.99</c:v>
                </c:pt>
                <c:pt idx="9">
                  <c:v>-153.05000000000001</c:v>
                </c:pt>
                <c:pt idx="10">
                  <c:v>-261.12</c:v>
                </c:pt>
              </c:numCache>
            </c:numRef>
          </c:val>
          <c:smooth val="0"/>
        </c:ser>
        <c:dLbls>
          <c:showLegendKey val="0"/>
          <c:showVal val="0"/>
          <c:showCatName val="0"/>
          <c:showSerName val="0"/>
          <c:showPercent val="0"/>
          <c:showBubbleSize val="0"/>
        </c:dLbls>
        <c:smooth val="0"/>
        <c:axId val="426751424"/>
        <c:axId val="426755736"/>
      </c:lineChart>
      <c:catAx>
        <c:axId val="426751424"/>
        <c:scaling>
          <c:orientation val="minMax"/>
        </c:scaling>
        <c:delete val="0"/>
        <c:axPos val="b"/>
        <c:numFmt formatCode="General" sourceLinked="1"/>
        <c:majorTickMark val="none"/>
        <c:minorTickMark val="none"/>
        <c:tickLblPos val="low"/>
        <c:spPr>
          <a:ln>
            <a:solidFill>
              <a:srgbClr val="BCBFC1"/>
            </a:solidFill>
          </a:ln>
        </c:spPr>
        <c:txPr>
          <a:bodyPr/>
          <a:lstStyle/>
          <a:p>
            <a:pPr>
              <a:defRPr>
                <a:solidFill>
                  <a:sysClr val="windowText" lastClr="000000"/>
                </a:solidFill>
              </a:defRPr>
            </a:pPr>
            <a:endParaRPr lang="en-US"/>
          </a:p>
        </c:txPr>
        <c:crossAx val="426755736"/>
        <c:crosses val="autoZero"/>
        <c:auto val="1"/>
        <c:lblAlgn val="ctr"/>
        <c:lblOffset val="100"/>
        <c:tickLblSkip val="2"/>
        <c:noMultiLvlLbl val="0"/>
      </c:catAx>
      <c:valAx>
        <c:axId val="426755736"/>
        <c:scaling>
          <c:orientation val="minMax"/>
        </c:scaling>
        <c:delete val="0"/>
        <c:axPos val="l"/>
        <c:title>
          <c:tx>
            <c:rich>
              <a:bodyPr rot="-5400000" vert="horz"/>
              <a:lstStyle/>
              <a:p>
                <a:pPr>
                  <a:defRPr b="0">
                    <a:solidFill>
                      <a:sysClr val="windowText" lastClr="000000"/>
                    </a:solidFill>
                  </a:defRPr>
                </a:pPr>
                <a:r>
                  <a:rPr lang="en-US" b="0">
                    <a:solidFill>
                      <a:sysClr val="windowText" lastClr="000000"/>
                    </a:solidFill>
                  </a:rPr>
                  <a:t>US$/t</a:t>
                </a:r>
              </a:p>
            </c:rich>
          </c:tx>
          <c:overlay val="0"/>
        </c:title>
        <c:numFmt formatCode="#,##0" sourceLinked="0"/>
        <c:majorTickMark val="none"/>
        <c:minorTickMark val="none"/>
        <c:tickLblPos val="nextTo"/>
        <c:spPr>
          <a:ln>
            <a:solidFill>
              <a:srgbClr val="BCBFC1"/>
            </a:solidFill>
          </a:ln>
        </c:spPr>
        <c:txPr>
          <a:bodyPr/>
          <a:lstStyle/>
          <a:p>
            <a:pPr>
              <a:defRPr>
                <a:solidFill>
                  <a:sysClr val="windowText" lastClr="000000"/>
                </a:solidFill>
              </a:defRPr>
            </a:pPr>
            <a:endParaRPr lang="en-US"/>
          </a:p>
        </c:txPr>
        <c:crossAx val="426751424"/>
        <c:crosses val="autoZero"/>
        <c:crossBetween val="between"/>
      </c:valAx>
    </c:plotArea>
    <c:legend>
      <c:legendPos val="b"/>
      <c:overlay val="0"/>
      <c:txPr>
        <a:bodyPr/>
        <a:lstStyle/>
        <a:p>
          <a:pPr>
            <a:defRPr>
              <a:solidFill>
                <a:sysClr val="windowText" lastClr="000000"/>
              </a:solidFill>
            </a:defRPr>
          </a:pPr>
          <a:endParaRPr lang="en-US"/>
        </a:p>
      </c:txPr>
    </c:legend>
    <c:plotVisOnly val="1"/>
    <c:dispBlanksAs val="gap"/>
    <c:showDLblsOverMax val="0"/>
  </c:chart>
  <c:spPr>
    <a:ln>
      <a:noFill/>
    </a:ln>
  </c:spPr>
  <c:txPr>
    <a:bodyPr/>
    <a:lstStyle/>
    <a:p>
      <a:pPr>
        <a:defRPr sz="800">
          <a:solidFill>
            <a:srgbClr val="595A5B"/>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12843535578486"/>
          <c:y val="7.0175438596491224E-2"/>
          <c:w val="0.83585940892889443"/>
          <c:h val="0.67047232842679461"/>
        </c:manualLayout>
      </c:layout>
      <c:barChart>
        <c:barDir val="col"/>
        <c:grouping val="clustered"/>
        <c:varyColors val="0"/>
        <c:ser>
          <c:idx val="0"/>
          <c:order val="0"/>
          <c:tx>
            <c:strRef>
              <c:f>'Crude steel consumption'!$B$2</c:f>
              <c:strCache>
                <c:ptCount val="1"/>
                <c:pt idx="0">
                  <c:v>European Union</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consumption'!$B$3:$B$12</c:f>
              <c:numCache>
                <c:formatCode>General</c:formatCode>
                <c:ptCount val="10"/>
                <c:pt idx="0">
                  <c:v>183816</c:v>
                </c:pt>
                <c:pt idx="1">
                  <c:v>208206</c:v>
                </c:pt>
                <c:pt idx="2">
                  <c:v>221671</c:v>
                </c:pt>
                <c:pt idx="3">
                  <c:v>206145</c:v>
                </c:pt>
                <c:pt idx="4">
                  <c:v>129937</c:v>
                </c:pt>
                <c:pt idx="5">
                  <c:v>161806</c:v>
                </c:pt>
                <c:pt idx="6">
                  <c:v>173326</c:v>
                </c:pt>
                <c:pt idx="7">
                  <c:v>154116</c:v>
                </c:pt>
                <c:pt idx="8">
                  <c:v>157185</c:v>
                </c:pt>
                <c:pt idx="9">
                  <c:v>162094</c:v>
                </c:pt>
              </c:numCache>
            </c:numRef>
          </c:val>
        </c:ser>
        <c:ser>
          <c:idx val="1"/>
          <c:order val="1"/>
          <c:tx>
            <c:strRef>
              <c:f>'Crude steel consumption'!$C$2</c:f>
              <c:strCache>
                <c:ptCount val="1"/>
                <c:pt idx="0">
                  <c:v>China</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consumption'!$C$3:$C$12</c:f>
              <c:numCache>
                <c:formatCode>General</c:formatCode>
                <c:ptCount val="10"/>
                <c:pt idx="0">
                  <c:v>361950</c:v>
                </c:pt>
                <c:pt idx="1">
                  <c:v>393400</c:v>
                </c:pt>
                <c:pt idx="2">
                  <c:v>435860</c:v>
                </c:pt>
                <c:pt idx="3">
                  <c:v>465480</c:v>
                </c:pt>
                <c:pt idx="4">
                  <c:v>574420</c:v>
                </c:pt>
                <c:pt idx="5">
                  <c:v>612060</c:v>
                </c:pt>
                <c:pt idx="6">
                  <c:v>667930</c:v>
                </c:pt>
                <c:pt idx="7">
                  <c:v>687610</c:v>
                </c:pt>
                <c:pt idx="8">
                  <c:v>765750</c:v>
                </c:pt>
                <c:pt idx="9">
                  <c:v>740380</c:v>
                </c:pt>
              </c:numCache>
            </c:numRef>
          </c:val>
        </c:ser>
        <c:ser>
          <c:idx val="2"/>
          <c:order val="2"/>
          <c:tx>
            <c:strRef>
              <c:f>'Crude steel consumption'!$D$2</c:f>
              <c:strCache>
                <c:ptCount val="1"/>
                <c:pt idx="0">
                  <c:v>Japan</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consumption'!$D$3:$D$12</c:f>
              <c:numCache>
                <c:formatCode>General</c:formatCode>
                <c:ptCount val="10"/>
                <c:pt idx="0">
                  <c:v>82900</c:v>
                </c:pt>
                <c:pt idx="1">
                  <c:v>83300</c:v>
                </c:pt>
                <c:pt idx="2">
                  <c:v>85900</c:v>
                </c:pt>
                <c:pt idx="3">
                  <c:v>83200</c:v>
                </c:pt>
                <c:pt idx="4">
                  <c:v>56000</c:v>
                </c:pt>
                <c:pt idx="5">
                  <c:v>67400</c:v>
                </c:pt>
                <c:pt idx="6">
                  <c:v>69600</c:v>
                </c:pt>
                <c:pt idx="7">
                  <c:v>68800</c:v>
                </c:pt>
                <c:pt idx="8">
                  <c:v>70900</c:v>
                </c:pt>
                <c:pt idx="9">
                  <c:v>72900</c:v>
                </c:pt>
              </c:numCache>
            </c:numRef>
          </c:val>
        </c:ser>
        <c:ser>
          <c:idx val="3"/>
          <c:order val="3"/>
          <c:tx>
            <c:strRef>
              <c:f>'Crude steel consumption'!$E$2</c:f>
              <c:strCache>
                <c:ptCount val="1"/>
                <c:pt idx="0">
                  <c:v>South Korea</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consumption'!$E$3:$E$12</c:f>
              <c:numCache>
                <c:formatCode>General</c:formatCode>
                <c:ptCount val="10"/>
                <c:pt idx="0">
                  <c:v>49000</c:v>
                </c:pt>
                <c:pt idx="1">
                  <c:v>52210</c:v>
                </c:pt>
                <c:pt idx="2">
                  <c:v>57404</c:v>
                </c:pt>
                <c:pt idx="3">
                  <c:v>61011</c:v>
                </c:pt>
                <c:pt idx="4">
                  <c:v>47303</c:v>
                </c:pt>
                <c:pt idx="5">
                  <c:v>54573</c:v>
                </c:pt>
                <c:pt idx="6">
                  <c:v>58741</c:v>
                </c:pt>
                <c:pt idx="7">
                  <c:v>56322</c:v>
                </c:pt>
                <c:pt idx="8">
                  <c:v>53919</c:v>
                </c:pt>
                <c:pt idx="9">
                  <c:v>57834</c:v>
                </c:pt>
              </c:numCache>
            </c:numRef>
          </c:val>
        </c:ser>
        <c:ser>
          <c:idx val="4"/>
          <c:order val="4"/>
          <c:tx>
            <c:strRef>
              <c:f>'Crude steel consumption'!$F$2</c:f>
              <c:strCache>
                <c:ptCount val="1"/>
                <c:pt idx="0">
                  <c:v>Chinese Taipei</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consumption'!$F$3:$F$12</c:f>
              <c:numCache>
                <c:formatCode>General</c:formatCode>
                <c:ptCount val="10"/>
                <c:pt idx="0">
                  <c:v>23890</c:v>
                </c:pt>
                <c:pt idx="1">
                  <c:v>23790</c:v>
                </c:pt>
                <c:pt idx="2">
                  <c:v>21700</c:v>
                </c:pt>
                <c:pt idx="3">
                  <c:v>20290</c:v>
                </c:pt>
                <c:pt idx="4">
                  <c:v>13530</c:v>
                </c:pt>
                <c:pt idx="5">
                  <c:v>21350</c:v>
                </c:pt>
                <c:pt idx="6">
                  <c:v>21715</c:v>
                </c:pt>
                <c:pt idx="7">
                  <c:v>21332</c:v>
                </c:pt>
                <c:pt idx="8">
                  <c:v>22285</c:v>
                </c:pt>
                <c:pt idx="9">
                  <c:v>23487</c:v>
                </c:pt>
              </c:numCache>
            </c:numRef>
          </c:val>
        </c:ser>
        <c:ser>
          <c:idx val="5"/>
          <c:order val="5"/>
          <c:tx>
            <c:strRef>
              <c:f>'Crude steel consumption'!$G$2</c:f>
              <c:strCache>
                <c:ptCount val="1"/>
                <c:pt idx="0">
                  <c:v>India</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consumption'!$G$3:$G$12</c:f>
              <c:numCache>
                <c:formatCode>General</c:formatCode>
                <c:ptCount val="10"/>
                <c:pt idx="0">
                  <c:v>43140</c:v>
                </c:pt>
                <c:pt idx="1">
                  <c:v>49100</c:v>
                </c:pt>
                <c:pt idx="2">
                  <c:v>55491</c:v>
                </c:pt>
                <c:pt idx="3">
                  <c:v>56209</c:v>
                </c:pt>
                <c:pt idx="4">
                  <c:v>64360</c:v>
                </c:pt>
                <c:pt idx="5">
                  <c:v>69082</c:v>
                </c:pt>
                <c:pt idx="6">
                  <c:v>73154</c:v>
                </c:pt>
                <c:pt idx="7">
                  <c:v>77768</c:v>
                </c:pt>
                <c:pt idx="8">
                  <c:v>80524</c:v>
                </c:pt>
                <c:pt idx="9">
                  <c:v>84139</c:v>
                </c:pt>
              </c:numCache>
            </c:numRef>
          </c:val>
        </c:ser>
        <c:ser>
          <c:idx val="6"/>
          <c:order val="6"/>
          <c:tx>
            <c:strRef>
              <c:f>'Crude steel consumption'!$H$2</c:f>
              <c:strCache>
                <c:ptCount val="1"/>
                <c:pt idx="0">
                  <c:v>Australia</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consumption'!$H$3:$H$12</c:f>
              <c:numCache>
                <c:formatCode>General</c:formatCode>
                <c:ptCount val="10"/>
                <c:pt idx="0">
                  <c:v>9460.1211699999985</c:v>
                </c:pt>
                <c:pt idx="1">
                  <c:v>8981.2561233358756</c:v>
                </c:pt>
                <c:pt idx="2">
                  <c:v>8908.1997449999999</c:v>
                </c:pt>
                <c:pt idx="3">
                  <c:v>8633.29169</c:v>
                </c:pt>
                <c:pt idx="4">
                  <c:v>5389.3173260000003</c:v>
                </c:pt>
                <c:pt idx="5">
                  <c:v>7805.9195469999995</c:v>
                </c:pt>
                <c:pt idx="6">
                  <c:v>6906.5655799999995</c:v>
                </c:pt>
                <c:pt idx="7">
                  <c:v>6176.7054062960015</c:v>
                </c:pt>
                <c:pt idx="8">
                  <c:v>5567.5099468299995</c:v>
                </c:pt>
                <c:pt idx="9">
                  <c:v>5545.4232739619993</c:v>
                </c:pt>
              </c:numCache>
            </c:numRef>
          </c:val>
        </c:ser>
        <c:ser>
          <c:idx val="7"/>
          <c:order val="7"/>
          <c:tx>
            <c:strRef>
              <c:f>'Crude steel consumption'!$I$2</c:f>
              <c:strCache>
                <c:ptCount val="1"/>
                <c:pt idx="0">
                  <c:v>Other</c:v>
                </c:pt>
              </c:strCache>
            </c:strRef>
          </c:tx>
          <c:invertIfNegative val="0"/>
          <c:cat>
            <c:numRef>
              <c:f>'Crude steel consumption'!$A$3:$A$12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'Crude steel consumption'!$I$3:$I$12</c:f>
              <c:numCache>
                <c:formatCode>General</c:formatCode>
                <c:ptCount val="10"/>
                <c:pt idx="0">
                  <c:v>386912.87883000006</c:v>
                </c:pt>
                <c:pt idx="1">
                  <c:v>427617.74387666408</c:v>
                </c:pt>
                <c:pt idx="2">
                  <c:v>443463.80025500001</c:v>
                </c:pt>
                <c:pt idx="3">
                  <c:v>434722.70831000002</c:v>
                </c:pt>
                <c:pt idx="4">
                  <c:v>344024.68267400004</c:v>
                </c:pt>
                <c:pt idx="5">
                  <c:v>416657.08045300003</c:v>
                </c:pt>
                <c:pt idx="6">
                  <c:v>453004.43442000006</c:v>
                </c:pt>
                <c:pt idx="7">
                  <c:v>481407.29459370393</c:v>
                </c:pt>
                <c:pt idx="8">
                  <c:v>492733.49005316989</c:v>
                </c:pt>
                <c:pt idx="9">
                  <c:v>516488.57672603801</c:v>
                </c:pt>
              </c:numCache>
            </c:numRef>
          </c:val>
        </c:ser>
        <c:dLbls>
          <c:showLegendKey val="0"/>
          <c:showVal val="0"/>
          <c:showCatName val="0"/>
          <c:showSerName val="0"/>
          <c:showPercent val="0"/>
          <c:showBubbleSize val="0"/>
        </c:dLbls>
        <c:gapWidth val="150"/>
        <c:axId val="276417520"/>
        <c:axId val="276417912"/>
      </c:barChart>
      <c:catAx>
        <c:axId val="276417520"/>
        <c:scaling>
          <c:orientation val="minMax"/>
        </c:scaling>
        <c:delete val="0"/>
        <c:axPos val="b"/>
        <c:numFmt formatCode="General" sourceLinked="1"/>
        <c:majorTickMark val="none"/>
        <c:minorTickMark val="none"/>
        <c:tickLblPos val="nextTo"/>
        <c:crossAx val="276417912"/>
        <c:crosses val="autoZero"/>
        <c:auto val="1"/>
        <c:lblAlgn val="ctr"/>
        <c:lblOffset val="100"/>
        <c:noMultiLvlLbl val="0"/>
      </c:catAx>
      <c:valAx>
        <c:axId val="276417912"/>
        <c:scaling>
          <c:orientation val="minMax"/>
        </c:scaling>
        <c:delete val="0"/>
        <c:axPos val="l"/>
        <c:title>
          <c:tx>
            <c:rich>
              <a:bodyPr rot="-5400000" vert="horz"/>
              <a:lstStyle/>
              <a:p>
                <a:pPr>
                  <a:defRPr/>
                </a:pPr>
                <a:r>
                  <a:rPr lang="en-AU" b="0"/>
                  <a:t>Million tonnes</a:t>
                </a:r>
              </a:p>
            </c:rich>
          </c:tx>
          <c:layout>
            <c:manualLayout>
              <c:xMode val="edge"/>
              <c:yMode val="edge"/>
              <c:x val="1.6666666666666666E-2"/>
              <c:y val="0.26402376786235054"/>
            </c:manualLayout>
          </c:layout>
          <c:overlay val="0"/>
        </c:title>
        <c:numFmt formatCode="General" sourceLinked="1"/>
        <c:majorTickMark val="none"/>
        <c:minorTickMark val="none"/>
        <c:tickLblPos val="nextTo"/>
        <c:crossAx val="276417520"/>
        <c:crosses val="autoZero"/>
        <c:crossBetween val="between"/>
        <c:majorUnit val="500000"/>
        <c:dispUnits>
          <c:builtInUnit val="thousands"/>
        </c:dispUnits>
      </c:valAx>
    </c:plotArea>
    <c:legend>
      <c:legendPos val="b"/>
      <c:layout>
        <c:manualLayout>
          <c:xMode val="edge"/>
          <c:yMode val="edge"/>
          <c:x val="2.6258384368620588E-2"/>
          <c:y val="0.79378369549299888"/>
          <c:w val="0.88160243525332405"/>
          <c:h val="8.4752436971390163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50694444444445"/>
          <c:y val="5.1400554097404488E-2"/>
          <c:w val="0.84053425925925929"/>
          <c:h val="0.74124765994892061"/>
        </c:manualLayout>
      </c:layout>
      <c:lineChart>
        <c:grouping val="standard"/>
        <c:varyColors val="0"/>
        <c:ser>
          <c:idx val="0"/>
          <c:order val="0"/>
          <c:tx>
            <c:strRef>
              <c:f>'Crude steel production'!$AA$53</c:f>
              <c:strCache>
                <c:ptCount val="1"/>
                <c:pt idx="0">
                  <c:v>Global steel producion </c:v>
                </c:pt>
              </c:strCache>
            </c:strRef>
          </c:tx>
          <c:spPr>
            <a:ln>
              <a:solidFill>
                <a:srgbClr val="292B67"/>
              </a:solidFill>
            </a:ln>
          </c:spPr>
          <c:marker>
            <c:symbol val="none"/>
          </c:marker>
          <c:dLbls>
            <c:dLbl>
              <c:idx val="14"/>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'Crude steel production'!$Z$54:$Z$68</c:f>
              <c:numCache>
                <c:formatCode>0</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'Crude steel production'!$AA$54:$AA$68</c:f>
              <c:numCache>
                <c:formatCode>0.0</c:formatCode>
                <c:ptCount val="15"/>
                <c:pt idx="0">
                  <c:v>79.988657584556194</c:v>
                </c:pt>
                <c:pt idx="1">
                  <c:v>79.705644730453955</c:v>
                </c:pt>
                <c:pt idx="2">
                  <c:v>82.193157215639459</c:v>
                </c:pt>
                <c:pt idx="3">
                  <c:v>82.256032857219196</c:v>
                </c:pt>
                <c:pt idx="4">
                  <c:v>85.111549685246075</c:v>
                </c:pt>
                <c:pt idx="5">
                  <c:v>84.090799043911687</c:v>
                </c:pt>
                <c:pt idx="6">
                  <c:v>85.533750340397646</c:v>
                </c:pt>
                <c:pt idx="7">
                  <c:v>85.251474865161057</c:v>
                </c:pt>
                <c:pt idx="8">
                  <c:v>80.425265398829026</c:v>
                </c:pt>
                <c:pt idx="9">
                  <c:v>70.129823930597937</c:v>
                </c:pt>
                <c:pt idx="10">
                  <c:v>76.042092986137959</c:v>
                </c:pt>
                <c:pt idx="11">
                  <c:v>77.600167687883399</c:v>
                </c:pt>
                <c:pt idx="12">
                  <c:v>74.47833882162206</c:v>
                </c:pt>
                <c:pt idx="13">
                  <c:v>76.267217695112492</c:v>
                </c:pt>
                <c:pt idx="14">
                  <c:v>74.528168379625612</c:v>
                </c:pt>
              </c:numCache>
            </c:numRef>
          </c:val>
          <c:smooth val="0"/>
        </c:ser>
        <c:ser>
          <c:idx val="1"/>
          <c:order val="1"/>
          <c:tx>
            <c:strRef>
              <c:f>'Crude steel production'!$AB$53</c:f>
              <c:strCache>
                <c:ptCount val="1"/>
                <c:pt idx="0">
                  <c:v>China</c:v>
                </c:pt>
              </c:strCache>
            </c:strRef>
          </c:tx>
          <c:spPr>
            <a:ln>
              <a:solidFill>
                <a:srgbClr val="9ED9DF"/>
              </a:solidFill>
            </a:ln>
          </c:spPr>
          <c:marker>
            <c:symbol val="none"/>
          </c:marker>
          <c:dLbls>
            <c:dLbl>
              <c:idx val="6"/>
              <c:layout>
                <c:manualLayout>
                  <c:x val="-3.3333333333333333E-2"/>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14"/>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'Crude steel production'!$Z$54:$Z$68</c:f>
              <c:numCache>
                <c:formatCode>0</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'Crude steel production'!$AB$54:$AB$68</c:f>
              <c:numCache>
                <c:formatCode>General</c:formatCode>
                <c:ptCount val="15"/>
                <c:pt idx="6" formatCode="_-* #,##0.0_-;\-* #,##0.0_-;_-* &quot;-&quot;??_-;_-@_-">
                  <c:v>89.1</c:v>
                </c:pt>
                <c:pt idx="7" formatCode="_-* #,##0.0_-;\-* #,##0.0_-;_-* &quot;-&quot;??_-;_-@_-">
                  <c:v>80.2</c:v>
                </c:pt>
                <c:pt idx="8" formatCode="_-* #,##0.0_-;\-* #,##0.0_-;_-* &quot;-&quot;??_-;_-@_-">
                  <c:v>79.5</c:v>
                </c:pt>
                <c:pt idx="9" formatCode="_-* #,##0.0_-;\-* #,##0.0_-;_-* &quot;-&quot;??_-;_-@_-">
                  <c:v>80.400000000000006</c:v>
                </c:pt>
                <c:pt idx="10" formatCode="_-* #,##0.0_-;\-* #,##0.0_-;_-* &quot;-&quot;??_-;_-@_-">
                  <c:v>79.8</c:v>
                </c:pt>
                <c:pt idx="11" formatCode="_-* #,##0.0_-;\-* #,##0.0_-;_-* &quot;-&quot;??_-;_-@_-">
                  <c:v>81.3</c:v>
                </c:pt>
                <c:pt idx="12" formatCode="_-* #,##0.0_-;\-* #,##0.0_-;_-* &quot;-&quot;??_-;_-@_-">
                  <c:v>76.2</c:v>
                </c:pt>
                <c:pt idx="13" formatCode="_-* #,##0.0_-;\-* #,##0.0_-;_-* &quot;-&quot;??_-;_-@_-">
                  <c:v>62.3</c:v>
                </c:pt>
                <c:pt idx="14" formatCode="_-* #,##0.0_-;\-* #,##0.0_-;_-* &quot;-&quot;??_-;_-@_-">
                  <c:v>65.8</c:v>
                </c:pt>
              </c:numCache>
            </c:numRef>
          </c:val>
          <c:smooth val="0"/>
        </c:ser>
        <c:dLbls>
          <c:showLegendKey val="0"/>
          <c:showVal val="0"/>
          <c:showCatName val="0"/>
          <c:showSerName val="0"/>
          <c:showPercent val="0"/>
          <c:showBubbleSize val="0"/>
        </c:dLbls>
        <c:smooth val="0"/>
        <c:axId val="426751816"/>
        <c:axId val="426757304"/>
      </c:lineChart>
      <c:catAx>
        <c:axId val="426751816"/>
        <c:scaling>
          <c:orientation val="minMax"/>
        </c:scaling>
        <c:delete val="0"/>
        <c:axPos val="b"/>
        <c:numFmt formatCode="0" sourceLinked="1"/>
        <c:majorTickMark val="none"/>
        <c:minorTickMark val="none"/>
        <c:tickLblPos val="nextTo"/>
        <c:spPr>
          <a:ln>
            <a:solidFill>
              <a:srgbClr val="BCBFC1"/>
            </a:solidFill>
          </a:ln>
        </c:spPr>
        <c:crossAx val="426757304"/>
        <c:crosses val="autoZero"/>
        <c:auto val="1"/>
        <c:lblAlgn val="ctr"/>
        <c:lblOffset val="100"/>
        <c:tickLblSkip val="2"/>
        <c:tickMarkSkip val="2"/>
        <c:noMultiLvlLbl val="0"/>
      </c:catAx>
      <c:valAx>
        <c:axId val="426757304"/>
        <c:scaling>
          <c:orientation val="minMax"/>
          <c:max val="100"/>
          <c:min val="50"/>
        </c:scaling>
        <c:delete val="0"/>
        <c:axPos val="l"/>
        <c:title>
          <c:tx>
            <c:rich>
              <a:bodyPr rot="-5400000" vert="horz"/>
              <a:lstStyle/>
              <a:p>
                <a:pPr>
                  <a:defRPr/>
                </a:pPr>
                <a:r>
                  <a:rPr lang="en-AU" b="0"/>
                  <a:t>Per cent</a:t>
                </a:r>
              </a:p>
            </c:rich>
          </c:tx>
          <c:layout>
            <c:manualLayout>
              <c:xMode val="edge"/>
              <c:yMode val="edge"/>
              <c:x val="4.7215155286186157E-4"/>
              <c:y val="0.3285786120385551"/>
            </c:manualLayout>
          </c:layout>
          <c:overlay val="0"/>
        </c:title>
        <c:numFmt formatCode="0" sourceLinked="0"/>
        <c:majorTickMark val="none"/>
        <c:minorTickMark val="none"/>
        <c:tickLblPos val="nextTo"/>
        <c:spPr>
          <a:ln>
            <a:solidFill>
              <a:srgbClr val="BCBFC1"/>
            </a:solidFill>
          </a:ln>
        </c:spPr>
        <c:crossAx val="426751816"/>
        <c:crosses val="autoZero"/>
        <c:crossBetween val="between"/>
        <c:majorUnit val="10"/>
      </c:valAx>
    </c:plotArea>
    <c:legend>
      <c:legendPos val="b"/>
      <c:overlay val="0"/>
    </c:legend>
    <c:plotVisOnly val="1"/>
    <c:dispBlanksAs val="gap"/>
    <c:showDLblsOverMax val="0"/>
  </c:chart>
  <c:spPr>
    <a:ln>
      <a:noFill/>
    </a:ln>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v>Stocks</c:v>
          </c:tx>
          <c:spPr>
            <a:solidFill>
              <a:srgbClr val="22789A"/>
            </a:solidFill>
            <a:ln>
              <a:noFill/>
            </a:ln>
            <a:effectLst/>
          </c:spPr>
          <c:invertIfNegative val="0"/>
          <c:cat>
            <c:numRef>
              <c:f>'F2.21'!$A$3:$A$18</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'F2.21'!$C$3:$C$18</c:f>
              <c:numCache>
                <c:formatCode>0.0</c:formatCode>
                <c:ptCount val="16"/>
                <c:pt idx="0">
                  <c:v>5.4423502839287927</c:v>
                </c:pt>
                <c:pt idx="1">
                  <c:v>6.801551335286554</c:v>
                </c:pt>
                <c:pt idx="2">
                  <c:v>7.0583579677584654</c:v>
                </c:pt>
                <c:pt idx="3">
                  <c:v>6.9165066830876221</c:v>
                </c:pt>
                <c:pt idx="4">
                  <c:v>5.2644190053665803</c:v>
                </c:pt>
                <c:pt idx="5">
                  <c:v>4.9389893926482307</c:v>
                </c:pt>
                <c:pt idx="6">
                  <c:v>4.236037829091317</c:v>
                </c:pt>
                <c:pt idx="7">
                  <c:v>4.1160749800050471</c:v>
                </c:pt>
                <c:pt idx="8">
                  <c:v>6.6353543754557895</c:v>
                </c:pt>
                <c:pt idx="9">
                  <c:v>9.7547168195899818</c:v>
                </c:pt>
                <c:pt idx="10">
                  <c:v>8.4148514218949018</c:v>
                </c:pt>
                <c:pt idx="11">
                  <c:v>8.5</c:v>
                </c:pt>
                <c:pt idx="12">
                  <c:v>8.3000000000000007</c:v>
                </c:pt>
                <c:pt idx="13">
                  <c:v>8.003215848012184</c:v>
                </c:pt>
                <c:pt idx="14">
                  <c:v>6.3</c:v>
                </c:pt>
                <c:pt idx="15">
                  <c:v>6.1</c:v>
                </c:pt>
              </c:numCache>
            </c:numRef>
          </c:val>
        </c:ser>
        <c:dLbls>
          <c:showLegendKey val="0"/>
          <c:showVal val="0"/>
          <c:showCatName val="0"/>
          <c:showSerName val="0"/>
          <c:showPercent val="0"/>
          <c:showBubbleSize val="0"/>
        </c:dLbls>
        <c:gapWidth val="150"/>
        <c:overlap val="100"/>
        <c:axId val="424115920"/>
        <c:axId val="424116704"/>
      </c:barChart>
      <c:lineChart>
        <c:grouping val="standard"/>
        <c:varyColors val="0"/>
        <c:ser>
          <c:idx val="0"/>
          <c:order val="0"/>
          <c:tx>
            <c:v>Prices</c:v>
          </c:tx>
          <c:spPr>
            <a:ln w="28575" cap="rnd">
              <a:solidFill>
                <a:srgbClr val="9ED9DF"/>
              </a:solidFill>
              <a:round/>
            </a:ln>
            <a:effectLst/>
          </c:spPr>
          <c:marker>
            <c:symbol val="none"/>
          </c:marker>
          <c:cat>
            <c:numRef>
              <c:f>'F2.21'!$A$3:$A$18</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'F2.21'!$B$3:$B$18</c:f>
              <c:numCache>
                <c:formatCode>0</c:formatCode>
                <c:ptCount val="16"/>
                <c:pt idx="0">
                  <c:v>1540.535900297619</c:v>
                </c:pt>
                <c:pt idx="1">
                  <c:v>1394.6896669255686</c:v>
                </c:pt>
                <c:pt idx="2">
                  <c:v>1353.6265038331433</c:v>
                </c:pt>
                <c:pt idx="3">
                  <c:v>1494.441911648802</c:v>
                </c:pt>
                <c:pt idx="4">
                  <c:v>1779.0592981557377</c:v>
                </c:pt>
                <c:pt idx="5">
                  <c:v>2028.0328454097985</c:v>
                </c:pt>
                <c:pt idx="6">
                  <c:v>2663.2884043431241</c:v>
                </c:pt>
                <c:pt idx="7">
                  <c:v>2622.2420430317379</c:v>
                </c:pt>
                <c:pt idx="8">
                  <c:v>2230.8105425824178</c:v>
                </c:pt>
                <c:pt idx="9">
                  <c:v>1865.0653752405096</c:v>
                </c:pt>
                <c:pt idx="10">
                  <c:v>2256.6860193561847</c:v>
                </c:pt>
                <c:pt idx="11">
                  <c:v>2316.4087339743592</c:v>
                </c:pt>
                <c:pt idx="12">
                  <c:v>1974.0506720430108</c:v>
                </c:pt>
                <c:pt idx="13">
                  <c:v>1773.0876454708484</c:v>
                </c:pt>
                <c:pt idx="14">
                  <c:v>1887.9368672467674</c:v>
                </c:pt>
                <c:pt idx="15">
                  <c:v>1591.7985732645527</c:v>
                </c:pt>
              </c:numCache>
            </c:numRef>
          </c:val>
          <c:smooth val="0"/>
        </c:ser>
        <c:dLbls>
          <c:showLegendKey val="0"/>
          <c:showVal val="0"/>
          <c:showCatName val="0"/>
          <c:showSerName val="0"/>
          <c:showPercent val="0"/>
          <c:showBubbleSize val="0"/>
        </c:dLbls>
        <c:marker val="1"/>
        <c:smooth val="0"/>
        <c:axId val="426751032"/>
        <c:axId val="424119448"/>
      </c:lineChart>
      <c:catAx>
        <c:axId val="426751032"/>
        <c:scaling>
          <c:orientation val="minMax"/>
        </c:scaling>
        <c:delete val="0"/>
        <c:axPos val="b"/>
        <c:numFmt formatCode="General" sourceLinked="1"/>
        <c:majorTickMark val="none"/>
        <c:minorTickMark val="none"/>
        <c:tickLblPos val="nextTo"/>
        <c:spPr>
          <a:noFill/>
          <a:ln w="9525" cap="flat" cmpd="sng" algn="ctr">
            <a:solidFill>
              <a:srgbClr val="868686"/>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4119448"/>
        <c:crosses val="autoZero"/>
        <c:auto val="1"/>
        <c:lblAlgn val="ctr"/>
        <c:lblOffset val="100"/>
        <c:tickLblSkip val="5"/>
        <c:noMultiLvlLbl val="0"/>
      </c:catAx>
      <c:valAx>
        <c:axId val="42411944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US$/t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751032"/>
        <c:crosses val="autoZero"/>
        <c:crossBetween val="between"/>
      </c:valAx>
      <c:valAx>
        <c:axId val="42411670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Weeks</a:t>
                </a:r>
                <a:r>
                  <a:rPr lang="en-AU" baseline="0"/>
                  <a:t> of global consumption</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rgbClr val="868686"/>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115920"/>
        <c:crosses val="max"/>
        <c:crossBetween val="between"/>
      </c:valAx>
      <c:catAx>
        <c:axId val="424115920"/>
        <c:scaling>
          <c:orientation val="minMax"/>
        </c:scaling>
        <c:delete val="1"/>
        <c:axPos val="b"/>
        <c:numFmt formatCode="General" sourceLinked="1"/>
        <c:majorTickMark val="out"/>
        <c:minorTickMark val="none"/>
        <c:tickLblPos val="nextTo"/>
        <c:crossAx val="424116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'Graphs and analysis'!$G$1:$N$1</c:f>
              <c:strCache>
                <c:ptCount val="8"/>
                <c:pt idx="0">
                  <c:v>2008</c:v>
                </c:pt>
                <c:pt idx="1">
                  <c:v>2009</c:v>
                </c:pt>
                <c:pt idx="2">
                  <c:v>2010</c:v>
                </c:pt>
                <c:pt idx="3">
                  <c:v>2011</c:v>
                </c:pt>
                <c:pt idx="4">
                  <c:v>2012</c:v>
                </c:pt>
                <c:pt idx="5">
                  <c:v>2013</c:v>
                </c:pt>
                <c:pt idx="6">
                  <c:v>2014</c:v>
                </c:pt>
                <c:pt idx="7">
                  <c:v>2015</c:v>
                </c:pt>
              </c:strCache>
            </c:strRef>
          </c:cat>
          <c:val>
            <c:numRef>
              <c:f>'Graphs and analysis'!$G$48:$N$48</c:f>
              <c:numCache>
                <c:formatCode>General</c:formatCode>
                <c:ptCount val="8"/>
                <c:pt idx="0">
                  <c:v>6</c:v>
                </c:pt>
                <c:pt idx="1">
                  <c:v>9</c:v>
                </c:pt>
                <c:pt idx="2">
                  <c:v>2</c:v>
                </c:pt>
                <c:pt idx="3">
                  <c:v>16</c:v>
                </c:pt>
                <c:pt idx="4">
                  <c:v>5</c:v>
                </c:pt>
                <c:pt idx="5">
                  <c:v>29</c:v>
                </c:pt>
                <c:pt idx="6">
                  <c:v>22</c:v>
                </c:pt>
                <c:pt idx="7">
                  <c:v>45</c:v>
                </c:pt>
              </c:numCache>
            </c:numRef>
          </c:val>
          <c:smooth val="0"/>
        </c:ser>
        <c:dLbls>
          <c:showLegendKey val="0"/>
          <c:showVal val="0"/>
          <c:showCatName val="0"/>
          <c:showSerName val="0"/>
          <c:showPercent val="0"/>
          <c:showBubbleSize val="0"/>
        </c:dLbls>
        <c:marker val="1"/>
        <c:smooth val="0"/>
        <c:axId val="424116312"/>
        <c:axId val="424119840"/>
      </c:lineChart>
      <c:catAx>
        <c:axId val="424116312"/>
        <c:scaling>
          <c:orientation val="minMax"/>
        </c:scaling>
        <c:delete val="0"/>
        <c:axPos val="b"/>
        <c:numFmt formatCode="General" sourceLinked="0"/>
        <c:majorTickMark val="out"/>
        <c:minorTickMark val="none"/>
        <c:tickLblPos val="nextTo"/>
        <c:crossAx val="424119840"/>
        <c:crosses val="autoZero"/>
        <c:auto val="0"/>
        <c:lblAlgn val="ctr"/>
        <c:lblOffset val="100"/>
        <c:noMultiLvlLbl val="0"/>
      </c:catAx>
      <c:valAx>
        <c:axId val="424119840"/>
        <c:scaling>
          <c:orientation val="minMax"/>
          <c:max val="45"/>
        </c:scaling>
        <c:delete val="0"/>
        <c:axPos val="l"/>
        <c:majorGridlines/>
        <c:numFmt formatCode="General" sourceLinked="1"/>
        <c:majorTickMark val="out"/>
        <c:minorTickMark val="none"/>
        <c:tickLblPos val="nextTo"/>
        <c:crossAx val="424116312"/>
        <c:crosses val="autoZero"/>
        <c:crossBetween val="midCat"/>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48533022556241E-2"/>
          <c:y val="4.8936717392383262E-2"/>
          <c:w val="0.72803079880669563"/>
          <c:h val="0.84064279028345756"/>
        </c:manualLayout>
      </c:layout>
      <c:barChart>
        <c:barDir val="col"/>
        <c:grouping val="percentStacked"/>
        <c:varyColors val="0"/>
        <c:ser>
          <c:idx val="0"/>
          <c:order val="0"/>
          <c:tx>
            <c:v>Steel initiations</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'Graphs and analysis'!$G$1:$N$1</c:f>
              <c:strCache>
                <c:ptCount val="8"/>
                <c:pt idx="0">
                  <c:v>2008</c:v>
                </c:pt>
                <c:pt idx="1">
                  <c:v>2009</c:v>
                </c:pt>
                <c:pt idx="2">
                  <c:v>2010</c:v>
                </c:pt>
                <c:pt idx="3">
                  <c:v>2011</c:v>
                </c:pt>
                <c:pt idx="4">
                  <c:v>2012</c:v>
                </c:pt>
                <c:pt idx="5">
                  <c:v>2013</c:v>
                </c:pt>
                <c:pt idx="6">
                  <c:v>2014</c:v>
                </c:pt>
                <c:pt idx="7">
                  <c:v>2015</c:v>
                </c:pt>
              </c:strCache>
            </c:strRef>
          </c:cat>
          <c:val>
            <c:numRef>
              <c:f>'Graphs and analysis'!$G$48:$N$48</c:f>
              <c:numCache>
                <c:formatCode>General</c:formatCode>
                <c:ptCount val="8"/>
                <c:pt idx="0">
                  <c:v>6</c:v>
                </c:pt>
                <c:pt idx="1">
                  <c:v>9</c:v>
                </c:pt>
                <c:pt idx="2">
                  <c:v>2</c:v>
                </c:pt>
                <c:pt idx="3">
                  <c:v>16</c:v>
                </c:pt>
                <c:pt idx="4">
                  <c:v>5</c:v>
                </c:pt>
                <c:pt idx="5">
                  <c:v>29</c:v>
                </c:pt>
                <c:pt idx="6">
                  <c:v>22</c:v>
                </c:pt>
                <c:pt idx="7">
                  <c:v>45</c:v>
                </c:pt>
              </c:numCache>
            </c:numRef>
          </c:val>
        </c:ser>
        <c:ser>
          <c:idx val="1"/>
          <c:order val="1"/>
          <c:tx>
            <c:v>Non steel initiations</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'Graphs and analysis'!$G$1:$N$1</c:f>
              <c:strCache>
                <c:ptCount val="8"/>
                <c:pt idx="0">
                  <c:v>2008</c:v>
                </c:pt>
                <c:pt idx="1">
                  <c:v>2009</c:v>
                </c:pt>
                <c:pt idx="2">
                  <c:v>2010</c:v>
                </c:pt>
                <c:pt idx="3">
                  <c:v>2011</c:v>
                </c:pt>
                <c:pt idx="4">
                  <c:v>2012</c:v>
                </c:pt>
                <c:pt idx="5">
                  <c:v>2013</c:v>
                </c:pt>
                <c:pt idx="6">
                  <c:v>2014</c:v>
                </c:pt>
                <c:pt idx="7">
                  <c:v>2015</c:v>
                </c:pt>
              </c:strCache>
            </c:strRef>
          </c:cat>
          <c:val>
            <c:numRef>
              <c:f>'Graphs and analysis'!$G$52:$N$52</c:f>
              <c:numCache>
                <c:formatCode>General</c:formatCode>
                <c:ptCount val="8"/>
                <c:pt idx="0">
                  <c:v>16</c:v>
                </c:pt>
                <c:pt idx="1">
                  <c:v>25</c:v>
                </c:pt>
                <c:pt idx="2">
                  <c:v>4</c:v>
                </c:pt>
                <c:pt idx="3">
                  <c:v>8</c:v>
                </c:pt>
                <c:pt idx="4">
                  <c:v>11</c:v>
                </c:pt>
                <c:pt idx="5">
                  <c:v>28</c:v>
                </c:pt>
                <c:pt idx="6">
                  <c:v>15</c:v>
                </c:pt>
                <c:pt idx="7">
                  <c:v>19</c:v>
                </c:pt>
              </c:numCache>
            </c:numRef>
          </c:val>
        </c:ser>
        <c:dLbls>
          <c:showLegendKey val="0"/>
          <c:showVal val="0"/>
          <c:showCatName val="0"/>
          <c:showSerName val="0"/>
          <c:showPercent val="0"/>
          <c:showBubbleSize val="0"/>
        </c:dLbls>
        <c:gapWidth val="150"/>
        <c:overlap val="100"/>
        <c:axId val="424121408"/>
        <c:axId val="424117096"/>
      </c:barChart>
      <c:catAx>
        <c:axId val="424121408"/>
        <c:scaling>
          <c:orientation val="minMax"/>
        </c:scaling>
        <c:delete val="0"/>
        <c:axPos val="b"/>
        <c:numFmt formatCode="General" sourceLinked="0"/>
        <c:majorTickMark val="out"/>
        <c:minorTickMark val="none"/>
        <c:tickLblPos val="nextTo"/>
        <c:crossAx val="424117096"/>
        <c:crosses val="autoZero"/>
        <c:auto val="1"/>
        <c:lblAlgn val="ctr"/>
        <c:lblOffset val="100"/>
        <c:noMultiLvlLbl val="0"/>
      </c:catAx>
      <c:valAx>
        <c:axId val="424117096"/>
        <c:scaling>
          <c:orientation val="minMax"/>
        </c:scaling>
        <c:delete val="0"/>
        <c:axPos val="l"/>
        <c:majorGridlines/>
        <c:numFmt formatCode="0%" sourceLinked="1"/>
        <c:majorTickMark val="in"/>
        <c:minorTickMark val="none"/>
        <c:tickLblPos val="nextTo"/>
        <c:crossAx val="424121408"/>
        <c:crosses val="autoZero"/>
        <c:crossBetween val="between"/>
      </c:valAx>
    </c:plotArea>
    <c:legend>
      <c:legendPos val="r"/>
      <c:layout>
        <c:manualLayout>
          <c:xMode val="edge"/>
          <c:yMode val="edge"/>
          <c:x val="0.81187795938758622"/>
          <c:y val="0.28742515542497699"/>
          <c:w val="0.18606742468386897"/>
          <c:h val="0.2878047535724701"/>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'Graphs and analysis'!$A$2:$A$11</c:f>
              <c:strCache>
                <c:ptCount val="10"/>
                <c:pt idx="0">
                  <c:v>China (PRC)</c:v>
                </c:pt>
                <c:pt idx="1">
                  <c:v>Korea</c:v>
                </c:pt>
                <c:pt idx="2">
                  <c:v>India</c:v>
                </c:pt>
                <c:pt idx="3">
                  <c:v>Turkey</c:v>
                </c:pt>
                <c:pt idx="4">
                  <c:v>Taiwan</c:v>
                </c:pt>
                <c:pt idx="5">
                  <c:v>Vietnam</c:v>
                </c:pt>
                <c:pt idx="6">
                  <c:v>Oman</c:v>
                </c:pt>
                <c:pt idx="7">
                  <c:v>Mexico</c:v>
                </c:pt>
                <c:pt idx="8">
                  <c:v>Brazil</c:v>
                </c:pt>
                <c:pt idx="9">
                  <c:v>Japan</c:v>
                </c:pt>
              </c:strCache>
            </c:strRef>
          </c:cat>
          <c:val>
            <c:numRef>
              <c:f>'Graphs and analysis'!$P$2:$P$11</c:f>
              <c:numCache>
                <c:formatCode>General</c:formatCode>
                <c:ptCount val="10"/>
                <c:pt idx="0">
                  <c:v>36</c:v>
                </c:pt>
                <c:pt idx="1">
                  <c:v>14</c:v>
                </c:pt>
                <c:pt idx="2">
                  <c:v>12</c:v>
                </c:pt>
                <c:pt idx="3">
                  <c:v>10</c:v>
                </c:pt>
                <c:pt idx="4">
                  <c:v>8</c:v>
                </c:pt>
                <c:pt idx="5">
                  <c:v>8</c:v>
                </c:pt>
                <c:pt idx="6">
                  <c:v>5</c:v>
                </c:pt>
                <c:pt idx="7">
                  <c:v>4</c:v>
                </c:pt>
                <c:pt idx="8">
                  <c:v>4</c:v>
                </c:pt>
                <c:pt idx="9">
                  <c:v>4</c:v>
                </c:pt>
              </c:numCache>
            </c:numRef>
          </c:val>
        </c:ser>
        <c:dLbls>
          <c:showLegendKey val="0"/>
          <c:showVal val="0"/>
          <c:showCatName val="0"/>
          <c:showSerName val="0"/>
          <c:showPercent val="0"/>
          <c:showBubbleSize val="0"/>
        </c:dLbls>
        <c:gapWidth val="150"/>
        <c:axId val="424120232"/>
        <c:axId val="424119056"/>
      </c:barChart>
      <c:catAx>
        <c:axId val="424120232"/>
        <c:scaling>
          <c:orientation val="minMax"/>
        </c:scaling>
        <c:delete val="0"/>
        <c:axPos val="b"/>
        <c:numFmt formatCode="General" sourceLinked="0"/>
        <c:majorTickMark val="out"/>
        <c:minorTickMark val="none"/>
        <c:tickLblPos val="nextTo"/>
        <c:crossAx val="424119056"/>
        <c:crosses val="autoZero"/>
        <c:auto val="1"/>
        <c:lblAlgn val="ctr"/>
        <c:lblOffset val="100"/>
        <c:noMultiLvlLbl val="0"/>
      </c:catAx>
      <c:valAx>
        <c:axId val="424119056"/>
        <c:scaling>
          <c:orientation val="minMax"/>
        </c:scaling>
        <c:delete val="0"/>
        <c:axPos val="l"/>
        <c:majorGridlines/>
        <c:numFmt formatCode="General" sourceLinked="1"/>
        <c:majorTickMark val="out"/>
        <c:minorTickMark val="none"/>
        <c:tickLblPos val="nextTo"/>
        <c:crossAx val="42412023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798173376249622E-2"/>
          <c:y val="2.7501215344927311E-2"/>
          <c:w val="0.75605653832227371"/>
          <c:h val="0.88213531668162926"/>
        </c:manualLayout>
      </c:layout>
      <c:lineChart>
        <c:grouping val="standard"/>
        <c:varyColors val="0"/>
        <c:ser>
          <c:idx val="0"/>
          <c:order val="0"/>
          <c:tx>
            <c:strRef>
              <c:f>Sheet1!$B$2</c:f>
              <c:strCache>
                <c:ptCount val="1"/>
                <c:pt idx="0">
                  <c:v>EU New investigations: Steel (AD/CV)</c:v>
                </c:pt>
              </c:strCache>
            </c:strRef>
          </c:tx>
          <c:cat>
            <c:numRef>
              <c:f>Sheet1!$A$3:$A$11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Sheet1!$B$3:$B$11</c:f>
              <c:numCache>
                <c:formatCode>General</c:formatCode>
                <c:ptCount val="9"/>
                <c:pt idx="0">
                  <c:v>6</c:v>
                </c:pt>
                <c:pt idx="1">
                  <c:v>4</c:v>
                </c:pt>
                <c:pt idx="2">
                  <c:v>3</c:v>
                </c:pt>
                <c:pt idx="3">
                  <c:v>6</c:v>
                </c:pt>
                <c:pt idx="4">
                  <c:v>11</c:v>
                </c:pt>
                <c:pt idx="5">
                  <c:v>1</c:v>
                </c:pt>
                <c:pt idx="6">
                  <c:v>9</c:v>
                </c:pt>
                <c:pt idx="7">
                  <c:v>4</c:v>
                </c:pt>
                <c:pt idx="8">
                  <c:v>3</c:v>
                </c:pt>
              </c:numCache>
            </c:numRef>
          </c:val>
          <c:smooth val="0"/>
        </c:ser>
        <c:ser>
          <c:idx val="1"/>
          <c:order val="1"/>
          <c:tx>
            <c:strRef>
              <c:f>Sheet1!$C$2</c:f>
              <c:strCache>
                <c:ptCount val="1"/>
                <c:pt idx="0">
                  <c:v>New investigations: Aluminium (AD/CV)</c:v>
                </c:pt>
              </c:strCache>
            </c:strRef>
          </c:tx>
          <c:cat>
            <c:numRef>
              <c:f>Sheet1!$A$3:$A$11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Sheet1!$C$3:$C$11</c:f>
              <c:numCache>
                <c:formatCode>General</c:formatCode>
                <c:ptCount val="9"/>
                <c:pt idx="0">
                  <c:v>1</c:v>
                </c:pt>
                <c:pt idx="1">
                  <c:v>1</c:v>
                </c:pt>
                <c:pt idx="2">
                  <c:v>0</c:v>
                </c:pt>
                <c:pt idx="3">
                  <c:v>2</c:v>
                </c:pt>
                <c:pt idx="4">
                  <c:v>0</c:v>
                </c:pt>
                <c:pt idx="5">
                  <c:v>0</c:v>
                </c:pt>
                <c:pt idx="6">
                  <c:v>2</c:v>
                </c:pt>
                <c:pt idx="7">
                  <c:v>0</c:v>
                </c:pt>
                <c:pt idx="8">
                  <c:v>0</c:v>
                </c:pt>
              </c:numCache>
            </c:numRef>
          </c:val>
          <c:smooth val="0"/>
        </c:ser>
        <c:ser>
          <c:idx val="2"/>
          <c:order val="2"/>
          <c:tx>
            <c:strRef>
              <c:f>Sheet1!$D$2</c:f>
              <c:strCache>
                <c:ptCount val="1"/>
                <c:pt idx="0">
                  <c:v>Measures in force for Steel/Aluminium </c:v>
                </c:pt>
              </c:strCache>
            </c:strRef>
          </c:tx>
          <c:cat>
            <c:numRef>
              <c:f>Sheet1!$A$3:$A$11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Sheet1!$D$3:$D$11</c:f>
              <c:numCache>
                <c:formatCode>General</c:formatCode>
                <c:ptCount val="9"/>
                <c:pt idx="0">
                  <c:v>11</c:v>
                </c:pt>
                <c:pt idx="1">
                  <c:v>13</c:v>
                </c:pt>
                <c:pt idx="2">
                  <c:v>12</c:v>
                </c:pt>
                <c:pt idx="3">
                  <c:v>16</c:v>
                </c:pt>
                <c:pt idx="4">
                  <c:v>16</c:v>
                </c:pt>
                <c:pt idx="5">
                  <c:v>21</c:v>
                </c:pt>
                <c:pt idx="6">
                  <c:v>19</c:v>
                </c:pt>
                <c:pt idx="7">
                  <c:v>31</c:v>
                </c:pt>
                <c:pt idx="8">
                  <c:v>37</c:v>
                </c:pt>
              </c:numCache>
            </c:numRef>
          </c:val>
          <c:smooth val="0"/>
        </c:ser>
        <c:dLbls>
          <c:showLegendKey val="0"/>
          <c:showVal val="0"/>
          <c:showCatName val="0"/>
          <c:showSerName val="0"/>
          <c:showPercent val="0"/>
          <c:showBubbleSize val="0"/>
        </c:dLbls>
        <c:marker val="1"/>
        <c:smooth val="0"/>
        <c:axId val="424121016"/>
        <c:axId val="424121800"/>
      </c:lineChart>
      <c:catAx>
        <c:axId val="424121016"/>
        <c:scaling>
          <c:orientation val="minMax"/>
        </c:scaling>
        <c:delete val="0"/>
        <c:axPos val="b"/>
        <c:numFmt formatCode="General" sourceLinked="1"/>
        <c:majorTickMark val="out"/>
        <c:minorTickMark val="none"/>
        <c:tickLblPos val="nextTo"/>
        <c:crossAx val="424121800"/>
        <c:crosses val="autoZero"/>
        <c:auto val="1"/>
        <c:lblAlgn val="ctr"/>
        <c:lblOffset val="100"/>
        <c:noMultiLvlLbl val="0"/>
      </c:catAx>
      <c:valAx>
        <c:axId val="424121800"/>
        <c:scaling>
          <c:orientation val="minMax"/>
        </c:scaling>
        <c:delete val="0"/>
        <c:axPos val="l"/>
        <c:majorGridlines/>
        <c:numFmt formatCode="General" sourceLinked="1"/>
        <c:majorTickMark val="out"/>
        <c:minorTickMark val="none"/>
        <c:tickLblPos val="nextTo"/>
        <c:crossAx val="424121016"/>
        <c:crosses val="autoZero"/>
        <c:crossBetween val="between"/>
      </c:valAx>
    </c:plotArea>
    <c:legend>
      <c:legendPos val="r"/>
      <c:layout>
        <c:manualLayout>
          <c:xMode val="edge"/>
          <c:yMode val="edge"/>
          <c:x val="0.7897294467927034"/>
          <c:y val="0.22457264602161117"/>
          <c:w val="0.19597462754610998"/>
          <c:h val="0.66482684810029813"/>
        </c:manualLayout>
      </c:layout>
      <c:overlay val="0"/>
      <c:txPr>
        <a:bodyPr/>
        <a:lstStyle/>
        <a:p>
          <a:pPr>
            <a:defRPr sz="900"/>
          </a:pPr>
          <a:endParaRPr lang="en-US"/>
        </a:p>
      </c:txPr>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'DASHBOARD June 2016'!$AC$22:$AC$27</c:f>
              <c:strCache>
                <c:ptCount val="6"/>
                <c:pt idx="0">
                  <c:v>2010-11</c:v>
                </c:pt>
                <c:pt idx="1">
                  <c:v>2011-12</c:v>
                </c:pt>
                <c:pt idx="2">
                  <c:v>2012-13</c:v>
                </c:pt>
                <c:pt idx="3">
                  <c:v>2013-14</c:v>
                </c:pt>
                <c:pt idx="4">
                  <c:v>2014-15</c:v>
                </c:pt>
                <c:pt idx="5">
                  <c:v>2015-16</c:v>
                </c:pt>
              </c:strCache>
            </c:strRef>
          </c:cat>
          <c:val>
            <c:numRef>
              <c:f>'DASHBOARD June 2016'!$AD$22:$AD$27</c:f>
              <c:numCache>
                <c:formatCode>General</c:formatCode>
                <c:ptCount val="6"/>
                <c:pt idx="0">
                  <c:v>0</c:v>
                </c:pt>
                <c:pt idx="1">
                  <c:v>12</c:v>
                </c:pt>
                <c:pt idx="2">
                  <c:v>14</c:v>
                </c:pt>
                <c:pt idx="3">
                  <c:v>15</c:v>
                </c:pt>
                <c:pt idx="4">
                  <c:v>18</c:v>
                </c:pt>
                <c:pt idx="5">
                  <c:v>14</c:v>
                </c:pt>
              </c:numCache>
            </c:numRef>
          </c:val>
          <c:smooth val="0"/>
        </c:ser>
        <c:dLbls>
          <c:showLegendKey val="0"/>
          <c:showVal val="0"/>
          <c:showCatName val="0"/>
          <c:showSerName val="0"/>
          <c:showPercent val="0"/>
          <c:showBubbleSize val="0"/>
        </c:dLbls>
        <c:marker val="1"/>
        <c:smooth val="0"/>
        <c:axId val="424120624"/>
        <c:axId val="424122192"/>
      </c:lineChart>
      <c:dateAx>
        <c:axId val="42412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122192"/>
        <c:crosses val="autoZero"/>
        <c:auto val="0"/>
        <c:lblOffset val="100"/>
        <c:baseTimeUnit val="days"/>
      </c:dateAx>
      <c:valAx>
        <c:axId val="42412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120624"/>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floor>
    <c:sideWall>
      <c:thickness val="0"/>
    </c:sideWall>
    <c:backWall>
      <c:thickness val="0"/>
    </c:backWall>
    <c:plotArea>
      <c:layout>
        <c:manualLayout>
          <c:layoutTarget val="inner"/>
          <c:xMode val="edge"/>
          <c:yMode val="edge"/>
          <c:x val="3.0940116886318546E-2"/>
          <c:y val="1.9797852303345798E-2"/>
          <c:w val="0.74074287013492723"/>
          <c:h val="0.8989872995526722"/>
        </c:manualLayout>
      </c:layout>
      <c:pie3DChart>
        <c:varyColors val="1"/>
        <c:ser>
          <c:idx val="0"/>
          <c:order val="0"/>
          <c:explosion val="14"/>
          <c:dPt>
            <c:idx val="0"/>
            <c:bubble3D val="0"/>
            <c:explosion val="9"/>
            <c:spPr>
              <a:solidFill>
                <a:srgbClr val="00B0F0"/>
              </a:solidFill>
            </c:spPr>
          </c:dPt>
          <c:dLbls>
            <c:dLbl>
              <c:idx val="0"/>
              <c:layout>
                <c:manualLayout>
                  <c:x val="-0.1492433988593363"/>
                  <c:y val="-6.1239853915057769E-2"/>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General" sourceLinked="0"/>
            <c:spPr>
              <a:noFill/>
              <a:ln>
                <a:noFill/>
              </a:ln>
              <a:effectLst/>
            </c:spPr>
            <c:txPr>
              <a:bodyPr/>
              <a:lstStyle/>
              <a:p>
                <a:pPr>
                  <a:defRPr sz="900"/>
                </a:pPr>
                <a:endParaRPr lang="en-US"/>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'CASES BY INDUSTRY'!$A$2:$A$8</c:f>
              <c:strCache>
                <c:ptCount val="7"/>
                <c:pt idx="0">
                  <c:v>Steel Products</c:v>
                </c:pt>
                <c:pt idx="1">
                  <c:v>Aluminium Products</c:v>
                </c:pt>
                <c:pt idx="2">
                  <c:v>Food</c:v>
                </c:pt>
                <c:pt idx="3">
                  <c:v>Glass</c:v>
                </c:pt>
                <c:pt idx="4">
                  <c:v>Paper products</c:v>
                </c:pt>
                <c:pt idx="5">
                  <c:v>Electrical Equip</c:v>
                </c:pt>
                <c:pt idx="6">
                  <c:v>Chemicals/Plastics</c:v>
                </c:pt>
              </c:strCache>
            </c:strRef>
          </c:cat>
          <c:val>
            <c:numRef>
              <c:f>'CASES BY INDUSTRY'!$B$2:$B$8</c:f>
              <c:numCache>
                <c:formatCode>0</c:formatCode>
                <c:ptCount val="7"/>
                <c:pt idx="0">
                  <c:v>45</c:v>
                </c:pt>
                <c:pt idx="1">
                  <c:v>9</c:v>
                </c:pt>
                <c:pt idx="2">
                  <c:v>8</c:v>
                </c:pt>
                <c:pt idx="3">
                  <c:v>3</c:v>
                </c:pt>
                <c:pt idx="4">
                  <c:v>6</c:v>
                </c:pt>
                <c:pt idx="5">
                  <c:v>1</c:v>
                </c:pt>
                <c:pt idx="6">
                  <c:v>3</c:v>
                </c:pt>
              </c:numCache>
            </c:numRef>
          </c:val>
        </c:ser>
        <c:dLbls>
          <c:dLblPos val="inEnd"/>
          <c:showLegendKey val="0"/>
          <c:showVal val="0"/>
          <c:showCatName val="0"/>
          <c:showSerName val="0"/>
          <c:showPercent val="1"/>
          <c:showBubbleSize val="0"/>
          <c:showLeaderLines val="1"/>
        </c:dLbls>
      </c:pie3DChart>
    </c:plotArea>
    <c:legend>
      <c:legendPos val="r"/>
      <c:layout>
        <c:manualLayout>
          <c:xMode val="edge"/>
          <c:yMode val="edge"/>
          <c:x val="0.73175835596056638"/>
          <c:y val="0.10937328328145028"/>
          <c:w val="0.25939110747565447"/>
          <c:h val="0.77710060951683368"/>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Sheet1!$B$2</c:f>
              <c:strCache>
                <c:ptCount val="1"/>
                <c:pt idx="0">
                  <c:v>Measures in place : Steel and Alumimum </c:v>
                </c:pt>
              </c:strCache>
            </c:strRef>
          </c:tx>
          <c:cat>
            <c:numRef>
              <c:f>Sheet1!$A$3:$A$9</c:f>
              <c:numCache>
                <c:formatCode>General</c:formatCode>
                <c:ptCount val="7"/>
                <c:pt idx="0">
                  <c:v>2010</c:v>
                </c:pt>
                <c:pt idx="1">
                  <c:v>2011</c:v>
                </c:pt>
                <c:pt idx="2">
                  <c:v>2012</c:v>
                </c:pt>
                <c:pt idx="3">
                  <c:v>2013</c:v>
                </c:pt>
                <c:pt idx="4">
                  <c:v>2014</c:v>
                </c:pt>
                <c:pt idx="5">
                  <c:v>2015</c:v>
                </c:pt>
                <c:pt idx="6">
                  <c:v>2016</c:v>
                </c:pt>
              </c:numCache>
            </c:numRef>
          </c:cat>
          <c:val>
            <c:numRef>
              <c:f>Sheet1!$B$3:$B$9</c:f>
              <c:numCache>
                <c:formatCode>General</c:formatCode>
                <c:ptCount val="7"/>
                <c:pt idx="0">
                  <c:v>1</c:v>
                </c:pt>
                <c:pt idx="1">
                  <c:v>3</c:v>
                </c:pt>
                <c:pt idx="2">
                  <c:v>2</c:v>
                </c:pt>
                <c:pt idx="3">
                  <c:v>13</c:v>
                </c:pt>
                <c:pt idx="4">
                  <c:v>21</c:v>
                </c:pt>
                <c:pt idx="5">
                  <c:v>34</c:v>
                </c:pt>
                <c:pt idx="6">
                  <c:v>43</c:v>
                </c:pt>
              </c:numCache>
            </c:numRef>
          </c:val>
          <c:smooth val="0"/>
        </c:ser>
        <c:dLbls>
          <c:showLegendKey val="0"/>
          <c:showVal val="0"/>
          <c:showCatName val="0"/>
          <c:showSerName val="0"/>
          <c:showPercent val="0"/>
          <c:showBubbleSize val="0"/>
        </c:dLbls>
        <c:marker val="1"/>
        <c:smooth val="0"/>
        <c:axId val="426749856"/>
        <c:axId val="426750640"/>
      </c:lineChart>
      <c:catAx>
        <c:axId val="426749856"/>
        <c:scaling>
          <c:orientation val="minMax"/>
        </c:scaling>
        <c:delete val="0"/>
        <c:axPos val="b"/>
        <c:numFmt formatCode="General" sourceLinked="1"/>
        <c:majorTickMark val="out"/>
        <c:minorTickMark val="none"/>
        <c:tickLblPos val="nextTo"/>
        <c:crossAx val="426750640"/>
        <c:crosses val="autoZero"/>
        <c:auto val="1"/>
        <c:lblAlgn val="ctr"/>
        <c:lblOffset val="100"/>
        <c:noMultiLvlLbl val="0"/>
      </c:catAx>
      <c:valAx>
        <c:axId val="426750640"/>
        <c:scaling>
          <c:orientation val="minMax"/>
        </c:scaling>
        <c:delete val="0"/>
        <c:axPos val="l"/>
        <c:majorGridlines/>
        <c:numFmt formatCode="General" sourceLinked="1"/>
        <c:majorTickMark val="out"/>
        <c:minorTickMark val="none"/>
        <c:tickLblPos val="nextTo"/>
        <c:crossAx val="426749856"/>
        <c:crosses val="autoZero"/>
        <c:crossBetween val="between"/>
      </c:valAx>
    </c:plotArea>
    <c:plotVisOnly val="1"/>
    <c:dispBlanksAs val="zero"/>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8514941146073796"/>
          <c:y val="3.4124398945245854E-2"/>
          <c:w val="0.77614804335579624"/>
          <c:h val="0.89390951538223851"/>
        </c:manualLayout>
      </c:layout>
      <c:barChart>
        <c:barDir val="bar"/>
        <c:grouping val="clustered"/>
        <c:varyColors val="1"/>
        <c:ser>
          <c:idx val="0"/>
          <c:order val="0"/>
          <c:spPr>
            <a:solidFill>
              <a:schemeClr val="accent1">
                <a:lumMod val="75000"/>
              </a:schemeClr>
            </a:solidFill>
          </c:spPr>
          <c:invertIfNegative val="0"/>
          <c:dLbls>
            <c:spPr>
              <a:noFill/>
              <a:ln>
                <a:noFill/>
              </a:ln>
              <a:effectLst/>
            </c:spPr>
            <c:txPr>
              <a:bodyPr/>
              <a:lstStyle/>
              <a:p>
                <a:pPr>
                  <a:defRPr sz="1000">
                    <a:solidFill>
                      <a:schemeClr val="tx1"/>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'MEASURES BY COUNTRY'!$A$2:$A$16</c:f>
              <c:strCache>
                <c:ptCount val="15"/>
                <c:pt idx="0">
                  <c:v>Finland</c:v>
                </c:pt>
                <c:pt idx="1">
                  <c:v>Greece</c:v>
                </c:pt>
                <c:pt idx="2">
                  <c:v>Italy</c:v>
                </c:pt>
                <c:pt idx="3">
                  <c:v>Russia</c:v>
                </c:pt>
                <c:pt idx="4">
                  <c:v>Singapore</c:v>
                </c:pt>
                <c:pt idx="5">
                  <c:v>Spain</c:v>
                </c:pt>
                <c:pt idx="6">
                  <c:v>Sweden</c:v>
                </c:pt>
                <c:pt idx="7">
                  <c:v>Malaysia</c:v>
                </c:pt>
                <c:pt idx="8">
                  <c:v>Philippines</c:v>
                </c:pt>
                <c:pt idx="9">
                  <c:v>Indonesia</c:v>
                </c:pt>
                <c:pt idx="10">
                  <c:v>Japan</c:v>
                </c:pt>
                <c:pt idx="11">
                  <c:v>Thailand</c:v>
                </c:pt>
                <c:pt idx="12">
                  <c:v>Taiwan </c:v>
                </c:pt>
                <c:pt idx="13">
                  <c:v>Korea, Rep. of</c:v>
                </c:pt>
                <c:pt idx="14">
                  <c:v>China</c:v>
                </c:pt>
              </c:strCache>
            </c:strRef>
          </c:cat>
          <c:val>
            <c:numRef>
              <c:f>'MEASURES BY COUNTRY'!$B$2:$B$16</c:f>
              <c:numCache>
                <c:formatCode>General</c:formatCode>
                <c:ptCount val="15"/>
                <c:pt idx="0">
                  <c:v>1</c:v>
                </c:pt>
                <c:pt idx="1">
                  <c:v>1</c:v>
                </c:pt>
                <c:pt idx="2">
                  <c:v>1</c:v>
                </c:pt>
                <c:pt idx="3">
                  <c:v>1</c:v>
                </c:pt>
                <c:pt idx="4">
                  <c:v>1</c:v>
                </c:pt>
                <c:pt idx="5">
                  <c:v>1</c:v>
                </c:pt>
                <c:pt idx="6">
                  <c:v>1</c:v>
                </c:pt>
                <c:pt idx="7">
                  <c:v>2</c:v>
                </c:pt>
                <c:pt idx="8">
                  <c:v>2</c:v>
                </c:pt>
                <c:pt idx="9">
                  <c:v>4</c:v>
                </c:pt>
                <c:pt idx="10">
                  <c:v>4</c:v>
                </c:pt>
                <c:pt idx="11">
                  <c:v>6</c:v>
                </c:pt>
                <c:pt idx="12">
                  <c:v>7</c:v>
                </c:pt>
                <c:pt idx="13">
                  <c:v>8</c:v>
                </c:pt>
                <c:pt idx="14">
                  <c:v>21</c:v>
                </c:pt>
              </c:numCache>
            </c:numRef>
          </c:val>
        </c:ser>
        <c:dLbls>
          <c:showLegendKey val="0"/>
          <c:showVal val="0"/>
          <c:showCatName val="0"/>
          <c:showSerName val="0"/>
          <c:showPercent val="0"/>
          <c:showBubbleSize val="0"/>
        </c:dLbls>
        <c:gapWidth val="58"/>
        <c:axId val="276610864"/>
        <c:axId val="276610472"/>
      </c:barChart>
      <c:catAx>
        <c:axId val="276610864"/>
        <c:scaling>
          <c:orientation val="minMax"/>
        </c:scaling>
        <c:delete val="0"/>
        <c:axPos val="l"/>
        <c:numFmt formatCode="General" sourceLinked="0"/>
        <c:majorTickMark val="out"/>
        <c:minorTickMark val="none"/>
        <c:tickLblPos val="nextTo"/>
        <c:txPr>
          <a:bodyPr/>
          <a:lstStyle/>
          <a:p>
            <a:pPr>
              <a:defRPr sz="900"/>
            </a:pPr>
            <a:endParaRPr lang="en-US"/>
          </a:p>
        </c:txPr>
        <c:crossAx val="276610472"/>
        <c:crosses val="autoZero"/>
        <c:auto val="1"/>
        <c:lblAlgn val="ctr"/>
        <c:lblOffset val="100"/>
        <c:noMultiLvlLbl val="0"/>
      </c:catAx>
      <c:valAx>
        <c:axId val="276610472"/>
        <c:scaling>
          <c:orientation val="minMax"/>
          <c:max val="22"/>
        </c:scaling>
        <c:delete val="0"/>
        <c:axPos val="b"/>
        <c:numFmt formatCode="General" sourceLinked="1"/>
        <c:majorTickMark val="out"/>
        <c:minorTickMark val="none"/>
        <c:tickLblPos val="nextTo"/>
        <c:txPr>
          <a:bodyPr/>
          <a:lstStyle/>
          <a:p>
            <a:pPr>
              <a:defRPr sz="900"/>
            </a:pPr>
            <a:endParaRPr lang="en-US"/>
          </a:p>
        </c:txPr>
        <c:crossAx val="276610864"/>
        <c:crosses val="autoZero"/>
        <c:crossBetween val="between"/>
        <c:majorUnit val="2"/>
        <c:minorUnit val="1"/>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'5204 db'!$T$1</c:f>
              <c:strCache>
                <c:ptCount val="1"/>
                <c:pt idx="0">
                  <c:v>Manufacturing</c:v>
                </c:pt>
              </c:strCache>
            </c:strRef>
          </c:tx>
          <c:spPr>
            <a:ln>
              <a:solidFill>
                <a:srgbClr val="292B67"/>
              </a:solidFill>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db'!$T$12:$T$22</c:f>
              <c:numCache>
                <c:formatCode>General</c:formatCode>
                <c:ptCount val="11"/>
                <c:pt idx="0">
                  <c:v>105305</c:v>
                </c:pt>
                <c:pt idx="1">
                  <c:v>104936</c:v>
                </c:pt>
                <c:pt idx="2">
                  <c:v>107064</c:v>
                </c:pt>
                <c:pt idx="3">
                  <c:v>111243</c:v>
                </c:pt>
                <c:pt idx="4">
                  <c:v>105520</c:v>
                </c:pt>
                <c:pt idx="5">
                  <c:v>106052</c:v>
                </c:pt>
                <c:pt idx="6">
                  <c:v>105889</c:v>
                </c:pt>
                <c:pt idx="7">
                  <c:v>106588</c:v>
                </c:pt>
                <c:pt idx="8">
                  <c:v>103011</c:v>
                </c:pt>
                <c:pt idx="9">
                  <c:v>101807</c:v>
                </c:pt>
                <c:pt idx="10">
                  <c:v>100635</c:v>
                </c:pt>
              </c:numCache>
            </c:numRef>
          </c:val>
          <c:smooth val="0"/>
        </c:ser>
        <c:ser>
          <c:idx val="1"/>
          <c:order val="1"/>
          <c:tx>
            <c:strRef>
              <c:f>'5204 db'!$Y$1</c:f>
              <c:strCache>
                <c:ptCount val="1"/>
                <c:pt idx="0">
                  <c:v>Construction</c:v>
                </c:pt>
              </c:strCache>
            </c:strRef>
          </c:tx>
          <c:spPr>
            <a:ln>
              <a:solidFill>
                <a:srgbClr val="9ED9DF"/>
              </a:solidFill>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db'!$Y$12:$Y$22</c:f>
              <c:numCache>
                <c:formatCode>General</c:formatCode>
                <c:ptCount val="11"/>
                <c:pt idx="0">
                  <c:v>81054</c:v>
                </c:pt>
                <c:pt idx="1">
                  <c:v>87654</c:v>
                </c:pt>
                <c:pt idx="2">
                  <c:v>92601</c:v>
                </c:pt>
                <c:pt idx="3">
                  <c:v>99123</c:v>
                </c:pt>
                <c:pt idx="4">
                  <c:v>103222</c:v>
                </c:pt>
                <c:pt idx="5">
                  <c:v>103827</c:v>
                </c:pt>
                <c:pt idx="6">
                  <c:v>106820</c:v>
                </c:pt>
                <c:pt idx="7">
                  <c:v>117640</c:v>
                </c:pt>
                <c:pt idx="8">
                  <c:v>120166</c:v>
                </c:pt>
                <c:pt idx="9">
                  <c:v>125511</c:v>
                </c:pt>
                <c:pt idx="10">
                  <c:v>124580</c:v>
                </c:pt>
              </c:numCache>
            </c:numRef>
          </c:val>
          <c:smooth val="0"/>
        </c:ser>
        <c:ser>
          <c:idx val="2"/>
          <c:order val="2"/>
          <c:tx>
            <c:strRef>
              <c:f>'5204 db'!$K$1</c:f>
              <c:strCache>
                <c:ptCount val="1"/>
                <c:pt idx="0">
                  <c:v>Mining</c:v>
                </c:pt>
              </c:strCache>
            </c:strRef>
          </c:tx>
          <c:spPr>
            <a:ln>
              <a:solidFill>
                <a:srgbClr val="22789A"/>
              </a:solidFill>
              <a:prstDash val="dash"/>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db'!$K$12:$K$22</c:f>
              <c:numCache>
                <c:formatCode>General</c:formatCode>
                <c:ptCount val="11"/>
                <c:pt idx="0">
                  <c:v>78337</c:v>
                </c:pt>
                <c:pt idx="1">
                  <c:v>79761</c:v>
                </c:pt>
                <c:pt idx="2">
                  <c:v>87101</c:v>
                </c:pt>
                <c:pt idx="3">
                  <c:v>89414</c:v>
                </c:pt>
                <c:pt idx="4">
                  <c:v>92345</c:v>
                </c:pt>
                <c:pt idx="5">
                  <c:v>99628</c:v>
                </c:pt>
                <c:pt idx="6">
                  <c:v>101790</c:v>
                </c:pt>
                <c:pt idx="7">
                  <c:v>109455</c:v>
                </c:pt>
                <c:pt idx="8">
                  <c:v>119067</c:v>
                </c:pt>
                <c:pt idx="9">
                  <c:v>130420</c:v>
                </c:pt>
                <c:pt idx="10">
                  <c:v>140381</c:v>
                </c:pt>
              </c:numCache>
            </c:numRef>
          </c:val>
          <c:smooth val="0"/>
        </c:ser>
        <c:dLbls>
          <c:showLegendKey val="0"/>
          <c:showVal val="0"/>
          <c:showCatName val="0"/>
          <c:showSerName val="0"/>
          <c:showPercent val="0"/>
          <c:showBubbleSize val="0"/>
        </c:dLbls>
        <c:smooth val="0"/>
        <c:axId val="276420264"/>
        <c:axId val="276418304"/>
      </c:lineChart>
      <c:dateAx>
        <c:axId val="276420264"/>
        <c:scaling>
          <c:orientation val="minMax"/>
        </c:scaling>
        <c:delete val="0"/>
        <c:axPos val="b"/>
        <c:numFmt formatCode="yyyy" sourceLinked="0"/>
        <c:majorTickMark val="none"/>
        <c:minorTickMark val="none"/>
        <c:tickLblPos val="nextTo"/>
        <c:crossAx val="276418304"/>
        <c:crosses val="autoZero"/>
        <c:auto val="1"/>
        <c:lblOffset val="100"/>
        <c:baseTimeUnit val="years"/>
        <c:majorUnit val="2"/>
      </c:dateAx>
      <c:valAx>
        <c:axId val="276418304"/>
        <c:scaling>
          <c:orientation val="minMax"/>
        </c:scaling>
        <c:delete val="0"/>
        <c:axPos val="l"/>
        <c:title>
          <c:tx>
            <c:rich>
              <a:bodyPr rot="-5400000" vert="horz"/>
              <a:lstStyle/>
              <a:p>
                <a:pPr>
                  <a:defRPr/>
                </a:pPr>
                <a:r>
                  <a:rPr lang="en-AU" b="0"/>
                  <a:t>Industry Value Add ($b)</a:t>
                </a:r>
              </a:p>
            </c:rich>
          </c:tx>
          <c:overlay val="0"/>
        </c:title>
        <c:numFmt formatCode="#,##0" sourceLinked="0"/>
        <c:majorTickMark val="none"/>
        <c:minorTickMark val="none"/>
        <c:tickLblPos val="nextTo"/>
        <c:crossAx val="276420264"/>
        <c:crosses val="autoZero"/>
        <c:crossBetween val="between"/>
        <c:majorUnit val="50000"/>
        <c:dispUnits>
          <c:builtInUnit val="thousands"/>
        </c:dispUnits>
      </c:valAx>
    </c:plotArea>
    <c:legend>
      <c:legendPos val="b"/>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7.4793167852465675E-2"/>
          <c:y val="4.6787283790860272E-2"/>
          <c:w val="0.89346079318739546"/>
          <c:h val="0.60029000316743308"/>
        </c:manualLayout>
      </c:layout>
      <c:barChart>
        <c:barDir val="col"/>
        <c:grouping val="clustered"/>
        <c:varyColors val="1"/>
        <c:ser>
          <c:idx val="0"/>
          <c:order val="0"/>
          <c:spPr>
            <a:solidFill>
              <a:schemeClr val="accent1">
                <a:lumMod val="75000"/>
              </a:schemeClr>
            </a:solidFill>
          </c:spPr>
          <c:invertIfNegative val="0"/>
          <c:dLbls>
            <c:spPr>
              <a:noFill/>
              <a:ln>
                <a:noFill/>
              </a:ln>
              <a:effectLst/>
            </c:spPr>
            <c:txPr>
              <a:bodyPr/>
              <a:lstStyle/>
              <a:p>
                <a:pPr>
                  <a:defRPr sz="1000" baseline="0">
                    <a:solidFill>
                      <a:sysClr val="windowText" lastClr="00000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'CURRENT CASES BY COUNTRY'!$A$2:$A$16</c:f>
              <c:strCache>
                <c:ptCount val="15"/>
                <c:pt idx="0">
                  <c:v>Brazil</c:v>
                </c:pt>
                <c:pt idx="1">
                  <c:v>Vietnam</c:v>
                </c:pt>
                <c:pt idx="2">
                  <c:v>Romania</c:v>
                </c:pt>
                <c:pt idx="3">
                  <c:v>Singapore</c:v>
                </c:pt>
                <c:pt idx="4">
                  <c:v>Sweden</c:v>
                </c:pt>
                <c:pt idx="5">
                  <c:v>India</c:v>
                </c:pt>
                <c:pt idx="6">
                  <c:v>Vietnam</c:v>
                </c:pt>
                <c:pt idx="7">
                  <c:v>Philippines</c:v>
                </c:pt>
                <c:pt idx="8">
                  <c:v>Indonesia</c:v>
                </c:pt>
                <c:pt idx="9">
                  <c:v>Korea, Rep. of</c:v>
                </c:pt>
                <c:pt idx="10">
                  <c:v>Italy</c:v>
                </c:pt>
                <c:pt idx="11">
                  <c:v>Malaysia</c:v>
                </c:pt>
                <c:pt idx="12">
                  <c:v>Thailand</c:v>
                </c:pt>
                <c:pt idx="13">
                  <c:v>Taiwan</c:v>
                </c:pt>
                <c:pt idx="14">
                  <c:v>China</c:v>
                </c:pt>
              </c:strCache>
            </c:strRef>
          </c:cat>
          <c:val>
            <c:numRef>
              <c:f>'CURRENT CASES BY COUNTRY'!$B$2:$B$16</c:f>
              <c:numCache>
                <c:formatCode>General</c:formatCode>
                <c:ptCount val="15"/>
                <c:pt idx="0">
                  <c:v>1</c:v>
                </c:pt>
                <c:pt idx="1">
                  <c:v>1</c:v>
                </c:pt>
                <c:pt idx="2">
                  <c:v>1</c:v>
                </c:pt>
                <c:pt idx="3">
                  <c:v>1</c:v>
                </c:pt>
                <c:pt idx="4">
                  <c:v>1</c:v>
                </c:pt>
                <c:pt idx="5">
                  <c:v>1</c:v>
                </c:pt>
                <c:pt idx="6">
                  <c:v>2</c:v>
                </c:pt>
                <c:pt idx="7">
                  <c:v>3</c:v>
                </c:pt>
                <c:pt idx="8">
                  <c:v>3</c:v>
                </c:pt>
                <c:pt idx="9">
                  <c:v>4</c:v>
                </c:pt>
                <c:pt idx="10">
                  <c:v>4</c:v>
                </c:pt>
                <c:pt idx="11">
                  <c:v>6</c:v>
                </c:pt>
                <c:pt idx="12">
                  <c:v>7</c:v>
                </c:pt>
                <c:pt idx="13">
                  <c:v>8</c:v>
                </c:pt>
                <c:pt idx="14">
                  <c:v>32</c:v>
                </c:pt>
              </c:numCache>
            </c:numRef>
          </c:val>
        </c:ser>
        <c:dLbls>
          <c:dLblPos val="outEnd"/>
          <c:showLegendKey val="0"/>
          <c:showVal val="1"/>
          <c:showCatName val="0"/>
          <c:showSerName val="0"/>
          <c:showPercent val="0"/>
          <c:showBubbleSize val="0"/>
        </c:dLbls>
        <c:gapWidth val="50"/>
        <c:axId val="276611256"/>
        <c:axId val="276607336"/>
      </c:barChart>
      <c:catAx>
        <c:axId val="276611256"/>
        <c:scaling>
          <c:orientation val="minMax"/>
        </c:scaling>
        <c:delete val="0"/>
        <c:axPos val="b"/>
        <c:numFmt formatCode="General" sourceLinked="0"/>
        <c:majorTickMark val="out"/>
        <c:minorTickMark val="none"/>
        <c:tickLblPos val="nextTo"/>
        <c:txPr>
          <a:bodyPr rot="5400000"/>
          <a:lstStyle/>
          <a:p>
            <a:pPr>
              <a:defRPr sz="900"/>
            </a:pPr>
            <a:endParaRPr lang="en-US"/>
          </a:p>
        </c:txPr>
        <c:crossAx val="276607336"/>
        <c:crosses val="autoZero"/>
        <c:auto val="1"/>
        <c:lblAlgn val="ctr"/>
        <c:lblOffset val="100"/>
        <c:noMultiLvlLbl val="0"/>
      </c:catAx>
      <c:valAx>
        <c:axId val="276607336"/>
        <c:scaling>
          <c:orientation val="minMax"/>
          <c:max val="32"/>
          <c:min val="0"/>
        </c:scaling>
        <c:delete val="1"/>
        <c:axPos val="l"/>
        <c:majorGridlines/>
        <c:numFmt formatCode="General" sourceLinked="1"/>
        <c:majorTickMark val="out"/>
        <c:minorTickMark val="none"/>
        <c:tickLblPos val="nextTo"/>
        <c:crossAx val="276611256"/>
        <c:crosses val="autoZero"/>
        <c:crossBetween val="between"/>
        <c:majorUnit val="3"/>
        <c:minorUnit val="0.60000000000000009"/>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'Industry Employ Trend db'!$D$1</c:f>
              <c:strCache>
                <c:ptCount val="1"/>
                <c:pt idx="0">
                  <c:v>Manufacturing</c:v>
                </c:pt>
              </c:strCache>
            </c:strRef>
          </c:tx>
          <c:spPr>
            <a:ln>
              <a:solidFill>
                <a:srgbClr val="292B67"/>
              </a:solidFill>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db'!$D$89:$D$129</c:f>
              <c:numCache>
                <c:formatCode>0.0;\-0.0;0.0;@</c:formatCode>
                <c:ptCount val="41"/>
                <c:pt idx="0">
                  <c:v>1013.8568383</c:v>
                </c:pt>
                <c:pt idx="1">
                  <c:v>1008.4856786</c:v>
                </c:pt>
                <c:pt idx="2">
                  <c:v>1009.7590392</c:v>
                </c:pt>
                <c:pt idx="3">
                  <c:v>1014.6620845</c:v>
                </c:pt>
                <c:pt idx="4">
                  <c:v>1023.4148647</c:v>
                </c:pt>
                <c:pt idx="5">
                  <c:v>1035.5115278999999</c:v>
                </c:pt>
                <c:pt idx="6">
                  <c:v>1049.0490870000001</c:v>
                </c:pt>
                <c:pt idx="7">
                  <c:v>1059.1601098000001</c:v>
                </c:pt>
                <c:pt idx="8">
                  <c:v>1058.1848566000001</c:v>
                </c:pt>
                <c:pt idx="9">
                  <c:v>1043.1566716</c:v>
                </c:pt>
                <c:pt idx="10">
                  <c:v>1021.3199635</c:v>
                </c:pt>
                <c:pt idx="11">
                  <c:v>1007.05915</c:v>
                </c:pt>
                <c:pt idx="12">
                  <c:v>1001.7644246</c:v>
                </c:pt>
                <c:pt idx="13">
                  <c:v>999.60573409999995</c:v>
                </c:pt>
                <c:pt idx="14">
                  <c:v>992.66407409999999</c:v>
                </c:pt>
                <c:pt idx="15">
                  <c:v>983.43457609999996</c:v>
                </c:pt>
                <c:pt idx="16">
                  <c:v>978.4415199</c:v>
                </c:pt>
                <c:pt idx="17">
                  <c:v>978.9920429</c:v>
                </c:pt>
                <c:pt idx="18">
                  <c:v>977.64789900000005</c:v>
                </c:pt>
                <c:pt idx="19">
                  <c:v>968.85158120000006</c:v>
                </c:pt>
                <c:pt idx="20">
                  <c:v>952.20443439999997</c:v>
                </c:pt>
                <c:pt idx="21">
                  <c:v>940.26952900000003</c:v>
                </c:pt>
                <c:pt idx="22">
                  <c:v>937.01040769999997</c:v>
                </c:pt>
                <c:pt idx="23">
                  <c:v>941.78957519999994</c:v>
                </c:pt>
                <c:pt idx="24">
                  <c:v>949.95816400000001</c:v>
                </c:pt>
                <c:pt idx="25">
                  <c:v>950.95671600000003</c:v>
                </c:pt>
                <c:pt idx="26">
                  <c:v>942.72005990000002</c:v>
                </c:pt>
                <c:pt idx="27">
                  <c:v>928.40293699999995</c:v>
                </c:pt>
                <c:pt idx="28">
                  <c:v>918.35620400000005</c:v>
                </c:pt>
                <c:pt idx="29">
                  <c:v>920.25408819999996</c:v>
                </c:pt>
                <c:pt idx="30">
                  <c:v>925.95836389999999</c:v>
                </c:pt>
                <c:pt idx="31">
                  <c:v>926.48112500000002</c:v>
                </c:pt>
                <c:pt idx="32">
                  <c:v>920.96169380000003</c:v>
                </c:pt>
                <c:pt idx="33">
                  <c:v>912.06663279999998</c:v>
                </c:pt>
                <c:pt idx="34">
                  <c:v>907.31051549999995</c:v>
                </c:pt>
                <c:pt idx="35">
                  <c:v>906.61582539999995</c:v>
                </c:pt>
                <c:pt idx="36">
                  <c:v>897.6874583</c:v>
                </c:pt>
                <c:pt idx="37">
                  <c:v>881.48751870000001</c:v>
                </c:pt>
                <c:pt idx="38">
                  <c:v>870.70320919999995</c:v>
                </c:pt>
                <c:pt idx="39">
                  <c:v>872.43115509999996</c:v>
                </c:pt>
                <c:pt idx="40">
                  <c:v>882.24942290000001</c:v>
                </c:pt>
              </c:numCache>
            </c:numRef>
          </c:val>
          <c:smooth val="0"/>
        </c:ser>
        <c:ser>
          <c:idx val="1"/>
          <c:order val="1"/>
          <c:tx>
            <c:strRef>
              <c:f>'Industry Employ Trend db'!$F$1</c:f>
              <c:strCache>
                <c:ptCount val="1"/>
                <c:pt idx="0">
                  <c:v>Construction</c:v>
                </c:pt>
              </c:strCache>
            </c:strRef>
          </c:tx>
          <c:spPr>
            <a:ln>
              <a:solidFill>
                <a:srgbClr val="9ED9DF"/>
              </a:solidFill>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db'!$F$89:$F$129</c:f>
              <c:numCache>
                <c:formatCode>0.0;\-0.0;0.0;@</c:formatCode>
                <c:ptCount val="41"/>
                <c:pt idx="0">
                  <c:v>881.42110590000004</c:v>
                </c:pt>
                <c:pt idx="1">
                  <c:v>905.8159445</c:v>
                </c:pt>
                <c:pt idx="2">
                  <c:v>925.72218220000002</c:v>
                </c:pt>
                <c:pt idx="3">
                  <c:v>933.33356879999997</c:v>
                </c:pt>
                <c:pt idx="4">
                  <c:v>927.62310309999998</c:v>
                </c:pt>
                <c:pt idx="5">
                  <c:v>929.48004349999997</c:v>
                </c:pt>
                <c:pt idx="6">
                  <c:v>944.88104729999998</c:v>
                </c:pt>
                <c:pt idx="7">
                  <c:v>965.28803019999998</c:v>
                </c:pt>
                <c:pt idx="8">
                  <c:v>980.16187979999995</c:v>
                </c:pt>
                <c:pt idx="9">
                  <c:v>985.55272449999995</c:v>
                </c:pt>
                <c:pt idx="10">
                  <c:v>985.52353919999996</c:v>
                </c:pt>
                <c:pt idx="11">
                  <c:v>984.2177471</c:v>
                </c:pt>
                <c:pt idx="12">
                  <c:v>980.39712039999995</c:v>
                </c:pt>
                <c:pt idx="13">
                  <c:v>976.96579759999997</c:v>
                </c:pt>
                <c:pt idx="14">
                  <c:v>976.18706380000003</c:v>
                </c:pt>
                <c:pt idx="15">
                  <c:v>977.97804129999997</c:v>
                </c:pt>
                <c:pt idx="16">
                  <c:v>987.38114470000005</c:v>
                </c:pt>
                <c:pt idx="17">
                  <c:v>995.68745209999997</c:v>
                </c:pt>
                <c:pt idx="18">
                  <c:v>1000.1773382</c:v>
                </c:pt>
                <c:pt idx="19">
                  <c:v>1005.8759675</c:v>
                </c:pt>
                <c:pt idx="20">
                  <c:v>1012.9004509</c:v>
                </c:pt>
                <c:pt idx="21">
                  <c:v>1015.6647673</c:v>
                </c:pt>
                <c:pt idx="22">
                  <c:v>1009.7686924</c:v>
                </c:pt>
                <c:pt idx="23">
                  <c:v>989.76359260000004</c:v>
                </c:pt>
                <c:pt idx="24">
                  <c:v>972.40161609999996</c:v>
                </c:pt>
                <c:pt idx="25">
                  <c:v>970.47390410000003</c:v>
                </c:pt>
                <c:pt idx="26">
                  <c:v>977.63442420000001</c:v>
                </c:pt>
                <c:pt idx="27">
                  <c:v>992.47391849999997</c:v>
                </c:pt>
                <c:pt idx="28">
                  <c:v>1003.977226</c:v>
                </c:pt>
                <c:pt idx="29">
                  <c:v>1006.7572277</c:v>
                </c:pt>
                <c:pt idx="30">
                  <c:v>1005.8496694</c:v>
                </c:pt>
                <c:pt idx="31">
                  <c:v>1007.6051018000001</c:v>
                </c:pt>
                <c:pt idx="32">
                  <c:v>1018.9395853</c:v>
                </c:pt>
                <c:pt idx="33">
                  <c:v>1036.9264237</c:v>
                </c:pt>
                <c:pt idx="34">
                  <c:v>1041.7331329000001</c:v>
                </c:pt>
                <c:pt idx="35">
                  <c:v>1038.4931208999999</c:v>
                </c:pt>
                <c:pt idx="36">
                  <c:v>1035.2330156</c:v>
                </c:pt>
                <c:pt idx="37">
                  <c:v>1039.7014160000001</c:v>
                </c:pt>
                <c:pt idx="38">
                  <c:v>1051.9796385</c:v>
                </c:pt>
                <c:pt idx="39">
                  <c:v>1065.6801925</c:v>
                </c:pt>
                <c:pt idx="40">
                  <c:v>1079.5429254999999</c:v>
                </c:pt>
              </c:numCache>
            </c:numRef>
          </c:val>
          <c:smooth val="0"/>
        </c:ser>
        <c:ser>
          <c:idx val="2"/>
          <c:order val="2"/>
          <c:tx>
            <c:strRef>
              <c:f>'Industry Employ Trend db'!$C$1</c:f>
              <c:strCache>
                <c:ptCount val="1"/>
                <c:pt idx="0">
                  <c:v>Mining</c:v>
                </c:pt>
              </c:strCache>
            </c:strRef>
          </c:tx>
          <c:spPr>
            <a:ln>
              <a:solidFill>
                <a:srgbClr val="22789A"/>
              </a:solidFill>
              <a:prstDash val="dash"/>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db'!$C$89:$C$129</c:f>
              <c:numCache>
                <c:formatCode>0.0;\-0.0;0.0;@</c:formatCode>
                <c:ptCount val="41"/>
                <c:pt idx="0">
                  <c:v>131.98403880000001</c:v>
                </c:pt>
                <c:pt idx="1">
                  <c:v>134.74584580000001</c:v>
                </c:pt>
                <c:pt idx="2">
                  <c:v>136.63092879999999</c:v>
                </c:pt>
                <c:pt idx="3">
                  <c:v>136.8768172</c:v>
                </c:pt>
                <c:pt idx="4">
                  <c:v>137.2269441</c:v>
                </c:pt>
                <c:pt idx="5">
                  <c:v>136.05956760000001</c:v>
                </c:pt>
                <c:pt idx="6">
                  <c:v>138.11245339999999</c:v>
                </c:pt>
                <c:pt idx="7">
                  <c:v>146.91532789999999</c:v>
                </c:pt>
                <c:pt idx="8">
                  <c:v>161.37050919999999</c:v>
                </c:pt>
                <c:pt idx="9">
                  <c:v>174.46915060000001</c:v>
                </c:pt>
                <c:pt idx="10">
                  <c:v>176.68028709999999</c:v>
                </c:pt>
                <c:pt idx="11">
                  <c:v>170.1071527</c:v>
                </c:pt>
                <c:pt idx="12">
                  <c:v>163.35130409999999</c:v>
                </c:pt>
                <c:pt idx="13">
                  <c:v>162.36007960000001</c:v>
                </c:pt>
                <c:pt idx="14">
                  <c:v>168.28846949999999</c:v>
                </c:pt>
                <c:pt idx="15">
                  <c:v>176.7477226</c:v>
                </c:pt>
                <c:pt idx="16">
                  <c:v>185.24363109999999</c:v>
                </c:pt>
                <c:pt idx="17">
                  <c:v>193.32600099999999</c:v>
                </c:pt>
                <c:pt idx="18">
                  <c:v>200.7645502</c:v>
                </c:pt>
                <c:pt idx="19">
                  <c:v>207.68770939999999</c:v>
                </c:pt>
                <c:pt idx="20">
                  <c:v>215.63040950000001</c:v>
                </c:pt>
                <c:pt idx="21">
                  <c:v>226.07961969999999</c:v>
                </c:pt>
                <c:pt idx="22">
                  <c:v>240.89567099999999</c:v>
                </c:pt>
                <c:pt idx="23">
                  <c:v>258.3678031</c:v>
                </c:pt>
                <c:pt idx="24">
                  <c:v>270.66191909999998</c:v>
                </c:pt>
                <c:pt idx="25">
                  <c:v>274.28980539999998</c:v>
                </c:pt>
                <c:pt idx="26">
                  <c:v>270.98524409999999</c:v>
                </c:pt>
                <c:pt idx="27">
                  <c:v>265.95552350000003</c:v>
                </c:pt>
                <c:pt idx="28">
                  <c:v>265.92417740000002</c:v>
                </c:pt>
                <c:pt idx="29">
                  <c:v>268.84701999999999</c:v>
                </c:pt>
                <c:pt idx="30">
                  <c:v>271.55645909999998</c:v>
                </c:pt>
                <c:pt idx="31">
                  <c:v>269.84515110000001</c:v>
                </c:pt>
                <c:pt idx="32">
                  <c:v>259.94192709999999</c:v>
                </c:pt>
                <c:pt idx="33">
                  <c:v>245.75984220000001</c:v>
                </c:pt>
                <c:pt idx="34">
                  <c:v>233.1959411</c:v>
                </c:pt>
                <c:pt idx="35">
                  <c:v>226.13539549999999</c:v>
                </c:pt>
                <c:pt idx="36">
                  <c:v>224.566622</c:v>
                </c:pt>
                <c:pt idx="37">
                  <c:v>225.76650559999999</c:v>
                </c:pt>
                <c:pt idx="38">
                  <c:v>226.81288409999999</c:v>
                </c:pt>
                <c:pt idx="39">
                  <c:v>227.08567819999999</c:v>
                </c:pt>
                <c:pt idx="40">
                  <c:v>226.9747137</c:v>
                </c:pt>
              </c:numCache>
            </c:numRef>
          </c:val>
          <c:smooth val="0"/>
        </c:ser>
        <c:dLbls>
          <c:showLegendKey val="0"/>
          <c:showVal val="0"/>
          <c:showCatName val="0"/>
          <c:showSerName val="0"/>
          <c:showPercent val="0"/>
          <c:showBubbleSize val="0"/>
        </c:dLbls>
        <c:smooth val="0"/>
        <c:axId val="276420656"/>
        <c:axId val="276419088"/>
      </c:lineChart>
      <c:dateAx>
        <c:axId val="276420656"/>
        <c:scaling>
          <c:orientation val="minMax"/>
        </c:scaling>
        <c:delete val="0"/>
        <c:axPos val="b"/>
        <c:numFmt formatCode="yyyy" sourceLinked="0"/>
        <c:majorTickMark val="none"/>
        <c:minorTickMark val="none"/>
        <c:tickLblPos val="nextTo"/>
        <c:crossAx val="276419088"/>
        <c:crosses val="autoZero"/>
        <c:auto val="1"/>
        <c:lblOffset val="100"/>
        <c:baseTimeUnit val="months"/>
        <c:majorUnit val="2"/>
        <c:majorTimeUnit val="years"/>
      </c:dateAx>
      <c:valAx>
        <c:axId val="276419088"/>
        <c:scaling>
          <c:orientation val="minMax"/>
        </c:scaling>
        <c:delete val="0"/>
        <c:axPos val="l"/>
        <c:title>
          <c:tx>
            <c:rich>
              <a:bodyPr rot="-5400000" vert="horz"/>
              <a:lstStyle/>
              <a:p>
                <a:pPr>
                  <a:defRPr/>
                </a:pPr>
                <a:r>
                  <a:rPr lang="en-AU" b="0"/>
                  <a:t>Employment ('000)</a:t>
                </a:r>
              </a:p>
            </c:rich>
          </c:tx>
          <c:overlay val="0"/>
        </c:title>
        <c:numFmt formatCode="#,##0" sourceLinked="0"/>
        <c:majorTickMark val="none"/>
        <c:minorTickMark val="none"/>
        <c:tickLblPos val="nextTo"/>
        <c:crossAx val="276420656"/>
        <c:crosses val="autoZero"/>
        <c:crossBetween val="between"/>
      </c:valAx>
    </c:plotArea>
    <c:legend>
      <c:legendPos val="b"/>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456659523049565"/>
          <c:y val="7.1544715447154475E-2"/>
          <c:w val="0.84127755467092225"/>
          <c:h val="0.67295961283076533"/>
        </c:manualLayout>
      </c:layout>
      <c:barChart>
        <c:barDir val="col"/>
        <c:grouping val="clustered"/>
        <c:varyColors val="0"/>
        <c:ser>
          <c:idx val="0"/>
          <c:order val="0"/>
          <c:tx>
            <c:strRef>
              <c:f>Extra!$B$3</c:f>
              <c:strCache>
                <c:ptCount val="1"/>
                <c:pt idx="0">
                  <c:v>China</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Extra!$C$3:$L$3</c:f>
              <c:numCache>
                <c:formatCode>0</c:formatCode>
                <c:ptCount val="10"/>
                <c:pt idx="0">
                  <c:v>8648.1299999999992</c:v>
                </c:pt>
                <c:pt idx="1">
                  <c:v>12346.962</c:v>
                </c:pt>
                <c:pt idx="2">
                  <c:v>12412.532999999999</c:v>
                </c:pt>
                <c:pt idx="3">
                  <c:v>14300.223</c:v>
                </c:pt>
                <c:pt idx="4">
                  <c:v>15854.474</c:v>
                </c:pt>
                <c:pt idx="5">
                  <c:v>17701.66</c:v>
                </c:pt>
                <c:pt idx="6">
                  <c:v>20257.940999999999</c:v>
                </c:pt>
                <c:pt idx="7">
                  <c:v>21954.992999999999</c:v>
                </c:pt>
                <c:pt idx="8">
                  <c:v>27204.002</c:v>
                </c:pt>
                <c:pt idx="9">
                  <c:v>31068.071</c:v>
                </c:pt>
              </c:numCache>
            </c:numRef>
          </c:val>
        </c:ser>
        <c:ser>
          <c:idx val="1"/>
          <c:order val="1"/>
          <c:tx>
            <c:strRef>
              <c:f>Extra!$B$4</c:f>
              <c:strCache>
                <c:ptCount val="1"/>
                <c:pt idx="0">
                  <c:v>Japan</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Extra!$C$4:$L$4</c:f>
              <c:numCache>
                <c:formatCode>0</c:formatCode>
                <c:ptCount val="10"/>
                <c:pt idx="0">
                  <c:v>2322.8290000000002</c:v>
                </c:pt>
                <c:pt idx="1">
                  <c:v>2197.0050000000001</c:v>
                </c:pt>
                <c:pt idx="2">
                  <c:v>2250.1869999999999</c:v>
                </c:pt>
                <c:pt idx="3">
                  <c:v>1522.9449999999999</c:v>
                </c:pt>
                <c:pt idx="4">
                  <c:v>2024.981</c:v>
                </c:pt>
                <c:pt idx="5">
                  <c:v>1945.8009999999999</c:v>
                </c:pt>
                <c:pt idx="6">
                  <c:v>1981.59</c:v>
                </c:pt>
                <c:pt idx="7">
                  <c:v>1771.825</c:v>
                </c:pt>
                <c:pt idx="8">
                  <c:v>2033.703</c:v>
                </c:pt>
                <c:pt idx="9">
                  <c:v>1778.7159999999999</c:v>
                </c:pt>
              </c:numCache>
            </c:numRef>
          </c:val>
        </c:ser>
        <c:ser>
          <c:idx val="2"/>
          <c:order val="2"/>
          <c:tx>
            <c:strRef>
              <c:f>Extra!$B$5</c:f>
              <c:strCache>
                <c:ptCount val="1"/>
                <c:pt idx="0">
                  <c:v>South Korea</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Extra!$C$5:$L$5</c:f>
              <c:numCache>
                <c:formatCode>0</c:formatCode>
                <c:ptCount val="10"/>
                <c:pt idx="0">
                  <c:v>1153.152</c:v>
                </c:pt>
                <c:pt idx="1">
                  <c:v>1080.6199999999999</c:v>
                </c:pt>
                <c:pt idx="2">
                  <c:v>963.81200000000001</c:v>
                </c:pt>
                <c:pt idx="3">
                  <c:v>1037.625</c:v>
                </c:pt>
                <c:pt idx="4">
                  <c:v>1254.6400000000001</c:v>
                </c:pt>
                <c:pt idx="5">
                  <c:v>1233.309</c:v>
                </c:pt>
                <c:pt idx="6">
                  <c:v>1278.49</c:v>
                </c:pt>
                <c:pt idx="7">
                  <c:v>1241.1189999999999</c:v>
                </c:pt>
                <c:pt idx="8">
                  <c:v>1282.288</c:v>
                </c:pt>
                <c:pt idx="9">
                  <c:v>1365.7660000000001</c:v>
                </c:pt>
              </c:numCache>
            </c:numRef>
          </c:val>
        </c:ser>
        <c:ser>
          <c:idx val="3"/>
          <c:order val="3"/>
          <c:tx>
            <c:strRef>
              <c:f>Extra!$B$6</c:f>
              <c:strCache>
                <c:ptCount val="1"/>
                <c:pt idx="0">
                  <c:v>Chinese Taipei</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Extra!$C$6:$L$6</c:f>
              <c:numCache>
                <c:formatCode>0</c:formatCode>
                <c:ptCount val="10"/>
                <c:pt idx="0">
                  <c:v>422.42899999999997</c:v>
                </c:pt>
                <c:pt idx="1">
                  <c:v>367.78199999999998</c:v>
                </c:pt>
                <c:pt idx="2">
                  <c:v>361.49700000000001</c:v>
                </c:pt>
                <c:pt idx="3">
                  <c:v>287.834</c:v>
                </c:pt>
                <c:pt idx="4">
                  <c:v>400.31299999999999</c:v>
                </c:pt>
                <c:pt idx="5">
                  <c:v>431.517</c:v>
                </c:pt>
                <c:pt idx="6">
                  <c:v>418.93099999999998</c:v>
                </c:pt>
                <c:pt idx="7">
                  <c:v>464.86599999999999</c:v>
                </c:pt>
                <c:pt idx="8">
                  <c:v>532.98</c:v>
                </c:pt>
                <c:pt idx="9">
                  <c:v>528.00400000000002</c:v>
                </c:pt>
              </c:numCache>
            </c:numRef>
          </c:val>
        </c:ser>
        <c:ser>
          <c:idx val="4"/>
          <c:order val="4"/>
          <c:tx>
            <c:strRef>
              <c:f>Extra!$B$7</c:f>
              <c:strCache>
                <c:ptCount val="1"/>
                <c:pt idx="0">
                  <c:v>India</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Extra!$C$7:$L$7</c:f>
              <c:numCache>
                <c:formatCode>0</c:formatCode>
                <c:ptCount val="10"/>
                <c:pt idx="0">
                  <c:v>1079.479</c:v>
                </c:pt>
                <c:pt idx="1">
                  <c:v>1207.123</c:v>
                </c:pt>
                <c:pt idx="2">
                  <c:v>1284.1949999999999</c:v>
                </c:pt>
                <c:pt idx="3">
                  <c:v>1458.02</c:v>
                </c:pt>
                <c:pt idx="4">
                  <c:v>1474.7719999999999</c:v>
                </c:pt>
                <c:pt idx="5">
                  <c:v>1569.173</c:v>
                </c:pt>
                <c:pt idx="6">
                  <c:v>1689.9549999999999</c:v>
                </c:pt>
                <c:pt idx="7">
                  <c:v>1558.723</c:v>
                </c:pt>
                <c:pt idx="8">
                  <c:v>1522.8389999999999</c:v>
                </c:pt>
                <c:pt idx="9">
                  <c:v>1501.933</c:v>
                </c:pt>
              </c:numCache>
            </c:numRef>
          </c:val>
        </c:ser>
        <c:ser>
          <c:idx val="5"/>
          <c:order val="5"/>
          <c:tx>
            <c:strRef>
              <c:f>Extra!$B$8</c:f>
              <c:strCache>
                <c:ptCount val="1"/>
                <c:pt idx="0">
                  <c:v>Malaysia</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Extra!$C$8:$L$8</c:f>
              <c:numCache>
                <c:formatCode>0</c:formatCode>
                <c:ptCount val="10"/>
                <c:pt idx="0">
                  <c:v>193.40799999999999</c:v>
                </c:pt>
                <c:pt idx="1">
                  <c:v>189.17</c:v>
                </c:pt>
                <c:pt idx="2">
                  <c:v>180.57</c:v>
                </c:pt>
                <c:pt idx="3">
                  <c:v>200.31</c:v>
                </c:pt>
                <c:pt idx="4">
                  <c:v>269.03899999999999</c:v>
                </c:pt>
                <c:pt idx="5">
                  <c:v>296.35399999999998</c:v>
                </c:pt>
                <c:pt idx="6">
                  <c:v>189.44300000000001</c:v>
                </c:pt>
                <c:pt idx="7">
                  <c:v>154.62299999999999</c:v>
                </c:pt>
                <c:pt idx="8">
                  <c:v>276.94799999999998</c:v>
                </c:pt>
                <c:pt idx="9">
                  <c:v>482.3</c:v>
                </c:pt>
              </c:numCache>
            </c:numRef>
          </c:val>
        </c:ser>
        <c:ser>
          <c:idx val="6"/>
          <c:order val="6"/>
          <c:tx>
            <c:strRef>
              <c:f>Extra!$B$9</c:f>
              <c:strCache>
                <c:ptCount val="1"/>
                <c:pt idx="0">
                  <c:v>Australia</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Extra!$C$9:$L$9</c:f>
              <c:numCache>
                <c:formatCode>0</c:formatCode>
                <c:ptCount val="10"/>
                <c:pt idx="0">
                  <c:v>312.37700000000001</c:v>
                </c:pt>
                <c:pt idx="1">
                  <c:v>327.22199999999998</c:v>
                </c:pt>
                <c:pt idx="2">
                  <c:v>312</c:v>
                </c:pt>
                <c:pt idx="3">
                  <c:v>280.39400000000001</c:v>
                </c:pt>
                <c:pt idx="4">
                  <c:v>240.54</c:v>
                </c:pt>
                <c:pt idx="5">
                  <c:v>276.30900000000003</c:v>
                </c:pt>
                <c:pt idx="6">
                  <c:v>233.21600000000001</c:v>
                </c:pt>
                <c:pt idx="7">
                  <c:v>284.04199999999997</c:v>
                </c:pt>
                <c:pt idx="8">
                  <c:v>300.59199999999998</c:v>
                </c:pt>
                <c:pt idx="9">
                  <c:v>173.989</c:v>
                </c:pt>
              </c:numCache>
            </c:numRef>
          </c:val>
        </c:ser>
        <c:ser>
          <c:idx val="7"/>
          <c:order val="7"/>
          <c:tx>
            <c:strRef>
              <c:f>Extra!$B$10</c:f>
              <c:strCache>
                <c:ptCount val="1"/>
                <c:pt idx="0">
                  <c:v>Other</c:v>
                </c:pt>
              </c:strCache>
            </c:strRef>
          </c:tx>
          <c:invertIfNegative val="0"/>
          <c:cat>
            <c:numRef>
              <c:f>Extra!$C$2:$L$2</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Extra!$C$10:$L$10</c:f>
              <c:numCache>
                <c:formatCode>0</c:formatCode>
                <c:ptCount val="10"/>
                <c:pt idx="0">
                  <c:v>19802.926000000007</c:v>
                </c:pt>
                <c:pt idx="1">
                  <c:v>19693.556000000004</c:v>
                </c:pt>
                <c:pt idx="2">
                  <c:v>19135.475999999999</c:v>
                </c:pt>
                <c:pt idx="3">
                  <c:v>15485.097000000005</c:v>
                </c:pt>
                <c:pt idx="4">
                  <c:v>18662.093999999994</c:v>
                </c:pt>
                <c:pt idx="5">
                  <c:v>19489.670999999995</c:v>
                </c:pt>
                <c:pt idx="6">
                  <c:v>19912.990000000005</c:v>
                </c:pt>
                <c:pt idx="7">
                  <c:v>19064.813999999998</c:v>
                </c:pt>
                <c:pt idx="8">
                  <c:v>20151.309999999998</c:v>
                </c:pt>
                <c:pt idx="9">
                  <c:v>20236.885000000002</c:v>
                </c:pt>
              </c:numCache>
            </c:numRef>
          </c:val>
        </c:ser>
        <c:dLbls>
          <c:showLegendKey val="0"/>
          <c:showVal val="0"/>
          <c:showCatName val="0"/>
          <c:showSerName val="0"/>
          <c:showPercent val="0"/>
          <c:showBubbleSize val="0"/>
        </c:dLbls>
        <c:gapWidth val="150"/>
        <c:axId val="276414384"/>
        <c:axId val="276419480"/>
      </c:barChart>
      <c:catAx>
        <c:axId val="276414384"/>
        <c:scaling>
          <c:orientation val="minMax"/>
        </c:scaling>
        <c:delete val="0"/>
        <c:axPos val="b"/>
        <c:numFmt formatCode="General" sourceLinked="1"/>
        <c:majorTickMark val="none"/>
        <c:minorTickMark val="none"/>
        <c:tickLblPos val="nextTo"/>
        <c:crossAx val="276419480"/>
        <c:crosses val="autoZero"/>
        <c:auto val="1"/>
        <c:lblAlgn val="ctr"/>
        <c:lblOffset val="100"/>
        <c:noMultiLvlLbl val="0"/>
      </c:catAx>
      <c:valAx>
        <c:axId val="276419480"/>
        <c:scaling>
          <c:orientation val="minMax"/>
        </c:scaling>
        <c:delete val="0"/>
        <c:axPos val="l"/>
        <c:numFmt formatCode="0" sourceLinked="1"/>
        <c:majorTickMark val="none"/>
        <c:minorTickMark val="none"/>
        <c:tickLblPos val="nextTo"/>
        <c:crossAx val="276414384"/>
        <c:crosses val="autoZero"/>
        <c:crossBetween val="between"/>
        <c:majorUnit val="20000"/>
        <c:dispUnits>
          <c:builtInUnit val="thousands"/>
          <c:dispUnitsLbl>
            <c:layout>
              <c:manualLayout>
                <c:xMode val="edge"/>
                <c:yMode val="edge"/>
                <c:x val="1.9994879043714026E-2"/>
                <c:y val="0.24538106235565821"/>
              </c:manualLayout>
            </c:layout>
            <c:tx>
              <c:rich>
                <a:bodyPr/>
                <a:lstStyle/>
                <a:p>
                  <a:pPr>
                    <a:defRPr/>
                  </a:pPr>
                  <a:r>
                    <a:rPr lang="en-AU" b="0"/>
                    <a:t>Million tonnes</a:t>
                  </a:r>
                </a:p>
              </c:rich>
            </c:tx>
          </c:dispUnitsLbl>
        </c:dispUnits>
      </c:valAx>
    </c:plotArea>
    <c:legend>
      <c:legendPos val="b"/>
      <c:layout>
        <c:manualLayout>
          <c:xMode val="edge"/>
          <c:yMode val="edge"/>
          <c:x val="5.8816152825534297E-2"/>
          <c:y val="0.82317015511629177"/>
          <c:w val="0.81461354054260615"/>
          <c:h val="8.58052419116275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'5204 db'!$T$1</c:f>
              <c:strCache>
                <c:ptCount val="1"/>
                <c:pt idx="0">
                  <c:v>Manufacturing</c:v>
                </c:pt>
              </c:strCache>
            </c:strRef>
          </c:tx>
          <c:spPr>
            <a:ln>
              <a:solidFill>
                <a:srgbClr val="292B67"/>
              </a:solidFill>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db'!$T$12:$T$22</c:f>
              <c:numCache>
                <c:formatCode>General</c:formatCode>
                <c:ptCount val="11"/>
                <c:pt idx="0">
                  <c:v>105305</c:v>
                </c:pt>
                <c:pt idx="1">
                  <c:v>104936</c:v>
                </c:pt>
                <c:pt idx="2">
                  <c:v>107064</c:v>
                </c:pt>
                <c:pt idx="3">
                  <c:v>111243</c:v>
                </c:pt>
                <c:pt idx="4">
                  <c:v>105520</c:v>
                </c:pt>
                <c:pt idx="5">
                  <c:v>106052</c:v>
                </c:pt>
                <c:pt idx="6">
                  <c:v>105889</c:v>
                </c:pt>
                <c:pt idx="7">
                  <c:v>106588</c:v>
                </c:pt>
                <c:pt idx="8">
                  <c:v>103011</c:v>
                </c:pt>
                <c:pt idx="9">
                  <c:v>101807</c:v>
                </c:pt>
                <c:pt idx="10">
                  <c:v>100635</c:v>
                </c:pt>
              </c:numCache>
            </c:numRef>
          </c:val>
          <c:smooth val="0"/>
        </c:ser>
        <c:ser>
          <c:idx val="1"/>
          <c:order val="1"/>
          <c:tx>
            <c:strRef>
              <c:f>'5204 db'!$Y$1</c:f>
              <c:strCache>
                <c:ptCount val="1"/>
                <c:pt idx="0">
                  <c:v>Construction</c:v>
                </c:pt>
              </c:strCache>
            </c:strRef>
          </c:tx>
          <c:spPr>
            <a:ln>
              <a:solidFill>
                <a:srgbClr val="9ED9DF"/>
              </a:solidFill>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db'!$Y$12:$Y$22</c:f>
              <c:numCache>
                <c:formatCode>General</c:formatCode>
                <c:ptCount val="11"/>
                <c:pt idx="0">
                  <c:v>81054</c:v>
                </c:pt>
                <c:pt idx="1">
                  <c:v>87654</c:v>
                </c:pt>
                <c:pt idx="2">
                  <c:v>92601</c:v>
                </c:pt>
                <c:pt idx="3">
                  <c:v>99123</c:v>
                </c:pt>
                <c:pt idx="4">
                  <c:v>103222</c:v>
                </c:pt>
                <c:pt idx="5">
                  <c:v>103827</c:v>
                </c:pt>
                <c:pt idx="6">
                  <c:v>106820</c:v>
                </c:pt>
                <c:pt idx="7">
                  <c:v>117640</c:v>
                </c:pt>
                <c:pt idx="8">
                  <c:v>120166</c:v>
                </c:pt>
                <c:pt idx="9">
                  <c:v>125511</c:v>
                </c:pt>
                <c:pt idx="10">
                  <c:v>124580</c:v>
                </c:pt>
              </c:numCache>
            </c:numRef>
          </c:val>
          <c:smooth val="0"/>
        </c:ser>
        <c:ser>
          <c:idx val="2"/>
          <c:order val="2"/>
          <c:tx>
            <c:strRef>
              <c:f>'5204 db'!$Z$1</c:f>
              <c:strCache>
                <c:ptCount val="1"/>
                <c:pt idx="0">
                  <c:v>Wholesale trade</c:v>
                </c:pt>
              </c:strCache>
            </c:strRef>
          </c:tx>
          <c:spPr>
            <a:ln>
              <a:solidFill>
                <a:srgbClr val="22789A"/>
              </a:solidFill>
              <a:prstDash val="dash"/>
            </a:ln>
          </c:spPr>
          <c:marker>
            <c:symbol val="none"/>
          </c:marker>
          <c:cat>
            <c:numRef>
              <c:f>'5204 db'!$A$12:$A$22</c:f>
              <c:numCache>
                <c:formatCode>mmm\-yyyy</c:formatCode>
                <c:ptCount val="11"/>
                <c:pt idx="0">
                  <c:v>38504</c:v>
                </c:pt>
                <c:pt idx="1">
                  <c:v>38869</c:v>
                </c:pt>
                <c:pt idx="2">
                  <c:v>39234</c:v>
                </c:pt>
                <c:pt idx="3">
                  <c:v>39600</c:v>
                </c:pt>
                <c:pt idx="4">
                  <c:v>39965</c:v>
                </c:pt>
                <c:pt idx="5">
                  <c:v>40330</c:v>
                </c:pt>
                <c:pt idx="6">
                  <c:v>40695</c:v>
                </c:pt>
                <c:pt idx="7">
                  <c:v>41061</c:v>
                </c:pt>
                <c:pt idx="8">
                  <c:v>41426</c:v>
                </c:pt>
                <c:pt idx="9">
                  <c:v>41791</c:v>
                </c:pt>
                <c:pt idx="10">
                  <c:v>42156</c:v>
                </c:pt>
              </c:numCache>
            </c:numRef>
          </c:cat>
          <c:val>
            <c:numRef>
              <c:f>'5204 db'!$Z$12:$Z$22</c:f>
              <c:numCache>
                <c:formatCode>General</c:formatCode>
                <c:ptCount val="11"/>
                <c:pt idx="0">
                  <c:v>52185</c:v>
                </c:pt>
                <c:pt idx="1">
                  <c:v>53874</c:v>
                </c:pt>
                <c:pt idx="2">
                  <c:v>55105</c:v>
                </c:pt>
                <c:pt idx="3">
                  <c:v>56780</c:v>
                </c:pt>
                <c:pt idx="4">
                  <c:v>57666</c:v>
                </c:pt>
                <c:pt idx="5">
                  <c:v>59621</c:v>
                </c:pt>
                <c:pt idx="6">
                  <c:v>59380</c:v>
                </c:pt>
                <c:pt idx="7">
                  <c:v>63048</c:v>
                </c:pt>
                <c:pt idx="8">
                  <c:v>64955</c:v>
                </c:pt>
                <c:pt idx="9">
                  <c:v>64134</c:v>
                </c:pt>
                <c:pt idx="10">
                  <c:v>65704</c:v>
                </c:pt>
              </c:numCache>
            </c:numRef>
          </c:val>
          <c:smooth val="0"/>
        </c:ser>
        <c:dLbls>
          <c:showLegendKey val="0"/>
          <c:showVal val="0"/>
          <c:showCatName val="0"/>
          <c:showSerName val="0"/>
          <c:showPercent val="0"/>
          <c:showBubbleSize val="0"/>
        </c:dLbls>
        <c:smooth val="0"/>
        <c:axId val="276415168"/>
        <c:axId val="276419872"/>
      </c:lineChart>
      <c:dateAx>
        <c:axId val="276415168"/>
        <c:scaling>
          <c:orientation val="minMax"/>
        </c:scaling>
        <c:delete val="0"/>
        <c:axPos val="b"/>
        <c:numFmt formatCode="yyyy" sourceLinked="0"/>
        <c:majorTickMark val="none"/>
        <c:minorTickMark val="none"/>
        <c:tickLblPos val="nextTo"/>
        <c:crossAx val="276419872"/>
        <c:crosses val="autoZero"/>
        <c:auto val="1"/>
        <c:lblOffset val="100"/>
        <c:baseTimeUnit val="years"/>
        <c:majorUnit val="2"/>
      </c:dateAx>
      <c:valAx>
        <c:axId val="276419872"/>
        <c:scaling>
          <c:orientation val="minMax"/>
        </c:scaling>
        <c:delete val="0"/>
        <c:axPos val="l"/>
        <c:title>
          <c:tx>
            <c:rich>
              <a:bodyPr rot="-5400000" vert="horz"/>
              <a:lstStyle/>
              <a:p>
                <a:pPr>
                  <a:defRPr/>
                </a:pPr>
                <a:r>
                  <a:rPr lang="en-AU" b="0"/>
                  <a:t>Industry Value Add ($b)</a:t>
                </a:r>
              </a:p>
            </c:rich>
          </c:tx>
          <c:overlay val="0"/>
        </c:title>
        <c:numFmt formatCode="#,##0" sourceLinked="0"/>
        <c:majorTickMark val="none"/>
        <c:minorTickMark val="none"/>
        <c:tickLblPos val="nextTo"/>
        <c:crossAx val="276415168"/>
        <c:crosses val="autoZero"/>
        <c:crossBetween val="between"/>
        <c:majorUnit val="50000"/>
        <c:dispUnits>
          <c:builtInUnit val="thousands"/>
        </c:dispUnits>
      </c:valAx>
    </c:plotArea>
    <c:legend>
      <c:legendPos val="b"/>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'Industry Employ Trend db'!$D$1</c:f>
              <c:strCache>
                <c:ptCount val="1"/>
                <c:pt idx="0">
                  <c:v>Manufacturing</c:v>
                </c:pt>
              </c:strCache>
            </c:strRef>
          </c:tx>
          <c:spPr>
            <a:ln>
              <a:solidFill>
                <a:srgbClr val="292B67"/>
              </a:solidFill>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db'!$D$89:$D$129</c:f>
              <c:numCache>
                <c:formatCode>0.0;\-0.0;0.0;@</c:formatCode>
                <c:ptCount val="41"/>
                <c:pt idx="0">
                  <c:v>1013.8568383</c:v>
                </c:pt>
                <c:pt idx="1">
                  <c:v>1008.4856786</c:v>
                </c:pt>
                <c:pt idx="2">
                  <c:v>1009.7590392</c:v>
                </c:pt>
                <c:pt idx="3">
                  <c:v>1014.6620845</c:v>
                </c:pt>
                <c:pt idx="4">
                  <c:v>1023.4148647</c:v>
                </c:pt>
                <c:pt idx="5">
                  <c:v>1035.5115278999999</c:v>
                </c:pt>
                <c:pt idx="6">
                  <c:v>1049.0490870000001</c:v>
                </c:pt>
                <c:pt idx="7">
                  <c:v>1059.1601098000001</c:v>
                </c:pt>
                <c:pt idx="8">
                  <c:v>1058.1848566000001</c:v>
                </c:pt>
                <c:pt idx="9">
                  <c:v>1043.1566716</c:v>
                </c:pt>
                <c:pt idx="10">
                  <c:v>1021.3199635</c:v>
                </c:pt>
                <c:pt idx="11">
                  <c:v>1007.05915</c:v>
                </c:pt>
                <c:pt idx="12">
                  <c:v>1001.7644246</c:v>
                </c:pt>
                <c:pt idx="13">
                  <c:v>999.60573409999995</c:v>
                </c:pt>
                <c:pt idx="14">
                  <c:v>992.66407409999999</c:v>
                </c:pt>
                <c:pt idx="15">
                  <c:v>983.43457609999996</c:v>
                </c:pt>
                <c:pt idx="16">
                  <c:v>978.4415199</c:v>
                </c:pt>
                <c:pt idx="17">
                  <c:v>978.9920429</c:v>
                </c:pt>
                <c:pt idx="18">
                  <c:v>977.64789900000005</c:v>
                </c:pt>
                <c:pt idx="19">
                  <c:v>968.85158120000006</c:v>
                </c:pt>
                <c:pt idx="20">
                  <c:v>952.20443439999997</c:v>
                </c:pt>
                <c:pt idx="21">
                  <c:v>940.26952900000003</c:v>
                </c:pt>
                <c:pt idx="22">
                  <c:v>937.01040769999997</c:v>
                </c:pt>
                <c:pt idx="23">
                  <c:v>941.78957519999994</c:v>
                </c:pt>
                <c:pt idx="24">
                  <c:v>949.95816400000001</c:v>
                </c:pt>
                <c:pt idx="25">
                  <c:v>950.95671600000003</c:v>
                </c:pt>
                <c:pt idx="26">
                  <c:v>942.72005990000002</c:v>
                </c:pt>
                <c:pt idx="27">
                  <c:v>928.40293699999995</c:v>
                </c:pt>
                <c:pt idx="28">
                  <c:v>918.35620400000005</c:v>
                </c:pt>
                <c:pt idx="29">
                  <c:v>920.25408819999996</c:v>
                </c:pt>
                <c:pt idx="30">
                  <c:v>925.95836389999999</c:v>
                </c:pt>
                <c:pt idx="31">
                  <c:v>926.48112500000002</c:v>
                </c:pt>
                <c:pt idx="32">
                  <c:v>920.96169380000003</c:v>
                </c:pt>
                <c:pt idx="33">
                  <c:v>912.06663279999998</c:v>
                </c:pt>
                <c:pt idx="34">
                  <c:v>907.31051549999995</c:v>
                </c:pt>
                <c:pt idx="35">
                  <c:v>906.61582539999995</c:v>
                </c:pt>
                <c:pt idx="36">
                  <c:v>897.6874583</c:v>
                </c:pt>
                <c:pt idx="37">
                  <c:v>881.48751870000001</c:v>
                </c:pt>
                <c:pt idx="38">
                  <c:v>870.70320919999995</c:v>
                </c:pt>
                <c:pt idx="39">
                  <c:v>872.43115509999996</c:v>
                </c:pt>
                <c:pt idx="40">
                  <c:v>882.24942290000001</c:v>
                </c:pt>
              </c:numCache>
            </c:numRef>
          </c:val>
          <c:smooth val="0"/>
        </c:ser>
        <c:ser>
          <c:idx val="1"/>
          <c:order val="1"/>
          <c:tx>
            <c:strRef>
              <c:f>'Industry Employ Trend db'!$F$1</c:f>
              <c:strCache>
                <c:ptCount val="1"/>
                <c:pt idx="0">
                  <c:v>Construction</c:v>
                </c:pt>
              </c:strCache>
            </c:strRef>
          </c:tx>
          <c:spPr>
            <a:ln>
              <a:solidFill>
                <a:srgbClr val="9ED9DF"/>
              </a:solidFill>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db'!$F$89:$F$129</c:f>
              <c:numCache>
                <c:formatCode>0.0;\-0.0;0.0;@</c:formatCode>
                <c:ptCount val="41"/>
                <c:pt idx="0">
                  <c:v>881.42110590000004</c:v>
                </c:pt>
                <c:pt idx="1">
                  <c:v>905.8159445</c:v>
                </c:pt>
                <c:pt idx="2">
                  <c:v>925.72218220000002</c:v>
                </c:pt>
                <c:pt idx="3">
                  <c:v>933.33356879999997</c:v>
                </c:pt>
                <c:pt idx="4">
                  <c:v>927.62310309999998</c:v>
                </c:pt>
                <c:pt idx="5">
                  <c:v>929.48004349999997</c:v>
                </c:pt>
                <c:pt idx="6">
                  <c:v>944.88104729999998</c:v>
                </c:pt>
                <c:pt idx="7">
                  <c:v>965.28803019999998</c:v>
                </c:pt>
                <c:pt idx="8">
                  <c:v>980.16187979999995</c:v>
                </c:pt>
                <c:pt idx="9">
                  <c:v>985.55272449999995</c:v>
                </c:pt>
                <c:pt idx="10">
                  <c:v>985.52353919999996</c:v>
                </c:pt>
                <c:pt idx="11">
                  <c:v>984.2177471</c:v>
                </c:pt>
                <c:pt idx="12">
                  <c:v>980.39712039999995</c:v>
                </c:pt>
                <c:pt idx="13">
                  <c:v>976.96579759999997</c:v>
                </c:pt>
                <c:pt idx="14">
                  <c:v>976.18706380000003</c:v>
                </c:pt>
                <c:pt idx="15">
                  <c:v>977.97804129999997</c:v>
                </c:pt>
                <c:pt idx="16">
                  <c:v>987.38114470000005</c:v>
                </c:pt>
                <c:pt idx="17">
                  <c:v>995.68745209999997</c:v>
                </c:pt>
                <c:pt idx="18">
                  <c:v>1000.1773382</c:v>
                </c:pt>
                <c:pt idx="19">
                  <c:v>1005.8759675</c:v>
                </c:pt>
                <c:pt idx="20">
                  <c:v>1012.9004509</c:v>
                </c:pt>
                <c:pt idx="21">
                  <c:v>1015.6647673</c:v>
                </c:pt>
                <c:pt idx="22">
                  <c:v>1009.7686924</c:v>
                </c:pt>
                <c:pt idx="23">
                  <c:v>989.76359260000004</c:v>
                </c:pt>
                <c:pt idx="24">
                  <c:v>972.40161609999996</c:v>
                </c:pt>
                <c:pt idx="25">
                  <c:v>970.47390410000003</c:v>
                </c:pt>
                <c:pt idx="26">
                  <c:v>977.63442420000001</c:v>
                </c:pt>
                <c:pt idx="27">
                  <c:v>992.47391849999997</c:v>
                </c:pt>
                <c:pt idx="28">
                  <c:v>1003.977226</c:v>
                </c:pt>
                <c:pt idx="29">
                  <c:v>1006.7572277</c:v>
                </c:pt>
                <c:pt idx="30">
                  <c:v>1005.8496694</c:v>
                </c:pt>
                <c:pt idx="31">
                  <c:v>1007.6051018000001</c:v>
                </c:pt>
                <c:pt idx="32">
                  <c:v>1018.9395853</c:v>
                </c:pt>
                <c:pt idx="33">
                  <c:v>1036.9264237</c:v>
                </c:pt>
                <c:pt idx="34">
                  <c:v>1041.7331329000001</c:v>
                </c:pt>
                <c:pt idx="35">
                  <c:v>1038.4931208999999</c:v>
                </c:pt>
                <c:pt idx="36">
                  <c:v>1035.2330156</c:v>
                </c:pt>
                <c:pt idx="37">
                  <c:v>1039.7014160000001</c:v>
                </c:pt>
                <c:pt idx="38">
                  <c:v>1051.9796385</c:v>
                </c:pt>
                <c:pt idx="39">
                  <c:v>1065.6801925</c:v>
                </c:pt>
                <c:pt idx="40">
                  <c:v>1079.5429254999999</c:v>
                </c:pt>
              </c:numCache>
            </c:numRef>
          </c:val>
          <c:smooth val="0"/>
        </c:ser>
        <c:ser>
          <c:idx val="2"/>
          <c:order val="2"/>
          <c:tx>
            <c:strRef>
              <c:f>'Industry Employ Trend db'!$G$1</c:f>
              <c:strCache>
                <c:ptCount val="1"/>
                <c:pt idx="0">
                  <c:v>Wholesale Trade</c:v>
                </c:pt>
              </c:strCache>
            </c:strRef>
          </c:tx>
          <c:spPr>
            <a:ln>
              <a:solidFill>
                <a:srgbClr val="22789A"/>
              </a:solidFill>
              <a:prstDash val="dash"/>
            </a:ln>
          </c:spPr>
          <c:marker>
            <c:symbol val="none"/>
          </c:marker>
          <c:cat>
            <c:numRef>
              <c:f>'Industry Employ Trend db'!$A$89:$A$129</c:f>
              <c:numCache>
                <c:formatCode>mmm\-yyyy</c:formatCode>
                <c:ptCount val="41"/>
                <c:pt idx="0">
                  <c:v>38838</c:v>
                </c:pt>
                <c:pt idx="1">
                  <c:v>38930</c:v>
                </c:pt>
                <c:pt idx="2">
                  <c:v>39022</c:v>
                </c:pt>
                <c:pt idx="3">
                  <c:v>39114</c:v>
                </c:pt>
                <c:pt idx="4">
                  <c:v>39203</c:v>
                </c:pt>
                <c:pt idx="5">
                  <c:v>39295</c:v>
                </c:pt>
                <c:pt idx="6">
                  <c:v>39387</c:v>
                </c:pt>
                <c:pt idx="7">
                  <c:v>39479</c:v>
                </c:pt>
                <c:pt idx="8">
                  <c:v>39569</c:v>
                </c:pt>
                <c:pt idx="9">
                  <c:v>39661</c:v>
                </c:pt>
                <c:pt idx="10">
                  <c:v>39753</c:v>
                </c:pt>
                <c:pt idx="11">
                  <c:v>39845</c:v>
                </c:pt>
                <c:pt idx="12">
                  <c:v>39934</c:v>
                </c:pt>
                <c:pt idx="13">
                  <c:v>40026</c:v>
                </c:pt>
                <c:pt idx="14">
                  <c:v>40118</c:v>
                </c:pt>
                <c:pt idx="15">
                  <c:v>40210</c:v>
                </c:pt>
                <c:pt idx="16">
                  <c:v>40299</c:v>
                </c:pt>
                <c:pt idx="17">
                  <c:v>40391</c:v>
                </c:pt>
                <c:pt idx="18">
                  <c:v>40483</c:v>
                </c:pt>
                <c:pt idx="19">
                  <c:v>40575</c:v>
                </c:pt>
                <c:pt idx="20">
                  <c:v>40664</c:v>
                </c:pt>
                <c:pt idx="21">
                  <c:v>40756</c:v>
                </c:pt>
                <c:pt idx="22">
                  <c:v>40848</c:v>
                </c:pt>
                <c:pt idx="23">
                  <c:v>40940</c:v>
                </c:pt>
                <c:pt idx="24">
                  <c:v>41030</c:v>
                </c:pt>
                <c:pt idx="25">
                  <c:v>41122</c:v>
                </c:pt>
                <c:pt idx="26">
                  <c:v>41214</c:v>
                </c:pt>
                <c:pt idx="27">
                  <c:v>41306</c:v>
                </c:pt>
                <c:pt idx="28">
                  <c:v>41395</c:v>
                </c:pt>
                <c:pt idx="29">
                  <c:v>41487</c:v>
                </c:pt>
                <c:pt idx="30">
                  <c:v>41579</c:v>
                </c:pt>
                <c:pt idx="31">
                  <c:v>41671</c:v>
                </c:pt>
                <c:pt idx="32">
                  <c:v>41760</c:v>
                </c:pt>
                <c:pt idx="33">
                  <c:v>41852</c:v>
                </c:pt>
                <c:pt idx="34">
                  <c:v>41944</c:v>
                </c:pt>
                <c:pt idx="35">
                  <c:v>42036</c:v>
                </c:pt>
                <c:pt idx="36">
                  <c:v>42125</c:v>
                </c:pt>
                <c:pt idx="37">
                  <c:v>42217</c:v>
                </c:pt>
                <c:pt idx="38">
                  <c:v>42309</c:v>
                </c:pt>
                <c:pt idx="39">
                  <c:v>42401</c:v>
                </c:pt>
                <c:pt idx="40">
                  <c:v>42491</c:v>
                </c:pt>
              </c:numCache>
            </c:numRef>
          </c:cat>
          <c:val>
            <c:numRef>
              <c:f>'Industry Employ Trend db'!$G$89:$G$129</c:f>
              <c:numCache>
                <c:formatCode>0.0;\-0.0;0.0;@</c:formatCode>
                <c:ptCount val="41"/>
                <c:pt idx="0">
                  <c:v>386.50776860000002</c:v>
                </c:pt>
                <c:pt idx="1">
                  <c:v>398.40444969999999</c:v>
                </c:pt>
                <c:pt idx="2">
                  <c:v>402.00605969999998</c:v>
                </c:pt>
                <c:pt idx="3">
                  <c:v>398.04957130000003</c:v>
                </c:pt>
                <c:pt idx="4">
                  <c:v>389.6253332</c:v>
                </c:pt>
                <c:pt idx="5">
                  <c:v>383.15909499999998</c:v>
                </c:pt>
                <c:pt idx="6">
                  <c:v>382.40263779999998</c:v>
                </c:pt>
                <c:pt idx="7">
                  <c:v>391.83547759999999</c:v>
                </c:pt>
                <c:pt idx="8">
                  <c:v>404.49285680000003</c:v>
                </c:pt>
                <c:pt idx="9">
                  <c:v>404.7380296</c:v>
                </c:pt>
                <c:pt idx="10">
                  <c:v>397.78927099999999</c:v>
                </c:pt>
                <c:pt idx="11">
                  <c:v>393.6670474</c:v>
                </c:pt>
                <c:pt idx="12">
                  <c:v>398.44373789999997</c:v>
                </c:pt>
                <c:pt idx="13">
                  <c:v>411.69219270000002</c:v>
                </c:pt>
                <c:pt idx="14">
                  <c:v>420.13624829999998</c:v>
                </c:pt>
                <c:pt idx="15">
                  <c:v>419.81292029999997</c:v>
                </c:pt>
                <c:pt idx="16">
                  <c:v>412.85541210000002</c:v>
                </c:pt>
                <c:pt idx="17">
                  <c:v>406.62930999999998</c:v>
                </c:pt>
                <c:pt idx="18">
                  <c:v>404.83128290000002</c:v>
                </c:pt>
                <c:pt idx="19">
                  <c:v>400.74827160000001</c:v>
                </c:pt>
                <c:pt idx="20">
                  <c:v>403.31814960000003</c:v>
                </c:pt>
                <c:pt idx="21">
                  <c:v>408.51839519999999</c:v>
                </c:pt>
                <c:pt idx="22">
                  <c:v>408.59414629999998</c:v>
                </c:pt>
                <c:pt idx="23">
                  <c:v>405.15139879999998</c:v>
                </c:pt>
                <c:pt idx="24">
                  <c:v>401.73625290000001</c:v>
                </c:pt>
                <c:pt idx="25">
                  <c:v>410.35854860000001</c:v>
                </c:pt>
                <c:pt idx="26">
                  <c:v>427.22883050000002</c:v>
                </c:pt>
                <c:pt idx="27">
                  <c:v>433.0413848</c:v>
                </c:pt>
                <c:pt idx="28">
                  <c:v>427.95602709999997</c:v>
                </c:pt>
                <c:pt idx="29">
                  <c:v>413.86902830000002</c:v>
                </c:pt>
                <c:pt idx="30">
                  <c:v>398.75573229999998</c:v>
                </c:pt>
                <c:pt idx="31">
                  <c:v>391.49204939999998</c:v>
                </c:pt>
                <c:pt idx="32">
                  <c:v>388.00140190000002</c:v>
                </c:pt>
                <c:pt idx="33">
                  <c:v>388.0390218</c:v>
                </c:pt>
                <c:pt idx="34">
                  <c:v>391.49999639999999</c:v>
                </c:pt>
                <c:pt idx="35">
                  <c:v>394.28368649999999</c:v>
                </c:pt>
                <c:pt idx="36">
                  <c:v>395.3797965</c:v>
                </c:pt>
                <c:pt idx="37">
                  <c:v>390.25871869999997</c:v>
                </c:pt>
                <c:pt idx="38">
                  <c:v>381.99939979999999</c:v>
                </c:pt>
                <c:pt idx="39">
                  <c:v>376.68452600000001</c:v>
                </c:pt>
                <c:pt idx="40">
                  <c:v>374.96456549999999</c:v>
                </c:pt>
              </c:numCache>
            </c:numRef>
          </c:val>
          <c:smooth val="0"/>
        </c:ser>
        <c:dLbls>
          <c:showLegendKey val="0"/>
          <c:showVal val="0"/>
          <c:showCatName val="0"/>
          <c:showSerName val="0"/>
          <c:showPercent val="0"/>
          <c:showBubbleSize val="0"/>
        </c:dLbls>
        <c:smooth val="0"/>
        <c:axId val="276415952"/>
        <c:axId val="276421048"/>
      </c:lineChart>
      <c:dateAx>
        <c:axId val="276415952"/>
        <c:scaling>
          <c:orientation val="minMax"/>
        </c:scaling>
        <c:delete val="0"/>
        <c:axPos val="b"/>
        <c:numFmt formatCode="yyyy" sourceLinked="0"/>
        <c:majorTickMark val="none"/>
        <c:minorTickMark val="none"/>
        <c:tickLblPos val="nextTo"/>
        <c:crossAx val="276421048"/>
        <c:crosses val="autoZero"/>
        <c:auto val="1"/>
        <c:lblOffset val="100"/>
        <c:baseTimeUnit val="months"/>
        <c:majorUnit val="2"/>
        <c:majorTimeUnit val="years"/>
      </c:dateAx>
      <c:valAx>
        <c:axId val="276421048"/>
        <c:scaling>
          <c:orientation val="minMax"/>
        </c:scaling>
        <c:delete val="0"/>
        <c:axPos val="l"/>
        <c:title>
          <c:tx>
            <c:rich>
              <a:bodyPr rot="-5400000" vert="horz"/>
              <a:lstStyle/>
              <a:p>
                <a:pPr>
                  <a:defRPr/>
                </a:pPr>
                <a:r>
                  <a:rPr lang="en-AU" b="0"/>
                  <a:t>Employment ('000)</a:t>
                </a:r>
              </a:p>
            </c:rich>
          </c:tx>
          <c:overlay val="0"/>
        </c:title>
        <c:numFmt formatCode="#,##0" sourceLinked="0"/>
        <c:majorTickMark val="none"/>
        <c:minorTickMark val="none"/>
        <c:tickLblPos val="nextTo"/>
        <c:crossAx val="276415952"/>
        <c:crosses val="autoZero"/>
        <c:crossBetween val="between"/>
      </c:valAx>
    </c:plotArea>
    <c:legend>
      <c:legendPos val="b"/>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50694444444445"/>
          <c:y val="5.1400554097404488E-2"/>
          <c:w val="0.84053425925925929"/>
          <c:h val="0.75524679206765821"/>
        </c:manualLayout>
      </c:layout>
      <c:barChart>
        <c:barDir val="col"/>
        <c:grouping val="clustered"/>
        <c:varyColors val="0"/>
        <c:ser>
          <c:idx val="0"/>
          <c:order val="0"/>
          <c:tx>
            <c:strRef>
              <c:f>Capacity!$C$3</c:f>
              <c:strCache>
                <c:ptCount val="1"/>
                <c:pt idx="0">
                  <c:v>OECD</c:v>
                </c:pt>
              </c:strCache>
            </c:strRef>
          </c:tx>
          <c:spPr>
            <a:ln>
              <a:solidFill>
                <a:srgbClr val="292B67"/>
              </a:solidFill>
            </a:ln>
          </c:spPr>
          <c:invertIfNegative val="0"/>
          <c:cat>
            <c:numRef>
              <c:f>Capacity!$A$4:$A$19</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Capacity!$C$4:$C$19</c:f>
              <c:numCache>
                <c:formatCode>0</c:formatCode>
                <c:ptCount val="16"/>
                <c:pt idx="0">
                  <c:v>610.68500000000006</c:v>
                </c:pt>
                <c:pt idx="1">
                  <c:v>604.8180000000001</c:v>
                </c:pt>
                <c:pt idx="2">
                  <c:v>597.26300000000003</c:v>
                </c:pt>
                <c:pt idx="3">
                  <c:v>580.41500000000008</c:v>
                </c:pt>
                <c:pt idx="4">
                  <c:v>584.97</c:v>
                </c:pt>
                <c:pt idx="5">
                  <c:v>594.46</c:v>
                </c:pt>
                <c:pt idx="6">
                  <c:v>610.64700000000005</c:v>
                </c:pt>
                <c:pt idx="7">
                  <c:v>611.1819999999999</c:v>
                </c:pt>
                <c:pt idx="8">
                  <c:v>621.65267299999994</c:v>
                </c:pt>
                <c:pt idx="9">
                  <c:v>632.16503399999999</c:v>
                </c:pt>
                <c:pt idx="10">
                  <c:v>649.87300700000003</c:v>
                </c:pt>
                <c:pt idx="11">
                  <c:v>661.66434600000002</c:v>
                </c:pt>
                <c:pt idx="12">
                  <c:v>666.92062599999997</c:v>
                </c:pt>
                <c:pt idx="13">
                  <c:v>663.50106499999993</c:v>
                </c:pt>
                <c:pt idx="14">
                  <c:v>667.41906499999993</c:v>
                </c:pt>
                <c:pt idx="15">
                  <c:v>673.40906499999994</c:v>
                </c:pt>
              </c:numCache>
            </c:numRef>
          </c:val>
        </c:ser>
        <c:ser>
          <c:idx val="1"/>
          <c:order val="1"/>
          <c:tx>
            <c:strRef>
              <c:f>Capacity!$D$3</c:f>
              <c:strCache>
                <c:ptCount val="1"/>
                <c:pt idx="0">
                  <c:v>non-OECD</c:v>
                </c:pt>
              </c:strCache>
            </c:strRef>
          </c:tx>
          <c:spPr>
            <a:ln>
              <a:solidFill>
                <a:srgbClr val="9ED9DF"/>
              </a:solidFill>
            </a:ln>
          </c:spPr>
          <c:invertIfNegative val="0"/>
          <c:cat>
            <c:numRef>
              <c:f>Capacity!$A$4:$A$19</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Capacity!$D$4:$D$19</c:f>
              <c:numCache>
                <c:formatCode>0</c:formatCode>
                <c:ptCount val="16"/>
                <c:pt idx="0">
                  <c:v>449.05399999999997</c:v>
                </c:pt>
                <c:pt idx="1">
                  <c:v>462.12399999999968</c:v>
                </c:pt>
                <c:pt idx="2">
                  <c:v>502.4939999999998</c:v>
                </c:pt>
                <c:pt idx="3">
                  <c:v>598.50399999999979</c:v>
                </c:pt>
                <c:pt idx="4">
                  <c:v>670.61399999999981</c:v>
                </c:pt>
                <c:pt idx="5">
                  <c:v>768.59399999999982</c:v>
                </c:pt>
                <c:pt idx="6">
                  <c:v>850.87899999999979</c:v>
                </c:pt>
                <c:pt idx="7">
                  <c:v>970.14900000000023</c:v>
                </c:pt>
                <c:pt idx="8">
                  <c:v>1048.7539999999999</c:v>
                </c:pt>
                <c:pt idx="9">
                  <c:v>1134.2090000000001</c:v>
                </c:pt>
                <c:pt idx="10">
                  <c:v>1235.1790000000001</c:v>
                </c:pt>
                <c:pt idx="11">
                  <c:v>1320.2940000000001</c:v>
                </c:pt>
                <c:pt idx="12">
                  <c:v>1427.8240000000001</c:v>
                </c:pt>
                <c:pt idx="13">
                  <c:v>1500.4090000000001</c:v>
                </c:pt>
                <c:pt idx="14">
                  <c:v>1573.539</c:v>
                </c:pt>
                <c:pt idx="15">
                  <c:v>1633.634</c:v>
                </c:pt>
              </c:numCache>
            </c:numRef>
          </c:val>
        </c:ser>
        <c:dLbls>
          <c:showLegendKey val="0"/>
          <c:showVal val="0"/>
          <c:showCatName val="0"/>
          <c:showSerName val="0"/>
          <c:showPercent val="0"/>
          <c:showBubbleSize val="0"/>
        </c:dLbls>
        <c:gapWidth val="150"/>
        <c:axId val="276416344"/>
        <c:axId val="276416736"/>
      </c:barChart>
      <c:catAx>
        <c:axId val="276416344"/>
        <c:scaling>
          <c:orientation val="minMax"/>
        </c:scaling>
        <c:delete val="0"/>
        <c:axPos val="b"/>
        <c:numFmt formatCode="General" sourceLinked="1"/>
        <c:majorTickMark val="none"/>
        <c:minorTickMark val="none"/>
        <c:tickLblPos val="nextTo"/>
        <c:spPr>
          <a:ln>
            <a:solidFill>
              <a:srgbClr val="BCBFC1"/>
            </a:solidFill>
          </a:ln>
        </c:spPr>
        <c:crossAx val="276416736"/>
        <c:crosses val="autoZero"/>
        <c:auto val="1"/>
        <c:lblAlgn val="ctr"/>
        <c:lblOffset val="100"/>
        <c:tickLblSkip val="2"/>
        <c:tickMarkSkip val="5"/>
        <c:noMultiLvlLbl val="0"/>
      </c:catAx>
      <c:valAx>
        <c:axId val="276416736"/>
        <c:scaling>
          <c:orientation val="minMax"/>
        </c:scaling>
        <c:delete val="0"/>
        <c:axPos val="l"/>
        <c:title>
          <c:tx>
            <c:rich>
              <a:bodyPr rot="-5400000" vert="horz"/>
              <a:lstStyle/>
              <a:p>
                <a:pPr>
                  <a:defRPr/>
                </a:pPr>
                <a:r>
                  <a:rPr lang="en-AU" b="0"/>
                  <a:t>million tonnes</a:t>
                </a:r>
              </a:p>
            </c:rich>
          </c:tx>
          <c:layout>
            <c:manualLayout>
              <c:xMode val="edge"/>
              <c:yMode val="edge"/>
              <c:x val="3.4688897099186544E-3"/>
              <c:y val="0.33387362388906844"/>
            </c:manualLayout>
          </c:layout>
          <c:overlay val="0"/>
        </c:title>
        <c:numFmt formatCode="0" sourceLinked="1"/>
        <c:majorTickMark val="none"/>
        <c:minorTickMark val="none"/>
        <c:tickLblPos val="nextTo"/>
        <c:spPr>
          <a:ln>
            <a:solidFill>
              <a:srgbClr val="BCBFC1"/>
            </a:solidFill>
          </a:ln>
        </c:spPr>
        <c:crossAx val="276416344"/>
        <c:crosses val="autoZero"/>
        <c:crossBetween val="between"/>
        <c:majorUnit val="500"/>
      </c:valAx>
    </c:plotArea>
    <c:legend>
      <c:legendPos val="b"/>
      <c:layout>
        <c:manualLayout>
          <c:xMode val="edge"/>
          <c:yMode val="edge"/>
          <c:x val="0.30329965004374454"/>
          <c:y val="0.91227070574511515"/>
          <c:w val="0.30317523212824204"/>
          <c:h val="7.3840405365995912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5301045141113"/>
          <c:y val="6.1624649859943981E-2"/>
          <c:w val="0.7883450036671602"/>
          <c:h val="0.68556454241708087"/>
        </c:manualLayout>
      </c:layout>
      <c:scatterChart>
        <c:scatterStyle val="smoothMarker"/>
        <c:varyColors val="0"/>
        <c:ser>
          <c:idx val="0"/>
          <c:order val="0"/>
          <c:tx>
            <c:v>2006</c:v>
          </c:tx>
          <c:marker>
            <c:symbol val="none"/>
          </c:marker>
          <c:xVal>
            <c:numRef>
              <c:f>'Cost curve data'!$Q$9:$Q$478</c:f>
              <c:numCache>
                <c:formatCode>#,##0.00</c:formatCode>
                <c:ptCount val="470"/>
                <c:pt idx="0">
                  <c:v>0.54</c:v>
                </c:pt>
                <c:pt idx="1">
                  <c:v>5.39</c:v>
                </c:pt>
                <c:pt idx="2">
                  <c:v>6.49</c:v>
                </c:pt>
                <c:pt idx="3">
                  <c:v>18.950000000000003</c:v>
                </c:pt>
                <c:pt idx="4">
                  <c:v>19.340000000000003</c:v>
                </c:pt>
                <c:pt idx="5">
                  <c:v>28.470000000000006</c:v>
                </c:pt>
                <c:pt idx="6">
                  <c:v>31.870000000000005</c:v>
                </c:pt>
                <c:pt idx="7">
                  <c:v>33.550000000000004</c:v>
                </c:pt>
                <c:pt idx="8">
                  <c:v>36.690000000000005</c:v>
                </c:pt>
                <c:pt idx="9">
                  <c:v>39.040000000000006</c:v>
                </c:pt>
                <c:pt idx="10">
                  <c:v>40.080000000000005</c:v>
                </c:pt>
                <c:pt idx="11">
                  <c:v>44.81</c:v>
                </c:pt>
                <c:pt idx="12">
                  <c:v>48.04</c:v>
                </c:pt>
                <c:pt idx="13">
                  <c:v>53.62</c:v>
                </c:pt>
                <c:pt idx="14">
                  <c:v>58.57</c:v>
                </c:pt>
                <c:pt idx="15">
                  <c:v>60.95</c:v>
                </c:pt>
                <c:pt idx="16">
                  <c:v>68.27000000000001</c:v>
                </c:pt>
                <c:pt idx="17">
                  <c:v>73.27000000000001</c:v>
                </c:pt>
                <c:pt idx="18">
                  <c:v>78.580000000000013</c:v>
                </c:pt>
                <c:pt idx="19">
                  <c:v>79.470000000000013</c:v>
                </c:pt>
                <c:pt idx="20">
                  <c:v>82.060000000000016</c:v>
                </c:pt>
                <c:pt idx="21">
                  <c:v>82.980000000000018</c:v>
                </c:pt>
                <c:pt idx="22">
                  <c:v>85.410000000000025</c:v>
                </c:pt>
                <c:pt idx="23">
                  <c:v>85.710000000000022</c:v>
                </c:pt>
                <c:pt idx="24">
                  <c:v>90.330000000000027</c:v>
                </c:pt>
                <c:pt idx="25">
                  <c:v>92.850000000000023</c:v>
                </c:pt>
                <c:pt idx="26">
                  <c:v>93.560000000000016</c:v>
                </c:pt>
                <c:pt idx="27">
                  <c:v>96.940000000000012</c:v>
                </c:pt>
                <c:pt idx="28">
                  <c:v>100.44000000000001</c:v>
                </c:pt>
                <c:pt idx="29">
                  <c:v>104.80000000000001</c:v>
                </c:pt>
                <c:pt idx="30">
                  <c:v>107.02000000000001</c:v>
                </c:pt>
                <c:pt idx="31">
                  <c:v>110.01</c:v>
                </c:pt>
                <c:pt idx="32">
                  <c:v>117</c:v>
                </c:pt>
                <c:pt idx="33">
                  <c:v>120.04</c:v>
                </c:pt>
                <c:pt idx="34">
                  <c:v>120.92</c:v>
                </c:pt>
                <c:pt idx="35">
                  <c:v>121.2</c:v>
                </c:pt>
                <c:pt idx="36">
                  <c:v>123.8</c:v>
                </c:pt>
                <c:pt idx="37">
                  <c:v>127.95</c:v>
                </c:pt>
                <c:pt idx="38">
                  <c:v>133.39000000000001</c:v>
                </c:pt>
                <c:pt idx="39">
                  <c:v>136.43</c:v>
                </c:pt>
                <c:pt idx="40">
                  <c:v>137.45000000000002</c:v>
                </c:pt>
                <c:pt idx="41">
                  <c:v>140.34</c:v>
                </c:pt>
                <c:pt idx="42">
                  <c:v>145.18</c:v>
                </c:pt>
                <c:pt idx="43">
                  <c:v>152.67000000000002</c:v>
                </c:pt>
                <c:pt idx="44">
                  <c:v>153.75000000000003</c:v>
                </c:pt>
                <c:pt idx="45">
                  <c:v>154.44000000000003</c:v>
                </c:pt>
                <c:pt idx="46">
                  <c:v>157.61000000000001</c:v>
                </c:pt>
                <c:pt idx="47">
                  <c:v>159.54000000000002</c:v>
                </c:pt>
                <c:pt idx="48">
                  <c:v>160.25000000000003</c:v>
                </c:pt>
                <c:pt idx="49">
                  <c:v>161.33000000000004</c:v>
                </c:pt>
                <c:pt idx="50">
                  <c:v>162.50000000000003</c:v>
                </c:pt>
                <c:pt idx="51">
                  <c:v>165.25000000000003</c:v>
                </c:pt>
                <c:pt idx="52">
                  <c:v>170.50000000000003</c:v>
                </c:pt>
                <c:pt idx="53">
                  <c:v>171.66000000000003</c:v>
                </c:pt>
                <c:pt idx="54">
                  <c:v>182.96000000000004</c:v>
                </c:pt>
                <c:pt idx="55">
                  <c:v>185.19000000000003</c:v>
                </c:pt>
                <c:pt idx="56">
                  <c:v>186.77000000000004</c:v>
                </c:pt>
                <c:pt idx="57">
                  <c:v>186.85000000000005</c:v>
                </c:pt>
                <c:pt idx="58">
                  <c:v>192.52000000000004</c:v>
                </c:pt>
                <c:pt idx="59">
                  <c:v>192.98000000000005</c:v>
                </c:pt>
                <c:pt idx="60">
                  <c:v>193.44000000000005</c:v>
                </c:pt>
                <c:pt idx="61">
                  <c:v>195.46000000000006</c:v>
                </c:pt>
                <c:pt idx="62">
                  <c:v>197.25000000000006</c:v>
                </c:pt>
                <c:pt idx="63">
                  <c:v>200.50000000000006</c:v>
                </c:pt>
                <c:pt idx="64">
                  <c:v>202.50000000000006</c:v>
                </c:pt>
                <c:pt idx="65">
                  <c:v>210.42000000000004</c:v>
                </c:pt>
                <c:pt idx="66">
                  <c:v>210.73000000000005</c:v>
                </c:pt>
                <c:pt idx="67">
                  <c:v>216.33000000000004</c:v>
                </c:pt>
                <c:pt idx="68">
                  <c:v>220.63000000000005</c:v>
                </c:pt>
                <c:pt idx="69">
                  <c:v>223.76000000000005</c:v>
                </c:pt>
                <c:pt idx="70">
                  <c:v>226.16000000000005</c:v>
                </c:pt>
                <c:pt idx="71">
                  <c:v>229.76000000000005</c:v>
                </c:pt>
                <c:pt idx="72">
                  <c:v>230.58000000000004</c:v>
                </c:pt>
                <c:pt idx="73">
                  <c:v>235.67000000000004</c:v>
                </c:pt>
                <c:pt idx="74">
                  <c:v>238.67000000000004</c:v>
                </c:pt>
                <c:pt idx="75">
                  <c:v>247.78000000000003</c:v>
                </c:pt>
                <c:pt idx="76">
                  <c:v>258.57000000000005</c:v>
                </c:pt>
                <c:pt idx="77">
                  <c:v>260.01000000000005</c:v>
                </c:pt>
                <c:pt idx="78">
                  <c:v>263.68000000000006</c:v>
                </c:pt>
                <c:pt idx="79">
                  <c:v>267.61000000000007</c:v>
                </c:pt>
                <c:pt idx="80">
                  <c:v>281.75000000000006</c:v>
                </c:pt>
                <c:pt idx="81">
                  <c:v>282.88000000000005</c:v>
                </c:pt>
                <c:pt idx="82">
                  <c:v>284.54000000000008</c:v>
                </c:pt>
                <c:pt idx="83">
                  <c:v>289.0100000000001</c:v>
                </c:pt>
                <c:pt idx="84">
                  <c:v>292.37000000000012</c:v>
                </c:pt>
                <c:pt idx="85">
                  <c:v>293.44000000000011</c:v>
                </c:pt>
                <c:pt idx="86">
                  <c:v>293.85000000000014</c:v>
                </c:pt>
                <c:pt idx="87">
                  <c:v>295.79000000000013</c:v>
                </c:pt>
                <c:pt idx="88">
                  <c:v>296.47000000000014</c:v>
                </c:pt>
                <c:pt idx="89">
                  <c:v>307.47000000000014</c:v>
                </c:pt>
                <c:pt idx="90">
                  <c:v>308.11000000000013</c:v>
                </c:pt>
                <c:pt idx="91">
                  <c:v>318.80000000000013</c:v>
                </c:pt>
                <c:pt idx="92">
                  <c:v>323.22000000000014</c:v>
                </c:pt>
                <c:pt idx="93">
                  <c:v>324.18000000000012</c:v>
                </c:pt>
                <c:pt idx="94">
                  <c:v>326.87000000000012</c:v>
                </c:pt>
                <c:pt idx="95">
                  <c:v>328.84000000000015</c:v>
                </c:pt>
                <c:pt idx="96">
                  <c:v>332.46000000000015</c:v>
                </c:pt>
                <c:pt idx="97">
                  <c:v>336.07000000000016</c:v>
                </c:pt>
                <c:pt idx="98">
                  <c:v>338.37000000000018</c:v>
                </c:pt>
                <c:pt idx="99">
                  <c:v>339.46000000000015</c:v>
                </c:pt>
                <c:pt idx="100">
                  <c:v>342.21000000000015</c:v>
                </c:pt>
                <c:pt idx="101">
                  <c:v>347.56000000000017</c:v>
                </c:pt>
                <c:pt idx="102">
                  <c:v>350.96000000000015</c:v>
                </c:pt>
                <c:pt idx="103">
                  <c:v>352.76000000000016</c:v>
                </c:pt>
                <c:pt idx="104">
                  <c:v>355.90000000000015</c:v>
                </c:pt>
                <c:pt idx="105">
                  <c:v>357.96000000000015</c:v>
                </c:pt>
                <c:pt idx="106">
                  <c:v>359.20000000000016</c:v>
                </c:pt>
                <c:pt idx="107">
                  <c:v>363.92000000000019</c:v>
                </c:pt>
                <c:pt idx="108">
                  <c:v>365.02000000000021</c:v>
                </c:pt>
                <c:pt idx="109">
                  <c:v>366.48000000000019</c:v>
                </c:pt>
                <c:pt idx="110">
                  <c:v>369.96000000000021</c:v>
                </c:pt>
                <c:pt idx="111">
                  <c:v>370.56000000000023</c:v>
                </c:pt>
                <c:pt idx="112">
                  <c:v>372.69000000000023</c:v>
                </c:pt>
                <c:pt idx="113">
                  <c:v>376.27000000000021</c:v>
                </c:pt>
                <c:pt idx="114">
                  <c:v>380.5300000000002</c:v>
                </c:pt>
                <c:pt idx="115">
                  <c:v>381.55000000000018</c:v>
                </c:pt>
                <c:pt idx="116">
                  <c:v>392.79000000000019</c:v>
                </c:pt>
                <c:pt idx="117">
                  <c:v>394.5900000000002</c:v>
                </c:pt>
                <c:pt idx="118">
                  <c:v>395.79000000000019</c:v>
                </c:pt>
                <c:pt idx="119">
                  <c:v>396.82000000000016</c:v>
                </c:pt>
                <c:pt idx="120">
                  <c:v>401.02000000000015</c:v>
                </c:pt>
                <c:pt idx="121">
                  <c:v>406.30000000000013</c:v>
                </c:pt>
                <c:pt idx="122">
                  <c:v>416.3300000000001</c:v>
                </c:pt>
                <c:pt idx="123">
                  <c:v>417.49000000000012</c:v>
                </c:pt>
                <c:pt idx="124">
                  <c:v>419.9500000000001</c:v>
                </c:pt>
                <c:pt idx="125">
                  <c:v>422.96000000000009</c:v>
                </c:pt>
                <c:pt idx="126">
                  <c:v>438.22000000000008</c:v>
                </c:pt>
                <c:pt idx="127">
                  <c:v>440.2600000000001</c:v>
                </c:pt>
                <c:pt idx="128">
                  <c:v>444.16000000000008</c:v>
                </c:pt>
                <c:pt idx="129">
                  <c:v>445.97000000000008</c:v>
                </c:pt>
                <c:pt idx="130">
                  <c:v>447.5200000000001</c:v>
                </c:pt>
                <c:pt idx="131">
                  <c:v>448.65000000000009</c:v>
                </c:pt>
                <c:pt idx="132">
                  <c:v>449.65000000000009</c:v>
                </c:pt>
                <c:pt idx="133">
                  <c:v>452.2000000000001</c:v>
                </c:pt>
                <c:pt idx="134">
                  <c:v>452.53000000000009</c:v>
                </c:pt>
                <c:pt idx="135">
                  <c:v>453.03000000000009</c:v>
                </c:pt>
                <c:pt idx="136">
                  <c:v>455.94000000000011</c:v>
                </c:pt>
                <c:pt idx="137">
                  <c:v>456.4500000000001</c:v>
                </c:pt>
                <c:pt idx="138">
                  <c:v>462.5100000000001</c:v>
                </c:pt>
                <c:pt idx="139">
                  <c:v>464.5100000000001</c:v>
                </c:pt>
                <c:pt idx="140">
                  <c:v>465.99000000000012</c:v>
                </c:pt>
                <c:pt idx="141">
                  <c:v>468.37000000000012</c:v>
                </c:pt>
                <c:pt idx="142">
                  <c:v>477.47000000000014</c:v>
                </c:pt>
                <c:pt idx="143">
                  <c:v>482.65000000000015</c:v>
                </c:pt>
                <c:pt idx="144">
                  <c:v>485.15000000000015</c:v>
                </c:pt>
                <c:pt idx="145">
                  <c:v>488.25000000000017</c:v>
                </c:pt>
                <c:pt idx="146">
                  <c:v>489.55000000000018</c:v>
                </c:pt>
                <c:pt idx="147">
                  <c:v>498.67000000000019</c:v>
                </c:pt>
                <c:pt idx="148">
                  <c:v>506.38000000000017</c:v>
                </c:pt>
                <c:pt idx="149">
                  <c:v>512.33000000000015</c:v>
                </c:pt>
                <c:pt idx="150">
                  <c:v>518.80000000000018</c:v>
                </c:pt>
                <c:pt idx="151">
                  <c:v>522.19000000000017</c:v>
                </c:pt>
                <c:pt idx="152">
                  <c:v>526.08000000000015</c:v>
                </c:pt>
                <c:pt idx="153">
                  <c:v>528.1500000000002</c:v>
                </c:pt>
                <c:pt idx="154">
                  <c:v>529.33000000000015</c:v>
                </c:pt>
                <c:pt idx="155">
                  <c:v>546.7800000000002</c:v>
                </c:pt>
                <c:pt idx="156">
                  <c:v>548.83000000000015</c:v>
                </c:pt>
                <c:pt idx="157">
                  <c:v>549.98000000000013</c:v>
                </c:pt>
                <c:pt idx="158">
                  <c:v>556.47000000000014</c:v>
                </c:pt>
                <c:pt idx="159">
                  <c:v>569.49000000000012</c:v>
                </c:pt>
                <c:pt idx="160">
                  <c:v>572.34000000000015</c:v>
                </c:pt>
                <c:pt idx="161">
                  <c:v>578.17000000000019</c:v>
                </c:pt>
                <c:pt idx="162">
                  <c:v>578.32000000000016</c:v>
                </c:pt>
                <c:pt idx="163">
                  <c:v>581.13000000000011</c:v>
                </c:pt>
                <c:pt idx="164">
                  <c:v>590.68000000000006</c:v>
                </c:pt>
                <c:pt idx="165">
                  <c:v>594.90000000000009</c:v>
                </c:pt>
                <c:pt idx="166">
                  <c:v>597.00000000000011</c:v>
                </c:pt>
                <c:pt idx="167">
                  <c:v>599.06000000000006</c:v>
                </c:pt>
                <c:pt idx="168">
                  <c:v>601.62</c:v>
                </c:pt>
                <c:pt idx="169">
                  <c:v>610.62</c:v>
                </c:pt>
                <c:pt idx="170">
                  <c:v>611.71</c:v>
                </c:pt>
                <c:pt idx="171">
                  <c:v>616.31000000000006</c:v>
                </c:pt>
                <c:pt idx="172">
                  <c:v>619.5200000000001</c:v>
                </c:pt>
                <c:pt idx="173">
                  <c:v>627.32000000000005</c:v>
                </c:pt>
                <c:pt idx="174">
                  <c:v>631.71</c:v>
                </c:pt>
                <c:pt idx="175">
                  <c:v>634.56000000000006</c:v>
                </c:pt>
                <c:pt idx="176">
                  <c:v>636.46</c:v>
                </c:pt>
                <c:pt idx="177">
                  <c:v>638.34</c:v>
                </c:pt>
                <c:pt idx="178">
                  <c:v>638.77</c:v>
                </c:pt>
                <c:pt idx="179">
                  <c:v>640.63</c:v>
                </c:pt>
                <c:pt idx="180">
                  <c:v>653.23</c:v>
                </c:pt>
                <c:pt idx="181">
                  <c:v>656.37</c:v>
                </c:pt>
                <c:pt idx="182">
                  <c:v>666.61</c:v>
                </c:pt>
                <c:pt idx="183">
                  <c:v>668.31000000000006</c:v>
                </c:pt>
                <c:pt idx="184">
                  <c:v>673.2600000000001</c:v>
                </c:pt>
                <c:pt idx="185">
                  <c:v>675.78000000000009</c:v>
                </c:pt>
                <c:pt idx="186">
                  <c:v>678.65000000000009</c:v>
                </c:pt>
                <c:pt idx="187">
                  <c:v>684.05000000000007</c:v>
                </c:pt>
                <c:pt idx="188">
                  <c:v>688.13000000000011</c:v>
                </c:pt>
                <c:pt idx="189">
                  <c:v>688.73000000000013</c:v>
                </c:pt>
                <c:pt idx="190">
                  <c:v>690.61000000000013</c:v>
                </c:pt>
                <c:pt idx="191">
                  <c:v>692.62000000000012</c:v>
                </c:pt>
                <c:pt idx="192">
                  <c:v>693.85000000000014</c:v>
                </c:pt>
                <c:pt idx="193">
                  <c:v>696.0100000000001</c:v>
                </c:pt>
                <c:pt idx="194">
                  <c:v>697.49000000000012</c:v>
                </c:pt>
                <c:pt idx="195">
                  <c:v>701.29000000000008</c:v>
                </c:pt>
                <c:pt idx="196">
                  <c:v>702.24000000000012</c:v>
                </c:pt>
                <c:pt idx="197">
                  <c:v>704.46000000000015</c:v>
                </c:pt>
                <c:pt idx="198">
                  <c:v>706.07000000000016</c:v>
                </c:pt>
                <c:pt idx="199">
                  <c:v>708.09000000000015</c:v>
                </c:pt>
                <c:pt idx="200">
                  <c:v>711.74000000000012</c:v>
                </c:pt>
                <c:pt idx="201">
                  <c:v>713.7700000000001</c:v>
                </c:pt>
                <c:pt idx="202">
                  <c:v>716.72000000000014</c:v>
                </c:pt>
                <c:pt idx="203">
                  <c:v>719.90000000000009</c:v>
                </c:pt>
                <c:pt idx="204">
                  <c:v>722.45</c:v>
                </c:pt>
                <c:pt idx="205">
                  <c:v>727.85</c:v>
                </c:pt>
                <c:pt idx="206">
                  <c:v>730.48</c:v>
                </c:pt>
                <c:pt idx="207">
                  <c:v>732.7</c:v>
                </c:pt>
                <c:pt idx="208">
                  <c:v>734.5</c:v>
                </c:pt>
                <c:pt idx="209">
                  <c:v>739.71</c:v>
                </c:pt>
                <c:pt idx="210">
                  <c:v>743.77</c:v>
                </c:pt>
                <c:pt idx="211">
                  <c:v>747.43999999999994</c:v>
                </c:pt>
                <c:pt idx="212">
                  <c:v>748.8599999999999</c:v>
                </c:pt>
                <c:pt idx="213">
                  <c:v>760.69999999999993</c:v>
                </c:pt>
                <c:pt idx="214">
                  <c:v>765.75999999999988</c:v>
                </c:pt>
                <c:pt idx="215">
                  <c:v>770.15999999999985</c:v>
                </c:pt>
                <c:pt idx="216">
                  <c:v>772.59999999999991</c:v>
                </c:pt>
                <c:pt idx="217">
                  <c:v>775.2299999999999</c:v>
                </c:pt>
                <c:pt idx="218">
                  <c:v>777.56999999999994</c:v>
                </c:pt>
                <c:pt idx="219">
                  <c:v>782.06999999999994</c:v>
                </c:pt>
                <c:pt idx="220">
                  <c:v>784.17</c:v>
                </c:pt>
                <c:pt idx="221">
                  <c:v>785.7299999999999</c:v>
                </c:pt>
                <c:pt idx="222">
                  <c:v>787.43</c:v>
                </c:pt>
                <c:pt idx="223">
                  <c:v>788.43999999999994</c:v>
                </c:pt>
                <c:pt idx="224">
                  <c:v>790.66</c:v>
                </c:pt>
                <c:pt idx="225">
                  <c:v>792.86</c:v>
                </c:pt>
                <c:pt idx="226">
                  <c:v>793.76</c:v>
                </c:pt>
                <c:pt idx="227">
                  <c:v>796.02</c:v>
                </c:pt>
                <c:pt idx="228">
                  <c:v>796.43999999999994</c:v>
                </c:pt>
                <c:pt idx="229">
                  <c:v>796.64</c:v>
                </c:pt>
                <c:pt idx="230">
                  <c:v>797.34</c:v>
                </c:pt>
                <c:pt idx="231">
                  <c:v>797.66000000000008</c:v>
                </c:pt>
                <c:pt idx="232">
                  <c:v>799.90000000000009</c:v>
                </c:pt>
                <c:pt idx="233">
                  <c:v>801.72000000000014</c:v>
                </c:pt>
                <c:pt idx="234">
                  <c:v>804.0200000000001</c:v>
                </c:pt>
                <c:pt idx="235">
                  <c:v>804.37000000000012</c:v>
                </c:pt>
                <c:pt idx="236">
                  <c:v>804.92000000000007</c:v>
                </c:pt>
                <c:pt idx="237">
                  <c:v>805.22</c:v>
                </c:pt>
                <c:pt idx="238">
                  <c:v>806.12</c:v>
                </c:pt>
                <c:pt idx="239">
                  <c:v>809.44</c:v>
                </c:pt>
                <c:pt idx="240">
                  <c:v>813.45</c:v>
                </c:pt>
                <c:pt idx="241">
                  <c:v>813.67000000000007</c:v>
                </c:pt>
                <c:pt idx="242">
                  <c:v>815.15000000000009</c:v>
                </c:pt>
                <c:pt idx="243">
                  <c:v>815.29000000000008</c:v>
                </c:pt>
                <c:pt idx="244">
                  <c:v>815.57</c:v>
                </c:pt>
                <c:pt idx="245">
                  <c:v>815.65000000000009</c:v>
                </c:pt>
                <c:pt idx="246">
                  <c:v>816.44</c:v>
                </c:pt>
                <c:pt idx="247">
                  <c:v>817.24</c:v>
                </c:pt>
                <c:pt idx="248">
                  <c:v>817.76</c:v>
                </c:pt>
                <c:pt idx="249">
                  <c:v>818.02</c:v>
                </c:pt>
                <c:pt idx="250">
                  <c:v>818.85</c:v>
                </c:pt>
                <c:pt idx="251">
                  <c:v>819.21</c:v>
                </c:pt>
                <c:pt idx="252">
                  <c:v>819.49</c:v>
                </c:pt>
                <c:pt idx="253">
                  <c:v>819.75</c:v>
                </c:pt>
                <c:pt idx="254">
                  <c:v>819.92</c:v>
                </c:pt>
                <c:pt idx="255">
                  <c:v>822.21999999999991</c:v>
                </c:pt>
                <c:pt idx="256">
                  <c:v>822.86999999999989</c:v>
                </c:pt>
                <c:pt idx="257">
                  <c:v>823.4899999999999</c:v>
                </c:pt>
                <c:pt idx="258">
                  <c:v>824.18999999999994</c:v>
                </c:pt>
                <c:pt idx="259">
                  <c:v>824.58999999999992</c:v>
                </c:pt>
                <c:pt idx="260">
                  <c:v>825.74999999999989</c:v>
                </c:pt>
                <c:pt idx="261">
                  <c:v>826.59999999999991</c:v>
                </c:pt>
                <c:pt idx="262">
                  <c:v>827.43</c:v>
                </c:pt>
                <c:pt idx="263">
                  <c:v>828.33999999999992</c:v>
                </c:pt>
                <c:pt idx="264">
                  <c:v>828.67</c:v>
                </c:pt>
                <c:pt idx="265">
                  <c:v>829.36</c:v>
                </c:pt>
                <c:pt idx="266">
                  <c:v>830.73</c:v>
                </c:pt>
                <c:pt idx="267">
                  <c:v>830.84</c:v>
                </c:pt>
                <c:pt idx="268">
                  <c:v>831.23</c:v>
                </c:pt>
                <c:pt idx="269">
                  <c:v>832.52</c:v>
                </c:pt>
                <c:pt idx="270">
                  <c:v>833.35</c:v>
                </c:pt>
                <c:pt idx="271">
                  <c:v>833.9</c:v>
                </c:pt>
                <c:pt idx="272">
                  <c:v>834.59</c:v>
                </c:pt>
                <c:pt idx="273">
                  <c:v>834.96</c:v>
                </c:pt>
                <c:pt idx="274">
                  <c:v>835.92000000000007</c:v>
                </c:pt>
                <c:pt idx="275">
                  <c:v>837.56000000000006</c:v>
                </c:pt>
                <c:pt idx="276">
                  <c:v>838.0200000000001</c:v>
                </c:pt>
                <c:pt idx="277">
                  <c:v>838.37000000000012</c:v>
                </c:pt>
                <c:pt idx="278">
                  <c:v>838.95000000000016</c:v>
                </c:pt>
                <c:pt idx="279">
                  <c:v>839.6600000000002</c:v>
                </c:pt>
                <c:pt idx="280">
                  <c:v>840.25000000000023</c:v>
                </c:pt>
                <c:pt idx="281">
                  <c:v>840.39000000000021</c:v>
                </c:pt>
                <c:pt idx="282">
                  <c:v>841.23000000000025</c:v>
                </c:pt>
                <c:pt idx="283">
                  <c:v>841.9100000000002</c:v>
                </c:pt>
                <c:pt idx="284">
                  <c:v>844.07000000000016</c:v>
                </c:pt>
                <c:pt idx="285">
                  <c:v>844.32000000000016</c:v>
                </c:pt>
                <c:pt idx="286">
                  <c:v>844.98000000000013</c:v>
                </c:pt>
                <c:pt idx="287">
                  <c:v>847.46000000000015</c:v>
                </c:pt>
                <c:pt idx="288">
                  <c:v>848.29000000000019</c:v>
                </c:pt>
                <c:pt idx="289">
                  <c:v>849.0300000000002</c:v>
                </c:pt>
                <c:pt idx="290">
                  <c:v>849.62000000000023</c:v>
                </c:pt>
                <c:pt idx="291">
                  <c:v>850.31000000000029</c:v>
                </c:pt>
                <c:pt idx="292">
                  <c:v>850.8000000000003</c:v>
                </c:pt>
                <c:pt idx="293">
                  <c:v>851.21000000000026</c:v>
                </c:pt>
                <c:pt idx="294">
                  <c:v>851.62000000000023</c:v>
                </c:pt>
                <c:pt idx="295">
                  <c:v>852.04000000000019</c:v>
                </c:pt>
                <c:pt idx="296">
                  <c:v>852.39000000000021</c:v>
                </c:pt>
                <c:pt idx="297">
                  <c:v>853.68000000000018</c:v>
                </c:pt>
                <c:pt idx="298">
                  <c:v>854.71000000000015</c:v>
                </c:pt>
                <c:pt idx="299">
                  <c:v>855.87000000000012</c:v>
                </c:pt>
                <c:pt idx="300">
                  <c:v>856.0100000000001</c:v>
                </c:pt>
                <c:pt idx="301">
                  <c:v>856.21000000000015</c:v>
                </c:pt>
                <c:pt idx="302">
                  <c:v>856.7600000000001</c:v>
                </c:pt>
                <c:pt idx="303">
                  <c:v>857.7700000000001</c:v>
                </c:pt>
                <c:pt idx="304">
                  <c:v>858.50000000000011</c:v>
                </c:pt>
                <c:pt idx="305">
                  <c:v>859.32000000000016</c:v>
                </c:pt>
                <c:pt idx="306">
                  <c:v>860.4100000000002</c:v>
                </c:pt>
                <c:pt idx="307">
                  <c:v>860.89000000000021</c:v>
                </c:pt>
                <c:pt idx="308">
                  <c:v>861.67000000000019</c:v>
                </c:pt>
                <c:pt idx="309">
                  <c:v>863.68000000000018</c:v>
                </c:pt>
                <c:pt idx="310">
                  <c:v>864.10000000000014</c:v>
                </c:pt>
                <c:pt idx="311">
                  <c:v>864.60000000000014</c:v>
                </c:pt>
                <c:pt idx="312">
                  <c:v>865.40000000000009</c:v>
                </c:pt>
                <c:pt idx="313">
                  <c:v>865.87000000000012</c:v>
                </c:pt>
                <c:pt idx="314">
                  <c:v>866.10000000000014</c:v>
                </c:pt>
                <c:pt idx="315">
                  <c:v>866.90000000000009</c:v>
                </c:pt>
                <c:pt idx="316">
                  <c:v>868.78000000000009</c:v>
                </c:pt>
                <c:pt idx="317">
                  <c:v>869.22000000000014</c:v>
                </c:pt>
                <c:pt idx="318">
                  <c:v>870.03000000000009</c:v>
                </c:pt>
                <c:pt idx="319">
                  <c:v>870.49000000000012</c:v>
                </c:pt>
                <c:pt idx="320">
                  <c:v>875.15000000000009</c:v>
                </c:pt>
                <c:pt idx="321">
                  <c:v>875.71</c:v>
                </c:pt>
                <c:pt idx="322">
                  <c:v>877.71</c:v>
                </c:pt>
                <c:pt idx="323">
                  <c:v>878.53000000000009</c:v>
                </c:pt>
                <c:pt idx="324">
                  <c:v>879.08</c:v>
                </c:pt>
                <c:pt idx="325">
                  <c:v>879.82</c:v>
                </c:pt>
                <c:pt idx="326">
                  <c:v>880.49</c:v>
                </c:pt>
                <c:pt idx="327">
                  <c:v>880.75</c:v>
                </c:pt>
                <c:pt idx="328">
                  <c:v>881.61</c:v>
                </c:pt>
                <c:pt idx="329">
                  <c:v>885.26</c:v>
                </c:pt>
                <c:pt idx="330">
                  <c:v>885.45</c:v>
                </c:pt>
                <c:pt idx="331">
                  <c:v>886.46</c:v>
                </c:pt>
                <c:pt idx="332">
                  <c:v>886.89</c:v>
                </c:pt>
                <c:pt idx="333">
                  <c:v>888.86</c:v>
                </c:pt>
                <c:pt idx="334">
                  <c:v>889.51</c:v>
                </c:pt>
                <c:pt idx="335">
                  <c:v>889.9</c:v>
                </c:pt>
                <c:pt idx="336">
                  <c:v>890.41</c:v>
                </c:pt>
                <c:pt idx="337">
                  <c:v>891.18999999999994</c:v>
                </c:pt>
                <c:pt idx="338">
                  <c:v>892.4899999999999</c:v>
                </c:pt>
                <c:pt idx="339">
                  <c:v>892.88999999999987</c:v>
                </c:pt>
                <c:pt idx="340">
                  <c:v>895.16999999999985</c:v>
                </c:pt>
                <c:pt idx="341">
                  <c:v>897.90999999999985</c:v>
                </c:pt>
                <c:pt idx="342">
                  <c:v>899.42999999999984</c:v>
                </c:pt>
                <c:pt idx="343">
                  <c:v>901.43999999999983</c:v>
                </c:pt>
                <c:pt idx="344">
                  <c:v>901.5999999999998</c:v>
                </c:pt>
                <c:pt idx="345">
                  <c:v>901.73999999999978</c:v>
                </c:pt>
                <c:pt idx="346">
                  <c:v>902.38999999999976</c:v>
                </c:pt>
                <c:pt idx="347">
                  <c:v>902.5899999999998</c:v>
                </c:pt>
                <c:pt idx="348">
                  <c:v>903.3499999999998</c:v>
                </c:pt>
                <c:pt idx="349">
                  <c:v>904.3499999999998</c:v>
                </c:pt>
                <c:pt idx="350">
                  <c:v>905.22999999999979</c:v>
                </c:pt>
                <c:pt idx="351">
                  <c:v>905.80999999999983</c:v>
                </c:pt>
                <c:pt idx="352">
                  <c:v>906.30999999999983</c:v>
                </c:pt>
                <c:pt idx="353">
                  <c:v>907.13999999999987</c:v>
                </c:pt>
                <c:pt idx="354">
                  <c:v>907.38999999999987</c:v>
                </c:pt>
                <c:pt idx="355">
                  <c:v>907.96999999999991</c:v>
                </c:pt>
                <c:pt idx="356">
                  <c:v>908.43</c:v>
                </c:pt>
                <c:pt idx="357">
                  <c:v>908.70999999999992</c:v>
                </c:pt>
                <c:pt idx="358">
                  <c:v>909.2399999999999</c:v>
                </c:pt>
                <c:pt idx="359">
                  <c:v>909.56999999999994</c:v>
                </c:pt>
                <c:pt idx="360">
                  <c:v>909.96999999999991</c:v>
                </c:pt>
                <c:pt idx="361">
                  <c:v>910.3</c:v>
                </c:pt>
                <c:pt idx="362">
                  <c:v>911.19999999999993</c:v>
                </c:pt>
                <c:pt idx="363">
                  <c:v>911.29</c:v>
                </c:pt>
                <c:pt idx="364">
                  <c:v>912.24</c:v>
                </c:pt>
                <c:pt idx="365">
                  <c:v>912.69</c:v>
                </c:pt>
                <c:pt idx="366">
                  <c:v>915.78000000000009</c:v>
                </c:pt>
                <c:pt idx="367">
                  <c:v>916.93000000000006</c:v>
                </c:pt>
                <c:pt idx="368">
                  <c:v>920.93000000000006</c:v>
                </c:pt>
                <c:pt idx="369">
                  <c:v>921.46</c:v>
                </c:pt>
                <c:pt idx="370">
                  <c:v>922.2</c:v>
                </c:pt>
                <c:pt idx="371">
                  <c:v>923.19</c:v>
                </c:pt>
                <c:pt idx="372">
                  <c:v>923.74</c:v>
                </c:pt>
                <c:pt idx="373">
                  <c:v>925.6</c:v>
                </c:pt>
                <c:pt idx="374">
                  <c:v>926.15</c:v>
                </c:pt>
                <c:pt idx="375">
                  <c:v>927.56999999999994</c:v>
                </c:pt>
                <c:pt idx="376">
                  <c:v>928.46999999999991</c:v>
                </c:pt>
                <c:pt idx="377">
                  <c:v>928.92</c:v>
                </c:pt>
                <c:pt idx="378">
                  <c:v>929.8</c:v>
                </c:pt>
                <c:pt idx="379">
                  <c:v>930.59999999999991</c:v>
                </c:pt>
                <c:pt idx="380">
                  <c:v>931.09999999999991</c:v>
                </c:pt>
                <c:pt idx="381">
                  <c:v>933.31</c:v>
                </c:pt>
                <c:pt idx="382">
                  <c:v>934.82999999999993</c:v>
                </c:pt>
                <c:pt idx="383">
                  <c:v>935.8</c:v>
                </c:pt>
                <c:pt idx="384">
                  <c:v>936.28</c:v>
                </c:pt>
                <c:pt idx="385">
                  <c:v>937.24</c:v>
                </c:pt>
                <c:pt idx="386">
                  <c:v>938.64</c:v>
                </c:pt>
                <c:pt idx="387">
                  <c:v>939.21</c:v>
                </c:pt>
                <c:pt idx="388">
                  <c:v>940.06000000000006</c:v>
                </c:pt>
                <c:pt idx="389">
                  <c:v>940.78000000000009</c:v>
                </c:pt>
                <c:pt idx="390">
                  <c:v>943.66000000000008</c:v>
                </c:pt>
                <c:pt idx="391">
                  <c:v>945.58</c:v>
                </c:pt>
                <c:pt idx="392">
                  <c:v>946.42000000000007</c:v>
                </c:pt>
                <c:pt idx="393">
                  <c:v>946.75000000000011</c:v>
                </c:pt>
                <c:pt idx="394">
                  <c:v>946.82000000000016</c:v>
                </c:pt>
                <c:pt idx="395">
                  <c:v>949.14000000000021</c:v>
                </c:pt>
                <c:pt idx="396">
                  <c:v>949.80000000000018</c:v>
                </c:pt>
                <c:pt idx="397">
                  <c:v>949.88000000000022</c:v>
                </c:pt>
                <c:pt idx="398">
                  <c:v>950.20000000000027</c:v>
                </c:pt>
                <c:pt idx="399">
                  <c:v>950.66000000000031</c:v>
                </c:pt>
                <c:pt idx="400">
                  <c:v>951.16000000000031</c:v>
                </c:pt>
                <c:pt idx="401">
                  <c:v>951.69000000000028</c:v>
                </c:pt>
                <c:pt idx="402">
                  <c:v>952.3000000000003</c:v>
                </c:pt>
                <c:pt idx="403">
                  <c:v>953.98000000000025</c:v>
                </c:pt>
                <c:pt idx="404">
                  <c:v>954.77000000000021</c:v>
                </c:pt>
                <c:pt idx="405">
                  <c:v>958.58000000000015</c:v>
                </c:pt>
                <c:pt idx="406">
                  <c:v>959.08000000000015</c:v>
                </c:pt>
                <c:pt idx="407">
                  <c:v>961.69000000000017</c:v>
                </c:pt>
                <c:pt idx="408">
                  <c:v>963.0300000000002</c:v>
                </c:pt>
                <c:pt idx="409">
                  <c:v>963.61000000000024</c:v>
                </c:pt>
                <c:pt idx="410">
                  <c:v>964.19000000000028</c:v>
                </c:pt>
                <c:pt idx="411">
                  <c:v>964.44000000000028</c:v>
                </c:pt>
                <c:pt idx="412">
                  <c:v>966.96000000000026</c:v>
                </c:pt>
                <c:pt idx="413">
                  <c:v>967.5400000000003</c:v>
                </c:pt>
                <c:pt idx="414">
                  <c:v>968.85000000000025</c:v>
                </c:pt>
                <c:pt idx="415">
                  <c:v>970.5300000000002</c:v>
                </c:pt>
                <c:pt idx="416">
                  <c:v>971.07000000000016</c:v>
                </c:pt>
                <c:pt idx="417">
                  <c:v>975.04000000000019</c:v>
                </c:pt>
                <c:pt idx="418">
                  <c:v>975.17000000000019</c:v>
                </c:pt>
                <c:pt idx="419">
                  <c:v>975.52000000000021</c:v>
                </c:pt>
                <c:pt idx="420">
                  <c:v>976.83000000000015</c:v>
                </c:pt>
                <c:pt idx="421">
                  <c:v>978.94000000000017</c:v>
                </c:pt>
                <c:pt idx="422">
                  <c:v>979.33000000000015</c:v>
                </c:pt>
                <c:pt idx="423">
                  <c:v>979.3900000000001</c:v>
                </c:pt>
                <c:pt idx="424">
                  <c:v>979.48000000000013</c:v>
                </c:pt>
                <c:pt idx="425">
                  <c:v>980.42000000000019</c:v>
                </c:pt>
                <c:pt idx="426">
                  <c:v>982.23000000000013</c:v>
                </c:pt>
                <c:pt idx="427">
                  <c:v>983.70000000000016</c:v>
                </c:pt>
                <c:pt idx="428">
                  <c:v>985.07000000000016</c:v>
                </c:pt>
                <c:pt idx="429">
                  <c:v>986.14000000000021</c:v>
                </c:pt>
                <c:pt idx="430">
                  <c:v>986.74000000000024</c:v>
                </c:pt>
                <c:pt idx="431">
                  <c:v>987.51000000000022</c:v>
                </c:pt>
                <c:pt idx="432">
                  <c:v>988.55000000000018</c:v>
                </c:pt>
                <c:pt idx="433">
                  <c:v>989.21000000000015</c:v>
                </c:pt>
                <c:pt idx="434">
                  <c:v>989.6500000000002</c:v>
                </c:pt>
                <c:pt idx="435">
                  <c:v>990.34000000000026</c:v>
                </c:pt>
                <c:pt idx="436">
                  <c:v>991.37000000000023</c:v>
                </c:pt>
                <c:pt idx="437">
                  <c:v>992.14000000000021</c:v>
                </c:pt>
                <c:pt idx="438">
                  <c:v>992.42000000000019</c:v>
                </c:pt>
                <c:pt idx="439">
                  <c:v>992.77000000000021</c:v>
                </c:pt>
                <c:pt idx="440">
                  <c:v>993.44000000000017</c:v>
                </c:pt>
                <c:pt idx="441">
                  <c:v>994.09000000000015</c:v>
                </c:pt>
                <c:pt idx="442">
                  <c:v>994.99000000000012</c:v>
                </c:pt>
                <c:pt idx="443">
                  <c:v>995.54000000000008</c:v>
                </c:pt>
                <c:pt idx="444">
                  <c:v>995.74000000000012</c:v>
                </c:pt>
                <c:pt idx="445">
                  <c:v>996.33000000000015</c:v>
                </c:pt>
                <c:pt idx="446">
                  <c:v>996.99000000000012</c:v>
                </c:pt>
                <c:pt idx="447">
                  <c:v>999.3900000000001</c:v>
                </c:pt>
                <c:pt idx="448">
                  <c:v>999.87000000000012</c:v>
                </c:pt>
                <c:pt idx="449">
                  <c:v>1000.2700000000001</c:v>
                </c:pt>
                <c:pt idx="450">
                  <c:v>1000.8600000000001</c:v>
                </c:pt>
                <c:pt idx="451">
                  <c:v>1001.4100000000001</c:v>
                </c:pt>
                <c:pt idx="452">
                  <c:v>1002.8900000000001</c:v>
                </c:pt>
                <c:pt idx="453">
                  <c:v>1004.2800000000001</c:v>
                </c:pt>
                <c:pt idx="454">
                  <c:v>1004.7800000000001</c:v>
                </c:pt>
                <c:pt idx="455">
                  <c:v>1004.9800000000001</c:v>
                </c:pt>
                <c:pt idx="456">
                  <c:v>1005.6800000000002</c:v>
                </c:pt>
                <c:pt idx="457">
                  <c:v>1006.8300000000002</c:v>
                </c:pt>
                <c:pt idx="458">
                  <c:v>1007.5800000000002</c:v>
                </c:pt>
                <c:pt idx="459">
                  <c:v>1008.1000000000001</c:v>
                </c:pt>
                <c:pt idx="460">
                  <c:v>1008.9500000000002</c:v>
                </c:pt>
                <c:pt idx="461">
                  <c:v>1010.0500000000002</c:v>
                </c:pt>
                <c:pt idx="462">
                  <c:v>1010.9700000000001</c:v>
                </c:pt>
                <c:pt idx="463">
                  <c:v>1011.6700000000002</c:v>
                </c:pt>
                <c:pt idx="464">
                  <c:v>1012.6900000000002</c:v>
                </c:pt>
                <c:pt idx="465">
                  <c:v>1012.9600000000002</c:v>
                </c:pt>
                <c:pt idx="466">
                  <c:v>1013.7200000000001</c:v>
                </c:pt>
                <c:pt idx="467">
                  <c:v>1016.5500000000002</c:v>
                </c:pt>
                <c:pt idx="468">
                  <c:v>1017.4000000000002</c:v>
                </c:pt>
                <c:pt idx="469">
                  <c:v>1021.0900000000003</c:v>
                </c:pt>
              </c:numCache>
            </c:numRef>
          </c:xVal>
          <c:yVal>
            <c:numRef>
              <c:f>'Cost curve data'!$AI$9:$AI$478</c:f>
              <c:numCache>
                <c:formatCode>General</c:formatCode>
                <c:ptCount val="470"/>
                <c:pt idx="0">
                  <c:v>145.84687396279691</c:v>
                </c:pt>
                <c:pt idx="1">
                  <c:v>279.29569176070152</c:v>
                </c:pt>
                <c:pt idx="2">
                  <c:v>280.5343064015745</c:v>
                </c:pt>
                <c:pt idx="3">
                  <c:v>280.70104298784588</c:v>
                </c:pt>
                <c:pt idx="4">
                  <c:v>282.77334056007572</c:v>
                </c:pt>
                <c:pt idx="5">
                  <c:v>283.65466251608154</c:v>
                </c:pt>
                <c:pt idx="6">
                  <c:v>285.32202837879515</c:v>
                </c:pt>
                <c:pt idx="7">
                  <c:v>285.77459911296029</c:v>
                </c:pt>
                <c:pt idx="8">
                  <c:v>286.72737960593957</c:v>
                </c:pt>
                <c:pt idx="9">
                  <c:v>288.74012839735821</c:v>
                </c:pt>
                <c:pt idx="10">
                  <c:v>292.05104061046109</c:v>
                </c:pt>
                <c:pt idx="11">
                  <c:v>292.6822576870598</c:v>
                </c:pt>
                <c:pt idx="12">
                  <c:v>294.12333818269087</c:v>
                </c:pt>
                <c:pt idx="13">
                  <c:v>294.37344306209792</c:v>
                </c:pt>
                <c:pt idx="14">
                  <c:v>294.45681135523358</c:v>
                </c:pt>
                <c:pt idx="15">
                  <c:v>294.98084062637224</c:v>
                </c:pt>
                <c:pt idx="16">
                  <c:v>295.49296014134859</c:v>
                </c:pt>
                <c:pt idx="17">
                  <c:v>296.50528941513898</c:v>
                </c:pt>
                <c:pt idx="18">
                  <c:v>297.27942356568462</c:v>
                </c:pt>
                <c:pt idx="19">
                  <c:v>299.11352601466967</c:v>
                </c:pt>
                <c:pt idx="20">
                  <c:v>299.31599186942776</c:v>
                </c:pt>
                <c:pt idx="21">
                  <c:v>299.67328455429498</c:v>
                </c:pt>
                <c:pt idx="22">
                  <c:v>301.95995773744517</c:v>
                </c:pt>
                <c:pt idx="23">
                  <c:v>304.06798457816171</c:v>
                </c:pt>
                <c:pt idx="24">
                  <c:v>305.28277970671019</c:v>
                </c:pt>
                <c:pt idx="25">
                  <c:v>306.33083824898745</c:v>
                </c:pt>
                <c:pt idx="26">
                  <c:v>308.16494069797244</c:v>
                </c:pt>
                <c:pt idx="27">
                  <c:v>308.33167728424382</c:v>
                </c:pt>
                <c:pt idx="28">
                  <c:v>309.51074314430559</c:v>
                </c:pt>
                <c:pt idx="29">
                  <c:v>310.30869680717564</c:v>
                </c:pt>
                <c:pt idx="30">
                  <c:v>312.13088949999849</c:v>
                </c:pt>
                <c:pt idx="31">
                  <c:v>312.21425779313415</c:v>
                </c:pt>
                <c:pt idx="32">
                  <c:v>312.44054316021681</c:v>
                </c:pt>
                <c:pt idx="33">
                  <c:v>315.08450902823421</c:v>
                </c:pt>
                <c:pt idx="34">
                  <c:v>315.85864317877974</c:v>
                </c:pt>
                <c:pt idx="35">
                  <c:v>317.16871635662625</c:v>
                </c:pt>
                <c:pt idx="36">
                  <c:v>317.46646026068225</c:v>
                </c:pt>
                <c:pt idx="37">
                  <c:v>317.7284748962515</c:v>
                </c:pt>
                <c:pt idx="38">
                  <c:v>318.19295538657883</c:v>
                </c:pt>
                <c:pt idx="39">
                  <c:v>318.32396270436357</c:v>
                </c:pt>
                <c:pt idx="40">
                  <c:v>318.93136026863783</c:v>
                </c:pt>
                <c:pt idx="41">
                  <c:v>320.02705783556399</c:v>
                </c:pt>
                <c:pt idx="42">
                  <c:v>320.12233588486191</c:v>
                </c:pt>
                <c:pt idx="43">
                  <c:v>320.56299686286479</c:v>
                </c:pt>
                <c:pt idx="44">
                  <c:v>321.11084564632785</c:v>
                </c:pt>
                <c:pt idx="45">
                  <c:v>321.26567247643698</c:v>
                </c:pt>
                <c:pt idx="46">
                  <c:v>321.3847700380594</c:v>
                </c:pt>
                <c:pt idx="47">
                  <c:v>321.4324090627083</c:v>
                </c:pt>
                <c:pt idx="48">
                  <c:v>322.56383589812111</c:v>
                </c:pt>
                <c:pt idx="49">
                  <c:v>322.62338467893233</c:v>
                </c:pt>
                <c:pt idx="50">
                  <c:v>322.9449480953129</c:v>
                </c:pt>
                <c:pt idx="51">
                  <c:v>323.23078224320659</c:v>
                </c:pt>
                <c:pt idx="52">
                  <c:v>323.50470663493815</c:v>
                </c:pt>
                <c:pt idx="53">
                  <c:v>323.57616517191161</c:v>
                </c:pt>
                <c:pt idx="54">
                  <c:v>323.96918712526553</c:v>
                </c:pt>
                <c:pt idx="55">
                  <c:v>324.21929200467252</c:v>
                </c:pt>
                <c:pt idx="56">
                  <c:v>324.43366761559287</c:v>
                </c:pt>
                <c:pt idx="57">
                  <c:v>327.04190421512362</c:v>
                </c:pt>
                <c:pt idx="58">
                  <c:v>327.05381397128582</c:v>
                </c:pt>
                <c:pt idx="59">
                  <c:v>327.11336275209698</c:v>
                </c:pt>
                <c:pt idx="60">
                  <c:v>327.35155787534183</c:v>
                </c:pt>
                <c:pt idx="61">
                  <c:v>327.83985787799367</c:v>
                </c:pt>
                <c:pt idx="62">
                  <c:v>327.87558714648043</c:v>
                </c:pt>
                <c:pt idx="63">
                  <c:v>328.5544432477281</c:v>
                </c:pt>
                <c:pt idx="64">
                  <c:v>328.68545056551278</c:v>
                </c:pt>
                <c:pt idx="65">
                  <c:v>328.69736032167503</c:v>
                </c:pt>
                <c:pt idx="66">
                  <c:v>329.25711886130034</c:v>
                </c:pt>
                <c:pt idx="67">
                  <c:v>329.28093837362479</c:v>
                </c:pt>
                <c:pt idx="68">
                  <c:v>329.3166676421115</c:v>
                </c:pt>
                <c:pt idx="69">
                  <c:v>329.90024569406131</c:v>
                </c:pt>
                <c:pt idx="70">
                  <c:v>330.61483106379575</c:v>
                </c:pt>
                <c:pt idx="71">
                  <c:v>330.79347740622933</c:v>
                </c:pt>
                <c:pt idx="72">
                  <c:v>331.1626798472588</c:v>
                </c:pt>
                <c:pt idx="73">
                  <c:v>331.22222862807001</c:v>
                </c:pt>
                <c:pt idx="74">
                  <c:v>331.36514570201689</c:v>
                </c:pt>
                <c:pt idx="75">
                  <c:v>331.40087497050359</c:v>
                </c:pt>
                <c:pt idx="76">
                  <c:v>331.51997253212602</c:v>
                </c:pt>
                <c:pt idx="77">
                  <c:v>331.91299448547994</c:v>
                </c:pt>
                <c:pt idx="78">
                  <c:v>332.00827253477786</c:v>
                </c:pt>
                <c:pt idx="79">
                  <c:v>332.07973107175138</c:v>
                </c:pt>
                <c:pt idx="80">
                  <c:v>332.11546034023803</c:v>
                </c:pt>
                <c:pt idx="81">
                  <c:v>332.44893351278074</c:v>
                </c:pt>
                <c:pt idx="82">
                  <c:v>332.87768473462143</c:v>
                </c:pt>
                <c:pt idx="83">
                  <c:v>334.37831401106371</c:v>
                </c:pt>
                <c:pt idx="84">
                  <c:v>334.59268962198405</c:v>
                </c:pt>
                <c:pt idx="85">
                  <c:v>334.62841889047075</c:v>
                </c:pt>
                <c:pt idx="86">
                  <c:v>334.85470425755329</c:v>
                </c:pt>
                <c:pt idx="87">
                  <c:v>335.41446279717866</c:v>
                </c:pt>
                <c:pt idx="88">
                  <c:v>336.6888067065384</c:v>
                </c:pt>
                <c:pt idx="89">
                  <c:v>336.9627310982699</c:v>
                </c:pt>
                <c:pt idx="90">
                  <c:v>337.20092622151469</c:v>
                </c:pt>
                <c:pt idx="91">
                  <c:v>337.29620427081261</c:v>
                </c:pt>
                <c:pt idx="92">
                  <c:v>337.59394817486867</c:v>
                </c:pt>
                <c:pt idx="93">
                  <c:v>337.98697012822259</c:v>
                </c:pt>
                <c:pt idx="94">
                  <c:v>338.05842866519606</c:v>
                </c:pt>
                <c:pt idx="95">
                  <c:v>338.22516525146739</c:v>
                </c:pt>
                <c:pt idx="96">
                  <c:v>338.77301403493044</c:v>
                </c:pt>
                <c:pt idx="97">
                  <c:v>339.8806213580188</c:v>
                </c:pt>
                <c:pt idx="98">
                  <c:v>340.17836526207481</c:v>
                </c:pt>
                <c:pt idx="99">
                  <c:v>340.34510184834625</c:v>
                </c:pt>
                <c:pt idx="100">
                  <c:v>340.71430428937572</c:v>
                </c:pt>
                <c:pt idx="101">
                  <c:v>341.08350673040508</c:v>
                </c:pt>
                <c:pt idx="102">
                  <c:v>341.14305551121629</c:v>
                </c:pt>
                <c:pt idx="103">
                  <c:v>341.38125063446108</c:v>
                </c:pt>
                <c:pt idx="104">
                  <c:v>341.51225795224576</c:v>
                </c:pt>
                <c:pt idx="105">
                  <c:v>341.98864819873535</c:v>
                </c:pt>
                <c:pt idx="106">
                  <c:v>343.25108235193284</c:v>
                </c:pt>
                <c:pt idx="107">
                  <c:v>343.42972869436642</c:v>
                </c:pt>
                <c:pt idx="108">
                  <c:v>343.90611894085612</c:v>
                </c:pt>
                <c:pt idx="109">
                  <c:v>343.92993845318063</c:v>
                </c:pt>
                <c:pt idx="110">
                  <c:v>344.02521650247843</c:v>
                </c:pt>
                <c:pt idx="111">
                  <c:v>344.63261406675275</c:v>
                </c:pt>
                <c:pt idx="112">
                  <c:v>344.71598235988847</c:v>
                </c:pt>
                <c:pt idx="113">
                  <c:v>344.8827189461598</c:v>
                </c:pt>
                <c:pt idx="114">
                  <c:v>345.02563602010679</c:v>
                </c:pt>
                <c:pt idx="115">
                  <c:v>345.49011651043412</c:v>
                </c:pt>
                <c:pt idx="116">
                  <c:v>345.65685309670545</c:v>
                </c:pt>
                <c:pt idx="117">
                  <c:v>346.25234090481752</c:v>
                </c:pt>
                <c:pt idx="118">
                  <c:v>346.58581407736023</c:v>
                </c:pt>
                <c:pt idx="119">
                  <c:v>347.09793359233657</c:v>
                </c:pt>
                <c:pt idx="120">
                  <c:v>347.28848969093241</c:v>
                </c:pt>
                <c:pt idx="121">
                  <c:v>347.82442871823321</c:v>
                </c:pt>
                <c:pt idx="122">
                  <c:v>348.18172140310048</c:v>
                </c:pt>
                <c:pt idx="123">
                  <c:v>348.37227750169626</c:v>
                </c:pt>
                <c:pt idx="124">
                  <c:v>348.41991652634528</c:v>
                </c:pt>
                <c:pt idx="125">
                  <c:v>348.47946530715649</c:v>
                </c:pt>
                <c:pt idx="126">
                  <c:v>348.80102872353694</c:v>
                </c:pt>
                <c:pt idx="127">
                  <c:v>349.43224580013566</c:v>
                </c:pt>
                <c:pt idx="128">
                  <c:v>349.6585311672182</c:v>
                </c:pt>
                <c:pt idx="129">
                  <c:v>350.12301165754565</c:v>
                </c:pt>
                <c:pt idx="130">
                  <c:v>350.21828970684356</c:v>
                </c:pt>
                <c:pt idx="131">
                  <c:v>350.385026293115</c:v>
                </c:pt>
                <c:pt idx="132">
                  <c:v>350.43266531776391</c:v>
                </c:pt>
                <c:pt idx="133">
                  <c:v>351.02815312587592</c:v>
                </c:pt>
                <c:pt idx="134">
                  <c:v>351.48072386004105</c:v>
                </c:pt>
                <c:pt idx="135">
                  <c:v>351.51645312852776</c:v>
                </c:pt>
                <c:pt idx="136">
                  <c:v>351.88565556955717</c:v>
                </c:pt>
                <c:pt idx="137">
                  <c:v>352.00475313117965</c:v>
                </c:pt>
                <c:pt idx="138">
                  <c:v>352.11194093663983</c:v>
                </c:pt>
                <c:pt idx="139">
                  <c:v>352.45732386534479</c:v>
                </c:pt>
                <c:pt idx="140">
                  <c:v>352.73124825707634</c:v>
                </c:pt>
                <c:pt idx="141">
                  <c:v>353.0170824049701</c:v>
                </c:pt>
                <c:pt idx="142">
                  <c:v>353.17190923507917</c:v>
                </c:pt>
                <c:pt idx="143">
                  <c:v>353.23145801589044</c:v>
                </c:pt>
                <c:pt idx="144">
                  <c:v>353.29100679670159</c:v>
                </c:pt>
                <c:pt idx="145">
                  <c:v>353.43392387064847</c:v>
                </c:pt>
                <c:pt idx="146">
                  <c:v>353.52920191994644</c:v>
                </c:pt>
                <c:pt idx="147">
                  <c:v>353.61257021308211</c:v>
                </c:pt>
                <c:pt idx="148">
                  <c:v>353.75548728702893</c:v>
                </c:pt>
                <c:pt idx="149">
                  <c:v>353.81503606784014</c:v>
                </c:pt>
                <c:pt idx="150">
                  <c:v>354.77972631698162</c:v>
                </c:pt>
                <c:pt idx="151">
                  <c:v>354.83927509779284</c:v>
                </c:pt>
                <c:pt idx="152">
                  <c:v>355.68486778531189</c:v>
                </c:pt>
                <c:pt idx="153">
                  <c:v>356.43518242353315</c:v>
                </c:pt>
                <c:pt idx="154">
                  <c:v>356.67337754677794</c:v>
                </c:pt>
                <c:pt idx="155">
                  <c:v>356.72101657142684</c:v>
                </c:pt>
                <c:pt idx="156">
                  <c:v>356.86393364537372</c:v>
                </c:pt>
                <c:pt idx="157">
                  <c:v>357.10212876861851</c:v>
                </c:pt>
                <c:pt idx="158">
                  <c:v>357.38796291651232</c:v>
                </c:pt>
                <c:pt idx="159">
                  <c:v>357.41178242883677</c:v>
                </c:pt>
                <c:pt idx="160">
                  <c:v>358.04299950543555</c:v>
                </c:pt>
                <c:pt idx="161">
                  <c:v>358.10254828624676</c:v>
                </c:pt>
                <c:pt idx="162">
                  <c:v>358.15018731089577</c:v>
                </c:pt>
                <c:pt idx="163">
                  <c:v>358.49557023960068</c:v>
                </c:pt>
                <c:pt idx="164">
                  <c:v>358.87668243679241</c:v>
                </c:pt>
                <c:pt idx="165">
                  <c:v>358.96005072992807</c:v>
                </c:pt>
                <c:pt idx="166">
                  <c:v>359.05532877922599</c:v>
                </c:pt>
                <c:pt idx="167">
                  <c:v>360.30585317626122</c:v>
                </c:pt>
                <c:pt idx="168">
                  <c:v>360.43686049404585</c:v>
                </c:pt>
                <c:pt idx="169">
                  <c:v>360.47258976253255</c:v>
                </c:pt>
                <c:pt idx="170">
                  <c:v>360.49640927485711</c:v>
                </c:pt>
                <c:pt idx="171">
                  <c:v>360.93707025286</c:v>
                </c:pt>
                <c:pt idx="172">
                  <c:v>361.21099464459155</c:v>
                </c:pt>
                <c:pt idx="173">
                  <c:v>362.03276781978616</c:v>
                </c:pt>
                <c:pt idx="174">
                  <c:v>362.19950440605749</c:v>
                </c:pt>
                <c:pt idx="175">
                  <c:v>362.24714343070639</c:v>
                </c:pt>
                <c:pt idx="176">
                  <c:v>363.40238977844382</c:v>
                </c:pt>
                <c:pt idx="177">
                  <c:v>363.64058490168861</c:v>
                </c:pt>
                <c:pt idx="178">
                  <c:v>364.20034344131398</c:v>
                </c:pt>
                <c:pt idx="179">
                  <c:v>364.34326051526079</c:v>
                </c:pt>
                <c:pt idx="180">
                  <c:v>365.03402637267072</c:v>
                </c:pt>
                <c:pt idx="181">
                  <c:v>365.11739466580639</c:v>
                </c:pt>
                <c:pt idx="182">
                  <c:v>365.29604100824002</c:v>
                </c:pt>
                <c:pt idx="183">
                  <c:v>365.55805564380927</c:v>
                </c:pt>
                <c:pt idx="184">
                  <c:v>367.41597760511883</c:v>
                </c:pt>
                <c:pt idx="185">
                  <c:v>367.72563126533703</c:v>
                </c:pt>
                <c:pt idx="186">
                  <c:v>368.3211190734491</c:v>
                </c:pt>
                <c:pt idx="187">
                  <c:v>369.07143371167024</c:v>
                </c:pt>
                <c:pt idx="188">
                  <c:v>369.23817029794156</c:v>
                </c:pt>
                <c:pt idx="189">
                  <c:v>369.26198981026602</c:v>
                </c:pt>
                <c:pt idx="190">
                  <c:v>369.54782395815988</c:v>
                </c:pt>
                <c:pt idx="191">
                  <c:v>372.06078250839266</c:v>
                </c:pt>
                <c:pt idx="192">
                  <c:v>372.08460202071706</c:v>
                </c:pt>
                <c:pt idx="193">
                  <c:v>372.44189470558433</c:v>
                </c:pt>
                <c:pt idx="194">
                  <c:v>372.63245080418011</c:v>
                </c:pt>
                <c:pt idx="195">
                  <c:v>373.0969312945075</c:v>
                </c:pt>
                <c:pt idx="196">
                  <c:v>373.59714105332171</c:v>
                </c:pt>
                <c:pt idx="197">
                  <c:v>374.12117032446019</c:v>
                </c:pt>
                <c:pt idx="198">
                  <c:v>374.33554593538048</c:v>
                </c:pt>
                <c:pt idx="199">
                  <c:v>374.68092886408544</c:v>
                </c:pt>
                <c:pt idx="200">
                  <c:v>374.74047764489666</c:v>
                </c:pt>
                <c:pt idx="201">
                  <c:v>375.00249228046602</c:v>
                </c:pt>
                <c:pt idx="202">
                  <c:v>376.94378253491118</c:v>
                </c:pt>
                <c:pt idx="203">
                  <c:v>377.08669960885811</c:v>
                </c:pt>
                <c:pt idx="204">
                  <c:v>377.12242887734476</c:v>
                </c:pt>
                <c:pt idx="205">
                  <c:v>377.34871424442736</c:v>
                </c:pt>
                <c:pt idx="206">
                  <c:v>378.20621668810878</c:v>
                </c:pt>
                <c:pt idx="207">
                  <c:v>379.25427523038587</c:v>
                </c:pt>
                <c:pt idx="208">
                  <c:v>379.43292157281951</c:v>
                </c:pt>
                <c:pt idx="209">
                  <c:v>379.98077035628251</c:v>
                </c:pt>
                <c:pt idx="210">
                  <c:v>381.04073865472191</c:v>
                </c:pt>
                <c:pt idx="211">
                  <c:v>381.2312947533178</c:v>
                </c:pt>
                <c:pt idx="212">
                  <c:v>382.37463134489286</c:v>
                </c:pt>
                <c:pt idx="213">
                  <c:v>382.44608988186633</c:v>
                </c:pt>
                <c:pt idx="214">
                  <c:v>382.85102159138245</c:v>
                </c:pt>
                <c:pt idx="215">
                  <c:v>384.95904843209905</c:v>
                </c:pt>
                <c:pt idx="216">
                  <c:v>386.543046001677</c:v>
                </c:pt>
                <c:pt idx="217">
                  <c:v>386.59068502632596</c:v>
                </c:pt>
                <c:pt idx="218">
                  <c:v>386.82888014957075</c:v>
                </c:pt>
                <c:pt idx="219">
                  <c:v>387.76975088638784</c:v>
                </c:pt>
                <c:pt idx="220">
                  <c:v>388.07940454660599</c:v>
                </c:pt>
                <c:pt idx="221">
                  <c:v>389.84204845861768</c:v>
                </c:pt>
                <c:pt idx="222">
                  <c:v>390.02069480105121</c:v>
                </c:pt>
                <c:pt idx="223">
                  <c:v>391.15212163646407</c:v>
                </c:pt>
                <c:pt idx="224">
                  <c:v>391.24739968576199</c:v>
                </c:pt>
                <c:pt idx="225">
                  <c:v>393.72462896750801</c:v>
                </c:pt>
                <c:pt idx="226">
                  <c:v>398.07168996672584</c:v>
                </c:pt>
                <c:pt idx="227">
                  <c:v>399.27457533911212</c:v>
                </c:pt>
                <c:pt idx="228">
                  <c:v>399.96534119652205</c:v>
                </c:pt>
                <c:pt idx="229">
                  <c:v>400.65610705393203</c:v>
                </c:pt>
                <c:pt idx="230">
                  <c:v>401.23968510588173</c:v>
                </c:pt>
                <c:pt idx="231">
                  <c:v>403.25243389730048</c:v>
                </c:pt>
                <c:pt idx="232">
                  <c:v>403.63354609449215</c:v>
                </c:pt>
                <c:pt idx="233">
                  <c:v>403.94319975471041</c:v>
                </c:pt>
                <c:pt idx="234">
                  <c:v>404.09802658481948</c:v>
                </c:pt>
                <c:pt idx="235">
                  <c:v>404.20521439027965</c:v>
                </c:pt>
                <c:pt idx="236">
                  <c:v>404.4434095135245</c:v>
                </c:pt>
                <c:pt idx="237">
                  <c:v>405.45573878731494</c:v>
                </c:pt>
                <c:pt idx="238">
                  <c:v>406.46806806110544</c:v>
                </c:pt>
                <c:pt idx="239">
                  <c:v>406.78963147748584</c:v>
                </c:pt>
                <c:pt idx="240">
                  <c:v>407.98060709370986</c:v>
                </c:pt>
                <c:pt idx="241">
                  <c:v>411.20815101367708</c:v>
                </c:pt>
                <c:pt idx="242">
                  <c:v>414.65007054456458</c:v>
                </c:pt>
                <c:pt idx="243">
                  <c:v>416.19833884565588</c:v>
                </c:pt>
                <c:pt idx="244">
                  <c:v>420.5453998448736</c:v>
                </c:pt>
                <c:pt idx="245">
                  <c:v>422.02220960899143</c:v>
                </c:pt>
                <c:pt idx="246">
                  <c:v>422.1055779021271</c:v>
                </c:pt>
                <c:pt idx="247">
                  <c:v>424.85673157560467</c:v>
                </c:pt>
                <c:pt idx="248">
                  <c:v>425.03537791803825</c:v>
                </c:pt>
                <c:pt idx="249">
                  <c:v>428.16764378870749</c:v>
                </c:pt>
                <c:pt idx="250">
                  <c:v>428.23910232568096</c:v>
                </c:pt>
                <c:pt idx="251">
                  <c:v>430.01365599385485</c:v>
                </c:pt>
                <c:pt idx="252">
                  <c:v>430.20421209245063</c:v>
                </c:pt>
                <c:pt idx="253">
                  <c:v>431.13317307310535</c:v>
                </c:pt>
                <c:pt idx="254">
                  <c:v>431.52619502645939</c:v>
                </c:pt>
                <c:pt idx="255">
                  <c:v>433.33647796311988</c:v>
                </c:pt>
                <c:pt idx="256">
                  <c:v>434.17016089447674</c:v>
                </c:pt>
                <c:pt idx="257">
                  <c:v>434.63464138480413</c:v>
                </c:pt>
                <c:pt idx="258">
                  <c:v>435.24203894907834</c:v>
                </c:pt>
                <c:pt idx="259">
                  <c:v>436.69502920087177</c:v>
                </c:pt>
                <c:pt idx="260">
                  <c:v>437.21905847201026</c:v>
                </c:pt>
                <c:pt idx="261">
                  <c:v>440.54188044127534</c:v>
                </c:pt>
                <c:pt idx="262">
                  <c:v>441.80431459447283</c:v>
                </c:pt>
                <c:pt idx="263">
                  <c:v>442.55462923269403</c:v>
                </c:pt>
                <c:pt idx="264">
                  <c:v>442.97147069837246</c:v>
                </c:pt>
                <c:pt idx="265">
                  <c:v>443.53122923799776</c:v>
                </c:pt>
                <c:pt idx="266">
                  <c:v>443.7336950927558</c:v>
                </c:pt>
                <c:pt idx="267">
                  <c:v>444.40064143784127</c:v>
                </c:pt>
                <c:pt idx="268">
                  <c:v>445.21050485687363</c:v>
                </c:pt>
                <c:pt idx="269">
                  <c:v>446.21092437450181</c:v>
                </c:pt>
                <c:pt idx="270">
                  <c:v>447.08033657434544</c:v>
                </c:pt>
                <c:pt idx="271">
                  <c:v>447.9735682865134</c:v>
                </c:pt>
                <c:pt idx="272">
                  <c:v>448.43804877684079</c:v>
                </c:pt>
                <c:pt idx="273">
                  <c:v>449.03353658495286</c:v>
                </c:pt>
                <c:pt idx="274">
                  <c:v>449.76003171084949</c:v>
                </c:pt>
                <c:pt idx="275">
                  <c:v>449.83149024782301</c:v>
                </c:pt>
                <c:pt idx="276">
                  <c:v>450.43888781209722</c:v>
                </c:pt>
                <c:pt idx="277">
                  <c:v>452.79701953222082</c:v>
                </c:pt>
                <c:pt idx="278">
                  <c:v>454.54775368807015</c:v>
                </c:pt>
                <c:pt idx="279">
                  <c:v>455.94119515905226</c:v>
                </c:pt>
                <c:pt idx="280">
                  <c:v>456.97734394516726</c:v>
                </c:pt>
                <c:pt idx="281">
                  <c:v>457.89439516965973</c:v>
                </c:pt>
                <c:pt idx="282">
                  <c:v>458.33505614766261</c:v>
                </c:pt>
                <c:pt idx="283">
                  <c:v>458.34696590382492</c:v>
                </c:pt>
                <c:pt idx="284">
                  <c:v>459.2997463968041</c:v>
                </c:pt>
                <c:pt idx="285">
                  <c:v>460.34780493908136</c:v>
                </c:pt>
                <c:pt idx="286">
                  <c:v>461.24103665124937</c:v>
                </c:pt>
                <c:pt idx="287">
                  <c:v>461.28867567589828</c:v>
                </c:pt>
                <c:pt idx="288">
                  <c:v>461.32440494438504</c:v>
                </c:pt>
                <c:pt idx="289">
                  <c:v>461.37204396903394</c:v>
                </c:pt>
                <c:pt idx="290">
                  <c:v>461.68169762925226</c:v>
                </c:pt>
                <c:pt idx="291">
                  <c:v>461.72933665390116</c:v>
                </c:pt>
                <c:pt idx="292">
                  <c:v>462.14617811957959</c:v>
                </c:pt>
                <c:pt idx="293">
                  <c:v>462.27718543736421</c:v>
                </c:pt>
                <c:pt idx="294">
                  <c:v>462.27718543736427</c:v>
                </c:pt>
                <c:pt idx="295">
                  <c:v>462.88458300163848</c:v>
                </c:pt>
                <c:pt idx="296">
                  <c:v>463.03940983174766</c:v>
                </c:pt>
                <c:pt idx="297">
                  <c:v>463.59916837137291</c:v>
                </c:pt>
                <c:pt idx="298">
                  <c:v>464.07555861786255</c:v>
                </c:pt>
                <c:pt idx="299">
                  <c:v>464.12319764251157</c:v>
                </c:pt>
                <c:pt idx="300">
                  <c:v>464.52812935202769</c:v>
                </c:pt>
                <c:pt idx="301">
                  <c:v>464.73059520678572</c:v>
                </c:pt>
                <c:pt idx="302">
                  <c:v>466.51705863112187</c:v>
                </c:pt>
                <c:pt idx="303">
                  <c:v>466.77907326669117</c:v>
                </c:pt>
                <c:pt idx="304">
                  <c:v>466.82671229134013</c:v>
                </c:pt>
                <c:pt idx="305">
                  <c:v>467.12445619539602</c:v>
                </c:pt>
                <c:pt idx="306">
                  <c:v>467.16018546388284</c:v>
                </c:pt>
                <c:pt idx="307">
                  <c:v>467.42220009945214</c:v>
                </c:pt>
                <c:pt idx="308">
                  <c:v>467.61275619804798</c:v>
                </c:pt>
                <c:pt idx="309">
                  <c:v>468.27970254313351</c:v>
                </c:pt>
                <c:pt idx="310">
                  <c:v>468.41070986091808</c:v>
                </c:pt>
                <c:pt idx="311">
                  <c:v>468.66081474032518</c:v>
                </c:pt>
                <c:pt idx="312">
                  <c:v>468.92282937589442</c:v>
                </c:pt>
                <c:pt idx="313">
                  <c:v>469.17293425530153</c:v>
                </c:pt>
                <c:pt idx="314">
                  <c:v>469.43494889087077</c:v>
                </c:pt>
                <c:pt idx="315">
                  <c:v>469.82797084422469</c:v>
                </c:pt>
                <c:pt idx="316">
                  <c:v>470.25672206606538</c:v>
                </c:pt>
                <c:pt idx="317">
                  <c:v>470.81648060569074</c:v>
                </c:pt>
                <c:pt idx="318">
                  <c:v>471.41196841380275</c:v>
                </c:pt>
                <c:pt idx="319">
                  <c:v>471.65016353704749</c:v>
                </c:pt>
                <c:pt idx="320">
                  <c:v>472.30520012597071</c:v>
                </c:pt>
                <c:pt idx="321">
                  <c:v>473.06742452035417</c:v>
                </c:pt>
                <c:pt idx="322">
                  <c:v>473.42471720522133</c:v>
                </c:pt>
                <c:pt idx="323">
                  <c:v>474.19885135576692</c:v>
                </c:pt>
                <c:pt idx="324">
                  <c:v>474.28221964890264</c:v>
                </c:pt>
                <c:pt idx="325">
                  <c:v>474.77051965155454</c:v>
                </c:pt>
                <c:pt idx="326">
                  <c:v>475.24690989804412</c:v>
                </c:pt>
                <c:pt idx="327">
                  <c:v>475.4255562404777</c:v>
                </c:pt>
                <c:pt idx="328">
                  <c:v>476.34260746497029</c:v>
                </c:pt>
                <c:pt idx="329">
                  <c:v>476.973824541569</c:v>
                </c:pt>
                <c:pt idx="330">
                  <c:v>477.10483185935368</c:v>
                </c:pt>
                <c:pt idx="331">
                  <c:v>477.23583917713825</c:v>
                </c:pt>
                <c:pt idx="332">
                  <c:v>477.47403430038304</c:v>
                </c:pt>
                <c:pt idx="333">
                  <c:v>477.65268064281662</c:v>
                </c:pt>
                <c:pt idx="334">
                  <c:v>477.81941722908812</c:v>
                </c:pt>
                <c:pt idx="335">
                  <c:v>478.06952210849516</c:v>
                </c:pt>
                <c:pt idx="336">
                  <c:v>478.10525137698181</c:v>
                </c:pt>
                <c:pt idx="337">
                  <c:v>478.30771723173996</c:v>
                </c:pt>
                <c:pt idx="338">
                  <c:v>478.39108552487562</c:v>
                </c:pt>
                <c:pt idx="339">
                  <c:v>478.70073918509394</c:v>
                </c:pt>
                <c:pt idx="340">
                  <c:v>479.45105382331502</c:v>
                </c:pt>
                <c:pt idx="341">
                  <c:v>479.71306845888438</c:v>
                </c:pt>
                <c:pt idx="342">
                  <c:v>480.72539773267471</c:v>
                </c:pt>
                <c:pt idx="343">
                  <c:v>480.80876602581031</c:v>
                </c:pt>
                <c:pt idx="344">
                  <c:v>481.09460017370424</c:v>
                </c:pt>
                <c:pt idx="345">
                  <c:v>481.38043432159799</c:v>
                </c:pt>
                <c:pt idx="346">
                  <c:v>481.38043432159805</c:v>
                </c:pt>
                <c:pt idx="347">
                  <c:v>481.77345627495185</c:v>
                </c:pt>
                <c:pt idx="348">
                  <c:v>481.85682456808763</c:v>
                </c:pt>
                <c:pt idx="349">
                  <c:v>482.7738757925801</c:v>
                </c:pt>
                <c:pt idx="350">
                  <c:v>483.09543920896061</c:v>
                </c:pt>
                <c:pt idx="351">
                  <c:v>483.09543920896061</c:v>
                </c:pt>
                <c:pt idx="352">
                  <c:v>484.23877580053573</c:v>
                </c:pt>
                <c:pt idx="353">
                  <c:v>485.51311970989536</c:v>
                </c:pt>
                <c:pt idx="354">
                  <c:v>486.32298312892777</c:v>
                </c:pt>
                <c:pt idx="355">
                  <c:v>486.34680264125228</c:v>
                </c:pt>
                <c:pt idx="356">
                  <c:v>486.54926849601037</c:v>
                </c:pt>
                <c:pt idx="357">
                  <c:v>487.13284654796018</c:v>
                </c:pt>
                <c:pt idx="358">
                  <c:v>487.37104167120498</c:v>
                </c:pt>
                <c:pt idx="359">
                  <c:v>487.70451484374763</c:v>
                </c:pt>
                <c:pt idx="360">
                  <c:v>488.94312948462067</c:v>
                </c:pt>
                <c:pt idx="361">
                  <c:v>489.24087338867673</c:v>
                </c:pt>
                <c:pt idx="362">
                  <c:v>489.25278314483893</c:v>
                </c:pt>
                <c:pt idx="363">
                  <c:v>489.53861729273274</c:v>
                </c:pt>
                <c:pt idx="364">
                  <c:v>489.55052704889488</c:v>
                </c:pt>
                <c:pt idx="365">
                  <c:v>489.59816607354395</c:v>
                </c:pt>
                <c:pt idx="366">
                  <c:v>489.83636119678869</c:v>
                </c:pt>
                <c:pt idx="367">
                  <c:v>489.93163924608666</c:v>
                </c:pt>
                <c:pt idx="368">
                  <c:v>490.00309778306007</c:v>
                </c:pt>
                <c:pt idx="369">
                  <c:v>490.38420998025174</c:v>
                </c:pt>
                <c:pt idx="370">
                  <c:v>490.69386364047</c:v>
                </c:pt>
                <c:pt idx="371">
                  <c:v>491.37271974171779</c:v>
                </c:pt>
                <c:pt idx="372">
                  <c:v>491.89674901285633</c:v>
                </c:pt>
                <c:pt idx="373">
                  <c:v>492.07539535529003</c:v>
                </c:pt>
                <c:pt idx="374">
                  <c:v>492.98053682362024</c:v>
                </c:pt>
                <c:pt idx="375">
                  <c:v>493.51647585092098</c:v>
                </c:pt>
                <c:pt idx="376">
                  <c:v>493.73085146184127</c:v>
                </c:pt>
                <c:pt idx="377">
                  <c:v>494.00477585357288</c:v>
                </c:pt>
                <c:pt idx="378">
                  <c:v>494.3977978069268</c:v>
                </c:pt>
                <c:pt idx="379">
                  <c:v>494.93373683422772</c:v>
                </c:pt>
                <c:pt idx="380">
                  <c:v>495.30293927525707</c:v>
                </c:pt>
                <c:pt idx="381">
                  <c:v>496.08898318196498</c:v>
                </c:pt>
                <c:pt idx="382">
                  <c:v>496.30335879288532</c:v>
                </c:pt>
                <c:pt idx="383">
                  <c:v>497.16086123656657</c:v>
                </c:pt>
                <c:pt idx="384">
                  <c:v>497.93499538711228</c:v>
                </c:pt>
                <c:pt idx="385">
                  <c:v>497.93499538711228</c:v>
                </c:pt>
                <c:pt idx="386">
                  <c:v>498.43520514592632</c:v>
                </c:pt>
                <c:pt idx="387">
                  <c:v>498.566212463711</c:v>
                </c:pt>
                <c:pt idx="388">
                  <c:v>498.78058807463123</c:v>
                </c:pt>
                <c:pt idx="389">
                  <c:v>498.82822709928024</c:v>
                </c:pt>
                <c:pt idx="390">
                  <c:v>499.10215149101185</c:v>
                </c:pt>
                <c:pt idx="391">
                  <c:v>499.57854173750144</c:v>
                </c:pt>
                <c:pt idx="392">
                  <c:v>499.68572954296161</c:v>
                </c:pt>
                <c:pt idx="393">
                  <c:v>500.04302222782883</c:v>
                </c:pt>
                <c:pt idx="394">
                  <c:v>500.80524662221217</c:v>
                </c:pt>
                <c:pt idx="395">
                  <c:v>501.04344174545707</c:v>
                </c:pt>
                <c:pt idx="396">
                  <c:v>501.37691491799973</c:v>
                </c:pt>
                <c:pt idx="397">
                  <c:v>503.90178322439476</c:v>
                </c:pt>
                <c:pt idx="398">
                  <c:v>504.44963200785776</c:v>
                </c:pt>
                <c:pt idx="399">
                  <c:v>505.04511981596988</c:v>
                </c:pt>
                <c:pt idx="400">
                  <c:v>506.59338811706107</c:v>
                </c:pt>
                <c:pt idx="401">
                  <c:v>506.77203445949465</c:v>
                </c:pt>
                <c:pt idx="402">
                  <c:v>506.86731250879262</c:v>
                </c:pt>
                <c:pt idx="403">
                  <c:v>507.71290519631168</c:v>
                </c:pt>
                <c:pt idx="404">
                  <c:v>509.35645154670084</c:v>
                </c:pt>
                <c:pt idx="405">
                  <c:v>509.83284179319054</c:v>
                </c:pt>
                <c:pt idx="406">
                  <c:v>510.77371253000746</c:v>
                </c:pt>
                <c:pt idx="407">
                  <c:v>511.01190765325236</c:v>
                </c:pt>
                <c:pt idx="408">
                  <c:v>512.71500278445262</c:v>
                </c:pt>
                <c:pt idx="409">
                  <c:v>513.71542230208092</c:v>
                </c:pt>
                <c:pt idx="410">
                  <c:v>513.97743693765028</c:v>
                </c:pt>
                <c:pt idx="411">
                  <c:v>515.2398710908476</c:v>
                </c:pt>
                <c:pt idx="412">
                  <c:v>515.96636621674429</c:v>
                </c:pt>
                <c:pt idx="413">
                  <c:v>516.34747841393596</c:v>
                </c:pt>
                <c:pt idx="414">
                  <c:v>517.038244271346</c:v>
                </c:pt>
                <c:pt idx="415">
                  <c:v>517.18116134529282</c:v>
                </c:pt>
                <c:pt idx="416">
                  <c:v>517.71710037259368</c:v>
                </c:pt>
                <c:pt idx="417">
                  <c:v>518.44359549849025</c:v>
                </c:pt>
                <c:pt idx="418">
                  <c:v>519.34873696682064</c:v>
                </c:pt>
                <c:pt idx="419">
                  <c:v>519.61075160239</c:v>
                </c:pt>
                <c:pt idx="420">
                  <c:v>520.59926136385582</c:v>
                </c:pt>
                <c:pt idx="421">
                  <c:v>522.77874674154589</c:v>
                </c:pt>
                <c:pt idx="422">
                  <c:v>523.01694186479074</c:v>
                </c:pt>
                <c:pt idx="423">
                  <c:v>523.46951259895582</c:v>
                </c:pt>
                <c:pt idx="424">
                  <c:v>523.74343699068731</c:v>
                </c:pt>
                <c:pt idx="425">
                  <c:v>524.54139065355753</c:v>
                </c:pt>
                <c:pt idx="426">
                  <c:v>525.60135895199687</c:v>
                </c:pt>
                <c:pt idx="427">
                  <c:v>525.81573456291721</c:v>
                </c:pt>
                <c:pt idx="428">
                  <c:v>526.60177846962506</c:v>
                </c:pt>
                <c:pt idx="429">
                  <c:v>526.91143212984343</c:v>
                </c:pt>
                <c:pt idx="430">
                  <c:v>526.91143212984343</c:v>
                </c:pt>
                <c:pt idx="431">
                  <c:v>527.54264920644209</c:v>
                </c:pt>
                <c:pt idx="432">
                  <c:v>528.4120614062856</c:v>
                </c:pt>
                <c:pt idx="433">
                  <c:v>528.42397116244786</c:v>
                </c:pt>
                <c:pt idx="434">
                  <c:v>530.17470531829724</c:v>
                </c:pt>
                <c:pt idx="435">
                  <c:v>530.79401263873376</c:v>
                </c:pt>
                <c:pt idx="436">
                  <c:v>532.36610045214945</c:v>
                </c:pt>
                <c:pt idx="437">
                  <c:v>536.67743218288058</c:v>
                </c:pt>
                <c:pt idx="438">
                  <c:v>540.4409151301486</c:v>
                </c:pt>
                <c:pt idx="439">
                  <c:v>540.82202732734027</c:v>
                </c:pt>
                <c:pt idx="440">
                  <c:v>541.26268830534309</c:v>
                </c:pt>
                <c:pt idx="441">
                  <c:v>541.3341468423165</c:v>
                </c:pt>
                <c:pt idx="442">
                  <c:v>541.5604322093991</c:v>
                </c:pt>
                <c:pt idx="443">
                  <c:v>542.8347761187589</c:v>
                </c:pt>
                <c:pt idx="444">
                  <c:v>543.54936148849322</c:v>
                </c:pt>
                <c:pt idx="445">
                  <c:v>544.18057856509199</c:v>
                </c:pt>
                <c:pt idx="446">
                  <c:v>544.63314929925718</c:v>
                </c:pt>
                <c:pt idx="447">
                  <c:v>545.31200540050486</c:v>
                </c:pt>
                <c:pt idx="448">
                  <c:v>545.80030540315681</c:v>
                </c:pt>
                <c:pt idx="449">
                  <c:v>547.16992736181442</c:v>
                </c:pt>
                <c:pt idx="450">
                  <c:v>547.65822736446626</c:v>
                </c:pt>
                <c:pt idx="451">
                  <c:v>547.74159565760192</c:v>
                </c:pt>
                <c:pt idx="452">
                  <c:v>548.01552004933353</c:v>
                </c:pt>
                <c:pt idx="453">
                  <c:v>550.25455420783464</c:v>
                </c:pt>
                <c:pt idx="454">
                  <c:v>550.59993713653967</c:v>
                </c:pt>
                <c:pt idx="455">
                  <c:v>550.98104933373133</c:v>
                </c:pt>
                <c:pt idx="456">
                  <c:v>551.04059811454249</c:v>
                </c:pt>
                <c:pt idx="457">
                  <c:v>554.89935911110842</c:v>
                </c:pt>
                <c:pt idx="458">
                  <c:v>556.68582253544457</c:v>
                </c:pt>
                <c:pt idx="459">
                  <c:v>556.72155180393122</c:v>
                </c:pt>
                <c:pt idx="460">
                  <c:v>559.18687132951504</c:v>
                </c:pt>
                <c:pt idx="461">
                  <c:v>559.24642011032631</c:v>
                </c:pt>
                <c:pt idx="462">
                  <c:v>561.96184451531713</c:v>
                </c:pt>
                <c:pt idx="463">
                  <c:v>563.54584208489496</c:v>
                </c:pt>
                <c:pt idx="464">
                  <c:v>566.46373234464397</c:v>
                </c:pt>
                <c:pt idx="465">
                  <c:v>570.2986738288854</c:v>
                </c:pt>
                <c:pt idx="466">
                  <c:v>576.55129581406163</c:v>
                </c:pt>
                <c:pt idx="467">
                  <c:v>579.17144216975453</c:v>
                </c:pt>
                <c:pt idx="468">
                  <c:v>586.13864952466531</c:v>
                </c:pt>
                <c:pt idx="469">
                  <c:v>591.67668614010699</c:v>
                </c:pt>
              </c:numCache>
            </c:numRef>
          </c:yVal>
          <c:smooth val="1"/>
        </c:ser>
        <c:ser>
          <c:idx val="1"/>
          <c:order val="1"/>
          <c:tx>
            <c:v>2016</c:v>
          </c:tx>
          <c:marker>
            <c:symbol val="none"/>
          </c:marker>
          <c:xVal>
            <c:numRef>
              <c:f>'Cost curve data'!$AK$9:$AK$505</c:f>
              <c:numCache>
                <c:formatCode>#,##0.00</c:formatCode>
                <c:ptCount val="497"/>
                <c:pt idx="0">
                  <c:v>4.2</c:v>
                </c:pt>
                <c:pt idx="1">
                  <c:v>16.600000000000001</c:v>
                </c:pt>
                <c:pt idx="2">
                  <c:v>24.3</c:v>
                </c:pt>
                <c:pt idx="3">
                  <c:v>27.16</c:v>
                </c:pt>
                <c:pt idx="4">
                  <c:v>28.36</c:v>
                </c:pt>
                <c:pt idx="5">
                  <c:v>40.96</c:v>
                </c:pt>
                <c:pt idx="6">
                  <c:v>51.66</c:v>
                </c:pt>
                <c:pt idx="7">
                  <c:v>52.709999999999994</c:v>
                </c:pt>
                <c:pt idx="8">
                  <c:v>56.709999999999994</c:v>
                </c:pt>
                <c:pt idx="9">
                  <c:v>60.309999999999995</c:v>
                </c:pt>
                <c:pt idx="10">
                  <c:v>63.309999999999995</c:v>
                </c:pt>
                <c:pt idx="11">
                  <c:v>67.11</c:v>
                </c:pt>
                <c:pt idx="12">
                  <c:v>71.11</c:v>
                </c:pt>
                <c:pt idx="13">
                  <c:v>72.61</c:v>
                </c:pt>
                <c:pt idx="14">
                  <c:v>74.61</c:v>
                </c:pt>
                <c:pt idx="15">
                  <c:v>77.61</c:v>
                </c:pt>
                <c:pt idx="16">
                  <c:v>80.61</c:v>
                </c:pt>
                <c:pt idx="17">
                  <c:v>84.01</c:v>
                </c:pt>
                <c:pt idx="18">
                  <c:v>89.01</c:v>
                </c:pt>
                <c:pt idx="19">
                  <c:v>91.06</c:v>
                </c:pt>
                <c:pt idx="20">
                  <c:v>94.06</c:v>
                </c:pt>
                <c:pt idx="21">
                  <c:v>96.56</c:v>
                </c:pt>
                <c:pt idx="22">
                  <c:v>100.56</c:v>
                </c:pt>
                <c:pt idx="23">
                  <c:v>106.46000000000001</c:v>
                </c:pt>
                <c:pt idx="24">
                  <c:v>116.16000000000001</c:v>
                </c:pt>
                <c:pt idx="25">
                  <c:v>116.86000000000001</c:v>
                </c:pt>
                <c:pt idx="26">
                  <c:v>120.46000000000001</c:v>
                </c:pt>
                <c:pt idx="27">
                  <c:v>124.76</c:v>
                </c:pt>
                <c:pt idx="28">
                  <c:v>133.76</c:v>
                </c:pt>
                <c:pt idx="29">
                  <c:v>134.69</c:v>
                </c:pt>
                <c:pt idx="30">
                  <c:v>138.29</c:v>
                </c:pt>
                <c:pt idx="31">
                  <c:v>141.23999999999998</c:v>
                </c:pt>
                <c:pt idx="32">
                  <c:v>144.54</c:v>
                </c:pt>
                <c:pt idx="33">
                  <c:v>144.81</c:v>
                </c:pt>
                <c:pt idx="34">
                  <c:v>145.69</c:v>
                </c:pt>
                <c:pt idx="35">
                  <c:v>157.29</c:v>
                </c:pt>
                <c:pt idx="36">
                  <c:v>163.29</c:v>
                </c:pt>
                <c:pt idx="37">
                  <c:v>165.79</c:v>
                </c:pt>
                <c:pt idx="38">
                  <c:v>176.79</c:v>
                </c:pt>
                <c:pt idx="39">
                  <c:v>177.79</c:v>
                </c:pt>
                <c:pt idx="40">
                  <c:v>183.79</c:v>
                </c:pt>
                <c:pt idx="41">
                  <c:v>183.84</c:v>
                </c:pt>
                <c:pt idx="42">
                  <c:v>186.14000000000001</c:v>
                </c:pt>
                <c:pt idx="43">
                  <c:v>187.24</c:v>
                </c:pt>
                <c:pt idx="44">
                  <c:v>188.34</c:v>
                </c:pt>
                <c:pt idx="45">
                  <c:v>188.79</c:v>
                </c:pt>
                <c:pt idx="46">
                  <c:v>198.29</c:v>
                </c:pt>
                <c:pt idx="47">
                  <c:v>200.84</c:v>
                </c:pt>
                <c:pt idx="48">
                  <c:v>203.19</c:v>
                </c:pt>
                <c:pt idx="49">
                  <c:v>208.94</c:v>
                </c:pt>
                <c:pt idx="50">
                  <c:v>215.14</c:v>
                </c:pt>
                <c:pt idx="51">
                  <c:v>219.54</c:v>
                </c:pt>
                <c:pt idx="52">
                  <c:v>233.14</c:v>
                </c:pt>
                <c:pt idx="53">
                  <c:v>234.04999999999998</c:v>
                </c:pt>
                <c:pt idx="54">
                  <c:v>235.35</c:v>
                </c:pt>
                <c:pt idx="55">
                  <c:v>238.95</c:v>
                </c:pt>
                <c:pt idx="56">
                  <c:v>241.54999999999998</c:v>
                </c:pt>
                <c:pt idx="57">
                  <c:v>246.95</c:v>
                </c:pt>
                <c:pt idx="58">
                  <c:v>251.5</c:v>
                </c:pt>
                <c:pt idx="59">
                  <c:v>252.33</c:v>
                </c:pt>
                <c:pt idx="60">
                  <c:v>255.33</c:v>
                </c:pt>
                <c:pt idx="61">
                  <c:v>259.33000000000004</c:v>
                </c:pt>
                <c:pt idx="62">
                  <c:v>259.58000000000004</c:v>
                </c:pt>
                <c:pt idx="63">
                  <c:v>264.38000000000005</c:v>
                </c:pt>
                <c:pt idx="64">
                  <c:v>271.88000000000005</c:v>
                </c:pt>
                <c:pt idx="65">
                  <c:v>280.18000000000006</c:v>
                </c:pt>
                <c:pt idx="66">
                  <c:v>290.48000000000008</c:v>
                </c:pt>
                <c:pt idx="67">
                  <c:v>294.78000000000009</c:v>
                </c:pt>
                <c:pt idx="68">
                  <c:v>300.28000000000009</c:v>
                </c:pt>
                <c:pt idx="69">
                  <c:v>321.68000000000006</c:v>
                </c:pt>
                <c:pt idx="70">
                  <c:v>322.38000000000005</c:v>
                </c:pt>
                <c:pt idx="71">
                  <c:v>323.13000000000005</c:v>
                </c:pt>
                <c:pt idx="72">
                  <c:v>324.85000000000008</c:v>
                </c:pt>
                <c:pt idx="73">
                  <c:v>327.15000000000009</c:v>
                </c:pt>
                <c:pt idx="74">
                  <c:v>328.25000000000011</c:v>
                </c:pt>
                <c:pt idx="75">
                  <c:v>333.35000000000014</c:v>
                </c:pt>
                <c:pt idx="76">
                  <c:v>335.70000000000016</c:v>
                </c:pt>
                <c:pt idx="77">
                  <c:v>337.90000000000015</c:v>
                </c:pt>
                <c:pt idx="78">
                  <c:v>341.70000000000016</c:v>
                </c:pt>
                <c:pt idx="79">
                  <c:v>344.60000000000014</c:v>
                </c:pt>
                <c:pt idx="80">
                  <c:v>346.00000000000011</c:v>
                </c:pt>
                <c:pt idx="81">
                  <c:v>350.00000000000011</c:v>
                </c:pt>
                <c:pt idx="82">
                  <c:v>366.65000000000009</c:v>
                </c:pt>
                <c:pt idx="83">
                  <c:v>368.15000000000009</c:v>
                </c:pt>
                <c:pt idx="84">
                  <c:v>373.15000000000009</c:v>
                </c:pt>
                <c:pt idx="85">
                  <c:v>374.65000000000009</c:v>
                </c:pt>
                <c:pt idx="86">
                  <c:v>377.35000000000008</c:v>
                </c:pt>
                <c:pt idx="87">
                  <c:v>377.55000000000007</c:v>
                </c:pt>
                <c:pt idx="88">
                  <c:v>378.25000000000006</c:v>
                </c:pt>
                <c:pt idx="89">
                  <c:v>386.75000000000006</c:v>
                </c:pt>
                <c:pt idx="90">
                  <c:v>397.95000000000005</c:v>
                </c:pt>
                <c:pt idx="91">
                  <c:v>407.45000000000005</c:v>
                </c:pt>
                <c:pt idx="92">
                  <c:v>409.85</c:v>
                </c:pt>
                <c:pt idx="93">
                  <c:v>411.65000000000003</c:v>
                </c:pt>
                <c:pt idx="94">
                  <c:v>420.05</c:v>
                </c:pt>
                <c:pt idx="95">
                  <c:v>421.95</c:v>
                </c:pt>
                <c:pt idx="96">
                  <c:v>424.74</c:v>
                </c:pt>
                <c:pt idx="97">
                  <c:v>428.44</c:v>
                </c:pt>
                <c:pt idx="98">
                  <c:v>431.04</c:v>
                </c:pt>
                <c:pt idx="99">
                  <c:v>434.64000000000004</c:v>
                </c:pt>
                <c:pt idx="100">
                  <c:v>440.64000000000004</c:v>
                </c:pt>
                <c:pt idx="101">
                  <c:v>446.84000000000003</c:v>
                </c:pt>
                <c:pt idx="102">
                  <c:v>449.74</c:v>
                </c:pt>
                <c:pt idx="103">
                  <c:v>450.24</c:v>
                </c:pt>
                <c:pt idx="104">
                  <c:v>454.54</c:v>
                </c:pt>
                <c:pt idx="105">
                  <c:v>461.74</c:v>
                </c:pt>
                <c:pt idx="106">
                  <c:v>465.44</c:v>
                </c:pt>
                <c:pt idx="107">
                  <c:v>466.64</c:v>
                </c:pt>
                <c:pt idx="108">
                  <c:v>471.14</c:v>
                </c:pt>
                <c:pt idx="109">
                  <c:v>474.44</c:v>
                </c:pt>
                <c:pt idx="110">
                  <c:v>475.04</c:v>
                </c:pt>
                <c:pt idx="111">
                  <c:v>476.84000000000003</c:v>
                </c:pt>
                <c:pt idx="112">
                  <c:v>478.74</c:v>
                </c:pt>
                <c:pt idx="113">
                  <c:v>485.34000000000003</c:v>
                </c:pt>
                <c:pt idx="114">
                  <c:v>488.99</c:v>
                </c:pt>
                <c:pt idx="115">
                  <c:v>497.49</c:v>
                </c:pt>
                <c:pt idx="116">
                  <c:v>499.01</c:v>
                </c:pt>
                <c:pt idx="117">
                  <c:v>499.51</c:v>
                </c:pt>
                <c:pt idx="118">
                  <c:v>500.71</c:v>
                </c:pt>
                <c:pt idx="119">
                  <c:v>503.06</c:v>
                </c:pt>
                <c:pt idx="120">
                  <c:v>503.27</c:v>
                </c:pt>
                <c:pt idx="121">
                  <c:v>506.87</c:v>
                </c:pt>
                <c:pt idx="122">
                  <c:v>507.47</c:v>
                </c:pt>
                <c:pt idx="123">
                  <c:v>509.87</c:v>
                </c:pt>
                <c:pt idx="124">
                  <c:v>517.66999999999996</c:v>
                </c:pt>
                <c:pt idx="125">
                  <c:v>520.27</c:v>
                </c:pt>
                <c:pt idx="126">
                  <c:v>521.81999999999994</c:v>
                </c:pt>
                <c:pt idx="127">
                  <c:v>522.41999999999996</c:v>
                </c:pt>
                <c:pt idx="128">
                  <c:v>522.59999999999991</c:v>
                </c:pt>
                <c:pt idx="129">
                  <c:v>526.79999999999995</c:v>
                </c:pt>
                <c:pt idx="130">
                  <c:v>531.4</c:v>
                </c:pt>
                <c:pt idx="131">
                  <c:v>539.4</c:v>
                </c:pt>
                <c:pt idx="132">
                  <c:v>544.29999999999995</c:v>
                </c:pt>
                <c:pt idx="133">
                  <c:v>553.5</c:v>
                </c:pt>
                <c:pt idx="134">
                  <c:v>568.5</c:v>
                </c:pt>
                <c:pt idx="135">
                  <c:v>574.70000000000005</c:v>
                </c:pt>
                <c:pt idx="136">
                  <c:v>588.1</c:v>
                </c:pt>
                <c:pt idx="137">
                  <c:v>588.55000000000007</c:v>
                </c:pt>
                <c:pt idx="138">
                  <c:v>591.25000000000011</c:v>
                </c:pt>
                <c:pt idx="139">
                  <c:v>594.60000000000014</c:v>
                </c:pt>
                <c:pt idx="140">
                  <c:v>601.60000000000014</c:v>
                </c:pt>
                <c:pt idx="141">
                  <c:v>617.20000000000016</c:v>
                </c:pt>
                <c:pt idx="142">
                  <c:v>622.50000000000011</c:v>
                </c:pt>
                <c:pt idx="143">
                  <c:v>630.20000000000016</c:v>
                </c:pt>
                <c:pt idx="144">
                  <c:v>630.92000000000019</c:v>
                </c:pt>
                <c:pt idx="145">
                  <c:v>637.32000000000016</c:v>
                </c:pt>
                <c:pt idx="146">
                  <c:v>639.57000000000016</c:v>
                </c:pt>
                <c:pt idx="147">
                  <c:v>641.77000000000021</c:v>
                </c:pt>
                <c:pt idx="148">
                  <c:v>648.77000000000021</c:v>
                </c:pt>
                <c:pt idx="149">
                  <c:v>655.57000000000016</c:v>
                </c:pt>
                <c:pt idx="150">
                  <c:v>661.87000000000012</c:v>
                </c:pt>
                <c:pt idx="151">
                  <c:v>662.23000000000013</c:v>
                </c:pt>
                <c:pt idx="152">
                  <c:v>663.13000000000011</c:v>
                </c:pt>
                <c:pt idx="153">
                  <c:v>667.53000000000009</c:v>
                </c:pt>
                <c:pt idx="154">
                  <c:v>681.53000000000009</c:v>
                </c:pt>
                <c:pt idx="155">
                  <c:v>684.08</c:v>
                </c:pt>
                <c:pt idx="156">
                  <c:v>684.98</c:v>
                </c:pt>
                <c:pt idx="157">
                  <c:v>687.08</c:v>
                </c:pt>
                <c:pt idx="158">
                  <c:v>688.38</c:v>
                </c:pt>
                <c:pt idx="159">
                  <c:v>690.13</c:v>
                </c:pt>
                <c:pt idx="160">
                  <c:v>692.33</c:v>
                </c:pt>
                <c:pt idx="161">
                  <c:v>694.73</c:v>
                </c:pt>
                <c:pt idx="162">
                  <c:v>704.33</c:v>
                </c:pt>
                <c:pt idx="163">
                  <c:v>711.13</c:v>
                </c:pt>
                <c:pt idx="164">
                  <c:v>714.83</c:v>
                </c:pt>
                <c:pt idx="165">
                  <c:v>725.83</c:v>
                </c:pt>
                <c:pt idx="166">
                  <c:v>726.26</c:v>
                </c:pt>
                <c:pt idx="167">
                  <c:v>726.92</c:v>
                </c:pt>
                <c:pt idx="168">
                  <c:v>728.81999999999994</c:v>
                </c:pt>
                <c:pt idx="169">
                  <c:v>729.77</c:v>
                </c:pt>
                <c:pt idx="170">
                  <c:v>731.53</c:v>
                </c:pt>
                <c:pt idx="171">
                  <c:v>731.78</c:v>
                </c:pt>
                <c:pt idx="172">
                  <c:v>734.82999999999993</c:v>
                </c:pt>
                <c:pt idx="173">
                  <c:v>735.18999999999994</c:v>
                </c:pt>
                <c:pt idx="174">
                  <c:v>736.7399999999999</c:v>
                </c:pt>
                <c:pt idx="175">
                  <c:v>737.57999999999993</c:v>
                </c:pt>
                <c:pt idx="176">
                  <c:v>738.12999999999988</c:v>
                </c:pt>
                <c:pt idx="177">
                  <c:v>738.69999999999993</c:v>
                </c:pt>
                <c:pt idx="178">
                  <c:v>739.05</c:v>
                </c:pt>
                <c:pt idx="179">
                  <c:v>739.94999999999993</c:v>
                </c:pt>
                <c:pt idx="180">
                  <c:v>745.65</c:v>
                </c:pt>
                <c:pt idx="181">
                  <c:v>747.55</c:v>
                </c:pt>
                <c:pt idx="182">
                  <c:v>762.75</c:v>
                </c:pt>
                <c:pt idx="183">
                  <c:v>764.85</c:v>
                </c:pt>
                <c:pt idx="184">
                  <c:v>768.35</c:v>
                </c:pt>
                <c:pt idx="185">
                  <c:v>768.65</c:v>
                </c:pt>
                <c:pt idx="186">
                  <c:v>774.25</c:v>
                </c:pt>
                <c:pt idx="187">
                  <c:v>776.6</c:v>
                </c:pt>
                <c:pt idx="188">
                  <c:v>779.1</c:v>
                </c:pt>
                <c:pt idx="189">
                  <c:v>782.1</c:v>
                </c:pt>
                <c:pt idx="190">
                  <c:v>783.9</c:v>
                </c:pt>
                <c:pt idx="191">
                  <c:v>806.1</c:v>
                </c:pt>
                <c:pt idx="192">
                  <c:v>812.1</c:v>
                </c:pt>
                <c:pt idx="193">
                  <c:v>825.6</c:v>
                </c:pt>
                <c:pt idx="194">
                  <c:v>825.80000000000007</c:v>
                </c:pt>
                <c:pt idx="195">
                  <c:v>826.50000000000011</c:v>
                </c:pt>
                <c:pt idx="196">
                  <c:v>832.10000000000014</c:v>
                </c:pt>
                <c:pt idx="197">
                  <c:v>832.41000000000008</c:v>
                </c:pt>
                <c:pt idx="198">
                  <c:v>838.06000000000006</c:v>
                </c:pt>
                <c:pt idx="199">
                  <c:v>840.07</c:v>
                </c:pt>
                <c:pt idx="200">
                  <c:v>842.67000000000007</c:v>
                </c:pt>
                <c:pt idx="201">
                  <c:v>844.17000000000007</c:v>
                </c:pt>
                <c:pt idx="202">
                  <c:v>844.62000000000012</c:v>
                </c:pt>
                <c:pt idx="203">
                  <c:v>845.82000000000016</c:v>
                </c:pt>
                <c:pt idx="204">
                  <c:v>846.97000000000014</c:v>
                </c:pt>
                <c:pt idx="205">
                  <c:v>847.5200000000001</c:v>
                </c:pt>
                <c:pt idx="206">
                  <c:v>854.12000000000012</c:v>
                </c:pt>
                <c:pt idx="207">
                  <c:v>854.32000000000016</c:v>
                </c:pt>
                <c:pt idx="208">
                  <c:v>855.22000000000014</c:v>
                </c:pt>
                <c:pt idx="209">
                  <c:v>855.5200000000001</c:v>
                </c:pt>
                <c:pt idx="210">
                  <c:v>862.0200000000001</c:v>
                </c:pt>
                <c:pt idx="211">
                  <c:v>863.17000000000007</c:v>
                </c:pt>
                <c:pt idx="212">
                  <c:v>866.62000000000012</c:v>
                </c:pt>
                <c:pt idx="213">
                  <c:v>867.87000000000012</c:v>
                </c:pt>
                <c:pt idx="214">
                  <c:v>868.66000000000008</c:v>
                </c:pt>
                <c:pt idx="215">
                  <c:v>869.41000000000008</c:v>
                </c:pt>
                <c:pt idx="216">
                  <c:v>869.61000000000013</c:v>
                </c:pt>
                <c:pt idx="217">
                  <c:v>869.96000000000015</c:v>
                </c:pt>
                <c:pt idx="218">
                  <c:v>870.46000000000015</c:v>
                </c:pt>
                <c:pt idx="219">
                  <c:v>870.55000000000018</c:v>
                </c:pt>
                <c:pt idx="220">
                  <c:v>871.75000000000023</c:v>
                </c:pt>
                <c:pt idx="221">
                  <c:v>872.1500000000002</c:v>
                </c:pt>
                <c:pt idx="222">
                  <c:v>872.70000000000016</c:v>
                </c:pt>
                <c:pt idx="223">
                  <c:v>874.33000000000015</c:v>
                </c:pt>
                <c:pt idx="224">
                  <c:v>874.6600000000002</c:v>
                </c:pt>
                <c:pt idx="225">
                  <c:v>876.6600000000002</c:v>
                </c:pt>
                <c:pt idx="226">
                  <c:v>877.9100000000002</c:v>
                </c:pt>
                <c:pt idx="227">
                  <c:v>879.01000000000022</c:v>
                </c:pt>
                <c:pt idx="228">
                  <c:v>883.51000000000022</c:v>
                </c:pt>
                <c:pt idx="229">
                  <c:v>885.27000000000021</c:v>
                </c:pt>
                <c:pt idx="230">
                  <c:v>887.62000000000023</c:v>
                </c:pt>
                <c:pt idx="231">
                  <c:v>888.18000000000018</c:v>
                </c:pt>
                <c:pt idx="232">
                  <c:v>889.44000000000017</c:v>
                </c:pt>
                <c:pt idx="233">
                  <c:v>892.39000000000021</c:v>
                </c:pt>
                <c:pt idx="234">
                  <c:v>894.54000000000019</c:v>
                </c:pt>
                <c:pt idx="235">
                  <c:v>895.34000000000015</c:v>
                </c:pt>
                <c:pt idx="236">
                  <c:v>895.6400000000001</c:v>
                </c:pt>
                <c:pt idx="237">
                  <c:v>903.1400000000001</c:v>
                </c:pt>
                <c:pt idx="238">
                  <c:v>904.09000000000015</c:v>
                </c:pt>
                <c:pt idx="239">
                  <c:v>906.6400000000001</c:v>
                </c:pt>
                <c:pt idx="240">
                  <c:v>907.19</c:v>
                </c:pt>
                <c:pt idx="241">
                  <c:v>908.66000000000008</c:v>
                </c:pt>
                <c:pt idx="242">
                  <c:v>908.96</c:v>
                </c:pt>
                <c:pt idx="243">
                  <c:v>909.56000000000006</c:v>
                </c:pt>
                <c:pt idx="244">
                  <c:v>911.43000000000006</c:v>
                </c:pt>
                <c:pt idx="245">
                  <c:v>918.48</c:v>
                </c:pt>
                <c:pt idx="246">
                  <c:v>919.14</c:v>
                </c:pt>
                <c:pt idx="247">
                  <c:v>924.74</c:v>
                </c:pt>
                <c:pt idx="248">
                  <c:v>925.24</c:v>
                </c:pt>
                <c:pt idx="249">
                  <c:v>926.84</c:v>
                </c:pt>
                <c:pt idx="250">
                  <c:v>927.38</c:v>
                </c:pt>
                <c:pt idx="251">
                  <c:v>927.78</c:v>
                </c:pt>
                <c:pt idx="252">
                  <c:v>929.93</c:v>
                </c:pt>
                <c:pt idx="253">
                  <c:v>930.26</c:v>
                </c:pt>
                <c:pt idx="254">
                  <c:v>935.26</c:v>
                </c:pt>
                <c:pt idx="255">
                  <c:v>936.41</c:v>
                </c:pt>
                <c:pt idx="256">
                  <c:v>940.81</c:v>
                </c:pt>
                <c:pt idx="257">
                  <c:v>942.68</c:v>
                </c:pt>
                <c:pt idx="258">
                  <c:v>945.38</c:v>
                </c:pt>
                <c:pt idx="259">
                  <c:v>950.18</c:v>
                </c:pt>
                <c:pt idx="260">
                  <c:v>954.9799999999999</c:v>
                </c:pt>
                <c:pt idx="261">
                  <c:v>958.18</c:v>
                </c:pt>
                <c:pt idx="262">
                  <c:v>965.18</c:v>
                </c:pt>
                <c:pt idx="263">
                  <c:v>968.68</c:v>
                </c:pt>
                <c:pt idx="264">
                  <c:v>969.68999999999994</c:v>
                </c:pt>
                <c:pt idx="265">
                  <c:v>972.9899999999999</c:v>
                </c:pt>
                <c:pt idx="266">
                  <c:v>973.81</c:v>
                </c:pt>
                <c:pt idx="267">
                  <c:v>974.69999999999993</c:v>
                </c:pt>
                <c:pt idx="268">
                  <c:v>977.09999999999991</c:v>
                </c:pt>
                <c:pt idx="269">
                  <c:v>978.74999999999989</c:v>
                </c:pt>
                <c:pt idx="270">
                  <c:v>981.34999999999991</c:v>
                </c:pt>
                <c:pt idx="271">
                  <c:v>990.44999999999993</c:v>
                </c:pt>
                <c:pt idx="272">
                  <c:v>990.86999999999989</c:v>
                </c:pt>
                <c:pt idx="273">
                  <c:v>991.26999999999987</c:v>
                </c:pt>
                <c:pt idx="274">
                  <c:v>993.31999999999982</c:v>
                </c:pt>
                <c:pt idx="275">
                  <c:v>993.94999999999982</c:v>
                </c:pt>
                <c:pt idx="276">
                  <c:v>994.32999999999981</c:v>
                </c:pt>
                <c:pt idx="277">
                  <c:v>995.97999999999979</c:v>
                </c:pt>
                <c:pt idx="278">
                  <c:v>996.19999999999982</c:v>
                </c:pt>
                <c:pt idx="279">
                  <c:v>996.69999999999982</c:v>
                </c:pt>
                <c:pt idx="280">
                  <c:v>999.19999999999982</c:v>
                </c:pt>
                <c:pt idx="281">
                  <c:v>999.49999999999977</c:v>
                </c:pt>
                <c:pt idx="282">
                  <c:v>999.72999999999979</c:v>
                </c:pt>
                <c:pt idx="283">
                  <c:v>1000.5299999999997</c:v>
                </c:pt>
                <c:pt idx="284">
                  <c:v>1001.2499999999998</c:v>
                </c:pt>
                <c:pt idx="285">
                  <c:v>1001.7999999999997</c:v>
                </c:pt>
                <c:pt idx="286">
                  <c:v>1005.0499999999997</c:v>
                </c:pt>
                <c:pt idx="287">
                  <c:v>1005.2799999999997</c:v>
                </c:pt>
                <c:pt idx="288">
                  <c:v>1006.3599999999998</c:v>
                </c:pt>
                <c:pt idx="289">
                  <c:v>1006.6199999999998</c:v>
                </c:pt>
                <c:pt idx="290">
                  <c:v>1009.0199999999998</c:v>
                </c:pt>
                <c:pt idx="291">
                  <c:v>1009.6199999999998</c:v>
                </c:pt>
                <c:pt idx="292">
                  <c:v>1013.1199999999998</c:v>
                </c:pt>
                <c:pt idx="293">
                  <c:v>1015.2199999999998</c:v>
                </c:pt>
                <c:pt idx="294">
                  <c:v>1015.7799999999997</c:v>
                </c:pt>
                <c:pt idx="295">
                  <c:v>1016.3599999999998</c:v>
                </c:pt>
                <c:pt idx="296">
                  <c:v>1017.1099999999998</c:v>
                </c:pt>
                <c:pt idx="297">
                  <c:v>1020.3099999999998</c:v>
                </c:pt>
                <c:pt idx="298">
                  <c:v>1023.3099999999998</c:v>
                </c:pt>
                <c:pt idx="299">
                  <c:v>1032.81</c:v>
                </c:pt>
                <c:pt idx="300">
                  <c:v>1034.06</c:v>
                </c:pt>
                <c:pt idx="301">
                  <c:v>1034.6199999999999</c:v>
                </c:pt>
                <c:pt idx="302">
                  <c:v>1037.6199999999999</c:v>
                </c:pt>
                <c:pt idx="303">
                  <c:v>1038.04</c:v>
                </c:pt>
                <c:pt idx="304">
                  <c:v>1038.18</c:v>
                </c:pt>
                <c:pt idx="305">
                  <c:v>1038.78</c:v>
                </c:pt>
                <c:pt idx="306">
                  <c:v>1039.58</c:v>
                </c:pt>
                <c:pt idx="307">
                  <c:v>1040.6199999999999</c:v>
                </c:pt>
                <c:pt idx="308">
                  <c:v>1041.06</c:v>
                </c:pt>
                <c:pt idx="309">
                  <c:v>1047.06</c:v>
                </c:pt>
                <c:pt idx="310">
                  <c:v>1047.25</c:v>
                </c:pt>
                <c:pt idx="311">
                  <c:v>1047.93</c:v>
                </c:pt>
                <c:pt idx="312">
                  <c:v>1048.73</c:v>
                </c:pt>
                <c:pt idx="313">
                  <c:v>1049.32</c:v>
                </c:pt>
                <c:pt idx="314">
                  <c:v>1050.0899999999999</c:v>
                </c:pt>
                <c:pt idx="315">
                  <c:v>1050.4199999999998</c:v>
                </c:pt>
                <c:pt idx="316">
                  <c:v>1050.6399999999999</c:v>
                </c:pt>
                <c:pt idx="317">
                  <c:v>1054.29</c:v>
                </c:pt>
                <c:pt idx="318">
                  <c:v>1057.24</c:v>
                </c:pt>
                <c:pt idx="319">
                  <c:v>1058.8399999999999</c:v>
                </c:pt>
                <c:pt idx="320">
                  <c:v>1070.04</c:v>
                </c:pt>
                <c:pt idx="321">
                  <c:v>1070.3599999999999</c:v>
                </c:pt>
                <c:pt idx="322">
                  <c:v>1072.6999999999998</c:v>
                </c:pt>
                <c:pt idx="323">
                  <c:v>1072.8999999999999</c:v>
                </c:pt>
                <c:pt idx="324">
                  <c:v>1073.78</c:v>
                </c:pt>
                <c:pt idx="325">
                  <c:v>1074.47</c:v>
                </c:pt>
                <c:pt idx="326">
                  <c:v>1075.67</c:v>
                </c:pt>
                <c:pt idx="327">
                  <c:v>1076.0700000000002</c:v>
                </c:pt>
                <c:pt idx="328">
                  <c:v>1078.3700000000001</c:v>
                </c:pt>
                <c:pt idx="329">
                  <c:v>1078.93</c:v>
                </c:pt>
                <c:pt idx="330">
                  <c:v>1081.53</c:v>
                </c:pt>
                <c:pt idx="331">
                  <c:v>1083.6299999999999</c:v>
                </c:pt>
                <c:pt idx="332">
                  <c:v>1083.9499999999998</c:v>
                </c:pt>
                <c:pt idx="333">
                  <c:v>1088.6499999999999</c:v>
                </c:pt>
                <c:pt idx="334">
                  <c:v>1089.0099999999998</c:v>
                </c:pt>
                <c:pt idx="335">
                  <c:v>1089.8099999999997</c:v>
                </c:pt>
                <c:pt idx="336">
                  <c:v>1091.9099999999996</c:v>
                </c:pt>
                <c:pt idx="337">
                  <c:v>1092.9099999999996</c:v>
                </c:pt>
                <c:pt idx="338">
                  <c:v>1094.0399999999997</c:v>
                </c:pt>
                <c:pt idx="339">
                  <c:v>1100.8399999999997</c:v>
                </c:pt>
                <c:pt idx="340">
                  <c:v>1104.8399999999997</c:v>
                </c:pt>
                <c:pt idx="341">
                  <c:v>1107.3399999999997</c:v>
                </c:pt>
                <c:pt idx="342">
                  <c:v>1109.6399999999996</c:v>
                </c:pt>
                <c:pt idx="343">
                  <c:v>1110.3199999999997</c:v>
                </c:pt>
                <c:pt idx="344">
                  <c:v>1111.0199999999998</c:v>
                </c:pt>
                <c:pt idx="345">
                  <c:v>1112.1199999999997</c:v>
                </c:pt>
                <c:pt idx="346">
                  <c:v>1112.5299999999997</c:v>
                </c:pt>
                <c:pt idx="347">
                  <c:v>1112.9099999999999</c:v>
                </c:pt>
                <c:pt idx="348">
                  <c:v>1113.1999999999998</c:v>
                </c:pt>
                <c:pt idx="349">
                  <c:v>1113.7699999999998</c:v>
                </c:pt>
                <c:pt idx="350">
                  <c:v>1116.2699999999998</c:v>
                </c:pt>
                <c:pt idx="351">
                  <c:v>1119.7699999999998</c:v>
                </c:pt>
                <c:pt idx="352">
                  <c:v>1120.1199999999997</c:v>
                </c:pt>
                <c:pt idx="353">
                  <c:v>1120.6799999999996</c:v>
                </c:pt>
                <c:pt idx="354">
                  <c:v>1121.2299999999996</c:v>
                </c:pt>
                <c:pt idx="355">
                  <c:v>1122.3299999999995</c:v>
                </c:pt>
                <c:pt idx="356">
                  <c:v>1125.9299999999994</c:v>
                </c:pt>
                <c:pt idx="357">
                  <c:v>1127.9299999999994</c:v>
                </c:pt>
                <c:pt idx="358">
                  <c:v>1127.9899999999993</c:v>
                </c:pt>
                <c:pt idx="359">
                  <c:v>1129.0899999999992</c:v>
                </c:pt>
                <c:pt idx="360">
                  <c:v>1129.5899999999992</c:v>
                </c:pt>
                <c:pt idx="361">
                  <c:v>1130.7899999999993</c:v>
                </c:pt>
                <c:pt idx="362">
                  <c:v>1131.8699999999992</c:v>
                </c:pt>
                <c:pt idx="363">
                  <c:v>1133.9699999999991</c:v>
                </c:pt>
                <c:pt idx="364">
                  <c:v>1135.1699999999992</c:v>
                </c:pt>
                <c:pt idx="365">
                  <c:v>1139.0699999999993</c:v>
                </c:pt>
                <c:pt idx="366">
                  <c:v>1141.8699999999992</c:v>
                </c:pt>
                <c:pt idx="367">
                  <c:v>1142.1399999999992</c:v>
                </c:pt>
                <c:pt idx="368">
                  <c:v>1142.3699999999992</c:v>
                </c:pt>
                <c:pt idx="369">
                  <c:v>1142.8899999999992</c:v>
                </c:pt>
                <c:pt idx="370">
                  <c:v>1143.1399999999992</c:v>
                </c:pt>
                <c:pt idx="371">
                  <c:v>1143.6399999999992</c:v>
                </c:pt>
                <c:pt idx="372">
                  <c:v>1143.7099999999991</c:v>
                </c:pt>
                <c:pt idx="373">
                  <c:v>1144.7099999999991</c:v>
                </c:pt>
                <c:pt idx="374">
                  <c:v>1145.3599999999992</c:v>
                </c:pt>
                <c:pt idx="375">
                  <c:v>1148.0999999999992</c:v>
                </c:pt>
                <c:pt idx="376">
                  <c:v>1148.3999999999992</c:v>
                </c:pt>
                <c:pt idx="377">
                  <c:v>1149.1299999999992</c:v>
                </c:pt>
                <c:pt idx="378">
                  <c:v>1150.7299999999991</c:v>
                </c:pt>
                <c:pt idx="379">
                  <c:v>1151.1099999999992</c:v>
                </c:pt>
                <c:pt idx="380">
                  <c:v>1151.2099999999991</c:v>
                </c:pt>
                <c:pt idx="381">
                  <c:v>1152.3899999999992</c:v>
                </c:pt>
                <c:pt idx="382">
                  <c:v>1152.6499999999992</c:v>
                </c:pt>
                <c:pt idx="383">
                  <c:v>1153.1499999999992</c:v>
                </c:pt>
                <c:pt idx="384">
                  <c:v>1154.3799999999992</c:v>
                </c:pt>
                <c:pt idx="385">
                  <c:v>1156.1799999999992</c:v>
                </c:pt>
                <c:pt idx="386">
                  <c:v>1157.3299999999992</c:v>
                </c:pt>
                <c:pt idx="387">
                  <c:v>1158.4299999999992</c:v>
                </c:pt>
                <c:pt idx="388">
                  <c:v>1159.3899999999992</c:v>
                </c:pt>
                <c:pt idx="389">
                  <c:v>1160.4899999999991</c:v>
                </c:pt>
                <c:pt idx="390">
                  <c:v>1161.1199999999992</c:v>
                </c:pt>
                <c:pt idx="391">
                  <c:v>1167.3199999999993</c:v>
                </c:pt>
                <c:pt idx="392">
                  <c:v>1167.4199999999992</c:v>
                </c:pt>
                <c:pt idx="393">
                  <c:v>1167.8199999999993</c:v>
                </c:pt>
                <c:pt idx="394">
                  <c:v>1177.5199999999993</c:v>
                </c:pt>
                <c:pt idx="395">
                  <c:v>1177.6699999999994</c:v>
                </c:pt>
                <c:pt idx="396">
                  <c:v>1177.8199999999995</c:v>
                </c:pt>
                <c:pt idx="397">
                  <c:v>1178.1699999999994</c:v>
                </c:pt>
                <c:pt idx="398">
                  <c:v>1178.6899999999994</c:v>
                </c:pt>
                <c:pt idx="399">
                  <c:v>1180.4899999999993</c:v>
                </c:pt>
                <c:pt idx="400">
                  <c:v>1180.9899999999993</c:v>
                </c:pt>
                <c:pt idx="401">
                  <c:v>1181.4899999999993</c:v>
                </c:pt>
                <c:pt idx="402">
                  <c:v>1182.1899999999994</c:v>
                </c:pt>
                <c:pt idx="403">
                  <c:v>1182.9399999999994</c:v>
                </c:pt>
                <c:pt idx="404">
                  <c:v>1183.2899999999993</c:v>
                </c:pt>
                <c:pt idx="405">
                  <c:v>1190.0899999999992</c:v>
                </c:pt>
                <c:pt idx="406">
                  <c:v>1192.3899999999992</c:v>
                </c:pt>
                <c:pt idx="407">
                  <c:v>1194.4899999999991</c:v>
                </c:pt>
                <c:pt idx="408">
                  <c:v>1195.2099999999991</c:v>
                </c:pt>
                <c:pt idx="409">
                  <c:v>1195.2699999999991</c:v>
                </c:pt>
                <c:pt idx="410">
                  <c:v>1196.369999999999</c:v>
                </c:pt>
                <c:pt idx="411">
                  <c:v>1198.4399999999989</c:v>
                </c:pt>
                <c:pt idx="412">
                  <c:v>1198.4999999999989</c:v>
                </c:pt>
                <c:pt idx="413">
                  <c:v>1198.9599999999989</c:v>
                </c:pt>
                <c:pt idx="414">
                  <c:v>1199.599999999999</c:v>
                </c:pt>
                <c:pt idx="415">
                  <c:v>1199.6699999999989</c:v>
                </c:pt>
                <c:pt idx="416">
                  <c:v>1200.2699999999988</c:v>
                </c:pt>
                <c:pt idx="417">
                  <c:v>1200.7699999999988</c:v>
                </c:pt>
                <c:pt idx="418">
                  <c:v>1201.5699999999988</c:v>
                </c:pt>
                <c:pt idx="419">
                  <c:v>1204.2699999999988</c:v>
                </c:pt>
                <c:pt idx="420">
                  <c:v>1205.0099999999989</c:v>
                </c:pt>
                <c:pt idx="421">
                  <c:v>1206.5099999999989</c:v>
                </c:pt>
                <c:pt idx="422">
                  <c:v>1206.7499999999989</c:v>
                </c:pt>
                <c:pt idx="423">
                  <c:v>1207.4499999999989</c:v>
                </c:pt>
                <c:pt idx="424">
                  <c:v>1208.899999999999</c:v>
                </c:pt>
                <c:pt idx="425">
                  <c:v>1209.309999999999</c:v>
                </c:pt>
                <c:pt idx="426">
                  <c:v>1211.359999999999</c:v>
                </c:pt>
                <c:pt idx="427">
                  <c:v>1211.4899999999991</c:v>
                </c:pt>
                <c:pt idx="428">
                  <c:v>1211.859999999999</c:v>
                </c:pt>
                <c:pt idx="429">
                  <c:v>1212.369999999999</c:v>
                </c:pt>
                <c:pt idx="430">
                  <c:v>1213.139999999999</c:v>
                </c:pt>
                <c:pt idx="431">
                  <c:v>1213.4699999999989</c:v>
                </c:pt>
                <c:pt idx="432">
                  <c:v>1213.9299999999989</c:v>
                </c:pt>
                <c:pt idx="433">
                  <c:v>1214.839999999999</c:v>
                </c:pt>
                <c:pt idx="434">
                  <c:v>1218.4399999999989</c:v>
                </c:pt>
                <c:pt idx="435">
                  <c:v>1219.4399999999989</c:v>
                </c:pt>
                <c:pt idx="436">
                  <c:v>1220.0099999999989</c:v>
                </c:pt>
                <c:pt idx="437">
                  <c:v>1220.7599999999989</c:v>
                </c:pt>
                <c:pt idx="438">
                  <c:v>1224.7599999999989</c:v>
                </c:pt>
                <c:pt idx="439">
                  <c:v>1225.6799999999989</c:v>
                </c:pt>
                <c:pt idx="440">
                  <c:v>1226.079999999999</c:v>
                </c:pt>
                <c:pt idx="441">
                  <c:v>1227.9299999999989</c:v>
                </c:pt>
                <c:pt idx="442">
                  <c:v>1228.649999999999</c:v>
                </c:pt>
                <c:pt idx="443">
                  <c:v>1229.4799999999989</c:v>
                </c:pt>
                <c:pt idx="444">
                  <c:v>1230.4799999999989</c:v>
                </c:pt>
                <c:pt idx="445">
                  <c:v>1231.2799999999988</c:v>
                </c:pt>
                <c:pt idx="446">
                  <c:v>1231.5799999999988</c:v>
                </c:pt>
                <c:pt idx="447">
                  <c:v>1232.3799999999987</c:v>
                </c:pt>
                <c:pt idx="448">
                  <c:v>1233.1799999999987</c:v>
                </c:pt>
                <c:pt idx="449">
                  <c:v>1236.0399999999986</c:v>
                </c:pt>
                <c:pt idx="450">
                  <c:v>1236.5899999999986</c:v>
                </c:pt>
                <c:pt idx="451">
                  <c:v>1237.2899999999986</c:v>
                </c:pt>
                <c:pt idx="452">
                  <c:v>1237.8899999999985</c:v>
                </c:pt>
                <c:pt idx="453">
                  <c:v>1238.6899999999985</c:v>
                </c:pt>
                <c:pt idx="454">
                  <c:v>1239.0099999999984</c:v>
                </c:pt>
                <c:pt idx="455">
                  <c:v>1239.1399999999985</c:v>
                </c:pt>
                <c:pt idx="456">
                  <c:v>1239.4699999999984</c:v>
                </c:pt>
                <c:pt idx="457">
                  <c:v>1241.4299999999985</c:v>
                </c:pt>
                <c:pt idx="458">
                  <c:v>1241.7199999999984</c:v>
                </c:pt>
                <c:pt idx="459">
                  <c:v>1242.1999999999985</c:v>
                </c:pt>
                <c:pt idx="460">
                  <c:v>1242.9999999999984</c:v>
                </c:pt>
                <c:pt idx="461">
                  <c:v>1243.5299999999984</c:v>
                </c:pt>
                <c:pt idx="462">
                  <c:v>1244.9299999999985</c:v>
                </c:pt>
                <c:pt idx="463">
                  <c:v>1245.5599999999986</c:v>
                </c:pt>
                <c:pt idx="464">
                  <c:v>1245.9799999999987</c:v>
                </c:pt>
                <c:pt idx="465">
                  <c:v>1246.6799999999987</c:v>
                </c:pt>
                <c:pt idx="466">
                  <c:v>1248.7799999999986</c:v>
                </c:pt>
                <c:pt idx="467">
                  <c:v>1250.1799999999987</c:v>
                </c:pt>
                <c:pt idx="468">
                  <c:v>1250.3499999999988</c:v>
                </c:pt>
                <c:pt idx="469">
                  <c:v>1250.6999999999987</c:v>
                </c:pt>
                <c:pt idx="470">
                  <c:v>1254.8199999999986</c:v>
                </c:pt>
                <c:pt idx="471">
                  <c:v>1255.3199999999986</c:v>
                </c:pt>
                <c:pt idx="472">
                  <c:v>1256.1199999999985</c:v>
                </c:pt>
                <c:pt idx="473">
                  <c:v>1257.6699999999985</c:v>
                </c:pt>
                <c:pt idx="474">
                  <c:v>1258.9899999999984</c:v>
                </c:pt>
                <c:pt idx="475">
                  <c:v>1260.5899999999983</c:v>
                </c:pt>
                <c:pt idx="476">
                  <c:v>1261.3099999999984</c:v>
                </c:pt>
                <c:pt idx="477">
                  <c:v>1262.3099999999984</c:v>
                </c:pt>
                <c:pt idx="478">
                  <c:v>1262.6099999999983</c:v>
                </c:pt>
                <c:pt idx="479">
                  <c:v>1263.1599999999983</c:v>
                </c:pt>
                <c:pt idx="480">
                  <c:v>1263.7599999999982</c:v>
                </c:pt>
                <c:pt idx="481">
                  <c:v>1264.9599999999982</c:v>
                </c:pt>
                <c:pt idx="482">
                  <c:v>1266.0599999999981</c:v>
                </c:pt>
                <c:pt idx="483">
                  <c:v>1266.5899999999981</c:v>
                </c:pt>
                <c:pt idx="484">
                  <c:v>1268.8899999999981</c:v>
                </c:pt>
                <c:pt idx="485">
                  <c:v>1272.489999999998</c:v>
                </c:pt>
                <c:pt idx="486">
                  <c:v>1273.0699999999979</c:v>
                </c:pt>
                <c:pt idx="487">
                  <c:v>1273.3899999999978</c:v>
                </c:pt>
                <c:pt idx="488">
                  <c:v>1273.8399999999979</c:v>
                </c:pt>
                <c:pt idx="489">
                  <c:v>1274.489999999998</c:v>
                </c:pt>
                <c:pt idx="490">
                  <c:v>1275.0899999999979</c:v>
                </c:pt>
                <c:pt idx="491">
                  <c:v>1275.489999999998</c:v>
                </c:pt>
                <c:pt idx="492">
                  <c:v>1276.1199999999981</c:v>
                </c:pt>
                <c:pt idx="493">
                  <c:v>1276.669999999998</c:v>
                </c:pt>
                <c:pt idx="494">
                  <c:v>1276.949999999998</c:v>
                </c:pt>
                <c:pt idx="495">
                  <c:v>1277.2699999999979</c:v>
                </c:pt>
                <c:pt idx="496">
                  <c:v>1278.189999999998</c:v>
                </c:pt>
              </c:numCache>
            </c:numRef>
          </c:xVal>
          <c:yVal>
            <c:numRef>
              <c:f>'Cost curve data'!$BC$9:$BC$505</c:f>
              <c:numCache>
                <c:formatCode>#,##0</c:formatCode>
                <c:ptCount val="497"/>
                <c:pt idx="0">
                  <c:v>225.83</c:v>
                </c:pt>
                <c:pt idx="1">
                  <c:v>228.68</c:v>
                </c:pt>
                <c:pt idx="2">
                  <c:v>233.86</c:v>
                </c:pt>
                <c:pt idx="3">
                  <c:v>234.74</c:v>
                </c:pt>
                <c:pt idx="4">
                  <c:v>237.71</c:v>
                </c:pt>
                <c:pt idx="5">
                  <c:v>246.90000000000003</c:v>
                </c:pt>
                <c:pt idx="6">
                  <c:v>252.01</c:v>
                </c:pt>
                <c:pt idx="7">
                  <c:v>253.01999999999998</c:v>
                </c:pt>
                <c:pt idx="8">
                  <c:v>258.19</c:v>
                </c:pt>
                <c:pt idx="9">
                  <c:v>258.75</c:v>
                </c:pt>
                <c:pt idx="10">
                  <c:v>260.18</c:v>
                </c:pt>
                <c:pt idx="11">
                  <c:v>261.89</c:v>
                </c:pt>
                <c:pt idx="12">
                  <c:v>264.47000000000003</c:v>
                </c:pt>
                <c:pt idx="13">
                  <c:v>264.5</c:v>
                </c:pt>
                <c:pt idx="14">
                  <c:v>265.14999999999998</c:v>
                </c:pt>
                <c:pt idx="15">
                  <c:v>267.38</c:v>
                </c:pt>
                <c:pt idx="16">
                  <c:v>267.53999999999996</c:v>
                </c:pt>
                <c:pt idx="17">
                  <c:v>268.11</c:v>
                </c:pt>
                <c:pt idx="18">
                  <c:v>268.66000000000003</c:v>
                </c:pt>
                <c:pt idx="19">
                  <c:v>268.67</c:v>
                </c:pt>
                <c:pt idx="20">
                  <c:v>268.67999999999995</c:v>
                </c:pt>
                <c:pt idx="21">
                  <c:v>269.93</c:v>
                </c:pt>
                <c:pt idx="22">
                  <c:v>271.15000000000003</c:v>
                </c:pt>
                <c:pt idx="23">
                  <c:v>273.67999999999995</c:v>
                </c:pt>
                <c:pt idx="24">
                  <c:v>275.56</c:v>
                </c:pt>
                <c:pt idx="25">
                  <c:v>275.63</c:v>
                </c:pt>
                <c:pt idx="26">
                  <c:v>276.77</c:v>
                </c:pt>
                <c:pt idx="27">
                  <c:v>277.39999999999998</c:v>
                </c:pt>
                <c:pt idx="28">
                  <c:v>277.49</c:v>
                </c:pt>
                <c:pt idx="29">
                  <c:v>277.83999999999997</c:v>
                </c:pt>
                <c:pt idx="30">
                  <c:v>278.35999999999996</c:v>
                </c:pt>
                <c:pt idx="31">
                  <c:v>278.70999999999998</c:v>
                </c:pt>
                <c:pt idx="32">
                  <c:v>279.7</c:v>
                </c:pt>
                <c:pt idx="33">
                  <c:v>280.28999999999996</c:v>
                </c:pt>
                <c:pt idx="34">
                  <c:v>280.74</c:v>
                </c:pt>
                <c:pt idx="35">
                  <c:v>280.82</c:v>
                </c:pt>
                <c:pt idx="36">
                  <c:v>281.01</c:v>
                </c:pt>
                <c:pt idx="37">
                  <c:v>281.46000000000004</c:v>
                </c:pt>
                <c:pt idx="38">
                  <c:v>281.60000000000002</c:v>
                </c:pt>
                <c:pt idx="39">
                  <c:v>282.40000000000003</c:v>
                </c:pt>
                <c:pt idx="40">
                  <c:v>282.49</c:v>
                </c:pt>
                <c:pt idx="41">
                  <c:v>283</c:v>
                </c:pt>
                <c:pt idx="42">
                  <c:v>283.77000000000004</c:v>
                </c:pt>
                <c:pt idx="43">
                  <c:v>284.12</c:v>
                </c:pt>
                <c:pt idx="44">
                  <c:v>285.13</c:v>
                </c:pt>
                <c:pt idx="45">
                  <c:v>285.32000000000005</c:v>
                </c:pt>
                <c:pt idx="46">
                  <c:v>285.54000000000002</c:v>
                </c:pt>
                <c:pt idx="47">
                  <c:v>285.96000000000004</c:v>
                </c:pt>
                <c:pt idx="48">
                  <c:v>286.52999999999997</c:v>
                </c:pt>
                <c:pt idx="49">
                  <c:v>286.60000000000002</c:v>
                </c:pt>
                <c:pt idx="50">
                  <c:v>286.64</c:v>
                </c:pt>
                <c:pt idx="51">
                  <c:v>287.25</c:v>
                </c:pt>
                <c:pt idx="52">
                  <c:v>287.52999999999997</c:v>
                </c:pt>
                <c:pt idx="53">
                  <c:v>288.43</c:v>
                </c:pt>
                <c:pt idx="54">
                  <c:v>288.46999999999997</c:v>
                </c:pt>
                <c:pt idx="55">
                  <c:v>288.7</c:v>
                </c:pt>
                <c:pt idx="56">
                  <c:v>288.82</c:v>
                </c:pt>
                <c:pt idx="57">
                  <c:v>289.83</c:v>
                </c:pt>
                <c:pt idx="58">
                  <c:v>289.96000000000004</c:v>
                </c:pt>
                <c:pt idx="59">
                  <c:v>290.08</c:v>
                </c:pt>
                <c:pt idx="60">
                  <c:v>291.02999999999997</c:v>
                </c:pt>
                <c:pt idx="61">
                  <c:v>291.41000000000003</c:v>
                </c:pt>
                <c:pt idx="62">
                  <c:v>291.99</c:v>
                </c:pt>
                <c:pt idx="63">
                  <c:v>292.09000000000003</c:v>
                </c:pt>
                <c:pt idx="64">
                  <c:v>292.21999999999997</c:v>
                </c:pt>
                <c:pt idx="65">
                  <c:v>292.36</c:v>
                </c:pt>
                <c:pt idx="66">
                  <c:v>292.42</c:v>
                </c:pt>
                <c:pt idx="67">
                  <c:v>292.64999999999998</c:v>
                </c:pt>
                <c:pt idx="68">
                  <c:v>292.75</c:v>
                </c:pt>
                <c:pt idx="69">
                  <c:v>292.86</c:v>
                </c:pt>
                <c:pt idx="70">
                  <c:v>292.96999999999997</c:v>
                </c:pt>
                <c:pt idx="71">
                  <c:v>293.04000000000002</c:v>
                </c:pt>
                <c:pt idx="72">
                  <c:v>293.44</c:v>
                </c:pt>
                <c:pt idx="73">
                  <c:v>295.41000000000003</c:v>
                </c:pt>
                <c:pt idx="74">
                  <c:v>296.29999999999995</c:v>
                </c:pt>
                <c:pt idx="75">
                  <c:v>296.40999999999997</c:v>
                </c:pt>
                <c:pt idx="76">
                  <c:v>296.55</c:v>
                </c:pt>
                <c:pt idx="77">
                  <c:v>296.62</c:v>
                </c:pt>
                <c:pt idx="78">
                  <c:v>297.38</c:v>
                </c:pt>
                <c:pt idx="79">
                  <c:v>298.23</c:v>
                </c:pt>
                <c:pt idx="80">
                  <c:v>298.7</c:v>
                </c:pt>
                <c:pt idx="81">
                  <c:v>298.70000000000005</c:v>
                </c:pt>
                <c:pt idx="82">
                  <c:v>299.60000000000002</c:v>
                </c:pt>
                <c:pt idx="83">
                  <c:v>299.99</c:v>
                </c:pt>
                <c:pt idx="84">
                  <c:v>300.99</c:v>
                </c:pt>
                <c:pt idx="85">
                  <c:v>301.39999999999998</c:v>
                </c:pt>
                <c:pt idx="86">
                  <c:v>301.54000000000002</c:v>
                </c:pt>
                <c:pt idx="87">
                  <c:v>302.07</c:v>
                </c:pt>
                <c:pt idx="88">
                  <c:v>302.09000000000003</c:v>
                </c:pt>
                <c:pt idx="89">
                  <c:v>302.19</c:v>
                </c:pt>
                <c:pt idx="90">
                  <c:v>302.55</c:v>
                </c:pt>
                <c:pt idx="91">
                  <c:v>302.62</c:v>
                </c:pt>
                <c:pt idx="92">
                  <c:v>302.64999999999998</c:v>
                </c:pt>
                <c:pt idx="93">
                  <c:v>302.71999999999997</c:v>
                </c:pt>
                <c:pt idx="94">
                  <c:v>303.30000000000007</c:v>
                </c:pt>
                <c:pt idx="95">
                  <c:v>303.66999999999996</c:v>
                </c:pt>
                <c:pt idx="96">
                  <c:v>303.68</c:v>
                </c:pt>
                <c:pt idx="97">
                  <c:v>303.77</c:v>
                </c:pt>
                <c:pt idx="98">
                  <c:v>304.87</c:v>
                </c:pt>
                <c:pt idx="99">
                  <c:v>304.87</c:v>
                </c:pt>
                <c:pt idx="100">
                  <c:v>305.25</c:v>
                </c:pt>
                <c:pt idx="101">
                  <c:v>305.52000000000004</c:v>
                </c:pt>
                <c:pt idx="102">
                  <c:v>305.64999999999998</c:v>
                </c:pt>
                <c:pt idx="103">
                  <c:v>305.77</c:v>
                </c:pt>
                <c:pt idx="104">
                  <c:v>306.27</c:v>
                </c:pt>
                <c:pt idx="105">
                  <c:v>306.72000000000003</c:v>
                </c:pt>
                <c:pt idx="106">
                  <c:v>306.94</c:v>
                </c:pt>
                <c:pt idx="107">
                  <c:v>307.06000000000006</c:v>
                </c:pt>
                <c:pt idx="108">
                  <c:v>307.62</c:v>
                </c:pt>
                <c:pt idx="109">
                  <c:v>308</c:v>
                </c:pt>
                <c:pt idx="110">
                  <c:v>308.10000000000002</c:v>
                </c:pt>
                <c:pt idx="111">
                  <c:v>308.25000000000006</c:v>
                </c:pt>
                <c:pt idx="112">
                  <c:v>308.26</c:v>
                </c:pt>
                <c:pt idx="113">
                  <c:v>308.83000000000004</c:v>
                </c:pt>
                <c:pt idx="114">
                  <c:v>309.5</c:v>
                </c:pt>
                <c:pt idx="115">
                  <c:v>309.74</c:v>
                </c:pt>
                <c:pt idx="116">
                  <c:v>310.2</c:v>
                </c:pt>
                <c:pt idx="117">
                  <c:v>310.47000000000003</c:v>
                </c:pt>
                <c:pt idx="118">
                  <c:v>310.76</c:v>
                </c:pt>
                <c:pt idx="119">
                  <c:v>310.83</c:v>
                </c:pt>
                <c:pt idx="120">
                  <c:v>311.05</c:v>
                </c:pt>
                <c:pt idx="121">
                  <c:v>312.82</c:v>
                </c:pt>
                <c:pt idx="122">
                  <c:v>312.85000000000002</c:v>
                </c:pt>
                <c:pt idx="123">
                  <c:v>313.10000000000002</c:v>
                </c:pt>
                <c:pt idx="124">
                  <c:v>313.25</c:v>
                </c:pt>
                <c:pt idx="125">
                  <c:v>313.37</c:v>
                </c:pt>
                <c:pt idx="126">
                  <c:v>313.39</c:v>
                </c:pt>
                <c:pt idx="127">
                  <c:v>313.64999999999998</c:v>
                </c:pt>
                <c:pt idx="128">
                  <c:v>313.69</c:v>
                </c:pt>
                <c:pt idx="129">
                  <c:v>313.87</c:v>
                </c:pt>
                <c:pt idx="130">
                  <c:v>314.01</c:v>
                </c:pt>
                <c:pt idx="131">
                  <c:v>314.27</c:v>
                </c:pt>
                <c:pt idx="132">
                  <c:v>314.65000000000003</c:v>
                </c:pt>
                <c:pt idx="133">
                  <c:v>314.66000000000003</c:v>
                </c:pt>
                <c:pt idx="134">
                  <c:v>314.77</c:v>
                </c:pt>
                <c:pt idx="135">
                  <c:v>315.06</c:v>
                </c:pt>
                <c:pt idx="136">
                  <c:v>315.88</c:v>
                </c:pt>
                <c:pt idx="137">
                  <c:v>316.03000000000003</c:v>
                </c:pt>
                <c:pt idx="138">
                  <c:v>316.04999999999995</c:v>
                </c:pt>
                <c:pt idx="139">
                  <c:v>316.14999999999998</c:v>
                </c:pt>
                <c:pt idx="140">
                  <c:v>316.23</c:v>
                </c:pt>
                <c:pt idx="141">
                  <c:v>316.35000000000002</c:v>
                </c:pt>
                <c:pt idx="142">
                  <c:v>316.48</c:v>
                </c:pt>
                <c:pt idx="143">
                  <c:v>316.64</c:v>
                </c:pt>
                <c:pt idx="144">
                  <c:v>316.91000000000003</c:v>
                </c:pt>
                <c:pt idx="145">
                  <c:v>317.13</c:v>
                </c:pt>
                <c:pt idx="146">
                  <c:v>317.33</c:v>
                </c:pt>
                <c:pt idx="147">
                  <c:v>317.58999999999997</c:v>
                </c:pt>
                <c:pt idx="148">
                  <c:v>318.14999999999998</c:v>
                </c:pt>
                <c:pt idx="149">
                  <c:v>318.14999999999998</c:v>
                </c:pt>
                <c:pt idx="150">
                  <c:v>318.22000000000003</c:v>
                </c:pt>
                <c:pt idx="151">
                  <c:v>318.69000000000005</c:v>
                </c:pt>
                <c:pt idx="152">
                  <c:v>318.93</c:v>
                </c:pt>
                <c:pt idx="153">
                  <c:v>319.11999999999995</c:v>
                </c:pt>
                <c:pt idx="154">
                  <c:v>319.14000000000004</c:v>
                </c:pt>
                <c:pt idx="155">
                  <c:v>319.27000000000004</c:v>
                </c:pt>
                <c:pt idx="156">
                  <c:v>319.57</c:v>
                </c:pt>
                <c:pt idx="157">
                  <c:v>319.74</c:v>
                </c:pt>
                <c:pt idx="158">
                  <c:v>320.03000000000003</c:v>
                </c:pt>
                <c:pt idx="159">
                  <c:v>320.36</c:v>
                </c:pt>
                <c:pt idx="160">
                  <c:v>320.5</c:v>
                </c:pt>
                <c:pt idx="161">
                  <c:v>320.86</c:v>
                </c:pt>
                <c:pt idx="162">
                  <c:v>320.87</c:v>
                </c:pt>
                <c:pt idx="163">
                  <c:v>320.87</c:v>
                </c:pt>
                <c:pt idx="164">
                  <c:v>320.89</c:v>
                </c:pt>
                <c:pt idx="165">
                  <c:v>320.96999999999997</c:v>
                </c:pt>
                <c:pt idx="166">
                  <c:v>321.01</c:v>
                </c:pt>
                <c:pt idx="167">
                  <c:v>321.49</c:v>
                </c:pt>
                <c:pt idx="168">
                  <c:v>321.78999999999996</c:v>
                </c:pt>
                <c:pt idx="169">
                  <c:v>321.95999999999998</c:v>
                </c:pt>
                <c:pt idx="170">
                  <c:v>322.07</c:v>
                </c:pt>
                <c:pt idx="171">
                  <c:v>322.18</c:v>
                </c:pt>
                <c:pt idx="172">
                  <c:v>322.2</c:v>
                </c:pt>
                <c:pt idx="173">
                  <c:v>322.77</c:v>
                </c:pt>
                <c:pt idx="174">
                  <c:v>323.12</c:v>
                </c:pt>
                <c:pt idx="175">
                  <c:v>323.21999999999997</c:v>
                </c:pt>
                <c:pt idx="176">
                  <c:v>323.25</c:v>
                </c:pt>
                <c:pt idx="177">
                  <c:v>323.3</c:v>
                </c:pt>
                <c:pt idx="178">
                  <c:v>323.52</c:v>
                </c:pt>
                <c:pt idx="179">
                  <c:v>323.52999999999997</c:v>
                </c:pt>
                <c:pt idx="180">
                  <c:v>323.67</c:v>
                </c:pt>
                <c:pt idx="181">
                  <c:v>323.92</c:v>
                </c:pt>
                <c:pt idx="182">
                  <c:v>324.18</c:v>
                </c:pt>
                <c:pt idx="183">
                  <c:v>324.23999999999995</c:v>
                </c:pt>
                <c:pt idx="184">
                  <c:v>324.27</c:v>
                </c:pt>
                <c:pt idx="185">
                  <c:v>324.69</c:v>
                </c:pt>
                <c:pt idx="186">
                  <c:v>324.72999999999996</c:v>
                </c:pt>
                <c:pt idx="187">
                  <c:v>325.16000000000003</c:v>
                </c:pt>
                <c:pt idx="188">
                  <c:v>325.27</c:v>
                </c:pt>
                <c:pt idx="189">
                  <c:v>325.39000000000004</c:v>
                </c:pt>
                <c:pt idx="190">
                  <c:v>325.7</c:v>
                </c:pt>
                <c:pt idx="191">
                  <c:v>325.75</c:v>
                </c:pt>
                <c:pt idx="192">
                  <c:v>326.18</c:v>
                </c:pt>
                <c:pt idx="193">
                  <c:v>326.38</c:v>
                </c:pt>
                <c:pt idx="194">
                  <c:v>326.60000000000002</c:v>
                </c:pt>
                <c:pt idx="195">
                  <c:v>326.64</c:v>
                </c:pt>
                <c:pt idx="196">
                  <c:v>326.95000000000005</c:v>
                </c:pt>
                <c:pt idx="197">
                  <c:v>327.09000000000003</c:v>
                </c:pt>
                <c:pt idx="198">
                  <c:v>327.17999999999995</c:v>
                </c:pt>
                <c:pt idx="199">
                  <c:v>327.27999999999997</c:v>
                </c:pt>
                <c:pt idx="200">
                  <c:v>327.8</c:v>
                </c:pt>
                <c:pt idx="201">
                  <c:v>327.86</c:v>
                </c:pt>
                <c:pt idx="202">
                  <c:v>327.97999999999996</c:v>
                </c:pt>
                <c:pt idx="203">
                  <c:v>328.14</c:v>
                </c:pt>
                <c:pt idx="204">
                  <c:v>328.51999999999992</c:v>
                </c:pt>
                <c:pt idx="205">
                  <c:v>328.57000000000005</c:v>
                </c:pt>
                <c:pt idx="206">
                  <c:v>328.64</c:v>
                </c:pt>
                <c:pt idx="207">
                  <c:v>329.06</c:v>
                </c:pt>
                <c:pt idx="208">
                  <c:v>329.14</c:v>
                </c:pt>
                <c:pt idx="209">
                  <c:v>329.28</c:v>
                </c:pt>
                <c:pt idx="210">
                  <c:v>329.32999999999993</c:v>
                </c:pt>
                <c:pt idx="211">
                  <c:v>329.45000000000005</c:v>
                </c:pt>
                <c:pt idx="212">
                  <c:v>330</c:v>
                </c:pt>
                <c:pt idx="213">
                  <c:v>330.09000000000003</c:v>
                </c:pt>
                <c:pt idx="214">
                  <c:v>330.12</c:v>
                </c:pt>
                <c:pt idx="215">
                  <c:v>330.21999999999997</c:v>
                </c:pt>
                <c:pt idx="216">
                  <c:v>330.46999999999997</c:v>
                </c:pt>
                <c:pt idx="217">
                  <c:v>330.62</c:v>
                </c:pt>
                <c:pt idx="218">
                  <c:v>330.63</c:v>
                </c:pt>
                <c:pt idx="219">
                  <c:v>330.69</c:v>
                </c:pt>
                <c:pt idx="220">
                  <c:v>331.24</c:v>
                </c:pt>
                <c:pt idx="221">
                  <c:v>331.65</c:v>
                </c:pt>
                <c:pt idx="222">
                  <c:v>331.94</c:v>
                </c:pt>
                <c:pt idx="223">
                  <c:v>332.13</c:v>
                </c:pt>
                <c:pt idx="224">
                  <c:v>332.52</c:v>
                </c:pt>
                <c:pt idx="225">
                  <c:v>333.08</c:v>
                </c:pt>
                <c:pt idx="226">
                  <c:v>333.21000000000004</c:v>
                </c:pt>
                <c:pt idx="227">
                  <c:v>333.32000000000005</c:v>
                </c:pt>
                <c:pt idx="228">
                  <c:v>333.36</c:v>
                </c:pt>
                <c:pt idx="229">
                  <c:v>333.63</c:v>
                </c:pt>
                <c:pt idx="230">
                  <c:v>334</c:v>
                </c:pt>
                <c:pt idx="231">
                  <c:v>334.17</c:v>
                </c:pt>
                <c:pt idx="232">
                  <c:v>334.20000000000005</c:v>
                </c:pt>
                <c:pt idx="233">
                  <c:v>334.54</c:v>
                </c:pt>
                <c:pt idx="234">
                  <c:v>334.68</c:v>
                </c:pt>
                <c:pt idx="235">
                  <c:v>335.09000000000003</c:v>
                </c:pt>
                <c:pt idx="236">
                  <c:v>335.16999999999996</c:v>
                </c:pt>
                <c:pt idx="237">
                  <c:v>335.2</c:v>
                </c:pt>
                <c:pt idx="238">
                  <c:v>335.58000000000004</c:v>
                </c:pt>
                <c:pt idx="239">
                  <c:v>335.78</c:v>
                </c:pt>
                <c:pt idx="240">
                  <c:v>336.3</c:v>
                </c:pt>
                <c:pt idx="241">
                  <c:v>336.79000000000008</c:v>
                </c:pt>
                <c:pt idx="242">
                  <c:v>336.97999999999996</c:v>
                </c:pt>
                <c:pt idx="243">
                  <c:v>337.04</c:v>
                </c:pt>
                <c:pt idx="244">
                  <c:v>337.08000000000004</c:v>
                </c:pt>
                <c:pt idx="245">
                  <c:v>337.17</c:v>
                </c:pt>
                <c:pt idx="246">
                  <c:v>337.20000000000005</c:v>
                </c:pt>
                <c:pt idx="247">
                  <c:v>337.26</c:v>
                </c:pt>
                <c:pt idx="248">
                  <c:v>337.59999999999997</c:v>
                </c:pt>
                <c:pt idx="249">
                  <c:v>337.69</c:v>
                </c:pt>
                <c:pt idx="250">
                  <c:v>337.7</c:v>
                </c:pt>
                <c:pt idx="251">
                  <c:v>337.71</c:v>
                </c:pt>
                <c:pt idx="252">
                  <c:v>337.78</c:v>
                </c:pt>
                <c:pt idx="253">
                  <c:v>337.86</c:v>
                </c:pt>
                <c:pt idx="254">
                  <c:v>338.13</c:v>
                </c:pt>
                <c:pt idx="255">
                  <c:v>338.47999999999996</c:v>
                </c:pt>
                <c:pt idx="256">
                  <c:v>338.72</c:v>
                </c:pt>
                <c:pt idx="257">
                  <c:v>338.8</c:v>
                </c:pt>
                <c:pt idx="258">
                  <c:v>339.21000000000004</c:v>
                </c:pt>
                <c:pt idx="259">
                  <c:v>339.22</c:v>
                </c:pt>
                <c:pt idx="260">
                  <c:v>339.43</c:v>
                </c:pt>
                <c:pt idx="261">
                  <c:v>339.97999999999996</c:v>
                </c:pt>
                <c:pt idx="262">
                  <c:v>340.12</c:v>
                </c:pt>
                <c:pt idx="263">
                  <c:v>340.16999999999996</c:v>
                </c:pt>
                <c:pt idx="264">
                  <c:v>340.21000000000004</c:v>
                </c:pt>
                <c:pt idx="265">
                  <c:v>340.6</c:v>
                </c:pt>
                <c:pt idx="266">
                  <c:v>340.81</c:v>
                </c:pt>
                <c:pt idx="267">
                  <c:v>340.84999999999997</c:v>
                </c:pt>
                <c:pt idx="268">
                  <c:v>340.93</c:v>
                </c:pt>
                <c:pt idx="269">
                  <c:v>340.99</c:v>
                </c:pt>
                <c:pt idx="270">
                  <c:v>341.52</c:v>
                </c:pt>
                <c:pt idx="271">
                  <c:v>341.60999999999996</c:v>
                </c:pt>
                <c:pt idx="272">
                  <c:v>341.87</c:v>
                </c:pt>
                <c:pt idx="273">
                  <c:v>341.95</c:v>
                </c:pt>
                <c:pt idx="274">
                  <c:v>342.53000000000003</c:v>
                </c:pt>
                <c:pt idx="275">
                  <c:v>342.7</c:v>
                </c:pt>
                <c:pt idx="276">
                  <c:v>342.84999999999997</c:v>
                </c:pt>
                <c:pt idx="277">
                  <c:v>343.3</c:v>
                </c:pt>
                <c:pt idx="278">
                  <c:v>343.63</c:v>
                </c:pt>
                <c:pt idx="279">
                  <c:v>343.80000000000007</c:v>
                </c:pt>
                <c:pt idx="280">
                  <c:v>343.91</c:v>
                </c:pt>
                <c:pt idx="281">
                  <c:v>344.11</c:v>
                </c:pt>
                <c:pt idx="282">
                  <c:v>344.13</c:v>
                </c:pt>
                <c:pt idx="283">
                  <c:v>344.17999999999995</c:v>
                </c:pt>
                <c:pt idx="284">
                  <c:v>344.23999999999995</c:v>
                </c:pt>
                <c:pt idx="285">
                  <c:v>344.28999999999996</c:v>
                </c:pt>
                <c:pt idx="286">
                  <c:v>344.43</c:v>
                </c:pt>
                <c:pt idx="287">
                  <c:v>344.5</c:v>
                </c:pt>
                <c:pt idx="288">
                  <c:v>344.65</c:v>
                </c:pt>
                <c:pt idx="289">
                  <c:v>344.75</c:v>
                </c:pt>
                <c:pt idx="290">
                  <c:v>345.03000000000003</c:v>
                </c:pt>
                <c:pt idx="291">
                  <c:v>345.10999999999996</c:v>
                </c:pt>
                <c:pt idx="292">
                  <c:v>345.33000000000004</c:v>
                </c:pt>
                <c:pt idx="293">
                  <c:v>345.71000000000004</c:v>
                </c:pt>
                <c:pt idx="294">
                  <c:v>345.78</c:v>
                </c:pt>
                <c:pt idx="295">
                  <c:v>346.40000000000003</c:v>
                </c:pt>
                <c:pt idx="296">
                  <c:v>346.42999999999995</c:v>
                </c:pt>
                <c:pt idx="297">
                  <c:v>346.58</c:v>
                </c:pt>
                <c:pt idx="298">
                  <c:v>346.63</c:v>
                </c:pt>
                <c:pt idx="299">
                  <c:v>347.26</c:v>
                </c:pt>
                <c:pt idx="300">
                  <c:v>347.48</c:v>
                </c:pt>
                <c:pt idx="301">
                  <c:v>347.53</c:v>
                </c:pt>
                <c:pt idx="302">
                  <c:v>347.55</c:v>
                </c:pt>
                <c:pt idx="303">
                  <c:v>347.80999999999995</c:v>
                </c:pt>
                <c:pt idx="304">
                  <c:v>347.89</c:v>
                </c:pt>
                <c:pt idx="305">
                  <c:v>348.03000000000003</c:v>
                </c:pt>
                <c:pt idx="306">
                  <c:v>349.42999999999995</c:v>
                </c:pt>
                <c:pt idx="307">
                  <c:v>349.51</c:v>
                </c:pt>
                <c:pt idx="308">
                  <c:v>350.09</c:v>
                </c:pt>
                <c:pt idx="309">
                  <c:v>350.20000000000005</c:v>
                </c:pt>
                <c:pt idx="310">
                  <c:v>350.29999999999995</c:v>
                </c:pt>
                <c:pt idx="311">
                  <c:v>350.35</c:v>
                </c:pt>
                <c:pt idx="312">
                  <c:v>350.44000000000005</c:v>
                </c:pt>
                <c:pt idx="313">
                  <c:v>350.61</c:v>
                </c:pt>
                <c:pt idx="314">
                  <c:v>351.73999999999995</c:v>
                </c:pt>
                <c:pt idx="315">
                  <c:v>351.79</c:v>
                </c:pt>
                <c:pt idx="316">
                  <c:v>351.9</c:v>
                </c:pt>
                <c:pt idx="317">
                  <c:v>352.72</c:v>
                </c:pt>
                <c:pt idx="318">
                  <c:v>352.90999999999997</c:v>
                </c:pt>
                <c:pt idx="319">
                  <c:v>353.76</c:v>
                </c:pt>
                <c:pt idx="320">
                  <c:v>353.94</c:v>
                </c:pt>
                <c:pt idx="321">
                  <c:v>353.99999999999994</c:v>
                </c:pt>
                <c:pt idx="322">
                  <c:v>354.06</c:v>
                </c:pt>
                <c:pt idx="323">
                  <c:v>354.43</c:v>
                </c:pt>
                <c:pt idx="324">
                  <c:v>355.09999999999997</c:v>
                </c:pt>
                <c:pt idx="325">
                  <c:v>355.28000000000003</c:v>
                </c:pt>
                <c:pt idx="326">
                  <c:v>355.38</c:v>
                </c:pt>
                <c:pt idx="327">
                  <c:v>356.27</c:v>
                </c:pt>
                <c:pt idx="328">
                  <c:v>356.71999999999997</c:v>
                </c:pt>
                <c:pt idx="329">
                  <c:v>356.73999999999995</c:v>
                </c:pt>
                <c:pt idx="330">
                  <c:v>356.75</c:v>
                </c:pt>
                <c:pt idx="331">
                  <c:v>356.78999999999996</c:v>
                </c:pt>
                <c:pt idx="332">
                  <c:v>356.94000000000005</c:v>
                </c:pt>
                <c:pt idx="333">
                  <c:v>357.23</c:v>
                </c:pt>
                <c:pt idx="334">
                  <c:v>357.37</c:v>
                </c:pt>
                <c:pt idx="335">
                  <c:v>357.52000000000004</c:v>
                </c:pt>
                <c:pt idx="336">
                  <c:v>358.06</c:v>
                </c:pt>
                <c:pt idx="337">
                  <c:v>358.38</c:v>
                </c:pt>
                <c:pt idx="338">
                  <c:v>358.40999999999997</c:v>
                </c:pt>
                <c:pt idx="339">
                  <c:v>359.15999999999997</c:v>
                </c:pt>
                <c:pt idx="340">
                  <c:v>359.15999999999997</c:v>
                </c:pt>
                <c:pt idx="341">
                  <c:v>359.7</c:v>
                </c:pt>
                <c:pt idx="342">
                  <c:v>359.72</c:v>
                </c:pt>
                <c:pt idx="343">
                  <c:v>359.76</c:v>
                </c:pt>
                <c:pt idx="344">
                  <c:v>359.84</c:v>
                </c:pt>
                <c:pt idx="345">
                  <c:v>359.89</c:v>
                </c:pt>
                <c:pt idx="346">
                  <c:v>359.92</c:v>
                </c:pt>
                <c:pt idx="347">
                  <c:v>360.05000000000007</c:v>
                </c:pt>
                <c:pt idx="348">
                  <c:v>360.3</c:v>
                </c:pt>
                <c:pt idx="349">
                  <c:v>360.33</c:v>
                </c:pt>
                <c:pt idx="350">
                  <c:v>360.35</c:v>
                </c:pt>
                <c:pt idx="351">
                  <c:v>360.39000000000004</c:v>
                </c:pt>
                <c:pt idx="352">
                  <c:v>360.65999999999997</c:v>
                </c:pt>
                <c:pt idx="353">
                  <c:v>360.83</c:v>
                </c:pt>
                <c:pt idx="354">
                  <c:v>360.84999999999997</c:v>
                </c:pt>
                <c:pt idx="355">
                  <c:v>361.14</c:v>
                </c:pt>
                <c:pt idx="356">
                  <c:v>361.27</c:v>
                </c:pt>
                <c:pt idx="357">
                  <c:v>361.30999999999995</c:v>
                </c:pt>
                <c:pt idx="358">
                  <c:v>361.89</c:v>
                </c:pt>
                <c:pt idx="359">
                  <c:v>362.65</c:v>
                </c:pt>
                <c:pt idx="360">
                  <c:v>362.84000000000003</c:v>
                </c:pt>
                <c:pt idx="361">
                  <c:v>363.06000000000006</c:v>
                </c:pt>
                <c:pt idx="362">
                  <c:v>363.41</c:v>
                </c:pt>
                <c:pt idx="363">
                  <c:v>363.65000000000003</c:v>
                </c:pt>
                <c:pt idx="364">
                  <c:v>363.98999999999995</c:v>
                </c:pt>
                <c:pt idx="365">
                  <c:v>364.31000000000006</c:v>
                </c:pt>
                <c:pt idx="366">
                  <c:v>364.44</c:v>
                </c:pt>
                <c:pt idx="367">
                  <c:v>364.46000000000004</c:v>
                </c:pt>
                <c:pt idx="368">
                  <c:v>364.58</c:v>
                </c:pt>
                <c:pt idx="369">
                  <c:v>364.99</c:v>
                </c:pt>
                <c:pt idx="370">
                  <c:v>365.47999999999996</c:v>
                </c:pt>
                <c:pt idx="371">
                  <c:v>365.59000000000003</c:v>
                </c:pt>
                <c:pt idx="372">
                  <c:v>365.84999999999997</c:v>
                </c:pt>
                <c:pt idx="373">
                  <c:v>366.21999999999997</c:v>
                </c:pt>
                <c:pt idx="374">
                  <c:v>366.88</c:v>
                </c:pt>
                <c:pt idx="375">
                  <c:v>367.33000000000004</c:v>
                </c:pt>
                <c:pt idx="376">
                  <c:v>367.4</c:v>
                </c:pt>
                <c:pt idx="377">
                  <c:v>367.78999999999996</c:v>
                </c:pt>
                <c:pt idx="378">
                  <c:v>368.12</c:v>
                </c:pt>
                <c:pt idx="379">
                  <c:v>368.39</c:v>
                </c:pt>
                <c:pt idx="380">
                  <c:v>368.71999999999997</c:v>
                </c:pt>
                <c:pt idx="381">
                  <c:v>369.09</c:v>
                </c:pt>
                <c:pt idx="382">
                  <c:v>369.88</c:v>
                </c:pt>
                <c:pt idx="383">
                  <c:v>369.94</c:v>
                </c:pt>
                <c:pt idx="384">
                  <c:v>370.11</c:v>
                </c:pt>
                <c:pt idx="385">
                  <c:v>370.33000000000004</c:v>
                </c:pt>
                <c:pt idx="386">
                  <c:v>370.45</c:v>
                </c:pt>
                <c:pt idx="387">
                  <c:v>370.51</c:v>
                </c:pt>
                <c:pt idx="388">
                  <c:v>371.69000000000005</c:v>
                </c:pt>
                <c:pt idx="389">
                  <c:v>371.90999999999997</c:v>
                </c:pt>
                <c:pt idx="390">
                  <c:v>372.03999999999996</c:v>
                </c:pt>
                <c:pt idx="391">
                  <c:v>372.05</c:v>
                </c:pt>
                <c:pt idx="392">
                  <c:v>373.74</c:v>
                </c:pt>
                <c:pt idx="393">
                  <c:v>374.02000000000004</c:v>
                </c:pt>
                <c:pt idx="394">
                  <c:v>374.25999999999993</c:v>
                </c:pt>
                <c:pt idx="395">
                  <c:v>374.4</c:v>
                </c:pt>
                <c:pt idx="396">
                  <c:v>374.45000000000005</c:v>
                </c:pt>
                <c:pt idx="397">
                  <c:v>374.65</c:v>
                </c:pt>
                <c:pt idx="398">
                  <c:v>375.21</c:v>
                </c:pt>
                <c:pt idx="399">
                  <c:v>375.53999999999996</c:v>
                </c:pt>
                <c:pt idx="400">
                  <c:v>376.2</c:v>
                </c:pt>
                <c:pt idx="401">
                  <c:v>376.96000000000004</c:v>
                </c:pt>
                <c:pt idx="402">
                  <c:v>377.46999999999997</c:v>
                </c:pt>
                <c:pt idx="403">
                  <c:v>377.71999999999997</c:v>
                </c:pt>
                <c:pt idx="404">
                  <c:v>377.94000000000005</c:v>
                </c:pt>
                <c:pt idx="405">
                  <c:v>378.39000000000004</c:v>
                </c:pt>
                <c:pt idx="406">
                  <c:v>378.68</c:v>
                </c:pt>
                <c:pt idx="407">
                  <c:v>378.96</c:v>
                </c:pt>
                <c:pt idx="408">
                  <c:v>379.74999999999994</c:v>
                </c:pt>
                <c:pt idx="409">
                  <c:v>380.53999999999996</c:v>
                </c:pt>
                <c:pt idx="410">
                  <c:v>382.12999999999994</c:v>
                </c:pt>
                <c:pt idx="411">
                  <c:v>382.36</c:v>
                </c:pt>
                <c:pt idx="412">
                  <c:v>382.52000000000004</c:v>
                </c:pt>
                <c:pt idx="413">
                  <c:v>383.82000000000005</c:v>
                </c:pt>
                <c:pt idx="414">
                  <c:v>384.08</c:v>
                </c:pt>
                <c:pt idx="415">
                  <c:v>384.08000000000004</c:v>
                </c:pt>
                <c:pt idx="416">
                  <c:v>384.62999999999994</c:v>
                </c:pt>
                <c:pt idx="417">
                  <c:v>384.68</c:v>
                </c:pt>
                <c:pt idx="418">
                  <c:v>385.93</c:v>
                </c:pt>
                <c:pt idx="419">
                  <c:v>386.46999999999997</c:v>
                </c:pt>
                <c:pt idx="420">
                  <c:v>386.5</c:v>
                </c:pt>
                <c:pt idx="421">
                  <c:v>386.76</c:v>
                </c:pt>
                <c:pt idx="422">
                  <c:v>387.46000000000004</c:v>
                </c:pt>
                <c:pt idx="423">
                  <c:v>387.64</c:v>
                </c:pt>
                <c:pt idx="424">
                  <c:v>388.61</c:v>
                </c:pt>
                <c:pt idx="425">
                  <c:v>388.71</c:v>
                </c:pt>
                <c:pt idx="426">
                  <c:v>390.06000000000006</c:v>
                </c:pt>
                <c:pt idx="427">
                  <c:v>390.26</c:v>
                </c:pt>
                <c:pt idx="428">
                  <c:v>390.36</c:v>
                </c:pt>
                <c:pt idx="429">
                  <c:v>391.43</c:v>
                </c:pt>
                <c:pt idx="430">
                  <c:v>391.46999999999997</c:v>
                </c:pt>
                <c:pt idx="431">
                  <c:v>391.65999999999997</c:v>
                </c:pt>
                <c:pt idx="432">
                  <c:v>391.83000000000004</c:v>
                </c:pt>
                <c:pt idx="433">
                  <c:v>392.55999999999995</c:v>
                </c:pt>
                <c:pt idx="434">
                  <c:v>393.75</c:v>
                </c:pt>
                <c:pt idx="435">
                  <c:v>394.09000000000003</c:v>
                </c:pt>
                <c:pt idx="436">
                  <c:v>394.21999999999997</c:v>
                </c:pt>
                <c:pt idx="437">
                  <c:v>394.23999999999995</c:v>
                </c:pt>
                <c:pt idx="438">
                  <c:v>394.31</c:v>
                </c:pt>
                <c:pt idx="439">
                  <c:v>396.88000000000005</c:v>
                </c:pt>
                <c:pt idx="440">
                  <c:v>397.06</c:v>
                </c:pt>
                <c:pt idx="441">
                  <c:v>397.71999999999997</c:v>
                </c:pt>
                <c:pt idx="442">
                  <c:v>398.8</c:v>
                </c:pt>
                <c:pt idx="443">
                  <c:v>398.81</c:v>
                </c:pt>
                <c:pt idx="444">
                  <c:v>399.02</c:v>
                </c:pt>
                <c:pt idx="445">
                  <c:v>399.4</c:v>
                </c:pt>
                <c:pt idx="446">
                  <c:v>400.5</c:v>
                </c:pt>
                <c:pt idx="447">
                  <c:v>401.74</c:v>
                </c:pt>
                <c:pt idx="448">
                  <c:v>402.45000000000005</c:v>
                </c:pt>
                <c:pt idx="449">
                  <c:v>402.82</c:v>
                </c:pt>
                <c:pt idx="450">
                  <c:v>403.41</c:v>
                </c:pt>
                <c:pt idx="451">
                  <c:v>403.77000000000004</c:v>
                </c:pt>
                <c:pt idx="452">
                  <c:v>403.78000000000003</c:v>
                </c:pt>
                <c:pt idx="453">
                  <c:v>403.96</c:v>
                </c:pt>
                <c:pt idx="454">
                  <c:v>404.19000000000005</c:v>
                </c:pt>
                <c:pt idx="455">
                  <c:v>404.26</c:v>
                </c:pt>
                <c:pt idx="456">
                  <c:v>404.34</c:v>
                </c:pt>
                <c:pt idx="457">
                  <c:v>404.53000000000003</c:v>
                </c:pt>
                <c:pt idx="458">
                  <c:v>406.58000000000004</c:v>
                </c:pt>
                <c:pt idx="459">
                  <c:v>407.56</c:v>
                </c:pt>
                <c:pt idx="460">
                  <c:v>408.57</c:v>
                </c:pt>
                <c:pt idx="461">
                  <c:v>410.42999999999995</c:v>
                </c:pt>
                <c:pt idx="462">
                  <c:v>410.73999999999995</c:v>
                </c:pt>
                <c:pt idx="463">
                  <c:v>412.32</c:v>
                </c:pt>
                <c:pt idx="464">
                  <c:v>412.59</c:v>
                </c:pt>
                <c:pt idx="465">
                  <c:v>413.63</c:v>
                </c:pt>
                <c:pt idx="466">
                  <c:v>414.84000000000003</c:v>
                </c:pt>
                <c:pt idx="467">
                  <c:v>415.28000000000003</c:v>
                </c:pt>
                <c:pt idx="468">
                  <c:v>415.91</c:v>
                </c:pt>
                <c:pt idx="469">
                  <c:v>417.12000000000006</c:v>
                </c:pt>
                <c:pt idx="470">
                  <c:v>417.40000000000003</c:v>
                </c:pt>
                <c:pt idx="471">
                  <c:v>417.68</c:v>
                </c:pt>
                <c:pt idx="472">
                  <c:v>418.6</c:v>
                </c:pt>
                <c:pt idx="473">
                  <c:v>420.03000000000003</c:v>
                </c:pt>
                <c:pt idx="474">
                  <c:v>420.33000000000004</c:v>
                </c:pt>
                <c:pt idx="475">
                  <c:v>420.39</c:v>
                </c:pt>
                <c:pt idx="476">
                  <c:v>420.84999999999997</c:v>
                </c:pt>
                <c:pt idx="477">
                  <c:v>421.18</c:v>
                </c:pt>
                <c:pt idx="478">
                  <c:v>422.38</c:v>
                </c:pt>
                <c:pt idx="479">
                  <c:v>423.60999999999996</c:v>
                </c:pt>
                <c:pt idx="480">
                  <c:v>426.15999999999997</c:v>
                </c:pt>
                <c:pt idx="481">
                  <c:v>426.38000000000005</c:v>
                </c:pt>
                <c:pt idx="482">
                  <c:v>430.86</c:v>
                </c:pt>
                <c:pt idx="483">
                  <c:v>430.87</c:v>
                </c:pt>
                <c:pt idx="484">
                  <c:v>431.78999999999996</c:v>
                </c:pt>
                <c:pt idx="485">
                  <c:v>435.5</c:v>
                </c:pt>
                <c:pt idx="486">
                  <c:v>438.84999999999991</c:v>
                </c:pt>
                <c:pt idx="487">
                  <c:v>440.17</c:v>
                </c:pt>
                <c:pt idx="488">
                  <c:v>443.01</c:v>
                </c:pt>
                <c:pt idx="489">
                  <c:v>446.16999999999996</c:v>
                </c:pt>
                <c:pt idx="490">
                  <c:v>446.18</c:v>
                </c:pt>
                <c:pt idx="491">
                  <c:v>446.80000000000007</c:v>
                </c:pt>
                <c:pt idx="492">
                  <c:v>447.6</c:v>
                </c:pt>
                <c:pt idx="493">
                  <c:v>450.31</c:v>
                </c:pt>
                <c:pt idx="494">
                  <c:v>462.24</c:v>
                </c:pt>
                <c:pt idx="495">
                  <c:v>469.65999999999997</c:v>
                </c:pt>
                <c:pt idx="496">
                  <c:v>471.14999999999992</c:v>
                </c:pt>
              </c:numCache>
            </c:numRef>
          </c:yVal>
          <c:smooth val="1"/>
        </c:ser>
        <c:dLbls>
          <c:showLegendKey val="0"/>
          <c:showVal val="0"/>
          <c:showCatName val="0"/>
          <c:showSerName val="0"/>
          <c:showPercent val="0"/>
          <c:showBubbleSize val="0"/>
        </c:dLbls>
        <c:axId val="424533528"/>
        <c:axId val="424530000"/>
      </c:scatterChart>
      <c:valAx>
        <c:axId val="424533528"/>
        <c:scaling>
          <c:orientation val="minMax"/>
        </c:scaling>
        <c:delete val="0"/>
        <c:axPos val="b"/>
        <c:title>
          <c:tx>
            <c:rich>
              <a:bodyPr/>
              <a:lstStyle/>
              <a:p>
                <a:pPr>
                  <a:defRPr/>
                </a:pPr>
                <a:r>
                  <a:rPr lang="en-AU" b="0"/>
                  <a:t>Cumulative production, million tonnes</a:t>
                </a:r>
              </a:p>
            </c:rich>
          </c:tx>
          <c:layout>
            <c:manualLayout>
              <c:xMode val="edge"/>
              <c:yMode val="edge"/>
              <c:x val="0.35964964178446585"/>
              <c:y val="0.84014396857443308"/>
            </c:manualLayout>
          </c:layout>
          <c:overlay val="0"/>
        </c:title>
        <c:numFmt formatCode="#,##0" sourceLinked="0"/>
        <c:majorTickMark val="none"/>
        <c:minorTickMark val="none"/>
        <c:tickLblPos val="nextTo"/>
        <c:crossAx val="424530000"/>
        <c:crosses val="autoZero"/>
        <c:crossBetween val="midCat"/>
      </c:valAx>
      <c:valAx>
        <c:axId val="424530000"/>
        <c:scaling>
          <c:orientation val="minMax"/>
        </c:scaling>
        <c:delete val="0"/>
        <c:axPos val="l"/>
        <c:title>
          <c:tx>
            <c:rich>
              <a:bodyPr rot="-5400000" vert="horz"/>
              <a:lstStyle/>
              <a:p>
                <a:pPr>
                  <a:defRPr/>
                </a:pPr>
                <a:r>
                  <a:rPr lang="en-AU" b="0"/>
                  <a:t>US$/t</a:t>
                </a:r>
              </a:p>
            </c:rich>
          </c:tx>
          <c:layout>
            <c:manualLayout>
              <c:xMode val="edge"/>
              <c:yMode val="edge"/>
              <c:x val="2.1164021164021163E-2"/>
              <c:y val="0.32702441606563887"/>
            </c:manualLayout>
          </c:layout>
          <c:overlay val="0"/>
        </c:title>
        <c:numFmt formatCode="#,##0" sourceLinked="0"/>
        <c:majorTickMark val="none"/>
        <c:minorTickMark val="none"/>
        <c:tickLblPos val="nextTo"/>
        <c:crossAx val="424533528"/>
        <c:crosses val="autoZero"/>
        <c:crossBetween val="midCat"/>
        <c:majorUnit val="200"/>
      </c:valAx>
    </c:plotArea>
    <c:legend>
      <c:legendPos val="b"/>
      <c:layout>
        <c:manualLayout>
          <c:xMode val="edge"/>
          <c:yMode val="edge"/>
          <c:x val="0.30461366666562856"/>
          <c:y val="0.91589693311682341"/>
          <c:w val="0.42463492063492064"/>
          <c:h val="8.4102955954972899E-2"/>
        </c:manualLayout>
      </c:layout>
      <c:overlay val="0"/>
    </c:legend>
    <c:plotVisOnly val="1"/>
    <c:dispBlanksAs val="gap"/>
    <c:showDLblsOverMax val="0"/>
  </c:chart>
  <c:spPr>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CE">
    <a:dk1>
      <a:srgbClr val="595A5B"/>
    </a:dk1>
    <a:lt1>
      <a:sysClr val="window" lastClr="FFFFFF"/>
    </a:lt1>
    <a:dk2>
      <a:srgbClr val="595A5B"/>
    </a:dk2>
    <a:lt2>
      <a:srgbClr val="EEECE1"/>
    </a:lt2>
    <a:accent1>
      <a:srgbClr val="292B67"/>
    </a:accent1>
    <a:accent2>
      <a:srgbClr val="9ED9DF"/>
    </a:accent2>
    <a:accent3>
      <a:srgbClr val="22789A"/>
    </a:accent3>
    <a:accent4>
      <a:srgbClr val="BCBFC1"/>
    </a:accent4>
    <a:accent5>
      <a:srgbClr val="595A5B"/>
    </a:accent5>
    <a:accent6>
      <a:srgbClr val="56B4DF"/>
    </a:accent6>
    <a:hlink>
      <a:srgbClr val="22789A"/>
    </a:hlink>
    <a:folHlink>
      <a:srgbClr val="22789A"/>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74D8F5-8723-4F14-9771-2FBB3264A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31658</Words>
  <Characters>180454</Characters>
  <Application>Microsoft Office Word</Application>
  <DocSecurity>4</DocSecurity>
  <Lines>1503</Lines>
  <Paragraphs>423</Paragraphs>
  <ScaleCrop>false</ScaleCrop>
  <HeadingPairs>
    <vt:vector size="2" baseType="variant">
      <vt:variant>
        <vt:lpstr>Title</vt:lpstr>
      </vt:variant>
      <vt:variant>
        <vt:i4>1</vt:i4>
      </vt:variant>
    </vt:vector>
  </HeadingPairs>
  <TitlesOfParts>
    <vt:vector size="1" baseType="lpstr">
      <vt:lpstr/>
    </vt:vector>
  </TitlesOfParts>
  <Company>INDUSTRY</Company>
  <LinksUpToDate>false</LinksUpToDate>
  <CharactersWithSpaces>211689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Brandis, Melanie</dc:creator>
  <cp:lastModifiedBy>Wagner, Rosie</cp:lastModifiedBy>
  <cp:revision>2</cp:revision>
  <cp:lastPrinted>2016-08-31T08:22:00Z</cp:lastPrinted>
  <dcterms:created xsi:type="dcterms:W3CDTF">2019-05-03T06:20:00Z</dcterms:created>
  <dcterms:modified xsi:type="dcterms:W3CDTF">2019-05-03T06:20:00Z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Number">
    <vt:i4>0</vt:i4>
  </property>
  <property fmtid="{D5CDD505-2E9C-101B-9397-08002B2CF9AE}" pid="3" name="ClassificationPty">
    <vt:lpwstr/>
  </property>
  <property fmtid="{D5CDD505-2E9C-101B-9397-08002B2CF9AE}" pid="4" name="FileNumberPty">
    <vt:lpwstr/>
  </property>
  <property fmtid="{D5CDD505-2E9C-101B-9397-08002B2CF9AE}" pid="5" name="CorporateTmplBased">
    <vt:lpwstr>No</vt:lpwstr>
  </property>
</Properties>
</file>