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8DB8" w14:textId="4DE84C3C" w:rsidR="006F428F" w:rsidRPr="000C75FA" w:rsidRDefault="006720FE" w:rsidP="00EE6C16">
      <w:pPr>
        <w:pStyle w:val="Title"/>
      </w:pPr>
      <w:bookmarkStart w:id="0" w:name="_GoBack"/>
      <w:bookmarkEnd w:id="0"/>
      <w:r>
        <w:t>How to apply for a</w:t>
      </w:r>
      <w:r w:rsidR="00B374B5">
        <w:t>n exemption</w:t>
      </w:r>
    </w:p>
    <w:p w14:paraId="3FB7A46D" w14:textId="2112D8D2" w:rsidR="00A63293" w:rsidRDefault="001D0598" w:rsidP="00EE6C16">
      <w:pPr>
        <w:pStyle w:val="Subtitle"/>
      </w:pPr>
      <w:r>
        <w:rPr>
          <w:lang w:val="fr-FR"/>
        </w:rPr>
        <w:t>Anti-Dumping Commission</w:t>
      </w:r>
    </w:p>
    <w:p w14:paraId="4FC03330" w14:textId="4DE441CE" w:rsidR="00EE6C16" w:rsidRDefault="00022AE5" w:rsidP="00751ABE">
      <w:pPr>
        <w:pStyle w:val="Subtitle"/>
        <w:rPr>
          <w:color w:val="00283E"/>
          <w:sz w:val="52"/>
          <w:szCs w:val="32"/>
        </w:rPr>
      </w:pPr>
      <w:r>
        <w:rPr>
          <w:lang w:val="en-US"/>
        </w:rPr>
        <w:t>April</w:t>
      </w:r>
      <w:r w:rsidR="00DC20D9">
        <w:rPr>
          <w:lang w:val="en-US"/>
        </w:rPr>
        <w:t xml:space="preserve"> </w:t>
      </w:r>
      <w:r w:rsidR="00A63293" w:rsidRPr="00A63293">
        <w:rPr>
          <w:lang w:val="en-US"/>
        </w:rPr>
        <w:t>201</w:t>
      </w:r>
      <w:r w:rsidR="00DC20D9">
        <w:rPr>
          <w:lang w:val="en-US"/>
        </w:rPr>
        <w:t>9</w:t>
      </w:r>
      <w:r w:rsidR="00EE6C16">
        <w:br w:type="page"/>
      </w:r>
    </w:p>
    <w:bookmarkStart w:id="1" w:name="_Toc195424" w:displacedByCustomXml="next"/>
    <w:bookmarkStart w:id="2" w:name="_Toc6386346"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14:paraId="1B7898DF" w14:textId="77777777" w:rsidR="00EE6C16" w:rsidRDefault="00EE6C16" w:rsidP="00EE6C16">
          <w:pPr>
            <w:pStyle w:val="TOCHeading"/>
          </w:pPr>
          <w:r>
            <w:t>Contents</w:t>
          </w:r>
          <w:bookmarkEnd w:id="2"/>
          <w:bookmarkEnd w:id="1"/>
        </w:p>
        <w:p w14:paraId="34B86F90" w14:textId="77777777" w:rsidR="00912068" w:rsidRDefault="00EE6C16">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6386346" w:history="1">
            <w:r w:rsidR="00912068" w:rsidRPr="00DA4E05">
              <w:rPr>
                <w:rStyle w:val="Hyperlink"/>
                <w:noProof/>
              </w:rPr>
              <w:t>Contents</w:t>
            </w:r>
            <w:r w:rsidR="00912068">
              <w:rPr>
                <w:noProof/>
                <w:webHidden/>
              </w:rPr>
              <w:tab/>
            </w:r>
            <w:r w:rsidR="00912068">
              <w:rPr>
                <w:noProof/>
                <w:webHidden/>
              </w:rPr>
              <w:fldChar w:fldCharType="begin"/>
            </w:r>
            <w:r w:rsidR="00912068">
              <w:rPr>
                <w:noProof/>
                <w:webHidden/>
              </w:rPr>
              <w:instrText xml:space="preserve"> PAGEREF _Toc6386346 \h </w:instrText>
            </w:r>
            <w:r w:rsidR="00912068">
              <w:rPr>
                <w:noProof/>
                <w:webHidden/>
              </w:rPr>
            </w:r>
            <w:r w:rsidR="00912068">
              <w:rPr>
                <w:noProof/>
                <w:webHidden/>
              </w:rPr>
              <w:fldChar w:fldCharType="separate"/>
            </w:r>
            <w:r w:rsidR="00B86D81">
              <w:rPr>
                <w:noProof/>
                <w:webHidden/>
              </w:rPr>
              <w:t>2</w:t>
            </w:r>
            <w:r w:rsidR="00912068">
              <w:rPr>
                <w:noProof/>
                <w:webHidden/>
              </w:rPr>
              <w:fldChar w:fldCharType="end"/>
            </w:r>
          </w:hyperlink>
        </w:p>
        <w:p w14:paraId="229CAEDF" w14:textId="77777777" w:rsidR="00912068" w:rsidRDefault="00B86D81">
          <w:pPr>
            <w:pStyle w:val="TOC1"/>
            <w:tabs>
              <w:tab w:val="right" w:leader="dot" w:pos="9016"/>
            </w:tabs>
            <w:rPr>
              <w:rFonts w:asciiTheme="minorHAnsi" w:eastAsiaTheme="minorEastAsia" w:hAnsiTheme="minorHAnsi"/>
              <w:noProof/>
              <w:lang w:eastAsia="en-AU"/>
            </w:rPr>
          </w:pPr>
          <w:hyperlink w:anchor="_Toc6386347" w:history="1">
            <w:r w:rsidR="00912068" w:rsidRPr="00DA4E05">
              <w:rPr>
                <w:rStyle w:val="Hyperlink"/>
                <w:noProof/>
              </w:rPr>
              <w:t>Purpose</w:t>
            </w:r>
            <w:r w:rsidR="00912068">
              <w:rPr>
                <w:noProof/>
                <w:webHidden/>
              </w:rPr>
              <w:tab/>
            </w:r>
            <w:r w:rsidR="00912068">
              <w:rPr>
                <w:noProof/>
                <w:webHidden/>
              </w:rPr>
              <w:fldChar w:fldCharType="begin"/>
            </w:r>
            <w:r w:rsidR="00912068">
              <w:rPr>
                <w:noProof/>
                <w:webHidden/>
              </w:rPr>
              <w:instrText xml:space="preserve"> PAGEREF _Toc6386347 \h </w:instrText>
            </w:r>
            <w:r w:rsidR="00912068">
              <w:rPr>
                <w:noProof/>
                <w:webHidden/>
              </w:rPr>
            </w:r>
            <w:r w:rsidR="00912068">
              <w:rPr>
                <w:noProof/>
                <w:webHidden/>
              </w:rPr>
              <w:fldChar w:fldCharType="separate"/>
            </w:r>
            <w:r>
              <w:rPr>
                <w:noProof/>
                <w:webHidden/>
              </w:rPr>
              <w:t>3</w:t>
            </w:r>
            <w:r w:rsidR="00912068">
              <w:rPr>
                <w:noProof/>
                <w:webHidden/>
              </w:rPr>
              <w:fldChar w:fldCharType="end"/>
            </w:r>
          </w:hyperlink>
        </w:p>
        <w:p w14:paraId="6FED6665" w14:textId="77777777" w:rsidR="00912068" w:rsidRDefault="00B86D81">
          <w:pPr>
            <w:pStyle w:val="TOC1"/>
            <w:tabs>
              <w:tab w:val="right" w:leader="dot" w:pos="9016"/>
            </w:tabs>
            <w:rPr>
              <w:rFonts w:asciiTheme="minorHAnsi" w:eastAsiaTheme="minorEastAsia" w:hAnsiTheme="minorHAnsi"/>
              <w:noProof/>
              <w:lang w:eastAsia="en-AU"/>
            </w:rPr>
          </w:pPr>
          <w:hyperlink w:anchor="_Toc6386348" w:history="1">
            <w:r w:rsidR="00912068" w:rsidRPr="00DA4E05">
              <w:rPr>
                <w:rStyle w:val="Hyperlink"/>
                <w:noProof/>
              </w:rPr>
              <w:t>Introduction</w:t>
            </w:r>
            <w:r w:rsidR="00912068">
              <w:rPr>
                <w:noProof/>
                <w:webHidden/>
              </w:rPr>
              <w:tab/>
            </w:r>
            <w:r w:rsidR="00912068">
              <w:rPr>
                <w:noProof/>
                <w:webHidden/>
              </w:rPr>
              <w:fldChar w:fldCharType="begin"/>
            </w:r>
            <w:r w:rsidR="00912068">
              <w:rPr>
                <w:noProof/>
                <w:webHidden/>
              </w:rPr>
              <w:instrText xml:space="preserve"> PAGEREF _Toc6386348 \h </w:instrText>
            </w:r>
            <w:r w:rsidR="00912068">
              <w:rPr>
                <w:noProof/>
                <w:webHidden/>
              </w:rPr>
            </w:r>
            <w:r w:rsidR="00912068">
              <w:rPr>
                <w:noProof/>
                <w:webHidden/>
              </w:rPr>
              <w:fldChar w:fldCharType="separate"/>
            </w:r>
            <w:r>
              <w:rPr>
                <w:noProof/>
                <w:webHidden/>
              </w:rPr>
              <w:t>3</w:t>
            </w:r>
            <w:r w:rsidR="00912068">
              <w:rPr>
                <w:noProof/>
                <w:webHidden/>
              </w:rPr>
              <w:fldChar w:fldCharType="end"/>
            </w:r>
          </w:hyperlink>
        </w:p>
        <w:p w14:paraId="017E122D" w14:textId="77777777" w:rsidR="00912068" w:rsidRDefault="00B86D81">
          <w:pPr>
            <w:pStyle w:val="TOC1"/>
            <w:tabs>
              <w:tab w:val="right" w:leader="dot" w:pos="9016"/>
            </w:tabs>
            <w:rPr>
              <w:rFonts w:asciiTheme="minorHAnsi" w:eastAsiaTheme="minorEastAsia" w:hAnsiTheme="minorHAnsi"/>
              <w:noProof/>
              <w:lang w:eastAsia="en-AU"/>
            </w:rPr>
          </w:pPr>
          <w:hyperlink w:anchor="_Toc6386349" w:history="1">
            <w:r w:rsidR="00912068" w:rsidRPr="00DA4E05">
              <w:rPr>
                <w:rStyle w:val="Hyperlink"/>
                <w:noProof/>
              </w:rPr>
              <w:t>Grounds for an exemption</w:t>
            </w:r>
            <w:r w:rsidR="00912068">
              <w:rPr>
                <w:noProof/>
                <w:webHidden/>
              </w:rPr>
              <w:tab/>
            </w:r>
            <w:r w:rsidR="00912068">
              <w:rPr>
                <w:noProof/>
                <w:webHidden/>
              </w:rPr>
              <w:fldChar w:fldCharType="begin"/>
            </w:r>
            <w:r w:rsidR="00912068">
              <w:rPr>
                <w:noProof/>
                <w:webHidden/>
              </w:rPr>
              <w:instrText xml:space="preserve"> PAGEREF _Toc6386349 \h </w:instrText>
            </w:r>
            <w:r w:rsidR="00912068">
              <w:rPr>
                <w:noProof/>
                <w:webHidden/>
              </w:rPr>
            </w:r>
            <w:r w:rsidR="00912068">
              <w:rPr>
                <w:noProof/>
                <w:webHidden/>
              </w:rPr>
              <w:fldChar w:fldCharType="separate"/>
            </w:r>
            <w:r>
              <w:rPr>
                <w:noProof/>
                <w:webHidden/>
              </w:rPr>
              <w:t>3</w:t>
            </w:r>
            <w:r w:rsidR="00912068">
              <w:rPr>
                <w:noProof/>
                <w:webHidden/>
              </w:rPr>
              <w:fldChar w:fldCharType="end"/>
            </w:r>
          </w:hyperlink>
        </w:p>
        <w:p w14:paraId="5C8C07F6" w14:textId="77777777" w:rsidR="00912068" w:rsidRDefault="00B86D81">
          <w:pPr>
            <w:pStyle w:val="TOC1"/>
            <w:tabs>
              <w:tab w:val="right" w:leader="dot" w:pos="9016"/>
            </w:tabs>
            <w:rPr>
              <w:rFonts w:asciiTheme="minorHAnsi" w:eastAsiaTheme="minorEastAsia" w:hAnsiTheme="minorHAnsi"/>
              <w:noProof/>
              <w:lang w:eastAsia="en-AU"/>
            </w:rPr>
          </w:pPr>
          <w:hyperlink w:anchor="_Toc6386350" w:history="1">
            <w:r w:rsidR="00912068" w:rsidRPr="00DA4E05">
              <w:rPr>
                <w:rStyle w:val="Hyperlink"/>
                <w:noProof/>
              </w:rPr>
              <w:t>When to apply?</w:t>
            </w:r>
            <w:r w:rsidR="00912068">
              <w:rPr>
                <w:noProof/>
                <w:webHidden/>
              </w:rPr>
              <w:tab/>
            </w:r>
            <w:r w:rsidR="00912068">
              <w:rPr>
                <w:noProof/>
                <w:webHidden/>
              </w:rPr>
              <w:fldChar w:fldCharType="begin"/>
            </w:r>
            <w:r w:rsidR="00912068">
              <w:rPr>
                <w:noProof/>
                <w:webHidden/>
              </w:rPr>
              <w:instrText xml:space="preserve"> PAGEREF _Toc6386350 \h </w:instrText>
            </w:r>
            <w:r w:rsidR="00912068">
              <w:rPr>
                <w:noProof/>
                <w:webHidden/>
              </w:rPr>
            </w:r>
            <w:r w:rsidR="00912068">
              <w:rPr>
                <w:noProof/>
                <w:webHidden/>
              </w:rPr>
              <w:fldChar w:fldCharType="separate"/>
            </w:r>
            <w:r>
              <w:rPr>
                <w:noProof/>
                <w:webHidden/>
              </w:rPr>
              <w:t>4</w:t>
            </w:r>
            <w:r w:rsidR="00912068">
              <w:rPr>
                <w:noProof/>
                <w:webHidden/>
              </w:rPr>
              <w:fldChar w:fldCharType="end"/>
            </w:r>
          </w:hyperlink>
        </w:p>
        <w:p w14:paraId="031A4A61" w14:textId="77777777" w:rsidR="00912068" w:rsidRDefault="00B86D81">
          <w:pPr>
            <w:pStyle w:val="TOC1"/>
            <w:tabs>
              <w:tab w:val="right" w:leader="dot" w:pos="9016"/>
            </w:tabs>
            <w:rPr>
              <w:rFonts w:asciiTheme="minorHAnsi" w:eastAsiaTheme="minorEastAsia" w:hAnsiTheme="minorHAnsi"/>
              <w:noProof/>
              <w:lang w:eastAsia="en-AU"/>
            </w:rPr>
          </w:pPr>
          <w:hyperlink w:anchor="_Toc6386351" w:history="1">
            <w:r w:rsidR="00912068" w:rsidRPr="00DA4E05">
              <w:rPr>
                <w:rStyle w:val="Hyperlink"/>
                <w:noProof/>
              </w:rPr>
              <w:t>How to apply?</w:t>
            </w:r>
            <w:r w:rsidR="00912068">
              <w:rPr>
                <w:noProof/>
                <w:webHidden/>
              </w:rPr>
              <w:tab/>
            </w:r>
            <w:r w:rsidR="00912068">
              <w:rPr>
                <w:noProof/>
                <w:webHidden/>
              </w:rPr>
              <w:fldChar w:fldCharType="begin"/>
            </w:r>
            <w:r w:rsidR="00912068">
              <w:rPr>
                <w:noProof/>
                <w:webHidden/>
              </w:rPr>
              <w:instrText xml:space="preserve"> PAGEREF _Toc6386351 \h </w:instrText>
            </w:r>
            <w:r w:rsidR="00912068">
              <w:rPr>
                <w:noProof/>
                <w:webHidden/>
              </w:rPr>
            </w:r>
            <w:r w:rsidR="00912068">
              <w:rPr>
                <w:noProof/>
                <w:webHidden/>
              </w:rPr>
              <w:fldChar w:fldCharType="separate"/>
            </w:r>
            <w:r>
              <w:rPr>
                <w:noProof/>
                <w:webHidden/>
              </w:rPr>
              <w:t>4</w:t>
            </w:r>
            <w:r w:rsidR="00912068">
              <w:rPr>
                <w:noProof/>
                <w:webHidden/>
              </w:rPr>
              <w:fldChar w:fldCharType="end"/>
            </w:r>
          </w:hyperlink>
        </w:p>
        <w:p w14:paraId="22A41A4C" w14:textId="77777777" w:rsidR="00912068" w:rsidRDefault="00B86D81">
          <w:pPr>
            <w:pStyle w:val="TOC1"/>
            <w:tabs>
              <w:tab w:val="right" w:leader="dot" w:pos="9016"/>
            </w:tabs>
            <w:rPr>
              <w:rFonts w:asciiTheme="minorHAnsi" w:eastAsiaTheme="minorEastAsia" w:hAnsiTheme="minorHAnsi"/>
              <w:noProof/>
              <w:lang w:eastAsia="en-AU"/>
            </w:rPr>
          </w:pPr>
          <w:hyperlink w:anchor="_Toc6386352" w:history="1">
            <w:r w:rsidR="00912068" w:rsidRPr="00DA4E05">
              <w:rPr>
                <w:rStyle w:val="Hyperlink"/>
                <w:noProof/>
              </w:rPr>
              <w:t>Application letter</w:t>
            </w:r>
            <w:r w:rsidR="00912068">
              <w:rPr>
                <w:noProof/>
                <w:webHidden/>
              </w:rPr>
              <w:tab/>
            </w:r>
            <w:r w:rsidR="00912068">
              <w:rPr>
                <w:noProof/>
                <w:webHidden/>
              </w:rPr>
              <w:fldChar w:fldCharType="begin"/>
            </w:r>
            <w:r w:rsidR="00912068">
              <w:rPr>
                <w:noProof/>
                <w:webHidden/>
              </w:rPr>
              <w:instrText xml:space="preserve"> PAGEREF _Toc6386352 \h </w:instrText>
            </w:r>
            <w:r w:rsidR="00912068">
              <w:rPr>
                <w:noProof/>
                <w:webHidden/>
              </w:rPr>
            </w:r>
            <w:r w:rsidR="00912068">
              <w:rPr>
                <w:noProof/>
                <w:webHidden/>
              </w:rPr>
              <w:fldChar w:fldCharType="separate"/>
            </w:r>
            <w:r>
              <w:rPr>
                <w:noProof/>
                <w:webHidden/>
              </w:rPr>
              <w:t>6</w:t>
            </w:r>
            <w:r w:rsidR="00912068">
              <w:rPr>
                <w:noProof/>
                <w:webHidden/>
              </w:rPr>
              <w:fldChar w:fldCharType="end"/>
            </w:r>
          </w:hyperlink>
        </w:p>
        <w:p w14:paraId="0C918BCA" w14:textId="77777777" w:rsidR="00912068" w:rsidRDefault="00B86D81">
          <w:pPr>
            <w:pStyle w:val="TOC1"/>
            <w:tabs>
              <w:tab w:val="right" w:leader="dot" w:pos="9016"/>
            </w:tabs>
            <w:rPr>
              <w:rFonts w:asciiTheme="minorHAnsi" w:eastAsiaTheme="minorEastAsia" w:hAnsiTheme="minorHAnsi"/>
              <w:noProof/>
              <w:lang w:eastAsia="en-AU"/>
            </w:rPr>
          </w:pPr>
          <w:hyperlink w:anchor="_Toc6386353" w:history="1">
            <w:r w:rsidR="00912068" w:rsidRPr="00DA4E05">
              <w:rPr>
                <w:rStyle w:val="Hyperlink"/>
                <w:noProof/>
              </w:rPr>
              <w:t>Non confidential version</w:t>
            </w:r>
            <w:r w:rsidR="00912068">
              <w:rPr>
                <w:noProof/>
                <w:webHidden/>
              </w:rPr>
              <w:tab/>
            </w:r>
            <w:r w:rsidR="00912068">
              <w:rPr>
                <w:noProof/>
                <w:webHidden/>
              </w:rPr>
              <w:fldChar w:fldCharType="begin"/>
            </w:r>
            <w:r w:rsidR="00912068">
              <w:rPr>
                <w:noProof/>
                <w:webHidden/>
              </w:rPr>
              <w:instrText xml:space="preserve"> PAGEREF _Toc6386353 \h </w:instrText>
            </w:r>
            <w:r w:rsidR="00912068">
              <w:rPr>
                <w:noProof/>
                <w:webHidden/>
              </w:rPr>
            </w:r>
            <w:r w:rsidR="00912068">
              <w:rPr>
                <w:noProof/>
                <w:webHidden/>
              </w:rPr>
              <w:fldChar w:fldCharType="separate"/>
            </w:r>
            <w:r>
              <w:rPr>
                <w:noProof/>
                <w:webHidden/>
              </w:rPr>
              <w:t>7</w:t>
            </w:r>
            <w:r w:rsidR="00912068">
              <w:rPr>
                <w:noProof/>
                <w:webHidden/>
              </w:rPr>
              <w:fldChar w:fldCharType="end"/>
            </w:r>
          </w:hyperlink>
        </w:p>
        <w:p w14:paraId="46AC7503" w14:textId="77777777" w:rsidR="00912068" w:rsidRDefault="00B86D81">
          <w:pPr>
            <w:pStyle w:val="TOC1"/>
            <w:tabs>
              <w:tab w:val="right" w:leader="dot" w:pos="9016"/>
            </w:tabs>
            <w:rPr>
              <w:rFonts w:asciiTheme="minorHAnsi" w:eastAsiaTheme="minorEastAsia" w:hAnsiTheme="minorHAnsi"/>
              <w:noProof/>
              <w:lang w:eastAsia="en-AU"/>
            </w:rPr>
          </w:pPr>
          <w:hyperlink w:anchor="_Toc6386354" w:history="1">
            <w:r w:rsidR="00912068" w:rsidRPr="00DA4E05">
              <w:rPr>
                <w:rStyle w:val="Hyperlink"/>
                <w:noProof/>
              </w:rPr>
              <w:t>Pre-lodgement documentation check</w:t>
            </w:r>
            <w:r w:rsidR="00912068">
              <w:rPr>
                <w:noProof/>
                <w:webHidden/>
              </w:rPr>
              <w:tab/>
            </w:r>
            <w:r w:rsidR="00912068">
              <w:rPr>
                <w:noProof/>
                <w:webHidden/>
              </w:rPr>
              <w:fldChar w:fldCharType="begin"/>
            </w:r>
            <w:r w:rsidR="00912068">
              <w:rPr>
                <w:noProof/>
                <w:webHidden/>
              </w:rPr>
              <w:instrText xml:space="preserve"> PAGEREF _Toc6386354 \h </w:instrText>
            </w:r>
            <w:r w:rsidR="00912068">
              <w:rPr>
                <w:noProof/>
                <w:webHidden/>
              </w:rPr>
            </w:r>
            <w:r w:rsidR="00912068">
              <w:rPr>
                <w:noProof/>
                <w:webHidden/>
              </w:rPr>
              <w:fldChar w:fldCharType="separate"/>
            </w:r>
            <w:r>
              <w:rPr>
                <w:noProof/>
                <w:webHidden/>
              </w:rPr>
              <w:t>7</w:t>
            </w:r>
            <w:r w:rsidR="00912068">
              <w:rPr>
                <w:noProof/>
                <w:webHidden/>
              </w:rPr>
              <w:fldChar w:fldCharType="end"/>
            </w:r>
          </w:hyperlink>
        </w:p>
        <w:p w14:paraId="6111C982" w14:textId="77777777" w:rsidR="00912068" w:rsidRDefault="00B86D81">
          <w:pPr>
            <w:pStyle w:val="TOC1"/>
            <w:tabs>
              <w:tab w:val="right" w:leader="dot" w:pos="9016"/>
            </w:tabs>
            <w:rPr>
              <w:rFonts w:asciiTheme="minorHAnsi" w:eastAsiaTheme="minorEastAsia" w:hAnsiTheme="minorHAnsi"/>
              <w:noProof/>
              <w:lang w:eastAsia="en-AU"/>
            </w:rPr>
          </w:pPr>
          <w:hyperlink w:anchor="_Toc6386355" w:history="1">
            <w:r w:rsidR="00912068" w:rsidRPr="00DA4E05">
              <w:rPr>
                <w:rStyle w:val="Hyperlink"/>
                <w:noProof/>
              </w:rPr>
              <w:t>How to ‘formally’ lodge the application?</w:t>
            </w:r>
            <w:r w:rsidR="00912068">
              <w:rPr>
                <w:noProof/>
                <w:webHidden/>
              </w:rPr>
              <w:tab/>
            </w:r>
            <w:r w:rsidR="00912068">
              <w:rPr>
                <w:noProof/>
                <w:webHidden/>
              </w:rPr>
              <w:fldChar w:fldCharType="begin"/>
            </w:r>
            <w:r w:rsidR="00912068">
              <w:rPr>
                <w:noProof/>
                <w:webHidden/>
              </w:rPr>
              <w:instrText xml:space="preserve"> PAGEREF _Toc6386355 \h </w:instrText>
            </w:r>
            <w:r w:rsidR="00912068">
              <w:rPr>
                <w:noProof/>
                <w:webHidden/>
              </w:rPr>
            </w:r>
            <w:r w:rsidR="00912068">
              <w:rPr>
                <w:noProof/>
                <w:webHidden/>
              </w:rPr>
              <w:fldChar w:fldCharType="separate"/>
            </w:r>
            <w:r>
              <w:rPr>
                <w:noProof/>
                <w:webHidden/>
              </w:rPr>
              <w:t>7</w:t>
            </w:r>
            <w:r w:rsidR="00912068">
              <w:rPr>
                <w:noProof/>
                <w:webHidden/>
              </w:rPr>
              <w:fldChar w:fldCharType="end"/>
            </w:r>
          </w:hyperlink>
        </w:p>
        <w:p w14:paraId="026C5CC4" w14:textId="77777777" w:rsidR="00912068" w:rsidRDefault="00B86D81">
          <w:pPr>
            <w:pStyle w:val="TOC1"/>
            <w:tabs>
              <w:tab w:val="right" w:leader="dot" w:pos="9016"/>
            </w:tabs>
            <w:rPr>
              <w:rFonts w:asciiTheme="minorHAnsi" w:eastAsiaTheme="minorEastAsia" w:hAnsiTheme="minorHAnsi"/>
              <w:noProof/>
              <w:lang w:eastAsia="en-AU"/>
            </w:rPr>
          </w:pPr>
          <w:hyperlink w:anchor="_Toc6386356" w:history="1">
            <w:r w:rsidR="00912068" w:rsidRPr="00DA4E05">
              <w:rPr>
                <w:rStyle w:val="Hyperlink"/>
                <w:noProof/>
              </w:rPr>
              <w:t>Timeframes</w:t>
            </w:r>
            <w:r w:rsidR="00912068">
              <w:rPr>
                <w:noProof/>
                <w:webHidden/>
              </w:rPr>
              <w:tab/>
            </w:r>
            <w:r w:rsidR="00912068">
              <w:rPr>
                <w:noProof/>
                <w:webHidden/>
              </w:rPr>
              <w:fldChar w:fldCharType="begin"/>
            </w:r>
            <w:r w:rsidR="00912068">
              <w:rPr>
                <w:noProof/>
                <w:webHidden/>
              </w:rPr>
              <w:instrText xml:space="preserve"> PAGEREF _Toc6386356 \h </w:instrText>
            </w:r>
            <w:r w:rsidR="00912068">
              <w:rPr>
                <w:noProof/>
                <w:webHidden/>
              </w:rPr>
            </w:r>
            <w:r w:rsidR="00912068">
              <w:rPr>
                <w:noProof/>
                <w:webHidden/>
              </w:rPr>
              <w:fldChar w:fldCharType="separate"/>
            </w:r>
            <w:r>
              <w:rPr>
                <w:noProof/>
                <w:webHidden/>
              </w:rPr>
              <w:t>7</w:t>
            </w:r>
            <w:r w:rsidR="00912068">
              <w:rPr>
                <w:noProof/>
                <w:webHidden/>
              </w:rPr>
              <w:fldChar w:fldCharType="end"/>
            </w:r>
          </w:hyperlink>
        </w:p>
        <w:p w14:paraId="122F8B32" w14:textId="77777777" w:rsidR="00912068" w:rsidRDefault="00B86D81">
          <w:pPr>
            <w:pStyle w:val="TOC1"/>
            <w:tabs>
              <w:tab w:val="right" w:leader="dot" w:pos="9016"/>
            </w:tabs>
            <w:rPr>
              <w:rFonts w:asciiTheme="minorHAnsi" w:eastAsiaTheme="minorEastAsia" w:hAnsiTheme="minorHAnsi"/>
              <w:noProof/>
              <w:lang w:eastAsia="en-AU"/>
            </w:rPr>
          </w:pPr>
          <w:hyperlink w:anchor="_Toc6386357" w:history="1">
            <w:r w:rsidR="00912068" w:rsidRPr="00DA4E05">
              <w:rPr>
                <w:rStyle w:val="Hyperlink"/>
                <w:noProof/>
              </w:rPr>
              <w:t>Date of effect</w:t>
            </w:r>
            <w:r w:rsidR="00912068">
              <w:rPr>
                <w:noProof/>
                <w:webHidden/>
              </w:rPr>
              <w:tab/>
            </w:r>
            <w:r w:rsidR="00912068">
              <w:rPr>
                <w:noProof/>
                <w:webHidden/>
              </w:rPr>
              <w:fldChar w:fldCharType="begin"/>
            </w:r>
            <w:r w:rsidR="00912068">
              <w:rPr>
                <w:noProof/>
                <w:webHidden/>
              </w:rPr>
              <w:instrText xml:space="preserve"> PAGEREF _Toc6386357 \h </w:instrText>
            </w:r>
            <w:r w:rsidR="00912068">
              <w:rPr>
                <w:noProof/>
                <w:webHidden/>
              </w:rPr>
            </w:r>
            <w:r w:rsidR="00912068">
              <w:rPr>
                <w:noProof/>
                <w:webHidden/>
              </w:rPr>
              <w:fldChar w:fldCharType="separate"/>
            </w:r>
            <w:r>
              <w:rPr>
                <w:noProof/>
                <w:webHidden/>
              </w:rPr>
              <w:t>8</w:t>
            </w:r>
            <w:r w:rsidR="00912068">
              <w:rPr>
                <w:noProof/>
                <w:webHidden/>
              </w:rPr>
              <w:fldChar w:fldCharType="end"/>
            </w:r>
          </w:hyperlink>
        </w:p>
        <w:p w14:paraId="44FBB54A" w14:textId="77777777" w:rsidR="00912068" w:rsidRDefault="00B86D81">
          <w:pPr>
            <w:pStyle w:val="TOC1"/>
            <w:tabs>
              <w:tab w:val="right" w:leader="dot" w:pos="9016"/>
            </w:tabs>
            <w:rPr>
              <w:rFonts w:asciiTheme="minorHAnsi" w:eastAsiaTheme="minorEastAsia" w:hAnsiTheme="minorHAnsi"/>
              <w:noProof/>
              <w:lang w:eastAsia="en-AU"/>
            </w:rPr>
          </w:pPr>
          <w:hyperlink w:anchor="_Toc6386358" w:history="1">
            <w:r w:rsidR="00912068" w:rsidRPr="00DA4E05">
              <w:rPr>
                <w:rStyle w:val="Hyperlink"/>
                <w:noProof/>
              </w:rPr>
              <w:t>The assessment process</w:t>
            </w:r>
            <w:r w:rsidR="00912068">
              <w:rPr>
                <w:noProof/>
                <w:webHidden/>
              </w:rPr>
              <w:tab/>
            </w:r>
            <w:r w:rsidR="00912068">
              <w:rPr>
                <w:noProof/>
                <w:webHidden/>
              </w:rPr>
              <w:fldChar w:fldCharType="begin"/>
            </w:r>
            <w:r w:rsidR="00912068">
              <w:rPr>
                <w:noProof/>
                <w:webHidden/>
              </w:rPr>
              <w:instrText xml:space="preserve"> PAGEREF _Toc6386358 \h </w:instrText>
            </w:r>
            <w:r w:rsidR="00912068">
              <w:rPr>
                <w:noProof/>
                <w:webHidden/>
              </w:rPr>
            </w:r>
            <w:r w:rsidR="00912068">
              <w:rPr>
                <w:noProof/>
                <w:webHidden/>
              </w:rPr>
              <w:fldChar w:fldCharType="separate"/>
            </w:r>
            <w:r>
              <w:rPr>
                <w:noProof/>
                <w:webHidden/>
              </w:rPr>
              <w:t>8</w:t>
            </w:r>
            <w:r w:rsidR="00912068">
              <w:rPr>
                <w:noProof/>
                <w:webHidden/>
              </w:rPr>
              <w:fldChar w:fldCharType="end"/>
            </w:r>
          </w:hyperlink>
        </w:p>
        <w:p w14:paraId="0766A43D" w14:textId="77777777" w:rsidR="00912068" w:rsidRDefault="00B86D81">
          <w:pPr>
            <w:pStyle w:val="TOC1"/>
            <w:tabs>
              <w:tab w:val="right" w:leader="dot" w:pos="9016"/>
            </w:tabs>
            <w:rPr>
              <w:rFonts w:asciiTheme="minorHAnsi" w:eastAsiaTheme="minorEastAsia" w:hAnsiTheme="minorHAnsi"/>
              <w:noProof/>
              <w:lang w:eastAsia="en-AU"/>
            </w:rPr>
          </w:pPr>
          <w:hyperlink w:anchor="_Toc6386359" w:history="1">
            <w:r w:rsidR="00912068" w:rsidRPr="00DA4E05">
              <w:rPr>
                <w:rStyle w:val="Hyperlink"/>
                <w:noProof/>
              </w:rPr>
              <w:t>Possible outcomes</w:t>
            </w:r>
            <w:r w:rsidR="00912068">
              <w:rPr>
                <w:noProof/>
                <w:webHidden/>
              </w:rPr>
              <w:tab/>
            </w:r>
            <w:r w:rsidR="00912068">
              <w:rPr>
                <w:noProof/>
                <w:webHidden/>
              </w:rPr>
              <w:fldChar w:fldCharType="begin"/>
            </w:r>
            <w:r w:rsidR="00912068">
              <w:rPr>
                <w:noProof/>
                <w:webHidden/>
              </w:rPr>
              <w:instrText xml:space="preserve"> PAGEREF _Toc6386359 \h </w:instrText>
            </w:r>
            <w:r w:rsidR="00912068">
              <w:rPr>
                <w:noProof/>
                <w:webHidden/>
              </w:rPr>
            </w:r>
            <w:r w:rsidR="00912068">
              <w:rPr>
                <w:noProof/>
                <w:webHidden/>
              </w:rPr>
              <w:fldChar w:fldCharType="separate"/>
            </w:r>
            <w:r>
              <w:rPr>
                <w:noProof/>
                <w:webHidden/>
              </w:rPr>
              <w:t>8</w:t>
            </w:r>
            <w:r w:rsidR="00912068">
              <w:rPr>
                <w:noProof/>
                <w:webHidden/>
              </w:rPr>
              <w:fldChar w:fldCharType="end"/>
            </w:r>
          </w:hyperlink>
        </w:p>
        <w:p w14:paraId="07B76F29" w14:textId="77777777" w:rsidR="00912068" w:rsidRDefault="00B86D81">
          <w:pPr>
            <w:pStyle w:val="TOC1"/>
            <w:tabs>
              <w:tab w:val="right" w:leader="dot" w:pos="9016"/>
            </w:tabs>
            <w:rPr>
              <w:rFonts w:asciiTheme="minorHAnsi" w:eastAsiaTheme="minorEastAsia" w:hAnsiTheme="minorHAnsi"/>
              <w:noProof/>
              <w:lang w:eastAsia="en-AU"/>
            </w:rPr>
          </w:pPr>
          <w:hyperlink w:anchor="_Toc6386360" w:history="1">
            <w:r w:rsidR="00912068" w:rsidRPr="00DA4E05">
              <w:rPr>
                <w:rStyle w:val="Hyperlink"/>
                <w:noProof/>
              </w:rPr>
              <w:t>Rights of review</w:t>
            </w:r>
            <w:r w:rsidR="00912068">
              <w:rPr>
                <w:noProof/>
                <w:webHidden/>
              </w:rPr>
              <w:tab/>
            </w:r>
            <w:r w:rsidR="00912068">
              <w:rPr>
                <w:noProof/>
                <w:webHidden/>
              </w:rPr>
              <w:fldChar w:fldCharType="begin"/>
            </w:r>
            <w:r w:rsidR="00912068">
              <w:rPr>
                <w:noProof/>
                <w:webHidden/>
              </w:rPr>
              <w:instrText xml:space="preserve"> PAGEREF _Toc6386360 \h </w:instrText>
            </w:r>
            <w:r w:rsidR="00912068">
              <w:rPr>
                <w:noProof/>
                <w:webHidden/>
              </w:rPr>
            </w:r>
            <w:r w:rsidR="00912068">
              <w:rPr>
                <w:noProof/>
                <w:webHidden/>
              </w:rPr>
              <w:fldChar w:fldCharType="separate"/>
            </w:r>
            <w:r>
              <w:rPr>
                <w:noProof/>
                <w:webHidden/>
              </w:rPr>
              <w:t>9</w:t>
            </w:r>
            <w:r w:rsidR="00912068">
              <w:rPr>
                <w:noProof/>
                <w:webHidden/>
              </w:rPr>
              <w:fldChar w:fldCharType="end"/>
            </w:r>
          </w:hyperlink>
        </w:p>
        <w:p w14:paraId="233037CF" w14:textId="77777777" w:rsidR="00912068" w:rsidRDefault="00B86D81">
          <w:pPr>
            <w:pStyle w:val="TOC1"/>
            <w:tabs>
              <w:tab w:val="right" w:leader="dot" w:pos="9016"/>
            </w:tabs>
            <w:rPr>
              <w:rFonts w:asciiTheme="minorHAnsi" w:eastAsiaTheme="minorEastAsia" w:hAnsiTheme="minorHAnsi"/>
              <w:noProof/>
              <w:lang w:eastAsia="en-AU"/>
            </w:rPr>
          </w:pPr>
          <w:hyperlink w:anchor="_Toc6386361" w:history="1">
            <w:r w:rsidR="00912068" w:rsidRPr="00DA4E05">
              <w:rPr>
                <w:rStyle w:val="Hyperlink"/>
                <w:noProof/>
              </w:rPr>
              <w:t>Find out more</w:t>
            </w:r>
            <w:r w:rsidR="00912068">
              <w:rPr>
                <w:noProof/>
                <w:webHidden/>
              </w:rPr>
              <w:tab/>
            </w:r>
            <w:r w:rsidR="00912068">
              <w:rPr>
                <w:noProof/>
                <w:webHidden/>
              </w:rPr>
              <w:fldChar w:fldCharType="begin"/>
            </w:r>
            <w:r w:rsidR="00912068">
              <w:rPr>
                <w:noProof/>
                <w:webHidden/>
              </w:rPr>
              <w:instrText xml:space="preserve"> PAGEREF _Toc6386361 \h </w:instrText>
            </w:r>
            <w:r w:rsidR="00912068">
              <w:rPr>
                <w:noProof/>
                <w:webHidden/>
              </w:rPr>
            </w:r>
            <w:r w:rsidR="00912068">
              <w:rPr>
                <w:noProof/>
                <w:webHidden/>
              </w:rPr>
              <w:fldChar w:fldCharType="separate"/>
            </w:r>
            <w:r>
              <w:rPr>
                <w:noProof/>
                <w:webHidden/>
              </w:rPr>
              <w:t>9</w:t>
            </w:r>
            <w:r w:rsidR="00912068">
              <w:rPr>
                <w:noProof/>
                <w:webHidden/>
              </w:rPr>
              <w:fldChar w:fldCharType="end"/>
            </w:r>
          </w:hyperlink>
        </w:p>
        <w:p w14:paraId="0BD9D7B8" w14:textId="77777777" w:rsidR="00912068" w:rsidRDefault="00B86D81">
          <w:pPr>
            <w:pStyle w:val="TOC1"/>
            <w:tabs>
              <w:tab w:val="right" w:leader="dot" w:pos="9016"/>
            </w:tabs>
            <w:rPr>
              <w:rFonts w:asciiTheme="minorHAnsi" w:eastAsiaTheme="minorEastAsia" w:hAnsiTheme="minorHAnsi"/>
              <w:noProof/>
              <w:lang w:eastAsia="en-AU"/>
            </w:rPr>
          </w:pPr>
          <w:hyperlink w:anchor="_Toc6386362" w:history="1">
            <w:r w:rsidR="00912068" w:rsidRPr="00DA4E05">
              <w:rPr>
                <w:rStyle w:val="Hyperlink"/>
                <w:noProof/>
              </w:rPr>
              <w:t>Attachment A</w:t>
            </w:r>
            <w:r w:rsidR="00912068">
              <w:rPr>
                <w:noProof/>
                <w:webHidden/>
              </w:rPr>
              <w:tab/>
            </w:r>
            <w:r w:rsidR="00912068">
              <w:rPr>
                <w:noProof/>
                <w:webHidden/>
              </w:rPr>
              <w:fldChar w:fldCharType="begin"/>
            </w:r>
            <w:r w:rsidR="00912068">
              <w:rPr>
                <w:noProof/>
                <w:webHidden/>
              </w:rPr>
              <w:instrText xml:space="preserve"> PAGEREF _Toc6386362 \h </w:instrText>
            </w:r>
            <w:r w:rsidR="00912068">
              <w:rPr>
                <w:noProof/>
                <w:webHidden/>
              </w:rPr>
            </w:r>
            <w:r w:rsidR="00912068">
              <w:rPr>
                <w:noProof/>
                <w:webHidden/>
              </w:rPr>
              <w:fldChar w:fldCharType="separate"/>
            </w:r>
            <w:r>
              <w:rPr>
                <w:noProof/>
                <w:webHidden/>
              </w:rPr>
              <w:t>10</w:t>
            </w:r>
            <w:r w:rsidR="00912068">
              <w:rPr>
                <w:noProof/>
                <w:webHidden/>
              </w:rPr>
              <w:fldChar w:fldCharType="end"/>
            </w:r>
          </w:hyperlink>
        </w:p>
        <w:p w14:paraId="3F356750" w14:textId="77777777" w:rsidR="00912068" w:rsidRDefault="00B86D81">
          <w:pPr>
            <w:pStyle w:val="TOC2"/>
            <w:tabs>
              <w:tab w:val="right" w:leader="dot" w:pos="9016"/>
            </w:tabs>
            <w:rPr>
              <w:rFonts w:asciiTheme="minorHAnsi" w:eastAsiaTheme="minorEastAsia" w:hAnsiTheme="minorHAnsi"/>
              <w:noProof/>
              <w:lang w:eastAsia="en-AU"/>
            </w:rPr>
          </w:pPr>
          <w:hyperlink w:anchor="_Toc6386363" w:history="1">
            <w:r w:rsidR="00912068" w:rsidRPr="00DA4E05">
              <w:rPr>
                <w:rStyle w:val="Hyperlink"/>
                <w:noProof/>
              </w:rPr>
              <w:t>Template: Application letter to the Commission seeking an exemption</w:t>
            </w:r>
            <w:r w:rsidR="00912068">
              <w:rPr>
                <w:noProof/>
                <w:webHidden/>
              </w:rPr>
              <w:tab/>
            </w:r>
            <w:r w:rsidR="00912068">
              <w:rPr>
                <w:noProof/>
                <w:webHidden/>
              </w:rPr>
              <w:fldChar w:fldCharType="begin"/>
            </w:r>
            <w:r w:rsidR="00912068">
              <w:rPr>
                <w:noProof/>
                <w:webHidden/>
              </w:rPr>
              <w:instrText xml:space="preserve"> PAGEREF _Toc6386363 \h </w:instrText>
            </w:r>
            <w:r w:rsidR="00912068">
              <w:rPr>
                <w:noProof/>
                <w:webHidden/>
              </w:rPr>
            </w:r>
            <w:r w:rsidR="00912068">
              <w:rPr>
                <w:noProof/>
                <w:webHidden/>
              </w:rPr>
              <w:fldChar w:fldCharType="separate"/>
            </w:r>
            <w:r>
              <w:rPr>
                <w:noProof/>
                <w:webHidden/>
              </w:rPr>
              <w:t>10</w:t>
            </w:r>
            <w:r w:rsidR="00912068">
              <w:rPr>
                <w:noProof/>
                <w:webHidden/>
              </w:rPr>
              <w:fldChar w:fldCharType="end"/>
            </w:r>
          </w:hyperlink>
        </w:p>
        <w:p w14:paraId="2BD41393" w14:textId="1D87F4A0" w:rsidR="00A85416" w:rsidRDefault="00EE6C16" w:rsidP="00A85416">
          <w:pPr>
            <w:rPr>
              <w:b/>
              <w:bCs/>
              <w:noProof/>
            </w:rPr>
          </w:pPr>
          <w:r>
            <w:rPr>
              <w:b/>
              <w:bCs/>
              <w:noProof/>
            </w:rPr>
            <w:fldChar w:fldCharType="end"/>
          </w:r>
        </w:p>
      </w:sdtContent>
    </w:sdt>
    <w:bookmarkStart w:id="3" w:name="_Toc195425" w:displacedByCustomXml="prev"/>
    <w:p w14:paraId="6FC2BE7F" w14:textId="4FB0BCBE" w:rsidR="00912068" w:rsidRDefault="00912068" w:rsidP="00A85416"/>
    <w:p w14:paraId="1F606288" w14:textId="77777777" w:rsidR="00912068" w:rsidRDefault="00912068" w:rsidP="00A85416"/>
    <w:p w14:paraId="7A6FCBC9" w14:textId="01FFA807" w:rsidR="006720FE" w:rsidRDefault="006720FE" w:rsidP="006720FE">
      <w:pPr>
        <w:pStyle w:val="Heading1"/>
      </w:pPr>
      <w:bookmarkStart w:id="4" w:name="_Toc6386347"/>
      <w:r>
        <w:lastRenderedPageBreak/>
        <w:t>Purpose</w:t>
      </w:r>
      <w:bookmarkEnd w:id="4"/>
      <w:bookmarkEnd w:id="3"/>
    </w:p>
    <w:p w14:paraId="04CA6783" w14:textId="49004B63" w:rsidR="006720FE" w:rsidRDefault="006720FE" w:rsidP="00CC7EB3">
      <w:r>
        <w:t xml:space="preserve">This guide outlines the steps </w:t>
      </w:r>
      <w:r w:rsidR="00F250F0">
        <w:t xml:space="preserve">involved in </w:t>
      </w:r>
      <w:r>
        <w:t xml:space="preserve">applying </w:t>
      </w:r>
      <w:r w:rsidR="00AE06A2">
        <w:t xml:space="preserve">to the Anti-Dumping Commission </w:t>
      </w:r>
      <w:r w:rsidR="00E36A49">
        <w:t xml:space="preserve">(Commission) </w:t>
      </w:r>
      <w:r>
        <w:t>for a</w:t>
      </w:r>
      <w:r w:rsidR="00B374B5">
        <w:t>n exemption</w:t>
      </w:r>
      <w:r w:rsidR="00557EF6">
        <w:t xml:space="preserve"> from ant</w:t>
      </w:r>
      <w:r w:rsidR="00704369">
        <w:t>i</w:t>
      </w:r>
      <w:r w:rsidR="00557EF6">
        <w:t xml:space="preserve">-dumping </w:t>
      </w:r>
      <w:r w:rsidR="00F1122C">
        <w:t>measures</w:t>
      </w:r>
      <w:r>
        <w:t>.</w:t>
      </w:r>
    </w:p>
    <w:p w14:paraId="4D0036BC" w14:textId="5D933737" w:rsidR="006720FE" w:rsidRDefault="006720FE" w:rsidP="00956FD6">
      <w:pPr>
        <w:spacing w:after="0"/>
        <w:contextualSpacing/>
      </w:pPr>
      <w:r>
        <w:t>Specifically, this guide sets out:</w:t>
      </w:r>
    </w:p>
    <w:p w14:paraId="36ACD88B" w14:textId="5E77DB52" w:rsidR="00751ABE" w:rsidRDefault="00ED5CD5" w:rsidP="00380D4C">
      <w:pPr>
        <w:pStyle w:val="ListParagraph"/>
      </w:pPr>
      <w:r>
        <w:t>grounds for a</w:t>
      </w:r>
      <w:r w:rsidR="00E943A8">
        <w:t>n exemption</w:t>
      </w:r>
    </w:p>
    <w:p w14:paraId="21981800" w14:textId="64061018" w:rsidR="00751ABE" w:rsidRDefault="00751ABE" w:rsidP="00751ABE">
      <w:pPr>
        <w:pStyle w:val="ListParagraph"/>
      </w:pPr>
      <w:r>
        <w:t>when to apply</w:t>
      </w:r>
    </w:p>
    <w:p w14:paraId="6EB762AA" w14:textId="3CC3A141" w:rsidR="007F5BB5" w:rsidRDefault="00751ABE" w:rsidP="00751ABE">
      <w:pPr>
        <w:pStyle w:val="ListParagraph"/>
      </w:pPr>
      <w:r>
        <w:t>how to apply</w:t>
      </w:r>
    </w:p>
    <w:p w14:paraId="3725B148" w14:textId="4DADDBBD" w:rsidR="00E943A8" w:rsidRDefault="00E943A8" w:rsidP="00751ABE">
      <w:pPr>
        <w:pStyle w:val="ListParagraph"/>
      </w:pPr>
      <w:r>
        <w:t>date of effect, and</w:t>
      </w:r>
    </w:p>
    <w:p w14:paraId="21D3C731" w14:textId="77777777" w:rsidR="00E943A8" w:rsidRDefault="007F5BB5" w:rsidP="00380D4C">
      <w:pPr>
        <w:pStyle w:val="ListParagraph"/>
      </w:pPr>
      <w:proofErr w:type="gramStart"/>
      <w:r>
        <w:t>what</w:t>
      </w:r>
      <w:proofErr w:type="gramEnd"/>
      <w:r>
        <w:t xml:space="preserve"> to expect during </w:t>
      </w:r>
      <w:r w:rsidR="00751ABE">
        <w:t>the assessment process</w:t>
      </w:r>
      <w:r w:rsidR="00E943A8">
        <w:t>.</w:t>
      </w:r>
    </w:p>
    <w:p w14:paraId="35098BB2" w14:textId="04ECB7EC" w:rsidR="0026077D" w:rsidRPr="0026077D" w:rsidRDefault="0026077D" w:rsidP="0026077D">
      <w:pPr>
        <w:pStyle w:val="TOCHeading"/>
      </w:pPr>
      <w:bookmarkStart w:id="5" w:name="_Toc195426"/>
      <w:bookmarkStart w:id="6" w:name="_Toc6386348"/>
      <w:r>
        <w:t>Introduction</w:t>
      </w:r>
      <w:bookmarkEnd w:id="5"/>
      <w:bookmarkEnd w:id="6"/>
    </w:p>
    <w:p w14:paraId="4F8455A9" w14:textId="21DFA48F" w:rsidR="00B374B5" w:rsidRDefault="00810962" w:rsidP="00B374B5">
      <w:r>
        <w:t>T</w:t>
      </w:r>
      <w:r w:rsidRPr="00810962">
        <w:t xml:space="preserve">he Minister </w:t>
      </w:r>
      <w:r w:rsidRPr="00956FD6">
        <w:rPr>
          <w:b/>
          <w:i/>
        </w:rPr>
        <w:t>may</w:t>
      </w:r>
      <w:r>
        <w:t xml:space="preserve"> exempt g</w:t>
      </w:r>
      <w:r w:rsidR="00B374B5" w:rsidRPr="00B374B5">
        <w:t xml:space="preserve">oods </w:t>
      </w:r>
      <w:r>
        <w:t xml:space="preserve">from </w:t>
      </w:r>
      <w:r w:rsidR="00B374B5" w:rsidRPr="00B374B5">
        <w:t xml:space="preserve">anti-dumping measures if </w:t>
      </w:r>
      <w:r>
        <w:t>the</w:t>
      </w:r>
      <w:r w:rsidR="00956FD6">
        <w:t xml:space="preserve"> Minister is </w:t>
      </w:r>
      <w:r w:rsidR="00B374B5" w:rsidRPr="00B374B5">
        <w:t xml:space="preserve">satisfied certain </w:t>
      </w:r>
      <w:r w:rsidR="00795C3A">
        <w:t>criteria</w:t>
      </w:r>
      <w:r w:rsidR="00B374B5" w:rsidRPr="00B374B5">
        <w:t xml:space="preserve"> have been met.</w:t>
      </w:r>
    </w:p>
    <w:p w14:paraId="5721E0BA" w14:textId="1D8F795B" w:rsidR="00B374B5" w:rsidRPr="00B374B5" w:rsidRDefault="00B374B5" w:rsidP="00B374B5">
      <w:r>
        <w:t xml:space="preserve">The </w:t>
      </w:r>
      <w:r w:rsidRPr="00350A5C">
        <w:t>Commission</w:t>
      </w:r>
      <w:r w:rsidRPr="00B374B5">
        <w:t xml:space="preserve"> </w:t>
      </w:r>
      <w:r>
        <w:t xml:space="preserve">conducts </w:t>
      </w:r>
      <w:r w:rsidR="00AD49C7">
        <w:t xml:space="preserve">an </w:t>
      </w:r>
      <w:r>
        <w:t>exemption inquir</w:t>
      </w:r>
      <w:r w:rsidR="00AD49C7">
        <w:t>y</w:t>
      </w:r>
      <w:r>
        <w:t xml:space="preserve"> and provides a r</w:t>
      </w:r>
      <w:r w:rsidRPr="00B374B5">
        <w:t xml:space="preserve">eport to the Minister recommending whether </w:t>
      </w:r>
      <w:r w:rsidR="00AD49C7">
        <w:t>or not to</w:t>
      </w:r>
      <w:r w:rsidR="00771E7A">
        <w:t xml:space="preserve"> grant </w:t>
      </w:r>
      <w:r w:rsidRPr="00B374B5">
        <w:t>an exemption</w:t>
      </w:r>
      <w:r w:rsidR="00771E7A">
        <w:t>.</w:t>
      </w:r>
    </w:p>
    <w:p w14:paraId="49B71357" w14:textId="06C8B994" w:rsidR="00B374B5" w:rsidRPr="00B374B5" w:rsidRDefault="00B374B5" w:rsidP="00B374B5">
      <w:r w:rsidRPr="00B374B5">
        <w:t xml:space="preserve">If </w:t>
      </w:r>
      <w:r>
        <w:t xml:space="preserve">the Minister grants </w:t>
      </w:r>
      <w:r w:rsidRPr="00B374B5">
        <w:t xml:space="preserve">an </w:t>
      </w:r>
      <w:r w:rsidR="00771E7A" w:rsidRPr="00B374B5">
        <w:t>exemption,</w:t>
      </w:r>
      <w:r w:rsidRPr="00B374B5">
        <w:t xml:space="preserve"> it is applicable to </w:t>
      </w:r>
      <w:r w:rsidRPr="00956FD6">
        <w:t xml:space="preserve">all </w:t>
      </w:r>
      <w:r w:rsidRPr="00B374B5">
        <w:t>importations of the exempted goods, regardless of the importer or exporter</w:t>
      </w:r>
      <w:r w:rsidR="00E35DA6">
        <w:t xml:space="preserve"> or country of export</w:t>
      </w:r>
      <w:r w:rsidRPr="00B374B5">
        <w:t>.</w:t>
      </w:r>
    </w:p>
    <w:p w14:paraId="0F6DCD4C" w14:textId="3227035B" w:rsidR="00B374B5" w:rsidRPr="00B374B5" w:rsidRDefault="00B374B5" w:rsidP="00B374B5">
      <w:r w:rsidRPr="00B374B5">
        <w:t xml:space="preserve">Exemptions are subject to review and </w:t>
      </w:r>
      <w:r w:rsidR="00771E7A">
        <w:t xml:space="preserve">revocation </w:t>
      </w:r>
      <w:r w:rsidRPr="00B374B5">
        <w:t>by the Minister.</w:t>
      </w:r>
      <w:r w:rsidR="00E35DA6">
        <w:t xml:space="preserve"> </w:t>
      </w:r>
    </w:p>
    <w:p w14:paraId="3BBF2939" w14:textId="253D0248" w:rsidR="00D61761" w:rsidRDefault="00192B03" w:rsidP="0026077D">
      <w:pPr>
        <w:pStyle w:val="TOCHeading"/>
      </w:pPr>
      <w:bookmarkStart w:id="7" w:name="_Toc195427"/>
      <w:bookmarkStart w:id="8" w:name="_Toc6386349"/>
      <w:r>
        <w:t>Grounds for an exemption</w:t>
      </w:r>
      <w:bookmarkEnd w:id="7"/>
      <w:bookmarkEnd w:id="8"/>
    </w:p>
    <w:p w14:paraId="42EB35C4" w14:textId="5125C4C3" w:rsidR="00192B03" w:rsidRDefault="00192B03" w:rsidP="006C279E">
      <w:r>
        <w:t>The</w:t>
      </w:r>
      <w:r w:rsidR="00956FD6">
        <w:t>re are five gr</w:t>
      </w:r>
      <w:r>
        <w:t>ounds for applying for an exemption</w:t>
      </w:r>
      <w:r w:rsidR="004355E0">
        <w:t xml:space="preserve"> (see the </w:t>
      </w:r>
      <w:hyperlink r:id="rId12" w:history="1">
        <w:r w:rsidR="004355E0" w:rsidRPr="004355E0">
          <w:rPr>
            <w:rStyle w:val="Hyperlink"/>
            <w:i/>
          </w:rPr>
          <w:t>Customs Tariff (Anti-Dumping) Act 1975</w:t>
        </w:r>
      </w:hyperlink>
      <w:r w:rsidR="004355E0">
        <w:t>)</w:t>
      </w:r>
      <w:r w:rsidR="00956FD6">
        <w:t>. They</w:t>
      </w:r>
      <w:r>
        <w:t xml:space="preserve"> are:</w:t>
      </w:r>
    </w:p>
    <w:p w14:paraId="0CE86B69" w14:textId="77777777" w:rsidR="008F231A" w:rsidRDefault="006C279E" w:rsidP="005C5BEA">
      <w:pPr>
        <w:pStyle w:val="ListParagraph"/>
      </w:pPr>
      <w:r w:rsidRPr="006C279E">
        <w:t xml:space="preserve">One – </w:t>
      </w:r>
      <w:r w:rsidR="00B726A9">
        <w:t>that</w:t>
      </w:r>
      <w:r>
        <w:t xml:space="preserve"> like </w:t>
      </w:r>
      <w:r w:rsidRPr="006C279E">
        <w:t xml:space="preserve">or directly competitive goods </w:t>
      </w:r>
      <w:r w:rsidR="00B726A9">
        <w:t xml:space="preserve">are not offered </w:t>
      </w:r>
      <w:r w:rsidRPr="006C279E">
        <w:t>for sale in Australia to all purchasers on equal terms under like conditions having regard to the custom and usage of trade</w:t>
      </w:r>
      <w:r w:rsidR="00810962">
        <w:t>.</w:t>
      </w:r>
    </w:p>
    <w:p w14:paraId="52130B71" w14:textId="3E1940BC" w:rsidR="00704369" w:rsidRPr="006C279E" w:rsidRDefault="006C279E" w:rsidP="008F231A">
      <w:pPr>
        <w:pStyle w:val="ListParagraph"/>
      </w:pPr>
      <w:r w:rsidRPr="006C279E">
        <w:t xml:space="preserve">Two – </w:t>
      </w:r>
      <w:r>
        <w:t>there is a</w:t>
      </w:r>
      <w:r w:rsidRPr="006C279E">
        <w:t xml:space="preserve"> Tariff Concession Order </w:t>
      </w:r>
      <w:r>
        <w:t xml:space="preserve">(TCO) </w:t>
      </w:r>
      <w:r w:rsidRPr="006C279E">
        <w:t>in respect of the goods in</w:t>
      </w:r>
      <w:r w:rsidR="00810962">
        <w:t xml:space="preserve"> </w:t>
      </w:r>
      <w:r w:rsidRPr="006C279E">
        <w:t>force</w:t>
      </w:r>
      <w:r w:rsidR="00810962">
        <w:t>.</w:t>
      </w:r>
      <w:r w:rsidR="005C5BEA">
        <w:t xml:space="preserve"> Exemptions which are granted </w:t>
      </w:r>
      <w:proofErr w:type="gramStart"/>
      <w:r w:rsidR="005C5BEA">
        <w:t>on the basis of</w:t>
      </w:r>
      <w:proofErr w:type="gramEnd"/>
      <w:r w:rsidR="005C5BEA">
        <w:t xml:space="preserve"> a Tariff Concession Order (TCO) being in force will be revoked once the TCO is no longer in force. </w:t>
      </w:r>
    </w:p>
    <w:p w14:paraId="205262B0" w14:textId="77777777" w:rsidR="00BE14A3" w:rsidRDefault="006C279E" w:rsidP="00BE14A3">
      <w:pPr>
        <w:pStyle w:val="ListParagraph"/>
      </w:pPr>
      <w:r w:rsidRPr="006C279E">
        <w:t xml:space="preserve">Three  – </w:t>
      </w:r>
      <w:r w:rsidR="00704369" w:rsidRPr="004355E0">
        <w:t>a Customs by-law applies to the goods and suitably equivalent goods</w:t>
      </w:r>
    </w:p>
    <w:p w14:paraId="2E190910" w14:textId="13A0CE29" w:rsidR="008F231A" w:rsidRDefault="00704369" w:rsidP="00DA752E">
      <w:pPr>
        <w:pStyle w:val="ListParagraph"/>
        <w:numPr>
          <w:ilvl w:val="0"/>
          <w:numId w:val="0"/>
        </w:numPr>
        <w:ind w:left="573" w:firstLine="360"/>
      </w:pPr>
      <w:proofErr w:type="gramStart"/>
      <w:r w:rsidRPr="004355E0">
        <w:t>produced</w:t>
      </w:r>
      <w:proofErr w:type="gramEnd"/>
      <w:r w:rsidRPr="004355E0">
        <w:t xml:space="preserve"> or manufactured in Australia are not reasonably available. </w:t>
      </w:r>
    </w:p>
    <w:p w14:paraId="0BDE798D" w14:textId="117D64F6" w:rsidR="00704369" w:rsidRPr="00F669B7" w:rsidRDefault="00704369" w:rsidP="00BE14A3">
      <w:pPr>
        <w:pStyle w:val="ListParagraph"/>
      </w:pPr>
      <w:r w:rsidRPr="004355E0">
        <w:t xml:space="preserve">Four – either the duty payable on the goods is zero, or the rate payable is equivalent to a special concessional rate applicable to the goods and suitably </w:t>
      </w:r>
      <w:r w:rsidRPr="004355E0">
        <w:lastRenderedPageBreak/>
        <w:t>equivalent goods produced or manufactured in Australia are not</w:t>
      </w:r>
      <w:r w:rsidR="00350A5C">
        <w:t xml:space="preserve"> </w:t>
      </w:r>
      <w:r w:rsidRPr="004355E0">
        <w:t>reasonably available.</w:t>
      </w:r>
    </w:p>
    <w:p w14:paraId="3E76FE17" w14:textId="3CF4B7BF" w:rsidR="006C279E" w:rsidRPr="006C279E" w:rsidRDefault="006C279E" w:rsidP="00C91C1B">
      <w:pPr>
        <w:pStyle w:val="ListParagraph"/>
      </w:pPr>
      <w:r w:rsidRPr="006C279E">
        <w:t xml:space="preserve">Five – </w:t>
      </w:r>
      <w:r>
        <w:t>t</w:t>
      </w:r>
      <w:r w:rsidRPr="006C279E">
        <w:t>he goods, being articles of merchandise, are for use as samples for the sale of similar goods</w:t>
      </w:r>
      <w:r w:rsidR="00810962">
        <w:t>.</w:t>
      </w:r>
    </w:p>
    <w:p w14:paraId="41DE9D3A" w14:textId="2A79122B" w:rsidR="00D61761" w:rsidRDefault="00146203" w:rsidP="006C279E">
      <w:r>
        <w:t>The most commonly used are</w:t>
      </w:r>
      <w:r w:rsidR="00192B03">
        <w:t xml:space="preserve"> grounds </w:t>
      </w:r>
      <w:r w:rsidR="00956FD6">
        <w:t>O</w:t>
      </w:r>
      <w:r w:rsidR="00192B03">
        <w:t xml:space="preserve">ne and </w:t>
      </w:r>
      <w:r w:rsidR="00956FD6">
        <w:t>T</w:t>
      </w:r>
      <w:r w:rsidR="00192B03">
        <w:t>wo.</w:t>
      </w:r>
    </w:p>
    <w:p w14:paraId="321DD241" w14:textId="5CCA67DC" w:rsidR="0026077D" w:rsidRPr="0026077D" w:rsidRDefault="0026077D" w:rsidP="0026077D">
      <w:pPr>
        <w:pStyle w:val="TOCHeading"/>
      </w:pPr>
      <w:bookmarkStart w:id="9" w:name="_Toc195428"/>
      <w:bookmarkStart w:id="10" w:name="_Toc6386350"/>
      <w:r w:rsidRPr="0026077D">
        <w:t xml:space="preserve">When </w:t>
      </w:r>
      <w:r w:rsidR="00192B03">
        <w:t xml:space="preserve">to </w:t>
      </w:r>
      <w:r w:rsidRPr="0026077D">
        <w:t>apply?</w:t>
      </w:r>
      <w:bookmarkEnd w:id="9"/>
      <w:bookmarkEnd w:id="10"/>
    </w:p>
    <w:p w14:paraId="5BFF5C3B" w14:textId="7278E19F" w:rsidR="00192B03" w:rsidRDefault="00192B03" w:rsidP="00E943A8">
      <w:pPr>
        <w:spacing w:after="0"/>
        <w:contextualSpacing/>
      </w:pPr>
      <w:r>
        <w:t>Applicants can apply for an exemption:</w:t>
      </w:r>
    </w:p>
    <w:p w14:paraId="0EEB95C0" w14:textId="0072C489" w:rsidR="00192B03" w:rsidRDefault="00192B03" w:rsidP="009140A0">
      <w:pPr>
        <w:pStyle w:val="ListParagraph"/>
      </w:pPr>
      <w:r>
        <w:t>d</w:t>
      </w:r>
      <w:r w:rsidR="00720C9D">
        <w:t>uring the course of an investigation</w:t>
      </w:r>
      <w:r>
        <w:t>,</w:t>
      </w:r>
      <w:r w:rsidR="00720C9D">
        <w:t xml:space="preserve"> or</w:t>
      </w:r>
    </w:p>
    <w:p w14:paraId="0630124C" w14:textId="7EDC9820" w:rsidR="0026077D" w:rsidRPr="0026077D" w:rsidRDefault="00720C9D" w:rsidP="00192B03">
      <w:pPr>
        <w:pStyle w:val="ListParagraph"/>
      </w:pPr>
      <w:proofErr w:type="gramStart"/>
      <w:r>
        <w:t>following</w:t>
      </w:r>
      <w:proofErr w:type="gramEnd"/>
      <w:r>
        <w:t xml:space="preserve"> the implementation of measures.</w:t>
      </w:r>
    </w:p>
    <w:p w14:paraId="7D3AAD5F" w14:textId="77777777" w:rsidR="0026077D" w:rsidRDefault="0026077D" w:rsidP="0026077D">
      <w:pPr>
        <w:pStyle w:val="TOCHeading"/>
      </w:pPr>
      <w:bookmarkStart w:id="11" w:name="_Toc195429"/>
      <w:bookmarkStart w:id="12" w:name="_Toc6386351"/>
      <w:r w:rsidRPr="0026077D">
        <w:t>How to apply?</w:t>
      </w:r>
      <w:bookmarkEnd w:id="11"/>
      <w:bookmarkEnd w:id="12"/>
    </w:p>
    <w:p w14:paraId="0DFFC8E9" w14:textId="35BDBB36" w:rsidR="00DA6868" w:rsidRPr="00DF1857" w:rsidRDefault="00DA6868" w:rsidP="00DA6868">
      <w:pPr>
        <w:rPr>
          <w:color w:val="1B9590" w:themeColor="accent3"/>
        </w:rPr>
      </w:pPr>
      <w:r w:rsidRPr="00DF1857">
        <w:rPr>
          <w:color w:val="1B9590" w:themeColor="accent3"/>
        </w:rPr>
        <w:t xml:space="preserve">Ground </w:t>
      </w:r>
      <w:r w:rsidR="00956FD6">
        <w:rPr>
          <w:color w:val="1B9590" w:themeColor="accent3"/>
        </w:rPr>
        <w:t>O</w:t>
      </w:r>
      <w:r w:rsidRPr="00DF1857">
        <w:rPr>
          <w:color w:val="1B9590" w:themeColor="accent3"/>
        </w:rPr>
        <w:t>ne exemption</w:t>
      </w:r>
    </w:p>
    <w:p w14:paraId="6F386345" w14:textId="77777777" w:rsidR="00280AB8" w:rsidRDefault="00226AE7" w:rsidP="00720C9D">
      <w:r>
        <w:t xml:space="preserve">Under the Ground </w:t>
      </w:r>
      <w:proofErr w:type="gramStart"/>
      <w:r>
        <w:t>One</w:t>
      </w:r>
      <w:proofErr w:type="gramEnd"/>
      <w:r>
        <w:t xml:space="preserve"> exemption, the Minister </w:t>
      </w:r>
      <w:r w:rsidRPr="00795C3A">
        <w:t>may</w:t>
      </w:r>
      <w:r>
        <w:t xml:space="preserve"> grant an exemption if like or directly competitive goods are not </w:t>
      </w:r>
      <w:r w:rsidR="00280AB8">
        <w:t xml:space="preserve">offered for sale in Australia. </w:t>
      </w:r>
      <w:r>
        <w:t xml:space="preserve">If like or </w:t>
      </w:r>
      <w:proofErr w:type="gramStart"/>
      <w:r>
        <w:t>directly</w:t>
      </w:r>
      <w:proofErr w:type="gramEnd"/>
      <w:r>
        <w:t xml:space="preserve"> competitive goods </w:t>
      </w:r>
      <w:r w:rsidRPr="00226AE7">
        <w:rPr>
          <w:i/>
        </w:rPr>
        <w:t>are</w:t>
      </w:r>
      <w:r>
        <w:t xml:space="preserve"> offered for sale in Australia then the Minister may grant an exemption if the goods are </w:t>
      </w:r>
      <w:r>
        <w:rPr>
          <w:i/>
        </w:rPr>
        <w:t>not</w:t>
      </w:r>
      <w:r>
        <w:t xml:space="preserve"> offered to all purchasers on equal terms under like conditions.</w:t>
      </w:r>
      <w:r w:rsidR="00280AB8">
        <w:t xml:space="preserve"> </w:t>
      </w:r>
    </w:p>
    <w:p w14:paraId="1D31756D" w14:textId="242F5DAB" w:rsidR="00720C9D" w:rsidRDefault="00720C9D" w:rsidP="00720C9D">
      <w:r>
        <w:t xml:space="preserve">Step 1. Contact </w:t>
      </w:r>
      <w:r w:rsidRPr="00771E7A">
        <w:t>all known Australian producers</w:t>
      </w:r>
      <w:r>
        <w:t xml:space="preserve">, </w:t>
      </w:r>
      <w:r w:rsidRPr="00771E7A">
        <w:t>in writing</w:t>
      </w:r>
      <w:r>
        <w:t>,</w:t>
      </w:r>
      <w:r w:rsidRPr="00771E7A">
        <w:t xml:space="preserve"> and ask whether they </w:t>
      </w:r>
      <w:r w:rsidR="00B655EF">
        <w:t xml:space="preserve">can </w:t>
      </w:r>
      <w:r w:rsidRPr="00771E7A">
        <w:t>manufacture and supply the goods</w:t>
      </w:r>
      <w:r>
        <w:t xml:space="preserve"> in question</w:t>
      </w:r>
      <w:r w:rsidR="00B655EF">
        <w:t xml:space="preserve"> and if so, the terms of supply</w:t>
      </w:r>
      <w:r w:rsidR="009256A3" w:rsidRPr="00A85416">
        <w:t>.</w:t>
      </w:r>
      <w:r w:rsidR="004355E0" w:rsidRPr="00A85416">
        <w:t xml:space="preserve"> You may also wish to consider asking Australian producers whether they would provide support for </w:t>
      </w:r>
      <w:r w:rsidR="003852F0" w:rsidRPr="00A85416">
        <w:t>your exemption</w:t>
      </w:r>
      <w:r w:rsidR="004355E0" w:rsidRPr="00A85416">
        <w:t xml:space="preserve"> application.</w:t>
      </w:r>
      <w:r w:rsidR="004355E0">
        <w:t xml:space="preserve"> </w:t>
      </w:r>
    </w:p>
    <w:p w14:paraId="6DFBE5C3" w14:textId="1B0ABE71" w:rsidR="00B655EF" w:rsidRDefault="00720C9D" w:rsidP="00720C9D">
      <w:r>
        <w:t>Step 2. Collect resp</w:t>
      </w:r>
      <w:r w:rsidR="00350A5C">
        <w:t xml:space="preserve">onses from Australian producers and </w:t>
      </w:r>
      <w:r w:rsidR="00B655EF">
        <w:t>consider</w:t>
      </w:r>
      <w:r w:rsidR="00872A4A">
        <w:t xml:space="preserve"> whether the Minister can be satisfied that</w:t>
      </w:r>
      <w:r w:rsidR="00B655EF">
        <w:t>:</w:t>
      </w:r>
    </w:p>
    <w:p w14:paraId="499AC71A" w14:textId="279ED1F1" w:rsidR="00B655EF" w:rsidRDefault="00350A5C" w:rsidP="00CD0BC8">
      <w:pPr>
        <w:pStyle w:val="ListParagraph"/>
        <w:numPr>
          <w:ilvl w:val="0"/>
          <w:numId w:val="8"/>
        </w:numPr>
      </w:pPr>
      <w:proofErr w:type="gramStart"/>
      <w:r>
        <w:t>like</w:t>
      </w:r>
      <w:proofErr w:type="gramEnd"/>
      <w:r>
        <w:t xml:space="preserve"> </w:t>
      </w:r>
      <w:r w:rsidRPr="006C279E">
        <w:t xml:space="preserve">or directly competitive goods </w:t>
      </w:r>
      <w:r>
        <w:t xml:space="preserve">are </w:t>
      </w:r>
      <w:r w:rsidR="00226AE7">
        <w:t xml:space="preserve">not </w:t>
      </w:r>
      <w:r>
        <w:t xml:space="preserve">offered </w:t>
      </w:r>
      <w:r w:rsidRPr="006C279E">
        <w:t xml:space="preserve">for sale </w:t>
      </w:r>
      <w:r w:rsidR="00B355C6">
        <w:t xml:space="preserve">by the Australian industry, </w:t>
      </w:r>
      <w:proofErr w:type="spellStart"/>
      <w:r w:rsidR="00B355C6">
        <w:t>ie</w:t>
      </w:r>
      <w:proofErr w:type="spellEnd"/>
      <w:r w:rsidR="00B355C6">
        <w:t xml:space="preserve">. there is no Australian industry producing </w:t>
      </w:r>
      <w:r w:rsidR="00696B23">
        <w:t xml:space="preserve">and supplying </w:t>
      </w:r>
      <w:r w:rsidR="00B355C6">
        <w:t>goods that are like or directly competitive to the goods in question</w:t>
      </w:r>
      <w:r w:rsidR="00B655EF">
        <w:t xml:space="preserve">; </w:t>
      </w:r>
      <w:r w:rsidR="00226AE7">
        <w:t>or</w:t>
      </w:r>
    </w:p>
    <w:p w14:paraId="64EE1AC5" w14:textId="0B54D40F" w:rsidR="00C00657" w:rsidRDefault="00B655EF" w:rsidP="00CD0BC8">
      <w:pPr>
        <w:pStyle w:val="ListParagraph"/>
        <w:numPr>
          <w:ilvl w:val="0"/>
          <w:numId w:val="8"/>
        </w:numPr>
      </w:pPr>
      <w:proofErr w:type="gramStart"/>
      <w:r>
        <w:t>goods</w:t>
      </w:r>
      <w:proofErr w:type="gramEnd"/>
      <w:r>
        <w:t xml:space="preserve"> </w:t>
      </w:r>
      <w:r w:rsidR="00B355C6">
        <w:t xml:space="preserve">offered for sale by the Australian industry </w:t>
      </w:r>
      <w:r>
        <w:t xml:space="preserve">are </w:t>
      </w:r>
      <w:r w:rsidRPr="00872A4A">
        <w:rPr>
          <w:i/>
        </w:rPr>
        <w:t>not</w:t>
      </w:r>
      <w:r>
        <w:t xml:space="preserve"> offered </w:t>
      </w:r>
      <w:r w:rsidR="00350A5C" w:rsidRPr="006C279E">
        <w:t>to all purchasers on equal terms under like conditions having regard to the custom and usage of trade</w:t>
      </w:r>
      <w:r>
        <w:t>.</w:t>
      </w:r>
    </w:p>
    <w:p w14:paraId="23A9AD32" w14:textId="77777777" w:rsidR="00C00657" w:rsidRDefault="00C00657" w:rsidP="00720C9D">
      <w:r>
        <w:t xml:space="preserve">Chapter 2 of the </w:t>
      </w:r>
      <w:r>
        <w:rPr>
          <w:i/>
        </w:rPr>
        <w:t>Dumping and Subsidy Manual</w:t>
      </w:r>
      <w:r>
        <w:t xml:space="preserve"> sets out the Commission’s established policy and practice in relation to like goods. Where two goods are identical, they </w:t>
      </w:r>
      <w:proofErr w:type="gramStart"/>
      <w:r>
        <w:t>are automatically regarded</w:t>
      </w:r>
      <w:proofErr w:type="gramEnd"/>
      <w:r>
        <w:t xml:space="preserve"> as like goods. Where two goods are not alike in all respects, the Commission will assess whether they have characteristics closely resembling each other. This assessment will include assessing their physical, commercial, functional, and production likeness. </w:t>
      </w:r>
    </w:p>
    <w:p w14:paraId="430D450D" w14:textId="77777777" w:rsidR="00C00657" w:rsidRDefault="00C00657" w:rsidP="00720C9D">
      <w:r>
        <w:lastRenderedPageBreak/>
        <w:t xml:space="preserve">The phrase ‘directly competitive’ </w:t>
      </w:r>
      <w:proofErr w:type="gramStart"/>
      <w:r>
        <w:t>is taken</w:t>
      </w:r>
      <w:proofErr w:type="gramEnd"/>
      <w:r>
        <w:t xml:space="preserve"> to refer to goods with comparable features that rival each other in a commercial market. The assessment will be one of fact and degrees, and the goods </w:t>
      </w:r>
      <w:proofErr w:type="gramStart"/>
      <w:r>
        <w:t>will not merely remotely or indirectly compete</w:t>
      </w:r>
      <w:proofErr w:type="gramEnd"/>
      <w:r>
        <w:t xml:space="preserve">. </w:t>
      </w:r>
    </w:p>
    <w:p w14:paraId="56C2EE1C" w14:textId="459B1B5A" w:rsidR="00C00657" w:rsidRDefault="00C00657" w:rsidP="00720C9D">
      <w:r>
        <w:t xml:space="preserve">When considering what is ‘custom or trade </w:t>
      </w:r>
      <w:proofErr w:type="gramStart"/>
      <w:r>
        <w:t>usage’</w:t>
      </w:r>
      <w:proofErr w:type="gramEnd"/>
      <w:r>
        <w:t xml:space="preserve"> </w:t>
      </w:r>
      <w:r w:rsidR="003B7937">
        <w:t>it</w:t>
      </w:r>
      <w:r>
        <w:t xml:space="preserve"> </w:t>
      </w:r>
      <w:r w:rsidR="009A6A0A">
        <w:t>is considered</w:t>
      </w:r>
      <w:r>
        <w:t xml:space="preserve"> that:</w:t>
      </w:r>
    </w:p>
    <w:p w14:paraId="427EB1B9" w14:textId="0961F93C" w:rsidR="00F1122C" w:rsidRDefault="00C00657" w:rsidP="009140A0">
      <w:pPr>
        <w:pStyle w:val="ListParagraph"/>
      </w:pPr>
      <w:r>
        <w:t>Custom or usage is established mercantile usage or professional practice; and</w:t>
      </w:r>
    </w:p>
    <w:p w14:paraId="33A62EE6" w14:textId="68BEF214" w:rsidR="00C00657" w:rsidRDefault="00C00657" w:rsidP="009140A0">
      <w:pPr>
        <w:pStyle w:val="ListParagraph"/>
      </w:pPr>
      <w:r>
        <w:t xml:space="preserve">Evidence of actual market practices is crucial to the existence of a custom or usage. However, universal acceptance is not necessary. </w:t>
      </w:r>
    </w:p>
    <w:p w14:paraId="28A41EFA" w14:textId="5EBEBD3D" w:rsidR="00720C9D" w:rsidRDefault="00720C9D" w:rsidP="00720C9D">
      <w:r>
        <w:t xml:space="preserve">Step 3. Complete the </w:t>
      </w:r>
      <w:r w:rsidR="008B55B7">
        <w:t xml:space="preserve">application letter to the Commission and prepare a confidential </w:t>
      </w:r>
      <w:r w:rsidR="00350A5C">
        <w:t xml:space="preserve">(if required) </w:t>
      </w:r>
      <w:r w:rsidR="008B55B7">
        <w:t>and non-confidential version.</w:t>
      </w:r>
      <w:r w:rsidR="00350A5C">
        <w:t xml:space="preserve"> Clearly mark each version as ‘CONFIDENTIAL’ or ‘PUBLIC’. </w:t>
      </w:r>
    </w:p>
    <w:p w14:paraId="3BFF07F1" w14:textId="162614A0" w:rsidR="00720C9D" w:rsidRDefault="00720C9D" w:rsidP="00720C9D">
      <w:r>
        <w:t xml:space="preserve">Step 4. </w:t>
      </w:r>
      <w:r w:rsidR="008B55B7">
        <w:t>Forward the confidential and non-confidential application letters and supporting documentation to the Commission.</w:t>
      </w:r>
      <w:r w:rsidR="00350A5C">
        <w:t xml:space="preserve"> </w:t>
      </w:r>
      <w:r w:rsidR="00350A5C" w:rsidRPr="005661E3">
        <w:t>Clearly mark any supporting documentation as ‘CONFIDENTIAL’ or ‘PUBLIC’.</w:t>
      </w:r>
      <w:r w:rsidR="00B253F0">
        <w:t xml:space="preserve"> Further guidance is available at ‘</w:t>
      </w:r>
      <w:hyperlink r:id="rId13" w:history="1">
        <w:r w:rsidR="00B253F0" w:rsidRPr="00E00B25">
          <w:rPr>
            <w:rStyle w:val="Hyperlink"/>
          </w:rPr>
          <w:t>provision of a non-confidential summary’</w:t>
        </w:r>
      </w:hyperlink>
      <w:r w:rsidR="00B253F0">
        <w:t xml:space="preserve">. </w:t>
      </w:r>
    </w:p>
    <w:p w14:paraId="6979E120" w14:textId="5636694E" w:rsidR="00720C9D" w:rsidRPr="00DF1857" w:rsidRDefault="00DA6868" w:rsidP="00720C9D">
      <w:pPr>
        <w:rPr>
          <w:color w:val="1B9590" w:themeColor="accent3"/>
        </w:rPr>
      </w:pPr>
      <w:r w:rsidRPr="00DF1857">
        <w:rPr>
          <w:color w:val="1B9590" w:themeColor="accent3"/>
        </w:rPr>
        <w:t xml:space="preserve">Ground </w:t>
      </w:r>
      <w:proofErr w:type="gramStart"/>
      <w:r w:rsidR="00956FD6">
        <w:rPr>
          <w:color w:val="1B9590" w:themeColor="accent3"/>
        </w:rPr>
        <w:t>T</w:t>
      </w:r>
      <w:r w:rsidR="00DF1857" w:rsidRPr="00DF1857">
        <w:rPr>
          <w:color w:val="1B9590" w:themeColor="accent3"/>
        </w:rPr>
        <w:t>wo</w:t>
      </w:r>
      <w:proofErr w:type="gramEnd"/>
      <w:r w:rsidR="00DF1857" w:rsidRPr="00DF1857">
        <w:rPr>
          <w:color w:val="1B9590" w:themeColor="accent3"/>
        </w:rPr>
        <w:t xml:space="preserve"> e</w:t>
      </w:r>
      <w:r w:rsidRPr="00DF1857">
        <w:rPr>
          <w:color w:val="1B9590" w:themeColor="accent3"/>
        </w:rPr>
        <w:t>xemption</w:t>
      </w:r>
    </w:p>
    <w:p w14:paraId="4136F3E6" w14:textId="218ECCE2" w:rsidR="00CA6162" w:rsidRDefault="00DF1857" w:rsidP="00CA6162">
      <w:r>
        <w:t xml:space="preserve">Step 1. Confirm </w:t>
      </w:r>
      <w:r w:rsidR="00E943A8">
        <w:t xml:space="preserve">that </w:t>
      </w:r>
      <w:r>
        <w:t xml:space="preserve">there is a TCO in place. Review the </w:t>
      </w:r>
      <w:hyperlink r:id="rId14" w:history="1">
        <w:r w:rsidRPr="00DF1857">
          <w:rPr>
            <w:rStyle w:val="Hyperlink"/>
          </w:rPr>
          <w:t>list of TCOs</w:t>
        </w:r>
      </w:hyperlink>
      <w:r>
        <w:t xml:space="preserve"> on the Australian Border Force (ABF) website.</w:t>
      </w:r>
    </w:p>
    <w:p w14:paraId="270958E8" w14:textId="3FB8F445" w:rsidR="00CA6162" w:rsidRPr="00CA6162" w:rsidRDefault="00CA6162" w:rsidP="00CA6162">
      <w:r w:rsidRPr="00CA6162">
        <w:t xml:space="preserve">If there is no TCO in place, </w:t>
      </w:r>
      <w:r w:rsidR="004355E0">
        <w:t xml:space="preserve">you can consider </w:t>
      </w:r>
      <w:r w:rsidRPr="00CA6162">
        <w:t>apply</w:t>
      </w:r>
      <w:r w:rsidR="004355E0">
        <w:t>ing</w:t>
      </w:r>
      <w:r w:rsidRPr="00CA6162">
        <w:t xml:space="preserve"> for a TCO. Information about </w:t>
      </w:r>
      <w:hyperlink r:id="rId15" w:history="1">
        <w:r w:rsidRPr="00CA6162">
          <w:rPr>
            <w:rStyle w:val="Hyperlink"/>
          </w:rPr>
          <w:t>applying for a TCO</w:t>
        </w:r>
      </w:hyperlink>
      <w:r w:rsidRPr="00CA6162">
        <w:t xml:space="preserve"> is </w:t>
      </w:r>
      <w:r w:rsidR="008B55B7">
        <w:t xml:space="preserve">also </w:t>
      </w:r>
      <w:r w:rsidRPr="00CA6162">
        <w:t>on the ABF website.</w:t>
      </w:r>
    </w:p>
    <w:p w14:paraId="2A7F25FE" w14:textId="32C03E44" w:rsidR="00DF1857" w:rsidRDefault="00DF1857" w:rsidP="00DF1857">
      <w:r>
        <w:t xml:space="preserve">Step </w:t>
      </w:r>
      <w:r w:rsidR="00CA6162">
        <w:t>2</w:t>
      </w:r>
      <w:r>
        <w:t xml:space="preserve">. </w:t>
      </w:r>
      <w:r w:rsidR="00CA6162">
        <w:t>Once a TCO is in place, c</w:t>
      </w:r>
      <w:r>
        <w:t>omplete the application letter to the Commission</w:t>
      </w:r>
      <w:r w:rsidR="008B55B7">
        <w:t xml:space="preserve"> and prepare a c</w:t>
      </w:r>
      <w:r>
        <w:t xml:space="preserve">onfidential </w:t>
      </w:r>
      <w:r w:rsidR="00133EB7">
        <w:t xml:space="preserve">(if required) </w:t>
      </w:r>
      <w:r>
        <w:t>and non-confidential version</w:t>
      </w:r>
      <w:r w:rsidR="008B55B7">
        <w:t>.</w:t>
      </w:r>
      <w:r w:rsidR="00133EB7">
        <w:t xml:space="preserve"> Clearly mark each version as ‘CONFIDENTIAL’ or ‘PUBLIC’</w:t>
      </w:r>
    </w:p>
    <w:p w14:paraId="19819B7C" w14:textId="343F606F" w:rsidR="00956FD6" w:rsidRDefault="00DF1857" w:rsidP="0037229C">
      <w:r>
        <w:t xml:space="preserve">Step </w:t>
      </w:r>
      <w:r w:rsidR="00CA6162">
        <w:t>3</w:t>
      </w:r>
      <w:r>
        <w:t xml:space="preserve">. Forward the </w:t>
      </w:r>
      <w:r w:rsidR="008B55B7">
        <w:t xml:space="preserve">confidential and non-confidential </w:t>
      </w:r>
      <w:r>
        <w:t>application letters</w:t>
      </w:r>
      <w:r w:rsidR="008B55B7">
        <w:t xml:space="preserve"> and supporting documentation</w:t>
      </w:r>
      <w:r>
        <w:t xml:space="preserve"> to the Commission</w:t>
      </w:r>
      <w:r w:rsidR="008B55B7">
        <w:t>.</w:t>
      </w:r>
      <w:r w:rsidR="00133EB7">
        <w:t xml:space="preserve"> Clearly mark any supporting documentation as ‘CONFIDENTIAL’ or ‘PUBLIC’.</w:t>
      </w:r>
      <w:r w:rsidR="00956FD6">
        <w:br w:type="page"/>
      </w:r>
    </w:p>
    <w:p w14:paraId="612698B4" w14:textId="7435442A" w:rsidR="00DA6868" w:rsidRPr="00720C9D" w:rsidRDefault="00DA6868" w:rsidP="00DA6868">
      <w:pPr>
        <w:pStyle w:val="Heading1"/>
      </w:pPr>
      <w:bookmarkStart w:id="13" w:name="_Toc195430"/>
      <w:bookmarkStart w:id="14" w:name="_Toc6386352"/>
      <w:r>
        <w:lastRenderedPageBreak/>
        <w:t>Application letter</w:t>
      </w:r>
      <w:bookmarkEnd w:id="13"/>
      <w:bookmarkEnd w:id="14"/>
    </w:p>
    <w:p w14:paraId="4302D06A" w14:textId="663D0C69" w:rsidR="006C279E" w:rsidRDefault="00771E7A" w:rsidP="00771E7A">
      <w:r w:rsidRPr="00771E7A">
        <w:t xml:space="preserve">There is no </w:t>
      </w:r>
      <w:r w:rsidR="00F95F8C">
        <w:t xml:space="preserve">prescribed </w:t>
      </w:r>
      <w:r w:rsidRPr="00771E7A">
        <w:t>application form</w:t>
      </w:r>
      <w:r w:rsidR="004355E0">
        <w:t xml:space="preserve"> </w:t>
      </w:r>
      <w:r w:rsidR="006C279E">
        <w:t xml:space="preserve">for </w:t>
      </w:r>
      <w:r w:rsidRPr="00771E7A">
        <w:t>an exemption inquiry.</w:t>
      </w:r>
    </w:p>
    <w:p w14:paraId="1805E906" w14:textId="68F19821" w:rsidR="00771E7A" w:rsidRPr="00771E7A" w:rsidRDefault="00011BA6" w:rsidP="00771E7A">
      <w:r>
        <w:t>T</w:t>
      </w:r>
      <w:r w:rsidR="006C279E">
        <w:t xml:space="preserve">he </w:t>
      </w:r>
      <w:r w:rsidR="00771E7A" w:rsidRPr="00771E7A">
        <w:t xml:space="preserve">application must be in writing </w:t>
      </w:r>
      <w:r w:rsidR="00771E7A" w:rsidRPr="00FB3994">
        <w:rPr>
          <w:u w:val="single"/>
        </w:rPr>
        <w:t>and</w:t>
      </w:r>
      <w:r w:rsidR="00771E7A" w:rsidRPr="00771E7A">
        <w:t xml:space="preserve"> </w:t>
      </w:r>
      <w:r w:rsidR="009256A3">
        <w:t xml:space="preserve">should </w:t>
      </w:r>
      <w:r w:rsidR="00771E7A" w:rsidRPr="00771E7A">
        <w:t>contain:</w:t>
      </w:r>
    </w:p>
    <w:p w14:paraId="2FD9C563" w14:textId="77777777" w:rsidR="00EC6B6A" w:rsidRDefault="00EC6B6A" w:rsidP="006C279E">
      <w:pPr>
        <w:pStyle w:val="ListParagraph"/>
      </w:pPr>
      <w:r>
        <w:t xml:space="preserve">the applicant’s </w:t>
      </w:r>
      <w:r w:rsidR="00771E7A" w:rsidRPr="00771E7A">
        <w:t xml:space="preserve">details </w:t>
      </w:r>
      <w:r>
        <w:t>including</w:t>
      </w:r>
    </w:p>
    <w:p w14:paraId="52B13862" w14:textId="77777777" w:rsidR="00EC6B6A" w:rsidRDefault="00771E7A" w:rsidP="00EC6B6A">
      <w:pPr>
        <w:pStyle w:val="ListParagraph"/>
        <w:numPr>
          <w:ilvl w:val="1"/>
          <w:numId w:val="1"/>
        </w:numPr>
      </w:pPr>
      <w:r w:rsidRPr="00771E7A">
        <w:t>name</w:t>
      </w:r>
    </w:p>
    <w:p w14:paraId="36903868" w14:textId="3AE6300E" w:rsidR="00EC6B6A" w:rsidRDefault="00771E7A" w:rsidP="00EC6B6A">
      <w:pPr>
        <w:pStyle w:val="ListParagraph"/>
        <w:numPr>
          <w:ilvl w:val="1"/>
          <w:numId w:val="1"/>
        </w:numPr>
      </w:pPr>
      <w:r w:rsidRPr="00771E7A">
        <w:t>street address</w:t>
      </w:r>
    </w:p>
    <w:p w14:paraId="35C94819" w14:textId="6B8215B4" w:rsidR="00771E7A" w:rsidRDefault="00771E7A" w:rsidP="00EC6B6A">
      <w:pPr>
        <w:pStyle w:val="ListParagraph"/>
        <w:numPr>
          <w:ilvl w:val="1"/>
          <w:numId w:val="1"/>
        </w:numPr>
      </w:pPr>
      <w:r w:rsidRPr="00771E7A">
        <w:t xml:space="preserve">postal address </w:t>
      </w:r>
    </w:p>
    <w:p w14:paraId="1FC66CD5" w14:textId="644AB361" w:rsidR="00EC6B6A" w:rsidRDefault="00EC6B6A" w:rsidP="006C279E">
      <w:pPr>
        <w:pStyle w:val="ListParagraph"/>
      </w:pPr>
      <w:r>
        <w:t xml:space="preserve">the </w:t>
      </w:r>
      <w:r w:rsidR="00FB3994">
        <w:t>contact person</w:t>
      </w:r>
      <w:r>
        <w:t>’s details</w:t>
      </w:r>
      <w:r w:rsidR="00FB3994">
        <w:t xml:space="preserve"> including</w:t>
      </w:r>
    </w:p>
    <w:p w14:paraId="09CF7F9C" w14:textId="77777777" w:rsidR="00EC6B6A" w:rsidRDefault="00FB3994" w:rsidP="00EC6B6A">
      <w:pPr>
        <w:pStyle w:val="ListParagraph"/>
        <w:numPr>
          <w:ilvl w:val="1"/>
          <w:numId w:val="1"/>
        </w:numPr>
      </w:pPr>
      <w:r>
        <w:t>position</w:t>
      </w:r>
    </w:p>
    <w:p w14:paraId="29EBFD3E" w14:textId="77777777" w:rsidR="00EC6B6A" w:rsidRDefault="00FB3994" w:rsidP="00EC6B6A">
      <w:pPr>
        <w:pStyle w:val="ListParagraph"/>
        <w:numPr>
          <w:ilvl w:val="1"/>
          <w:numId w:val="1"/>
        </w:numPr>
      </w:pPr>
      <w:r>
        <w:t>telephone number</w:t>
      </w:r>
    </w:p>
    <w:p w14:paraId="1683D871" w14:textId="641324F9" w:rsidR="00FB3994" w:rsidRPr="00771E7A" w:rsidRDefault="00FB3994" w:rsidP="00EC6B6A">
      <w:pPr>
        <w:pStyle w:val="ListParagraph"/>
        <w:numPr>
          <w:ilvl w:val="1"/>
          <w:numId w:val="1"/>
        </w:numPr>
      </w:pPr>
      <w:r>
        <w:t>email address</w:t>
      </w:r>
    </w:p>
    <w:p w14:paraId="4D7E3E38" w14:textId="77777777" w:rsidR="00EC6B6A" w:rsidRDefault="00771E7A" w:rsidP="006C279E">
      <w:pPr>
        <w:pStyle w:val="ListParagraph"/>
      </w:pPr>
      <w:r w:rsidRPr="00771E7A">
        <w:t>a description of the applicant’s interests as an affected party</w:t>
      </w:r>
    </w:p>
    <w:p w14:paraId="05DFB469" w14:textId="58C7AF7A" w:rsidR="00771E7A" w:rsidRPr="00771E7A" w:rsidRDefault="00771E7A" w:rsidP="00EC6B6A">
      <w:pPr>
        <w:pStyle w:val="ListParagraph"/>
        <w:numPr>
          <w:ilvl w:val="1"/>
          <w:numId w:val="1"/>
        </w:numPr>
      </w:pPr>
      <w:r w:rsidRPr="00771E7A">
        <w:t xml:space="preserve">e.g. importer </w:t>
      </w:r>
      <w:r w:rsidR="003735A2">
        <w:t>or</w:t>
      </w:r>
      <w:r w:rsidRPr="00771E7A">
        <w:t xml:space="preserve"> end user/supplier</w:t>
      </w:r>
    </w:p>
    <w:p w14:paraId="23A2F4FF" w14:textId="7F452FCB" w:rsidR="0037229C" w:rsidRDefault="00771E7A" w:rsidP="006C279E">
      <w:pPr>
        <w:pStyle w:val="ListParagraph"/>
      </w:pPr>
      <w:r w:rsidRPr="00771E7A">
        <w:t>details of other parties likely to have an interest in this exemption application</w:t>
      </w:r>
    </w:p>
    <w:p w14:paraId="5D444BB1" w14:textId="6D0B0953" w:rsidR="0037229C" w:rsidRDefault="0037229C" w:rsidP="0037229C">
      <w:pPr>
        <w:pStyle w:val="ListParagraph"/>
        <w:numPr>
          <w:ilvl w:val="1"/>
          <w:numId w:val="1"/>
        </w:numPr>
      </w:pPr>
      <w:r>
        <w:t>name</w:t>
      </w:r>
    </w:p>
    <w:p w14:paraId="2018A8A8" w14:textId="3BE2F8A1" w:rsidR="0037229C" w:rsidRDefault="0037229C" w:rsidP="0037229C">
      <w:pPr>
        <w:pStyle w:val="ListParagraph"/>
        <w:numPr>
          <w:ilvl w:val="1"/>
          <w:numId w:val="1"/>
        </w:numPr>
      </w:pPr>
      <w:r>
        <w:t>address</w:t>
      </w:r>
    </w:p>
    <w:p w14:paraId="7218E500" w14:textId="3C872661" w:rsidR="00771E7A" w:rsidRPr="00771E7A" w:rsidRDefault="00771E7A" w:rsidP="0037229C">
      <w:pPr>
        <w:pStyle w:val="ListParagraph"/>
        <w:numPr>
          <w:ilvl w:val="1"/>
          <w:numId w:val="1"/>
        </w:numPr>
      </w:pPr>
      <w:r w:rsidRPr="00771E7A">
        <w:t>what their interest may be (e.g. known importers and Australian producers)</w:t>
      </w:r>
    </w:p>
    <w:p w14:paraId="422C1D83" w14:textId="77777777" w:rsidR="00EC6B6A" w:rsidRDefault="00771E7A" w:rsidP="006C279E">
      <w:pPr>
        <w:pStyle w:val="ListParagraph"/>
      </w:pPr>
      <w:r w:rsidRPr="00771E7A">
        <w:t>details on which grounds the exemption is being sought</w:t>
      </w:r>
    </w:p>
    <w:p w14:paraId="40162E6E" w14:textId="612E5397" w:rsidR="00771E7A" w:rsidRPr="00771E7A" w:rsidRDefault="00FB3994" w:rsidP="00EC6B6A">
      <w:pPr>
        <w:pStyle w:val="ListParagraph"/>
        <w:numPr>
          <w:ilvl w:val="1"/>
          <w:numId w:val="1"/>
        </w:numPr>
      </w:pPr>
      <w:r>
        <w:t>s</w:t>
      </w:r>
      <w:r w:rsidR="00011BA6">
        <w:t xml:space="preserve">ee section above </w:t>
      </w:r>
      <w:r>
        <w:t xml:space="preserve">on </w:t>
      </w:r>
      <w:r w:rsidR="0037229C">
        <w:rPr>
          <w:u w:val="single"/>
        </w:rPr>
        <w:t xml:space="preserve">Grounds for an </w:t>
      </w:r>
      <w:r w:rsidRPr="00FB3994">
        <w:rPr>
          <w:u w:val="single"/>
        </w:rPr>
        <w:t>exemption</w:t>
      </w:r>
    </w:p>
    <w:p w14:paraId="4949BFF7" w14:textId="77777777" w:rsidR="0037229C" w:rsidRDefault="00771E7A" w:rsidP="006C279E">
      <w:pPr>
        <w:pStyle w:val="ListParagraph"/>
      </w:pPr>
      <w:r w:rsidRPr="00771E7A">
        <w:t>evidence that all known Australian producers have been</w:t>
      </w:r>
    </w:p>
    <w:p w14:paraId="1D1505FF" w14:textId="65AC7E27" w:rsidR="0037229C" w:rsidRDefault="00771E7A" w:rsidP="0037229C">
      <w:pPr>
        <w:pStyle w:val="ListParagraph"/>
        <w:numPr>
          <w:ilvl w:val="1"/>
          <w:numId w:val="1"/>
        </w:numPr>
      </w:pPr>
      <w:r w:rsidRPr="00771E7A">
        <w:t xml:space="preserve">contacted in writing </w:t>
      </w:r>
    </w:p>
    <w:p w14:paraId="2E000E80" w14:textId="73EB48DA" w:rsidR="00771E7A" w:rsidRPr="00771E7A" w:rsidRDefault="00771E7A" w:rsidP="0037229C">
      <w:pPr>
        <w:pStyle w:val="ListParagraph"/>
        <w:numPr>
          <w:ilvl w:val="1"/>
          <w:numId w:val="1"/>
        </w:numPr>
      </w:pPr>
      <w:r w:rsidRPr="00771E7A">
        <w:t xml:space="preserve">asked whether they </w:t>
      </w:r>
      <w:r w:rsidR="003735A2">
        <w:t xml:space="preserve">can </w:t>
      </w:r>
      <w:r w:rsidRPr="00771E7A">
        <w:t>manufacture and supply the goods</w:t>
      </w:r>
      <w:r w:rsidR="004355E0">
        <w:t xml:space="preserve">, </w:t>
      </w:r>
      <w:r w:rsidR="00813F05">
        <w:t xml:space="preserve">the terms of supply </w:t>
      </w:r>
      <w:r w:rsidR="004355E0" w:rsidRPr="00A85416">
        <w:t xml:space="preserve">and </w:t>
      </w:r>
      <w:r w:rsidR="007F41E4" w:rsidRPr="00A85416">
        <w:t>their view of</w:t>
      </w:r>
      <w:r w:rsidR="009256A3" w:rsidRPr="00A85416">
        <w:t xml:space="preserve"> the exemption application</w:t>
      </w:r>
      <w:r w:rsidR="00133EB7" w:rsidRPr="00A85416">
        <w:t xml:space="preserve"> </w:t>
      </w:r>
      <w:r w:rsidR="00133EB7" w:rsidRPr="00A85416">
        <w:rPr>
          <w:i/>
        </w:rPr>
        <w:t>[Note: you are not required to have support from Australian</w:t>
      </w:r>
      <w:r w:rsidR="003852F0" w:rsidRPr="00A85416">
        <w:rPr>
          <w:i/>
        </w:rPr>
        <w:t xml:space="preserve"> producers</w:t>
      </w:r>
      <w:r w:rsidR="00133EB7" w:rsidRPr="00A85416">
        <w:rPr>
          <w:i/>
        </w:rPr>
        <w:t>, however, it may assist your application]</w:t>
      </w:r>
    </w:p>
    <w:p w14:paraId="1285B02C" w14:textId="3DF1BC7D" w:rsidR="00FB3994" w:rsidRDefault="00771E7A" w:rsidP="006C279E">
      <w:pPr>
        <w:pStyle w:val="ListParagraph"/>
      </w:pPr>
      <w:r w:rsidRPr="00771E7A">
        <w:t xml:space="preserve">details of the current investigation or anti-dumping measures applying to the goods the subject of </w:t>
      </w:r>
      <w:r w:rsidR="0029363E">
        <w:t>your</w:t>
      </w:r>
      <w:r w:rsidR="0029363E" w:rsidRPr="00771E7A">
        <w:t xml:space="preserve"> </w:t>
      </w:r>
      <w:r w:rsidRPr="00771E7A">
        <w:t>application, including</w:t>
      </w:r>
      <w:r w:rsidR="00B00216">
        <w:t>:</w:t>
      </w:r>
    </w:p>
    <w:p w14:paraId="5339047D" w14:textId="1647E095" w:rsidR="00771E7A" w:rsidRDefault="00771E7A" w:rsidP="00FB3994">
      <w:pPr>
        <w:pStyle w:val="ListParagraph"/>
        <w:numPr>
          <w:ilvl w:val="1"/>
          <w:numId w:val="1"/>
        </w:numPr>
      </w:pPr>
      <w:r w:rsidRPr="00771E7A">
        <w:t xml:space="preserve">a description of the goods </w:t>
      </w:r>
      <w:r w:rsidR="00FB3994">
        <w:t>covered by the investigation or measure and their tariff classification</w:t>
      </w:r>
    </w:p>
    <w:p w14:paraId="5F4ECB54" w14:textId="7DD8D6FB" w:rsidR="00FB3994" w:rsidRDefault="00FB3994" w:rsidP="00FB3994">
      <w:pPr>
        <w:pStyle w:val="ListParagraph"/>
        <w:numPr>
          <w:ilvl w:val="1"/>
          <w:numId w:val="1"/>
        </w:numPr>
      </w:pPr>
      <w:r>
        <w:t>the countries specified</w:t>
      </w:r>
    </w:p>
    <w:p w14:paraId="3FAF0FC7" w14:textId="40A5ACBF" w:rsidR="00B00216" w:rsidRDefault="00B00216" w:rsidP="006C279E">
      <w:pPr>
        <w:pStyle w:val="ListParagraph"/>
      </w:pPr>
      <w:r>
        <w:t>a detailed statement setting out the reasons for seeking an exemption, including:</w:t>
      </w:r>
    </w:p>
    <w:p w14:paraId="0990C833" w14:textId="3FB3C072" w:rsidR="00B00216" w:rsidRDefault="00B00216" w:rsidP="00B00216">
      <w:pPr>
        <w:pStyle w:val="ListParagraph"/>
        <w:numPr>
          <w:ilvl w:val="1"/>
          <w:numId w:val="1"/>
        </w:numPr>
      </w:pPr>
      <w:r>
        <w:t>a detailed description of the goods on which the exemption is sought</w:t>
      </w:r>
      <w:r w:rsidR="00182AD4">
        <w:t xml:space="preserve"> (including, where applicable, technical specifications, chemical composition tables, drawings, or any other document which outlines the relevant characteristics of the goods on which the exemption is sought)</w:t>
      </w:r>
    </w:p>
    <w:p w14:paraId="125D0421" w14:textId="44E320D7" w:rsidR="00B00216" w:rsidRDefault="00B00216" w:rsidP="00B00216">
      <w:pPr>
        <w:pStyle w:val="ListParagraph"/>
        <w:numPr>
          <w:ilvl w:val="1"/>
          <w:numId w:val="1"/>
        </w:numPr>
      </w:pPr>
      <w:r>
        <w:t>the conditions that exist that provide grounds to make an exemption, and</w:t>
      </w:r>
    </w:p>
    <w:p w14:paraId="2F0E2F0E" w14:textId="1166B0ED" w:rsidR="0044597A" w:rsidRDefault="00B00216" w:rsidP="00B00216">
      <w:pPr>
        <w:pStyle w:val="ListParagraph"/>
        <w:numPr>
          <w:ilvl w:val="1"/>
          <w:numId w:val="1"/>
        </w:numPr>
      </w:pPr>
      <w:proofErr w:type="gramStart"/>
      <w:r>
        <w:lastRenderedPageBreak/>
        <w:t>whether</w:t>
      </w:r>
      <w:proofErr w:type="gramEnd"/>
      <w:r>
        <w:t xml:space="preserve"> an attempt has been made to</w:t>
      </w:r>
      <w:r w:rsidR="0044597A">
        <w:t xml:space="preserve"> purchase the product for which the exemption is being made, or a substitute product, from Australian producers.</w:t>
      </w:r>
    </w:p>
    <w:p w14:paraId="14D2B131" w14:textId="7673F9EF" w:rsidR="00D16B27" w:rsidRDefault="005A3BE7" w:rsidP="00D16B27">
      <w:r w:rsidRPr="00F01B85">
        <w:t>Attachment A</w:t>
      </w:r>
      <w:r>
        <w:t xml:space="preserve"> is a</w:t>
      </w:r>
      <w:r w:rsidR="00D16B27" w:rsidRPr="00D16B27">
        <w:t xml:space="preserve">n example </w:t>
      </w:r>
      <w:r>
        <w:t xml:space="preserve">of an </w:t>
      </w:r>
      <w:r w:rsidR="00D16B27" w:rsidRPr="00D16B27">
        <w:t>application letter to the Commission seeking an exemption inquiry</w:t>
      </w:r>
      <w:r>
        <w:t>.</w:t>
      </w:r>
    </w:p>
    <w:p w14:paraId="2B9E3476" w14:textId="59793516" w:rsidR="0044597A" w:rsidRDefault="0044597A" w:rsidP="0044597A">
      <w:pPr>
        <w:pStyle w:val="Heading1"/>
      </w:pPr>
      <w:bookmarkStart w:id="15" w:name="_Toc195431"/>
      <w:bookmarkStart w:id="16" w:name="_Toc6386353"/>
      <w:r>
        <w:t>Non confidential version</w:t>
      </w:r>
      <w:bookmarkEnd w:id="15"/>
      <w:bookmarkEnd w:id="16"/>
    </w:p>
    <w:p w14:paraId="4D6E0DE5" w14:textId="308E5EEC" w:rsidR="00771E7A" w:rsidRPr="00771E7A" w:rsidRDefault="00DF4840" w:rsidP="00DF4840">
      <w:r>
        <w:t xml:space="preserve">The Commission requires </w:t>
      </w:r>
      <w:r w:rsidR="00771E7A" w:rsidRPr="00771E7A">
        <w:t xml:space="preserve">the </w:t>
      </w:r>
      <w:r>
        <w:t xml:space="preserve">applicant to provide a non-confidential version of the </w:t>
      </w:r>
      <w:r w:rsidR="00771E7A" w:rsidRPr="00771E7A">
        <w:t>application, including supporting evidence</w:t>
      </w:r>
      <w:r>
        <w:t>. The Commission will place a copy of this version on the Public Record.</w:t>
      </w:r>
    </w:p>
    <w:p w14:paraId="1217E5E8" w14:textId="602040C7" w:rsidR="00771E7A" w:rsidRDefault="0037229C" w:rsidP="00DF4840">
      <w:r>
        <w:t>A</w:t>
      </w:r>
      <w:r w:rsidR="00771E7A" w:rsidRPr="00771E7A">
        <w:t xml:space="preserve">pplicants should ensure that the non-confidential version </w:t>
      </w:r>
      <w:r>
        <w:t xml:space="preserve">clearly shows </w:t>
      </w:r>
      <w:r w:rsidR="00771E7A" w:rsidRPr="00771E7A">
        <w:t xml:space="preserve">the </w:t>
      </w:r>
      <w:r>
        <w:t xml:space="preserve">applicant’s </w:t>
      </w:r>
      <w:r w:rsidR="00771E7A" w:rsidRPr="00771E7A">
        <w:t>grounds for seeking an exemption from anti-dumping measures.</w:t>
      </w:r>
    </w:p>
    <w:p w14:paraId="4FB4B936" w14:textId="77777777" w:rsidR="0026077D" w:rsidRPr="0026077D" w:rsidRDefault="0026077D" w:rsidP="0026077D">
      <w:pPr>
        <w:pStyle w:val="TOCHeading"/>
      </w:pPr>
      <w:bookmarkStart w:id="17" w:name="_Toc195432"/>
      <w:bookmarkStart w:id="18" w:name="_Toc6386354"/>
      <w:r w:rsidRPr="0026077D">
        <w:t>Pre-lodgement documentation check</w:t>
      </w:r>
      <w:bookmarkEnd w:id="17"/>
      <w:bookmarkEnd w:id="18"/>
    </w:p>
    <w:p w14:paraId="7A7714B2" w14:textId="7FD7F27F" w:rsidR="00BF4181" w:rsidRDefault="0026077D" w:rsidP="0026077D">
      <w:r w:rsidRPr="0026077D">
        <w:t>The Commission provides a free</w:t>
      </w:r>
      <w:r w:rsidR="00896556">
        <w:t xml:space="preserve"> </w:t>
      </w:r>
      <w:r w:rsidRPr="0026077D">
        <w:t>of</w:t>
      </w:r>
      <w:r w:rsidR="00896556">
        <w:t xml:space="preserve"> </w:t>
      </w:r>
      <w:r w:rsidRPr="0026077D">
        <w:t>charge document check, prior to formal lodgement</w:t>
      </w:r>
      <w:r w:rsidR="00BF4181">
        <w:t xml:space="preserve">. This check </w:t>
      </w:r>
      <w:r w:rsidR="00593066">
        <w:t>helps importers</w:t>
      </w:r>
      <w:r w:rsidRPr="0026077D">
        <w:t xml:space="preserve"> </w:t>
      </w:r>
      <w:r w:rsidR="00593066">
        <w:t xml:space="preserve">know </w:t>
      </w:r>
      <w:r w:rsidRPr="0026077D">
        <w:t xml:space="preserve">that their </w:t>
      </w:r>
      <w:r w:rsidR="00593066">
        <w:t>proposed application</w:t>
      </w:r>
      <w:r w:rsidRPr="0026077D">
        <w:t xml:space="preserve"> meet</w:t>
      </w:r>
      <w:r w:rsidR="00593066">
        <w:t>s</w:t>
      </w:r>
      <w:r w:rsidRPr="0026077D">
        <w:t xml:space="preserve"> the requirements</w:t>
      </w:r>
      <w:r w:rsidR="00886745">
        <w:t xml:space="preserve"> of a properly documented application</w:t>
      </w:r>
      <w:r w:rsidRPr="0026077D">
        <w:t>.</w:t>
      </w:r>
    </w:p>
    <w:p w14:paraId="7A783349" w14:textId="55054D00" w:rsidR="00CE4B77" w:rsidRDefault="00D95021" w:rsidP="0026077D">
      <w:r>
        <w:t>If you would like a pre-lodgement check, e</w:t>
      </w:r>
      <w:r w:rsidR="00ED0970">
        <w:t>mail t</w:t>
      </w:r>
      <w:r w:rsidR="0026077D" w:rsidRPr="0026077D">
        <w:t xml:space="preserve">he application plus relevant documents to </w:t>
      </w:r>
      <w:hyperlink r:id="rId16" w:history="1">
        <w:r w:rsidR="0026077D" w:rsidRPr="0026077D">
          <w:rPr>
            <w:rStyle w:val="Hyperlink"/>
            <w:lang w:val="en"/>
          </w:rPr>
          <w:t>clientsupport@adcommission.gov.au</w:t>
        </w:r>
      </w:hyperlink>
    </w:p>
    <w:p w14:paraId="633221E2" w14:textId="4767EE43" w:rsidR="0026077D" w:rsidRPr="0026077D" w:rsidRDefault="00CE4B77" w:rsidP="0026077D">
      <w:r>
        <w:t>C</w:t>
      </w:r>
      <w:r w:rsidR="00D95021">
        <w:t xml:space="preserve">learly state in the </w:t>
      </w:r>
      <w:r w:rsidR="0026077D" w:rsidRPr="0026077D">
        <w:t xml:space="preserve">email </w:t>
      </w:r>
      <w:r w:rsidR="00D95021">
        <w:t xml:space="preserve">that </w:t>
      </w:r>
      <w:r w:rsidR="00EF12A5">
        <w:t xml:space="preserve">you </w:t>
      </w:r>
      <w:r w:rsidR="00ED0970">
        <w:t>are</w:t>
      </w:r>
      <w:r w:rsidR="00EF12A5">
        <w:t xml:space="preserve"> </w:t>
      </w:r>
      <w:r w:rsidR="0026077D" w:rsidRPr="0026077D">
        <w:t>request</w:t>
      </w:r>
      <w:r w:rsidR="00EF12A5">
        <w:t xml:space="preserve">ing </w:t>
      </w:r>
      <w:r w:rsidR="0026077D" w:rsidRPr="0026077D">
        <w:t>a pre-lodgement check.</w:t>
      </w:r>
    </w:p>
    <w:p w14:paraId="154AD011" w14:textId="31AB698A" w:rsidR="0026077D" w:rsidRPr="0026077D" w:rsidRDefault="0026077D" w:rsidP="0026077D">
      <w:pPr>
        <w:pStyle w:val="TOCHeading"/>
      </w:pPr>
      <w:bookmarkStart w:id="19" w:name="_Toc195433"/>
      <w:bookmarkStart w:id="20" w:name="_Toc6386355"/>
      <w:r w:rsidRPr="0026077D">
        <w:t xml:space="preserve">How to </w:t>
      </w:r>
      <w:r w:rsidR="00ED0970">
        <w:t>‘</w:t>
      </w:r>
      <w:r w:rsidRPr="0026077D">
        <w:t>formally</w:t>
      </w:r>
      <w:r w:rsidR="00ED0970">
        <w:t>’</w:t>
      </w:r>
      <w:r w:rsidRPr="0026077D">
        <w:t xml:space="preserve"> lodge </w:t>
      </w:r>
      <w:r w:rsidR="001D7C76">
        <w:t xml:space="preserve">the </w:t>
      </w:r>
      <w:r w:rsidR="00F62F23">
        <w:t>application</w:t>
      </w:r>
      <w:r w:rsidR="001D7C76">
        <w:t>?</w:t>
      </w:r>
      <w:bookmarkEnd w:id="19"/>
      <w:bookmarkEnd w:id="20"/>
    </w:p>
    <w:p w14:paraId="721CE467" w14:textId="43A2DA77" w:rsidR="0026077D" w:rsidRPr="0026077D" w:rsidRDefault="00481943" w:rsidP="0026077D">
      <w:r>
        <w:t>For timely receipt of your application, i</w:t>
      </w:r>
      <w:r w:rsidR="00E80659">
        <w:t xml:space="preserve">t is better to email </w:t>
      </w:r>
      <w:r w:rsidR="0026077D" w:rsidRPr="0026077D">
        <w:t>application</w:t>
      </w:r>
      <w:r w:rsidR="00EF12A5">
        <w:t>s</w:t>
      </w:r>
      <w:r w:rsidR="0026077D" w:rsidRPr="0026077D">
        <w:t xml:space="preserve"> to </w:t>
      </w:r>
      <w:hyperlink r:id="rId17" w:history="1">
        <w:r w:rsidR="0026077D" w:rsidRPr="0026077D">
          <w:rPr>
            <w:rStyle w:val="Hyperlink"/>
            <w:lang w:val="en"/>
          </w:rPr>
          <w:t>clientsupport@adcommission.gov.au</w:t>
        </w:r>
      </w:hyperlink>
    </w:p>
    <w:p w14:paraId="59734784" w14:textId="10800BD9" w:rsidR="0026077D" w:rsidRPr="0026077D" w:rsidRDefault="0026077D" w:rsidP="0026077D"/>
    <w:p w14:paraId="368B75C9" w14:textId="6637304E" w:rsidR="0026077D" w:rsidRPr="0026077D" w:rsidRDefault="0026077D" w:rsidP="0026077D">
      <w:pPr>
        <w:pStyle w:val="TOCHeading"/>
      </w:pPr>
      <w:bookmarkStart w:id="21" w:name="_Toc195434"/>
      <w:bookmarkStart w:id="22" w:name="_Toc6386356"/>
      <w:r w:rsidRPr="0026077D">
        <w:t>Timeframe</w:t>
      </w:r>
      <w:r w:rsidR="001D7C76">
        <w:t>s</w:t>
      </w:r>
      <w:bookmarkEnd w:id="21"/>
      <w:bookmarkEnd w:id="22"/>
    </w:p>
    <w:p w14:paraId="41468CFC" w14:textId="2654B5C7" w:rsidR="00E541B6" w:rsidRDefault="0026077D" w:rsidP="0026077D">
      <w:r w:rsidRPr="0026077D">
        <w:t>The</w:t>
      </w:r>
      <w:r w:rsidR="00E541B6">
        <w:t>re</w:t>
      </w:r>
      <w:r w:rsidRPr="0026077D">
        <w:t xml:space="preserve"> </w:t>
      </w:r>
      <w:r w:rsidR="00E541B6">
        <w:t xml:space="preserve">is no </w:t>
      </w:r>
      <w:r w:rsidR="00D61761">
        <w:t xml:space="preserve">legislated </w:t>
      </w:r>
      <w:r w:rsidR="00E541B6">
        <w:t xml:space="preserve">timeframe for </w:t>
      </w:r>
      <w:r w:rsidR="00C61139">
        <w:t xml:space="preserve">the Commission to conduct </w:t>
      </w:r>
      <w:r w:rsidR="00E541B6">
        <w:t>exemption inquiries.</w:t>
      </w:r>
    </w:p>
    <w:p w14:paraId="31B72BEC" w14:textId="427A2CC4" w:rsidR="00ED5CD5" w:rsidRDefault="00ED5CD5" w:rsidP="00ED5CD5">
      <w:pPr>
        <w:pStyle w:val="Heading1"/>
      </w:pPr>
      <w:bookmarkStart w:id="23" w:name="_Toc195435"/>
      <w:bookmarkStart w:id="24" w:name="_Toc6386357"/>
      <w:r>
        <w:lastRenderedPageBreak/>
        <w:t>Date of effect</w:t>
      </w:r>
      <w:bookmarkEnd w:id="23"/>
      <w:bookmarkEnd w:id="24"/>
    </w:p>
    <w:p w14:paraId="187788B1" w14:textId="1431339A" w:rsidR="00ED5CD5" w:rsidRDefault="00EF2B4C" w:rsidP="00544300">
      <w:r w:rsidRPr="00EF2B4C">
        <w:t>If t</w:t>
      </w:r>
      <w:r w:rsidR="00D10FA9">
        <w:t>he Minister grants an exemption</w:t>
      </w:r>
      <w:r w:rsidRPr="00EF2B4C">
        <w:t xml:space="preserve"> based on an application, the date of effect </w:t>
      </w:r>
      <w:r>
        <w:t xml:space="preserve">is </w:t>
      </w:r>
      <w:r w:rsidR="007C682C">
        <w:t>the date specified in the notice signed by the Minister.</w:t>
      </w:r>
      <w:r w:rsidR="00544300">
        <w:t xml:space="preserve"> T</w:t>
      </w:r>
      <w:r w:rsidRPr="00EF2B4C">
        <w:t xml:space="preserve">he date of effect </w:t>
      </w:r>
      <w:r w:rsidR="00D16B27">
        <w:t>cannot be earlier than the date of the application.</w:t>
      </w:r>
      <w:r w:rsidR="005A3BE7">
        <w:t xml:space="preserve"> </w:t>
      </w:r>
      <w:r w:rsidR="00D16B27">
        <w:t xml:space="preserve">For this </w:t>
      </w:r>
      <w:r w:rsidR="00AA04C7">
        <w:t>reason,</w:t>
      </w:r>
      <w:r w:rsidR="00D16B27">
        <w:t xml:space="preserve"> </w:t>
      </w:r>
      <w:r w:rsidR="00D10FA9">
        <w:t xml:space="preserve">it </w:t>
      </w:r>
      <w:proofErr w:type="gramStart"/>
      <w:r w:rsidR="00D10FA9">
        <w:t>is recommended</w:t>
      </w:r>
      <w:proofErr w:type="gramEnd"/>
      <w:r w:rsidR="00D10FA9">
        <w:t xml:space="preserve"> that you lodge</w:t>
      </w:r>
      <w:r w:rsidR="00D16B27">
        <w:t xml:space="preserve"> the </w:t>
      </w:r>
      <w:r w:rsidR="00E64717">
        <w:t xml:space="preserve">completed </w:t>
      </w:r>
      <w:r w:rsidR="00D16B27">
        <w:t>exemption application as soon as possible</w:t>
      </w:r>
      <w:r w:rsidR="00956FD6">
        <w:t>.</w:t>
      </w:r>
      <w:r w:rsidR="00E158A3">
        <w:t xml:space="preserve"> Please note, a request for a pre-lodgement documentation check </w:t>
      </w:r>
      <w:proofErr w:type="gramStart"/>
      <w:r w:rsidR="00E158A3">
        <w:t xml:space="preserve">is </w:t>
      </w:r>
      <w:r w:rsidR="00E158A3">
        <w:rPr>
          <w:b/>
        </w:rPr>
        <w:t xml:space="preserve">not </w:t>
      </w:r>
      <w:r w:rsidR="00E158A3">
        <w:t>considered</w:t>
      </w:r>
      <w:proofErr w:type="gramEnd"/>
      <w:r w:rsidR="00E158A3">
        <w:t xml:space="preserve"> as lodging an application. </w:t>
      </w:r>
    </w:p>
    <w:p w14:paraId="6332C1B5" w14:textId="77777777" w:rsidR="0026077D" w:rsidRPr="0026077D" w:rsidRDefault="0026077D" w:rsidP="0026077D">
      <w:pPr>
        <w:pStyle w:val="TOCHeading"/>
      </w:pPr>
      <w:bookmarkStart w:id="25" w:name="_Toc195436"/>
      <w:bookmarkStart w:id="26" w:name="_Toc6386358"/>
      <w:r w:rsidRPr="0026077D">
        <w:t>The assessment process</w:t>
      </w:r>
      <w:bookmarkEnd w:id="25"/>
      <w:bookmarkEnd w:id="26"/>
    </w:p>
    <w:p w14:paraId="2D3E1DB6" w14:textId="67109A99" w:rsidR="0026077D" w:rsidRPr="0026077D" w:rsidRDefault="005F0E0E" w:rsidP="0026077D">
      <w:r>
        <w:t>When th</w:t>
      </w:r>
      <w:r w:rsidR="0026077D" w:rsidRPr="0026077D">
        <w:t xml:space="preserve">e Commission </w:t>
      </w:r>
      <w:r>
        <w:t xml:space="preserve">receives </w:t>
      </w:r>
      <w:r w:rsidR="007E7707">
        <w:t xml:space="preserve">an </w:t>
      </w:r>
      <w:r>
        <w:t xml:space="preserve">application, it </w:t>
      </w:r>
      <w:r w:rsidR="0026077D" w:rsidRPr="0026077D">
        <w:t xml:space="preserve">will </w:t>
      </w:r>
      <w:r w:rsidR="007E7707">
        <w:t xml:space="preserve">confirm </w:t>
      </w:r>
      <w:r w:rsidR="0026077D" w:rsidRPr="0026077D">
        <w:t xml:space="preserve">receipt and </w:t>
      </w:r>
      <w:r w:rsidR="00ED5CD5">
        <w:t xml:space="preserve">consider </w:t>
      </w:r>
      <w:r w:rsidR="0026077D" w:rsidRPr="0026077D">
        <w:t xml:space="preserve">if </w:t>
      </w:r>
      <w:r>
        <w:t xml:space="preserve">it </w:t>
      </w:r>
      <w:r w:rsidR="00544300">
        <w:t xml:space="preserve">contains the required information to conduct an inquiry. </w:t>
      </w:r>
    </w:p>
    <w:p w14:paraId="2D54E4CC" w14:textId="2AE8B04F" w:rsidR="00CE20C0" w:rsidRDefault="00D10FA9" w:rsidP="0026077D">
      <w:r>
        <w:t xml:space="preserve">If the required information </w:t>
      </w:r>
      <w:proofErr w:type="gramStart"/>
      <w:r>
        <w:t>has been provided</w:t>
      </w:r>
      <w:proofErr w:type="gramEnd"/>
      <w:r>
        <w:t>, t</w:t>
      </w:r>
      <w:r w:rsidR="00CE20C0">
        <w:t>he Commission will publish</w:t>
      </w:r>
      <w:r w:rsidR="00D17D45">
        <w:t xml:space="preserve"> an</w:t>
      </w:r>
      <w:r w:rsidR="00CE20C0">
        <w:t xml:space="preserve"> Anti-Dumping Notice (ADN) stating that it has initiated an exemption inquiry and inviting </w:t>
      </w:r>
      <w:hyperlink r:id="rId18" w:history="1">
        <w:r w:rsidR="00CE20C0" w:rsidRPr="003823CF">
          <w:rPr>
            <w:rStyle w:val="Hyperlink"/>
          </w:rPr>
          <w:t>submissions</w:t>
        </w:r>
      </w:hyperlink>
      <w:r w:rsidR="00CE20C0">
        <w:t xml:space="preserve"> from interested parties.</w:t>
      </w:r>
    </w:p>
    <w:p w14:paraId="11247BCC" w14:textId="2F763E4B" w:rsidR="00D61761" w:rsidRDefault="00E11F64" w:rsidP="0026077D">
      <w:r>
        <w:t>T</w:t>
      </w:r>
      <w:r w:rsidR="0026077D" w:rsidRPr="0026077D">
        <w:t xml:space="preserve">he Commission </w:t>
      </w:r>
      <w:r w:rsidR="00D17D45">
        <w:t xml:space="preserve">may </w:t>
      </w:r>
      <w:r w:rsidR="00CE20C0">
        <w:t xml:space="preserve">also </w:t>
      </w:r>
      <w:r w:rsidR="0026077D" w:rsidRPr="0026077D">
        <w:t xml:space="preserve">write to the </w:t>
      </w:r>
      <w:r w:rsidR="00D61761">
        <w:t>Australian industry members seeking their views</w:t>
      </w:r>
      <w:r w:rsidR="00EC6B6A">
        <w:t>. This is usually</w:t>
      </w:r>
      <w:r w:rsidR="0026077D" w:rsidRPr="0026077D">
        <w:t xml:space="preserve"> </w:t>
      </w:r>
      <w:r w:rsidR="00EC6B6A">
        <w:t>in the form of an industry questionnaire.</w:t>
      </w:r>
      <w:r w:rsidR="00E64717">
        <w:t xml:space="preserve"> The applicant and any other interested party may make further submissions in response. </w:t>
      </w:r>
    </w:p>
    <w:p w14:paraId="2500FB58" w14:textId="3265AEC7" w:rsidR="00ED5CD5" w:rsidRDefault="00ED5CD5" w:rsidP="00C901F1">
      <w:r>
        <w:t xml:space="preserve">At the conclusion of an exemption </w:t>
      </w:r>
      <w:r w:rsidR="00AA04C7">
        <w:t>inquiry,</w:t>
      </w:r>
      <w:r>
        <w:t xml:space="preserve"> the Commission will provide the Minister with a report recommending whether</w:t>
      </w:r>
      <w:r w:rsidR="00E15B9E">
        <w:t xml:space="preserve"> or not</w:t>
      </w:r>
      <w:r>
        <w:t xml:space="preserve"> </w:t>
      </w:r>
      <w:r w:rsidR="00960E7C">
        <w:t xml:space="preserve">the Minister should grant </w:t>
      </w:r>
      <w:r>
        <w:t>an exemption</w:t>
      </w:r>
      <w:r w:rsidR="00960E7C">
        <w:t>.</w:t>
      </w:r>
    </w:p>
    <w:p w14:paraId="03DEA735" w14:textId="1D07071F" w:rsidR="00B30365" w:rsidRDefault="0026077D" w:rsidP="0026077D">
      <w:r w:rsidRPr="0026077D">
        <w:t>The Commission</w:t>
      </w:r>
      <w:r w:rsidR="008435EE">
        <w:t xml:space="preserve"> </w:t>
      </w:r>
      <w:r w:rsidRPr="0026077D">
        <w:t xml:space="preserve">may </w:t>
      </w:r>
      <w:r w:rsidR="00600D85">
        <w:t xml:space="preserve">not conduct an inquiry where the necessary information </w:t>
      </w:r>
      <w:proofErr w:type="gramStart"/>
      <w:r w:rsidR="00600D85">
        <w:t>has not been provided</w:t>
      </w:r>
      <w:proofErr w:type="gramEnd"/>
      <w:r w:rsidR="00B30365">
        <w:t>.</w:t>
      </w:r>
    </w:p>
    <w:p w14:paraId="013075A8" w14:textId="19857DA3" w:rsidR="0026077D" w:rsidRPr="0026077D" w:rsidRDefault="0026077D" w:rsidP="0026077D">
      <w:pPr>
        <w:pStyle w:val="TOCHeading"/>
      </w:pPr>
      <w:bookmarkStart w:id="27" w:name="_Toc195437"/>
      <w:bookmarkStart w:id="28" w:name="_Toc6386359"/>
      <w:r w:rsidRPr="0026077D">
        <w:t>Possible outcomes</w:t>
      </w:r>
      <w:bookmarkEnd w:id="27"/>
      <w:bookmarkEnd w:id="28"/>
    </w:p>
    <w:p w14:paraId="7ECFEB6F" w14:textId="179D3A84" w:rsidR="00EF2B4C" w:rsidRDefault="00EF2B4C" w:rsidP="00D16B27">
      <w:r w:rsidRPr="00C37504">
        <w:t>The decision to grant an exemption is at the discretion of the Minister.</w:t>
      </w:r>
    </w:p>
    <w:p w14:paraId="18EA7B04" w14:textId="6C513030" w:rsidR="005A3BE7" w:rsidRDefault="00463E4A" w:rsidP="00D16B27">
      <w:r>
        <w:t xml:space="preserve">At the conclusion of an inquiry, </w:t>
      </w:r>
      <w:r w:rsidR="00D16B27" w:rsidRPr="00D16B27">
        <w:t xml:space="preserve">the </w:t>
      </w:r>
      <w:r w:rsidR="00D16B27">
        <w:t xml:space="preserve">Commission will </w:t>
      </w:r>
      <w:r w:rsidR="00D16B27" w:rsidRPr="00D16B27">
        <w:t xml:space="preserve">give the Minister a report recommending whether or not </w:t>
      </w:r>
      <w:r>
        <w:t xml:space="preserve">to exempt </w:t>
      </w:r>
      <w:r w:rsidR="00D16B27" w:rsidRPr="00D16B27">
        <w:t xml:space="preserve">the </w:t>
      </w:r>
      <w:r w:rsidR="00D16B27" w:rsidRPr="002F5AB3">
        <w:t>goods</w:t>
      </w:r>
      <w:r w:rsidR="00D16B27" w:rsidRPr="00D16B27">
        <w:rPr>
          <w:i/>
        </w:rPr>
        <w:t xml:space="preserve"> </w:t>
      </w:r>
      <w:r>
        <w:t>in your application</w:t>
      </w:r>
      <w:r w:rsidR="00D16B27" w:rsidRPr="00D16B27">
        <w:t xml:space="preserve"> from </w:t>
      </w:r>
      <w:r w:rsidR="00D16B27">
        <w:t>anti-dumping measures.</w:t>
      </w:r>
    </w:p>
    <w:p w14:paraId="1A91E5B2" w14:textId="6CE33A0C" w:rsidR="00CE20C0" w:rsidRDefault="00CE20C0" w:rsidP="00A85416">
      <w:pPr>
        <w:spacing w:before="0" w:after="160" w:line="259" w:lineRule="auto"/>
      </w:pPr>
      <w:r>
        <w:t>Once the Minister has made a decision, the Commission will</w:t>
      </w:r>
    </w:p>
    <w:p w14:paraId="6A25A871" w14:textId="1F1E1BEF" w:rsidR="00CE20C0" w:rsidRDefault="00CE20C0" w:rsidP="00CE20C0">
      <w:pPr>
        <w:pStyle w:val="ListParagraph"/>
      </w:pPr>
      <w:r>
        <w:t xml:space="preserve">publish an ADN with details of the </w:t>
      </w:r>
      <w:r w:rsidR="00D17D45">
        <w:t>outcome of the inquiry</w:t>
      </w:r>
      <w:r w:rsidR="003823CF">
        <w:t>, and</w:t>
      </w:r>
    </w:p>
    <w:p w14:paraId="5EE1BA22" w14:textId="154F68FA" w:rsidR="00CE20C0" w:rsidRDefault="00CE20C0" w:rsidP="003823CF">
      <w:pPr>
        <w:pStyle w:val="ListParagraph"/>
      </w:pPr>
      <w:proofErr w:type="gramStart"/>
      <w:r>
        <w:t>publish</w:t>
      </w:r>
      <w:proofErr w:type="gramEnd"/>
      <w:r>
        <w:t xml:space="preserve"> the inquiry report</w:t>
      </w:r>
      <w:r w:rsidR="003823CF">
        <w:t>.</w:t>
      </w:r>
    </w:p>
    <w:p w14:paraId="32C5C2CE" w14:textId="77777777" w:rsidR="0026077D" w:rsidRPr="0026077D" w:rsidRDefault="0026077D" w:rsidP="0026077D">
      <w:pPr>
        <w:pStyle w:val="TOCHeading"/>
      </w:pPr>
      <w:bookmarkStart w:id="29" w:name="_Toc195438"/>
      <w:bookmarkStart w:id="30" w:name="_Toc6386360"/>
      <w:r w:rsidRPr="0026077D">
        <w:lastRenderedPageBreak/>
        <w:t>Rights of review</w:t>
      </w:r>
      <w:bookmarkEnd w:id="29"/>
      <w:bookmarkEnd w:id="30"/>
    </w:p>
    <w:p w14:paraId="4251EC8E" w14:textId="7B15BD56" w:rsidR="00EC278A" w:rsidRDefault="00EC278A" w:rsidP="00D61761">
      <w:r w:rsidRPr="00EC278A">
        <w:t xml:space="preserve">Decisions relating to exemptions are not eligible for appeal to </w:t>
      </w:r>
      <w:r>
        <w:t>the Anti-Dumping Review Panel. </w:t>
      </w:r>
      <w:r w:rsidRPr="00EC278A">
        <w:t>The only avenue of appeal is to the Federal Court of Australia.</w:t>
      </w:r>
    </w:p>
    <w:p w14:paraId="0BE5DC85" w14:textId="77777777" w:rsidR="0026077D" w:rsidRPr="0026077D" w:rsidRDefault="0026077D" w:rsidP="0026077D">
      <w:pPr>
        <w:pStyle w:val="TOCHeading"/>
      </w:pPr>
      <w:bookmarkStart w:id="31" w:name="_Toc195440"/>
      <w:bookmarkStart w:id="32" w:name="_Toc6386361"/>
      <w:r w:rsidRPr="0026077D">
        <w:t>Find out more</w:t>
      </w:r>
      <w:bookmarkEnd w:id="31"/>
      <w:bookmarkEnd w:id="32"/>
    </w:p>
    <w:p w14:paraId="0C499810" w14:textId="7B73F162" w:rsidR="0026077D" w:rsidRDefault="0026077D" w:rsidP="00F47B38">
      <w:pPr>
        <w:pStyle w:val="ListParagraph"/>
        <w:rPr>
          <w:lang w:val="en"/>
        </w:rPr>
      </w:pPr>
      <w:r w:rsidRPr="009140A0">
        <w:t>F</w:t>
      </w:r>
      <w:proofErr w:type="spellStart"/>
      <w:r w:rsidRPr="0026077D">
        <w:rPr>
          <w:lang w:val="en"/>
        </w:rPr>
        <w:t>ind</w:t>
      </w:r>
      <w:proofErr w:type="spellEnd"/>
      <w:r w:rsidRPr="0026077D">
        <w:rPr>
          <w:lang w:val="en"/>
        </w:rPr>
        <w:t xml:space="preserve"> out </w:t>
      </w:r>
      <w:r w:rsidR="00470619">
        <w:rPr>
          <w:lang w:val="en"/>
        </w:rPr>
        <w:t xml:space="preserve">about accessing Australia’s </w:t>
      </w:r>
      <w:hyperlink r:id="rId19" w:history="1">
        <w:r w:rsidR="00470619" w:rsidRPr="00470619">
          <w:rPr>
            <w:rStyle w:val="Hyperlink"/>
            <w:lang w:val="en"/>
          </w:rPr>
          <w:t>anti-dumping system</w:t>
        </w:r>
      </w:hyperlink>
    </w:p>
    <w:p w14:paraId="0E676B49" w14:textId="77777777" w:rsidR="0026077D" w:rsidRPr="0026077D" w:rsidRDefault="0026077D" w:rsidP="00F47B38">
      <w:pPr>
        <w:pStyle w:val="ListParagraph"/>
        <w:rPr>
          <w:lang w:val="en"/>
        </w:rPr>
      </w:pPr>
      <w:r w:rsidRPr="0026077D">
        <w:rPr>
          <w:lang w:val="en"/>
        </w:rPr>
        <w:t xml:space="preserve">Research the </w:t>
      </w:r>
      <w:hyperlink r:id="rId20" w:history="1">
        <w:r w:rsidRPr="0026077D">
          <w:rPr>
            <w:rStyle w:val="Hyperlink"/>
            <w:lang w:val="en"/>
          </w:rPr>
          <w:t>Dumping Commodity Register</w:t>
        </w:r>
      </w:hyperlink>
    </w:p>
    <w:p w14:paraId="7366BFB8" w14:textId="4E7001F5" w:rsidR="0026077D" w:rsidRPr="0026077D" w:rsidRDefault="0029363E" w:rsidP="00DC20D9">
      <w:pPr>
        <w:pStyle w:val="ListParagraph"/>
      </w:pPr>
      <w:r>
        <w:t>Small-medium enterprises can seek assistance from</w:t>
      </w:r>
      <w:r w:rsidRPr="0026077D">
        <w:t xml:space="preserve"> </w:t>
      </w:r>
      <w:r w:rsidR="0026077D" w:rsidRPr="0026077D">
        <w:t xml:space="preserve">the </w:t>
      </w:r>
      <w:hyperlink r:id="rId21" w:history="1">
        <w:r w:rsidR="0026077D" w:rsidRPr="004413DE">
          <w:rPr>
            <w:rStyle w:val="Hyperlink"/>
          </w:rPr>
          <w:t>ITRA Service</w:t>
        </w:r>
      </w:hyperlink>
      <w:r w:rsidR="0026077D" w:rsidRPr="0026077D">
        <w:t xml:space="preserve"> by email </w:t>
      </w:r>
      <w:hyperlink r:id="rId22" w:history="1">
        <w:r w:rsidR="0026077D" w:rsidRPr="0026077D">
          <w:rPr>
            <w:rStyle w:val="Hyperlink"/>
          </w:rPr>
          <w:t>itra@industry.gov.au</w:t>
        </w:r>
      </w:hyperlink>
      <w:r w:rsidR="0026077D" w:rsidRPr="0026077D">
        <w:t xml:space="preserve"> or the ITRA Hotline (02)</w:t>
      </w:r>
      <w:r w:rsidR="00882D6E">
        <w:t> </w:t>
      </w:r>
      <w:r w:rsidR="0026077D" w:rsidRPr="0026077D">
        <w:t>6213</w:t>
      </w:r>
      <w:r w:rsidR="00882D6E">
        <w:t> </w:t>
      </w:r>
      <w:r w:rsidR="0026077D" w:rsidRPr="0026077D">
        <w:t>7267</w:t>
      </w:r>
    </w:p>
    <w:p w14:paraId="24887058" w14:textId="77777777" w:rsidR="0030076F" w:rsidRDefault="0026077D" w:rsidP="00BB56C8">
      <w:pPr>
        <w:pStyle w:val="ListParagraph"/>
        <w:sectPr w:rsidR="0030076F" w:rsidSect="007240FE">
          <w:footerReference w:type="default" r:id="rId23"/>
          <w:headerReference w:type="first" r:id="rId24"/>
          <w:pgSz w:w="11906" w:h="16838"/>
          <w:pgMar w:top="1440" w:right="1440" w:bottom="1440" w:left="1440" w:header="708" w:footer="708" w:gutter="0"/>
          <w:cols w:space="708"/>
          <w:titlePg/>
          <w:docGrid w:linePitch="360"/>
        </w:sectPr>
      </w:pPr>
      <w:r w:rsidRPr="0026077D">
        <w:t xml:space="preserve">Contact the Anti-Dumping Commission by email </w:t>
      </w:r>
      <w:hyperlink r:id="rId25" w:history="1">
        <w:r w:rsidRPr="0026077D">
          <w:rPr>
            <w:rStyle w:val="Hyperlink"/>
          </w:rPr>
          <w:t>clientsupport@adcommission.gov.au</w:t>
        </w:r>
      </w:hyperlink>
      <w:r w:rsidRPr="0026077D">
        <w:t xml:space="preserve"> or by business.gov.au on 13 28 46</w:t>
      </w:r>
    </w:p>
    <w:p w14:paraId="01F795A0" w14:textId="169B1F0C" w:rsidR="00583977" w:rsidRDefault="00583977" w:rsidP="00583977">
      <w:pPr>
        <w:pStyle w:val="Heading1"/>
      </w:pPr>
      <w:bookmarkStart w:id="33" w:name="_Toc195441"/>
      <w:bookmarkStart w:id="34" w:name="_Toc6386362"/>
      <w:r>
        <w:lastRenderedPageBreak/>
        <w:t>Attachment A</w:t>
      </w:r>
      <w:bookmarkEnd w:id="33"/>
      <w:bookmarkEnd w:id="34"/>
    </w:p>
    <w:p w14:paraId="1233C0BE" w14:textId="77777777" w:rsidR="00583977" w:rsidRDefault="00583977" w:rsidP="00583977">
      <w:pPr>
        <w:pStyle w:val="Heading2"/>
      </w:pPr>
      <w:bookmarkStart w:id="35" w:name="_Toc195442"/>
      <w:bookmarkStart w:id="36" w:name="_Toc6386363"/>
      <w:r>
        <w:t>Template: Application letter to the Commission seeking an exemption</w:t>
      </w:r>
      <w:bookmarkEnd w:id="35"/>
      <w:bookmarkEnd w:id="36"/>
    </w:p>
    <w:p w14:paraId="6675F38B" w14:textId="77777777" w:rsidR="00583977" w:rsidRPr="00C520EE" w:rsidRDefault="00583977" w:rsidP="00583977">
      <w:pPr>
        <w:rPr>
          <w:rStyle w:val="Strong"/>
        </w:rPr>
      </w:pPr>
      <w:r>
        <w:rPr>
          <w:rStyle w:val="Strong"/>
        </w:rPr>
        <w:t xml:space="preserve">Set out below is a suggested </w:t>
      </w:r>
      <w:r w:rsidRPr="004A2892">
        <w:rPr>
          <w:b/>
          <w:bCs/>
        </w:rPr>
        <w:t>letter you can send to the Commission</w:t>
      </w:r>
    </w:p>
    <w:p w14:paraId="560D0704" w14:textId="77777777" w:rsidR="00583977" w:rsidRDefault="00583977" w:rsidP="00583977">
      <w:pPr>
        <w:pStyle w:val="Normalinstructions"/>
        <w:rPr>
          <w:rStyle w:val="Strong"/>
        </w:rPr>
      </w:pPr>
      <w:r>
        <w:rPr>
          <w:rStyle w:val="Strong"/>
        </w:rPr>
        <w:t>Instructions</w:t>
      </w:r>
    </w:p>
    <w:p w14:paraId="4CD31765" w14:textId="77777777" w:rsidR="00583977" w:rsidRDefault="00583977" w:rsidP="009140A0">
      <w:pPr>
        <w:pStyle w:val="Normalinstructions"/>
        <w:numPr>
          <w:ilvl w:val="0"/>
          <w:numId w:val="7"/>
        </w:numPr>
      </w:pPr>
      <w:r>
        <w:t xml:space="preserve">Applicant to enter details into the </w:t>
      </w:r>
      <w:r w:rsidRPr="001603D2">
        <w:t>square brackets “[ ]”</w:t>
      </w:r>
      <w:r>
        <w:t>.</w:t>
      </w:r>
    </w:p>
    <w:p w14:paraId="59354998" w14:textId="77777777" w:rsidR="00583977" w:rsidRDefault="00583977" w:rsidP="009140A0">
      <w:pPr>
        <w:pStyle w:val="Normalinstructions"/>
        <w:numPr>
          <w:ilvl w:val="0"/>
          <w:numId w:val="7"/>
        </w:numPr>
      </w:pPr>
      <w:r>
        <w:t xml:space="preserve">The </w:t>
      </w:r>
      <w:r w:rsidRPr="003F102E">
        <w:t xml:space="preserve">italicised text </w:t>
      </w:r>
      <w:r>
        <w:t>in the round brackets “( )” is guidance material for the applicant. Delete this guidance material prior to sending the letter to the Commission.</w:t>
      </w:r>
    </w:p>
    <w:p w14:paraId="6C552621" w14:textId="77777777" w:rsidR="00583977" w:rsidRPr="006703BB" w:rsidRDefault="00583977" w:rsidP="009140A0">
      <w:pPr>
        <w:pStyle w:val="Normalinstructions"/>
        <w:numPr>
          <w:ilvl w:val="0"/>
          <w:numId w:val="7"/>
        </w:numPr>
      </w:pPr>
      <w:r w:rsidRPr="007B602E">
        <w:t xml:space="preserve">The guidance material below includes references to the Dumping Commodity Register (DCR). </w:t>
      </w:r>
      <w:r w:rsidRPr="006703BB">
        <w:t xml:space="preserve">To access the relevant DCR select the imported good/commodity from the left hand side of the Commission’s </w:t>
      </w:r>
      <w:hyperlink r:id="rId26" w:history="1">
        <w:r w:rsidRPr="006703BB">
          <w:rPr>
            <w:rStyle w:val="Hyperlink"/>
          </w:rPr>
          <w:t>Measures</w:t>
        </w:r>
      </w:hyperlink>
      <w:r w:rsidRPr="006703BB">
        <w:t xml:space="preserve">  page.</w:t>
      </w:r>
    </w:p>
    <w:p w14:paraId="19A4BEFF" w14:textId="77777777" w:rsidR="00583977" w:rsidRDefault="00583977" w:rsidP="00583977">
      <w:pPr>
        <w:pStyle w:val="NoSpacing"/>
      </w:pPr>
    </w:p>
    <w:p w14:paraId="323D4AC4" w14:textId="77777777" w:rsidR="00435FCB" w:rsidRDefault="00583977" w:rsidP="00435FCB">
      <w:pPr>
        <w:pStyle w:val="NoSpacing"/>
        <w:rPr>
          <w:rFonts w:ascii="Arial" w:hAnsi="Arial" w:cs="Arial"/>
        </w:rPr>
      </w:pPr>
      <w:r w:rsidRPr="004A2892">
        <w:rPr>
          <w:rFonts w:ascii="Arial" w:hAnsi="Arial" w:cs="Arial"/>
        </w:rPr>
        <w:t>The Commissioner of the Anti-Dumping Commission</w:t>
      </w:r>
    </w:p>
    <w:p w14:paraId="05A0DD78" w14:textId="39945560" w:rsidR="00583977" w:rsidRPr="00435FCB" w:rsidRDefault="00583977" w:rsidP="00435FCB">
      <w:pPr>
        <w:pStyle w:val="NoSpacing"/>
        <w:rPr>
          <w:rFonts w:ascii="Arial" w:hAnsi="Arial" w:cs="Arial"/>
        </w:rPr>
      </w:pPr>
      <w:r w:rsidRPr="00435FCB">
        <w:rPr>
          <w:rFonts w:ascii="Arial" w:hAnsi="Arial" w:cs="Arial"/>
        </w:rPr>
        <w:t xml:space="preserve">By email: </w:t>
      </w:r>
      <w:hyperlink r:id="rId27" w:history="1">
        <w:r w:rsidRPr="00435FCB">
          <w:rPr>
            <w:rStyle w:val="Hyperlink"/>
            <w:rFonts w:ascii="Arial" w:hAnsi="Arial" w:cs="Arial"/>
            <w:lang w:val="en"/>
          </w:rPr>
          <w:t>clientsupport@adcommission.gov.au</w:t>
        </w:r>
      </w:hyperlink>
    </w:p>
    <w:p w14:paraId="075D01D0" w14:textId="77777777" w:rsidR="00583977" w:rsidRDefault="00583977" w:rsidP="00583977">
      <w:r>
        <w:t xml:space="preserve">Dear Commissioner </w:t>
      </w:r>
      <w:r w:rsidRPr="008802C1">
        <w:t>of the Anti-Dumping Commission</w:t>
      </w:r>
    </w:p>
    <w:p w14:paraId="161B4B67" w14:textId="6237FA2A" w:rsidR="00583977" w:rsidRPr="00600D85" w:rsidRDefault="00583977" w:rsidP="00583977">
      <w:r w:rsidRPr="00583977">
        <w:rPr>
          <w:b/>
        </w:rPr>
        <w:t xml:space="preserve">Application seeking an exemption from anti-dumping </w:t>
      </w:r>
      <w:r w:rsidR="00DF10FB">
        <w:rPr>
          <w:b/>
        </w:rPr>
        <w:t>measures</w:t>
      </w:r>
    </w:p>
    <w:p w14:paraId="1862DE50" w14:textId="3338A77A" w:rsidR="00583977" w:rsidRPr="001603D2" w:rsidRDefault="00946048" w:rsidP="00DF10FB">
      <w:r>
        <w:t>[Company name]</w:t>
      </w:r>
      <w:r w:rsidRPr="00583977">
        <w:t xml:space="preserve"> </w:t>
      </w:r>
      <w:r w:rsidR="00583977" w:rsidRPr="00583977">
        <w:t xml:space="preserve">would like to seek an exemption from anti-dumping </w:t>
      </w:r>
      <w:r w:rsidR="00435FCB">
        <w:t>measures</w:t>
      </w:r>
      <w:r w:rsidR="00AA04C7" w:rsidRPr="00583977">
        <w:t xml:space="preserve"> that</w:t>
      </w:r>
      <w:r w:rsidR="00583977" w:rsidRPr="00583977">
        <w:t xml:space="preserve"> </w:t>
      </w:r>
      <w:r w:rsidR="00AA04C7">
        <w:t xml:space="preserve">apply </w:t>
      </w:r>
      <w:r w:rsidR="00C1773D">
        <w:t xml:space="preserve">to </w:t>
      </w:r>
      <w:r w:rsidR="00600D85">
        <w:t xml:space="preserve">certain </w:t>
      </w:r>
      <w:r w:rsidR="00AA04C7">
        <w:t>[</w:t>
      </w:r>
      <w:r w:rsidR="00583977" w:rsidRPr="00583977">
        <w:t>goods</w:t>
      </w:r>
      <w:r w:rsidR="00AA04C7">
        <w:t>]</w:t>
      </w:r>
      <w:r w:rsidR="00600D85">
        <w:t>.</w:t>
      </w:r>
      <w:r w:rsidR="00DF10FB">
        <w:t xml:space="preserve"> </w:t>
      </w:r>
      <w:r w:rsidR="00AA04C7">
        <w:t xml:space="preserve">Our </w:t>
      </w:r>
      <w:r w:rsidR="00583977" w:rsidRPr="001603D2">
        <w:t>details are as follows:</w:t>
      </w:r>
    </w:p>
    <w:p w14:paraId="23F7715D" w14:textId="77777777" w:rsidR="00583977" w:rsidRPr="001603D2" w:rsidRDefault="00583977" w:rsidP="00583977">
      <w:pPr>
        <w:pStyle w:val="NoSpacing"/>
        <w:rPr>
          <w:rFonts w:ascii="Arial" w:hAnsi="Arial" w:cs="Arial"/>
        </w:rPr>
      </w:pPr>
      <w:r w:rsidRPr="001603D2">
        <w:rPr>
          <w:rFonts w:ascii="Arial" w:hAnsi="Arial" w:cs="Arial"/>
        </w:rPr>
        <w:t>[Full company name]</w:t>
      </w:r>
    </w:p>
    <w:p w14:paraId="66C4CF81" w14:textId="77777777" w:rsidR="00583977" w:rsidRPr="001603D2" w:rsidRDefault="00583977" w:rsidP="00583977">
      <w:pPr>
        <w:pStyle w:val="NoSpacing"/>
        <w:rPr>
          <w:rFonts w:ascii="Arial" w:hAnsi="Arial" w:cs="Arial"/>
        </w:rPr>
      </w:pPr>
      <w:r w:rsidRPr="001603D2">
        <w:rPr>
          <w:rFonts w:ascii="Arial" w:hAnsi="Arial" w:cs="Arial"/>
        </w:rPr>
        <w:t>[Street address]</w:t>
      </w:r>
    </w:p>
    <w:p w14:paraId="27597616" w14:textId="77777777" w:rsidR="00583977" w:rsidRPr="001603D2" w:rsidRDefault="00583977" w:rsidP="00583977">
      <w:pPr>
        <w:pStyle w:val="NoSpacing"/>
        <w:rPr>
          <w:rFonts w:ascii="Arial" w:hAnsi="Arial" w:cs="Arial"/>
        </w:rPr>
      </w:pPr>
      <w:r w:rsidRPr="001603D2">
        <w:rPr>
          <w:rFonts w:ascii="Arial" w:hAnsi="Arial" w:cs="Arial"/>
        </w:rPr>
        <w:t>[Postal address]</w:t>
      </w:r>
    </w:p>
    <w:p w14:paraId="13ABC842" w14:textId="402E4526" w:rsidR="00553912" w:rsidRPr="00553912" w:rsidRDefault="00553912" w:rsidP="00553912">
      <w:pPr>
        <w:spacing w:after="0"/>
        <w:contextualSpacing/>
      </w:pPr>
      <w:r>
        <w:rPr>
          <w:rFonts w:cs="Arial"/>
        </w:rPr>
        <w:t>The details for the contact person for this application are as follows:</w:t>
      </w:r>
    </w:p>
    <w:p w14:paraId="2E13E4E3" w14:textId="4A1F8CFC" w:rsidR="00583977" w:rsidRDefault="00583977" w:rsidP="00553912">
      <w:pPr>
        <w:pStyle w:val="NoSpacing"/>
        <w:rPr>
          <w:rFonts w:ascii="Arial" w:hAnsi="Arial" w:cs="Arial"/>
        </w:rPr>
      </w:pPr>
      <w:r w:rsidRPr="001603D2">
        <w:rPr>
          <w:rFonts w:ascii="Arial" w:hAnsi="Arial" w:cs="Arial"/>
        </w:rPr>
        <w:t>[Contact person</w:t>
      </w:r>
      <w:r w:rsidR="00553912">
        <w:rPr>
          <w:rFonts w:ascii="Arial" w:hAnsi="Arial" w:cs="Arial"/>
        </w:rPr>
        <w:t xml:space="preserve"> name</w:t>
      </w:r>
      <w:r w:rsidRPr="001603D2">
        <w:rPr>
          <w:rFonts w:ascii="Arial" w:hAnsi="Arial" w:cs="Arial"/>
        </w:rPr>
        <w:t>]</w:t>
      </w:r>
    </w:p>
    <w:p w14:paraId="377072A5" w14:textId="21DDB872" w:rsidR="00553912" w:rsidRDefault="00553912" w:rsidP="00583977">
      <w:pPr>
        <w:pStyle w:val="NoSpacing"/>
        <w:rPr>
          <w:rFonts w:ascii="Arial" w:hAnsi="Arial" w:cs="Arial"/>
        </w:rPr>
      </w:pPr>
      <w:r>
        <w:rPr>
          <w:rFonts w:ascii="Arial" w:hAnsi="Arial" w:cs="Arial"/>
        </w:rPr>
        <w:t>[Contact person position]</w:t>
      </w:r>
    </w:p>
    <w:p w14:paraId="6FEAE846" w14:textId="4B409BB0" w:rsidR="00553912" w:rsidRDefault="00553912" w:rsidP="00583977">
      <w:pPr>
        <w:pStyle w:val="NoSpacing"/>
        <w:rPr>
          <w:rFonts w:ascii="Arial" w:hAnsi="Arial" w:cs="Arial"/>
        </w:rPr>
      </w:pPr>
      <w:r>
        <w:rPr>
          <w:rFonts w:ascii="Arial" w:hAnsi="Arial" w:cs="Arial"/>
        </w:rPr>
        <w:t>[Telephone number]</w:t>
      </w:r>
    </w:p>
    <w:p w14:paraId="4C40A976" w14:textId="482B0CCA" w:rsidR="00583977" w:rsidRPr="001603D2" w:rsidRDefault="00583977" w:rsidP="00583977">
      <w:pPr>
        <w:pStyle w:val="NoSpacing"/>
        <w:rPr>
          <w:rFonts w:ascii="Arial" w:hAnsi="Arial" w:cs="Arial"/>
        </w:rPr>
      </w:pPr>
      <w:r w:rsidRPr="001603D2">
        <w:rPr>
          <w:rFonts w:ascii="Arial" w:hAnsi="Arial" w:cs="Arial"/>
        </w:rPr>
        <w:t xml:space="preserve">[Email address] </w:t>
      </w:r>
    </w:p>
    <w:p w14:paraId="67339E5E" w14:textId="77A5FD7E" w:rsidR="00DF10FB" w:rsidRDefault="00DF10FB" w:rsidP="00583977">
      <w:pPr>
        <w:rPr>
          <w:b/>
        </w:rPr>
      </w:pPr>
      <w:r>
        <w:rPr>
          <w:b/>
        </w:rPr>
        <w:t>The exemption goods</w:t>
      </w:r>
    </w:p>
    <w:p w14:paraId="4DA9B7AC" w14:textId="56AA2E41" w:rsidR="00DF10FB" w:rsidRDefault="00DF10FB" w:rsidP="00583977">
      <w:r w:rsidRPr="00DF10FB">
        <w:t>(Insert details of the goods for which you are seeking an exemption)</w:t>
      </w:r>
    </w:p>
    <w:p w14:paraId="320A77FF" w14:textId="166386E3" w:rsidR="005212C9" w:rsidRDefault="005212C9" w:rsidP="00583977">
      <w:r>
        <w:t xml:space="preserve">The exemption goods </w:t>
      </w:r>
      <w:proofErr w:type="gramStart"/>
      <w:r>
        <w:t>are generally classified</w:t>
      </w:r>
      <w:proofErr w:type="gramEnd"/>
      <w:r>
        <w:t xml:space="preserve"> to </w:t>
      </w:r>
      <w:r w:rsidRPr="005212C9">
        <w:t xml:space="preserve">the following </w:t>
      </w:r>
      <w:r w:rsidR="00A40AC2">
        <w:t>tariff classifications and statistical codes</w:t>
      </w:r>
      <w:r>
        <w:t>:</w:t>
      </w:r>
    </w:p>
    <w:p w14:paraId="27413DAA" w14:textId="2E846400" w:rsidR="00946048" w:rsidRDefault="00946048" w:rsidP="00583977">
      <w:r>
        <w:t>[List]</w:t>
      </w:r>
    </w:p>
    <w:p w14:paraId="1CFA87CC" w14:textId="77777777" w:rsidR="005212C9" w:rsidRPr="00DF10FB" w:rsidRDefault="005212C9" w:rsidP="00583977"/>
    <w:p w14:paraId="67B1FB44" w14:textId="77777777" w:rsidR="00583977" w:rsidRPr="00583977" w:rsidRDefault="00583977" w:rsidP="00583977">
      <w:pPr>
        <w:rPr>
          <w:b/>
        </w:rPr>
      </w:pPr>
      <w:r w:rsidRPr="00583977">
        <w:rPr>
          <w:b/>
        </w:rPr>
        <w:lastRenderedPageBreak/>
        <w:t>Applicant’s interest as an affected party</w:t>
      </w:r>
    </w:p>
    <w:p w14:paraId="32015305" w14:textId="6C7FEC26" w:rsidR="00583977" w:rsidRPr="00583977" w:rsidRDefault="00583977" w:rsidP="00583977">
      <w:r>
        <w:t>[</w:t>
      </w:r>
      <w:r w:rsidRPr="00583977">
        <w:t>Company name</w:t>
      </w:r>
      <w:r>
        <w:t>]</w:t>
      </w:r>
      <w:r w:rsidRPr="00583977">
        <w:t xml:space="preserve"> is an importer (and manufacturer/supplier) of </w:t>
      </w:r>
      <w:r>
        <w:t>[</w:t>
      </w:r>
      <w:r w:rsidRPr="00583977">
        <w:t>product name</w:t>
      </w:r>
      <w:r>
        <w:t>]</w:t>
      </w:r>
      <w:r w:rsidRPr="00583977">
        <w:t xml:space="preserve"> and use</w:t>
      </w:r>
      <w:r w:rsidR="00E1636C">
        <w:t>s</w:t>
      </w:r>
      <w:r w:rsidRPr="00583977">
        <w:t xml:space="preserve"> </w:t>
      </w:r>
      <w:r w:rsidR="00DF10FB">
        <w:t>the exemption goods</w:t>
      </w:r>
      <w:r w:rsidRPr="00583977">
        <w:t xml:space="preserve"> because </w:t>
      </w:r>
      <w:r>
        <w:t>[</w:t>
      </w:r>
      <w:r w:rsidRPr="00583977">
        <w:t>….</w:t>
      </w:r>
      <w:r>
        <w:t>].</w:t>
      </w:r>
    </w:p>
    <w:p w14:paraId="77DAAF32" w14:textId="6EA0ADED" w:rsidR="00583977" w:rsidRPr="00583977" w:rsidRDefault="00583977" w:rsidP="00583977">
      <w:pPr>
        <w:rPr>
          <w:b/>
        </w:rPr>
      </w:pPr>
      <w:r w:rsidRPr="00583977">
        <w:rPr>
          <w:b/>
        </w:rPr>
        <w:t xml:space="preserve">Details of other parties likely to have an interest in this exemption application and their interests </w:t>
      </w:r>
      <w:r w:rsidR="00CA7C70">
        <w:rPr>
          <w:b/>
        </w:rPr>
        <w:t>in this application</w:t>
      </w:r>
      <w:r w:rsidRPr="00583977">
        <w:rPr>
          <w:b/>
        </w:rPr>
        <w:t xml:space="preserve"> </w:t>
      </w:r>
    </w:p>
    <w:p w14:paraId="1B7FFCD7" w14:textId="11CC499B" w:rsidR="00583977" w:rsidRPr="00583977" w:rsidRDefault="00672B87" w:rsidP="00583977">
      <w:r>
        <w:t xml:space="preserve">(Insert details, e.g. </w:t>
      </w:r>
      <w:r w:rsidR="00CA7C70">
        <w:t>Company</w:t>
      </w:r>
      <w:r>
        <w:t xml:space="preserve"> B</w:t>
      </w:r>
      <w:r w:rsidR="00CA7C70">
        <w:t xml:space="preserve"> </w:t>
      </w:r>
      <w:r w:rsidR="00583977" w:rsidRPr="00583977">
        <w:t>is also an importer of</w:t>
      </w:r>
      <w:r w:rsidR="00DF10FB">
        <w:t xml:space="preserve"> the </w:t>
      </w:r>
      <w:r w:rsidR="00583977" w:rsidRPr="00583977">
        <w:t>goods</w:t>
      </w:r>
      <w:r>
        <w:t>)</w:t>
      </w:r>
      <w:r w:rsidR="00CA7C70">
        <w:t>.</w:t>
      </w:r>
    </w:p>
    <w:p w14:paraId="18137855" w14:textId="6D63B8B9" w:rsidR="00583977" w:rsidRPr="00583977" w:rsidRDefault="00583977" w:rsidP="00583977">
      <w:pPr>
        <w:rPr>
          <w:b/>
        </w:rPr>
      </w:pPr>
      <w:r w:rsidRPr="00583977">
        <w:rPr>
          <w:b/>
        </w:rPr>
        <w:t xml:space="preserve">Grounds on which </w:t>
      </w:r>
      <w:r w:rsidR="00CA7C70">
        <w:rPr>
          <w:b/>
        </w:rPr>
        <w:t xml:space="preserve">we are seeking </w:t>
      </w:r>
      <w:r w:rsidRPr="00583977">
        <w:rPr>
          <w:b/>
        </w:rPr>
        <w:t>the exemption</w:t>
      </w:r>
    </w:p>
    <w:p w14:paraId="3DFC1F82" w14:textId="25B2753D" w:rsidR="00583977" w:rsidRPr="00CA7C70" w:rsidRDefault="00CA7C70" w:rsidP="00583977">
      <w:pPr>
        <w:rPr>
          <w:i/>
        </w:rPr>
      </w:pPr>
      <w:r w:rsidRPr="00CA7C70">
        <w:rPr>
          <w:i/>
        </w:rPr>
        <w:t>(</w:t>
      </w:r>
      <w:r w:rsidR="00583977" w:rsidRPr="00CA7C70">
        <w:rPr>
          <w:i/>
        </w:rPr>
        <w:t xml:space="preserve">Delete </w:t>
      </w:r>
      <w:r w:rsidRPr="00CA7C70">
        <w:rPr>
          <w:i/>
        </w:rPr>
        <w:t xml:space="preserve">the </w:t>
      </w:r>
      <w:r>
        <w:rPr>
          <w:i/>
        </w:rPr>
        <w:t xml:space="preserve">following </w:t>
      </w:r>
      <w:r w:rsidR="00583977" w:rsidRPr="00CA7C70">
        <w:rPr>
          <w:i/>
        </w:rPr>
        <w:t>grounds that do not apply</w:t>
      </w:r>
      <w:r>
        <w:rPr>
          <w:i/>
        </w:rPr>
        <w:t>.</w:t>
      </w:r>
      <w:r w:rsidRPr="00CA7C70">
        <w:rPr>
          <w:i/>
        </w:rPr>
        <w:t>)</w:t>
      </w:r>
    </w:p>
    <w:p w14:paraId="0C5194C6" w14:textId="0AFB90C4" w:rsidR="00583977" w:rsidRPr="00583977" w:rsidRDefault="00672B87" w:rsidP="00583977">
      <w:r>
        <w:t>Ground</w:t>
      </w:r>
      <w:r w:rsidR="00583977" w:rsidRPr="00583977">
        <w:t xml:space="preserve"> One – Like or directly competitive goods </w:t>
      </w:r>
      <w:proofErr w:type="gramStart"/>
      <w:r w:rsidR="00583977" w:rsidRPr="00583977">
        <w:t>are not offered</w:t>
      </w:r>
      <w:proofErr w:type="gramEnd"/>
      <w:r w:rsidR="00583977" w:rsidRPr="00583977">
        <w:t xml:space="preserve"> for sale in Australia to all purchasers on equal terms under like conditions having regard to the custom and usage of trade</w:t>
      </w:r>
    </w:p>
    <w:p w14:paraId="30C51B8A" w14:textId="670C1B95" w:rsidR="00583977" w:rsidRPr="00583977" w:rsidRDefault="00672B87" w:rsidP="00583977">
      <w:r>
        <w:t>Ground</w:t>
      </w:r>
      <w:r w:rsidR="00583977" w:rsidRPr="00583977">
        <w:t xml:space="preserve"> Two – A Tariff Concession Order under Part XVA of the Customs Act 1901 in respect of the goods is in</w:t>
      </w:r>
      <w:r w:rsidR="00C1773D">
        <w:t xml:space="preserve"> </w:t>
      </w:r>
      <w:r w:rsidR="00583977" w:rsidRPr="00583977">
        <w:t>force</w:t>
      </w:r>
    </w:p>
    <w:p w14:paraId="45BD8549" w14:textId="568B1A7D" w:rsidR="00672B87" w:rsidRDefault="00672B87" w:rsidP="00672B87">
      <w:r>
        <w:t xml:space="preserve">Ground </w:t>
      </w:r>
      <w:proofErr w:type="gramStart"/>
      <w:r>
        <w:t>Three  –</w:t>
      </w:r>
      <w:proofErr w:type="gramEnd"/>
      <w:r>
        <w:t xml:space="preserve"> a Customs by-law applies to the goods and suitably equivalent goods produced or manufactured in Australia are not reasonably available. </w:t>
      </w:r>
    </w:p>
    <w:p w14:paraId="14BE4C09" w14:textId="50615C55" w:rsidR="00583977" w:rsidRPr="00583977" w:rsidRDefault="00672B87" w:rsidP="00672B87">
      <w:r>
        <w:t>Ground Four – either the duty payable on the goods is zero, or the rate payable is equivalent to a special concessional rate applicable to the goods and suitably equivalent goods produced or manufactured in Australia are not reasonably available.</w:t>
      </w:r>
    </w:p>
    <w:p w14:paraId="6377B302" w14:textId="1A16C8BD" w:rsidR="00583977" w:rsidRPr="00583977" w:rsidRDefault="00672B87" w:rsidP="00583977">
      <w:r>
        <w:t>Ground</w:t>
      </w:r>
      <w:r w:rsidR="00583977" w:rsidRPr="00583977">
        <w:t xml:space="preserve"> </w:t>
      </w:r>
      <w:proofErr w:type="gramStart"/>
      <w:r w:rsidR="00583977" w:rsidRPr="00583977">
        <w:t>Five</w:t>
      </w:r>
      <w:proofErr w:type="gramEnd"/>
      <w:r w:rsidR="00583977" w:rsidRPr="00583977">
        <w:t xml:space="preserve"> – The goods, being articles of merchandise, are for use as samples for the sale of similar goods</w:t>
      </w:r>
    </w:p>
    <w:p w14:paraId="021B4758" w14:textId="3A565B72" w:rsidR="00583977" w:rsidRPr="00583977" w:rsidRDefault="00583977" w:rsidP="00583977">
      <w:pPr>
        <w:rPr>
          <w:b/>
        </w:rPr>
      </w:pPr>
      <w:r w:rsidRPr="00583977">
        <w:rPr>
          <w:b/>
        </w:rPr>
        <w:t>Evidence that all known Australian producers have been contacted in writing and asked whether</w:t>
      </w:r>
      <w:r w:rsidR="00CA7C70">
        <w:rPr>
          <w:b/>
        </w:rPr>
        <w:t>,</w:t>
      </w:r>
      <w:r w:rsidRPr="00583977">
        <w:rPr>
          <w:b/>
        </w:rPr>
        <w:t xml:space="preserve"> or not</w:t>
      </w:r>
      <w:r w:rsidR="00CA7C70">
        <w:rPr>
          <w:b/>
        </w:rPr>
        <w:t>,</w:t>
      </w:r>
      <w:r w:rsidRPr="00583977">
        <w:rPr>
          <w:b/>
        </w:rPr>
        <w:t xml:space="preserve"> they </w:t>
      </w:r>
      <w:r w:rsidR="00277490">
        <w:rPr>
          <w:b/>
        </w:rPr>
        <w:t xml:space="preserve">can </w:t>
      </w:r>
      <w:r w:rsidRPr="00583977">
        <w:rPr>
          <w:b/>
        </w:rPr>
        <w:t>manufacture and supply goods</w:t>
      </w:r>
      <w:r w:rsidR="00672B87">
        <w:rPr>
          <w:b/>
        </w:rPr>
        <w:t xml:space="preserve">, </w:t>
      </w:r>
      <w:r w:rsidR="00B71D26">
        <w:rPr>
          <w:b/>
        </w:rPr>
        <w:t xml:space="preserve">the terms of supply </w:t>
      </w:r>
    </w:p>
    <w:p w14:paraId="6B8CB8DB" w14:textId="4E044716" w:rsidR="00583977" w:rsidRPr="00CA7C70" w:rsidRDefault="00CA7C70" w:rsidP="00583977">
      <w:pPr>
        <w:rPr>
          <w:i/>
        </w:rPr>
      </w:pPr>
      <w:r w:rsidRPr="00CA7C70">
        <w:rPr>
          <w:i/>
        </w:rPr>
        <w:t>(</w:t>
      </w:r>
      <w:r w:rsidR="00583977" w:rsidRPr="00CA7C70">
        <w:rPr>
          <w:i/>
        </w:rPr>
        <w:t>Provide details and attach relevant correspondence</w:t>
      </w:r>
      <w:r w:rsidRPr="00CA7C70">
        <w:rPr>
          <w:i/>
        </w:rPr>
        <w:t>.)</w:t>
      </w:r>
    </w:p>
    <w:p w14:paraId="109CAB1D" w14:textId="4660CFDA" w:rsidR="00583977" w:rsidRPr="00583977" w:rsidRDefault="00583977" w:rsidP="00583977">
      <w:pPr>
        <w:rPr>
          <w:b/>
        </w:rPr>
      </w:pPr>
      <w:r w:rsidRPr="00583977">
        <w:rPr>
          <w:b/>
        </w:rPr>
        <w:t xml:space="preserve">Details of </w:t>
      </w:r>
      <w:r w:rsidR="00672B87">
        <w:rPr>
          <w:b/>
        </w:rPr>
        <w:t xml:space="preserve">the current investigation or the </w:t>
      </w:r>
      <w:r w:rsidRPr="00583977">
        <w:rPr>
          <w:b/>
        </w:rPr>
        <w:t xml:space="preserve">anti-dumping and countervailing measures applying to </w:t>
      </w:r>
      <w:r w:rsidR="00DF10FB">
        <w:rPr>
          <w:b/>
        </w:rPr>
        <w:t>the goods</w:t>
      </w:r>
    </w:p>
    <w:p w14:paraId="460DB84F" w14:textId="390014A4" w:rsidR="00583977" w:rsidRPr="00055DDA" w:rsidRDefault="00583977" w:rsidP="00583977">
      <w:r w:rsidRPr="00055DDA">
        <w:t xml:space="preserve">The goods subject to measures </w:t>
      </w:r>
      <w:proofErr w:type="gramStart"/>
      <w:r w:rsidRPr="00055DDA">
        <w:t>are</w:t>
      </w:r>
      <w:r w:rsidR="00055DDA" w:rsidRPr="00055DDA">
        <w:t>:</w:t>
      </w:r>
      <w:proofErr w:type="gramEnd"/>
      <w:r w:rsidR="00DF10FB" w:rsidRPr="00055DDA">
        <w:t xml:space="preserve"> / The goods under investigation are</w:t>
      </w:r>
      <w:r w:rsidRPr="00055DDA">
        <w:t>:</w:t>
      </w:r>
      <w:r w:rsidR="005212C9" w:rsidRPr="00055DDA">
        <w:t xml:space="preserve"> (delete as appropriate</w:t>
      </w:r>
      <w:r w:rsidR="00055DDA">
        <w:t>.</w:t>
      </w:r>
      <w:r w:rsidR="005212C9" w:rsidRPr="00055DDA">
        <w:t>)</w:t>
      </w:r>
    </w:p>
    <w:p w14:paraId="1A3F6CA6" w14:textId="51B1EF45" w:rsidR="00CA7C70" w:rsidRPr="00CA7C70" w:rsidRDefault="00CA7C70" w:rsidP="00CA7C70">
      <w:pPr>
        <w:rPr>
          <w:i/>
        </w:rPr>
      </w:pPr>
      <w:r w:rsidRPr="00CA7C70">
        <w:rPr>
          <w:i/>
        </w:rPr>
        <w:t>(</w:t>
      </w:r>
      <w:r w:rsidR="009708D9">
        <w:rPr>
          <w:i/>
        </w:rPr>
        <w:t xml:space="preserve">Insert the goods </w:t>
      </w:r>
      <w:r w:rsidR="00553912">
        <w:rPr>
          <w:i/>
        </w:rPr>
        <w:t>description</w:t>
      </w:r>
      <w:r w:rsidR="009708D9">
        <w:rPr>
          <w:i/>
        </w:rPr>
        <w:t xml:space="preserve"> at </w:t>
      </w:r>
      <w:r w:rsidR="00AD5E08">
        <w:rPr>
          <w:i/>
        </w:rPr>
        <w:t xml:space="preserve">Question 2 of the </w:t>
      </w:r>
      <w:r>
        <w:rPr>
          <w:i/>
        </w:rPr>
        <w:t xml:space="preserve">relevant </w:t>
      </w:r>
      <w:hyperlink r:id="rId28" w:history="1">
        <w:r w:rsidRPr="005212C9">
          <w:rPr>
            <w:rStyle w:val="Hyperlink"/>
            <w:i/>
          </w:rPr>
          <w:t>Dumping Commodity Register</w:t>
        </w:r>
      </w:hyperlink>
      <w:r w:rsidRPr="00CA7C70">
        <w:rPr>
          <w:i/>
        </w:rPr>
        <w:t xml:space="preserve"> </w:t>
      </w:r>
      <w:r w:rsidR="00055DDA">
        <w:rPr>
          <w:i/>
        </w:rPr>
        <w:t xml:space="preserve">(DCR) </w:t>
      </w:r>
      <w:r w:rsidR="005212C9">
        <w:rPr>
          <w:i/>
        </w:rPr>
        <w:t>or from the initiation notice of the current investigation</w:t>
      </w:r>
      <w:r w:rsidR="00055DDA">
        <w:rPr>
          <w:i/>
        </w:rPr>
        <w:t>.</w:t>
      </w:r>
      <w:r w:rsidRPr="00CA7C70">
        <w:rPr>
          <w:i/>
        </w:rPr>
        <w:t xml:space="preserve">)  </w:t>
      </w:r>
    </w:p>
    <w:p w14:paraId="2574CB59" w14:textId="747A11C0" w:rsidR="00583977" w:rsidRDefault="00583977" w:rsidP="00583977">
      <w:r w:rsidRPr="00583977">
        <w:t>The countries subject to measures are [country names].</w:t>
      </w:r>
      <w:r w:rsidR="00AD5E08">
        <w:t xml:space="preserve"> </w:t>
      </w:r>
    </w:p>
    <w:p w14:paraId="0A07E086" w14:textId="323511FE" w:rsidR="00AD5E08" w:rsidRPr="00CA7C70" w:rsidRDefault="00AD5E08" w:rsidP="00AD5E08">
      <w:pPr>
        <w:rPr>
          <w:i/>
        </w:rPr>
      </w:pPr>
      <w:r w:rsidRPr="00CA7C70">
        <w:rPr>
          <w:i/>
        </w:rPr>
        <w:lastRenderedPageBreak/>
        <w:t>(</w:t>
      </w:r>
      <w:r w:rsidR="00553912">
        <w:rPr>
          <w:i/>
        </w:rPr>
        <w:t xml:space="preserve">Insert the </w:t>
      </w:r>
      <w:r>
        <w:rPr>
          <w:i/>
        </w:rPr>
        <w:t xml:space="preserve">countries </w:t>
      </w:r>
      <w:r w:rsidR="00553912">
        <w:rPr>
          <w:i/>
        </w:rPr>
        <w:t xml:space="preserve">listed on </w:t>
      </w:r>
      <w:r>
        <w:rPr>
          <w:i/>
        </w:rPr>
        <w:t xml:space="preserve">page 1 of the relevant </w:t>
      </w:r>
      <w:hyperlink r:id="rId29" w:history="1">
        <w:r w:rsidRPr="00055DDA">
          <w:rPr>
            <w:rStyle w:val="Hyperlink"/>
            <w:i/>
          </w:rPr>
          <w:t>DCR</w:t>
        </w:r>
      </w:hyperlink>
      <w:r w:rsidR="00055DDA">
        <w:rPr>
          <w:i/>
        </w:rPr>
        <w:t xml:space="preserve"> or initiation notice.</w:t>
      </w:r>
      <w:r w:rsidRPr="00CA7C70">
        <w:rPr>
          <w:i/>
        </w:rPr>
        <w:t xml:space="preserve">)  </w:t>
      </w:r>
    </w:p>
    <w:p w14:paraId="14E5F562" w14:textId="77777777" w:rsidR="00583977" w:rsidRPr="00583977" w:rsidRDefault="00583977" w:rsidP="00583977">
      <w:pPr>
        <w:rPr>
          <w:b/>
        </w:rPr>
      </w:pPr>
      <w:r w:rsidRPr="00583977">
        <w:rPr>
          <w:b/>
        </w:rPr>
        <w:t>Detailed statement setting out reasons for seeking an exemption</w:t>
      </w:r>
    </w:p>
    <w:p w14:paraId="459E3C79" w14:textId="288AF89E" w:rsidR="00131023" w:rsidRPr="001632B6" w:rsidRDefault="00AD5E08" w:rsidP="00131023">
      <w:pPr>
        <w:rPr>
          <w:i/>
        </w:rPr>
      </w:pPr>
      <w:r w:rsidRPr="00AD5E08">
        <w:rPr>
          <w:i/>
        </w:rPr>
        <w:t>(</w:t>
      </w:r>
      <w:r w:rsidR="00583977" w:rsidRPr="00AD5E08">
        <w:rPr>
          <w:i/>
        </w:rPr>
        <w:t>Provide details</w:t>
      </w:r>
      <w:r w:rsidR="001632B6">
        <w:rPr>
          <w:i/>
        </w:rPr>
        <w:t xml:space="preserve"> on why you believe one or more of the grounds to grant an exemption </w:t>
      </w:r>
      <w:proofErr w:type="gramStart"/>
      <w:r w:rsidR="001632B6">
        <w:rPr>
          <w:i/>
        </w:rPr>
        <w:t>have been met</w:t>
      </w:r>
      <w:proofErr w:type="gramEnd"/>
      <w:r w:rsidR="0022316B">
        <w:rPr>
          <w:i/>
        </w:rPr>
        <w:t>.</w:t>
      </w:r>
      <w:r w:rsidR="0030076F">
        <w:rPr>
          <w:i/>
        </w:rPr>
        <w:t xml:space="preserve"> Attach any supporting evidence</w:t>
      </w:r>
      <w:r w:rsidR="005A3BE7">
        <w:rPr>
          <w:i/>
        </w:rPr>
        <w:t xml:space="preserve">) </w:t>
      </w:r>
    </w:p>
    <w:p w14:paraId="022219AC" w14:textId="77777777" w:rsidR="001632B6" w:rsidRDefault="001632B6" w:rsidP="00583977"/>
    <w:p w14:paraId="58E1D34F" w14:textId="77777777" w:rsidR="00583977" w:rsidRPr="00583977" w:rsidRDefault="00583977" w:rsidP="00583977">
      <w:r w:rsidRPr="00583977">
        <w:t>Yours sincerely</w:t>
      </w:r>
    </w:p>
    <w:p w14:paraId="467B028F" w14:textId="1295B5B6" w:rsidR="00AD5E08" w:rsidRPr="001603D2" w:rsidRDefault="00AD5E08" w:rsidP="00AD5E08">
      <w:r w:rsidRPr="001603D2">
        <w:t>[Name]</w:t>
      </w:r>
    </w:p>
    <w:p w14:paraId="781DF1D3" w14:textId="77777777" w:rsidR="00AD5E08" w:rsidRPr="001603D2" w:rsidRDefault="00AD5E08" w:rsidP="00AD5E08">
      <w:r w:rsidRPr="001603D2">
        <w:t>[Position in Company]</w:t>
      </w:r>
    </w:p>
    <w:p w14:paraId="2FD32F9A" w14:textId="77777777" w:rsidR="00AD5E08" w:rsidRPr="001603D2" w:rsidRDefault="00AD5E08" w:rsidP="00AD5E08">
      <w:r w:rsidRPr="001603D2">
        <w:t>[Email]</w:t>
      </w:r>
    </w:p>
    <w:p w14:paraId="53D5FBD7" w14:textId="77777777" w:rsidR="00AD5E08" w:rsidRPr="001603D2" w:rsidRDefault="00AD5E08" w:rsidP="00AD5E08">
      <w:r w:rsidRPr="001603D2">
        <w:t>[Phone]</w:t>
      </w:r>
    </w:p>
    <w:p w14:paraId="532B393A" w14:textId="77777777" w:rsidR="00AD5E08" w:rsidRPr="001603D2" w:rsidRDefault="00AD5E08" w:rsidP="00AD5E08"/>
    <w:p w14:paraId="6A747489" w14:textId="3C3F42E8" w:rsidR="00583977" w:rsidRPr="00583977" w:rsidRDefault="00AD5E08" w:rsidP="00AD5E08">
      <w:r w:rsidRPr="001603D2">
        <w:t>[</w:t>
      </w:r>
      <w:proofErr w:type="spellStart"/>
      <w:proofErr w:type="gramStart"/>
      <w:r w:rsidRPr="001603D2">
        <w:t>dd</w:t>
      </w:r>
      <w:proofErr w:type="spellEnd"/>
      <w:r w:rsidRPr="001603D2">
        <w:t>/mm/</w:t>
      </w:r>
      <w:proofErr w:type="spellStart"/>
      <w:r w:rsidRPr="001603D2">
        <w:t>yyyy</w:t>
      </w:r>
      <w:proofErr w:type="spellEnd"/>
      <w:proofErr w:type="gramEnd"/>
      <w:r>
        <w:t>]</w:t>
      </w:r>
    </w:p>
    <w:p w14:paraId="082A52CD" w14:textId="4CB93182" w:rsidR="00A85416" w:rsidRDefault="00A85416">
      <w:pPr>
        <w:spacing w:before="0" w:after="160" w:line="259" w:lineRule="auto"/>
      </w:pPr>
    </w:p>
    <w:p w14:paraId="2F7F1A8F" w14:textId="77777777" w:rsidR="00A85416" w:rsidRPr="00A85416" w:rsidRDefault="00A85416" w:rsidP="00A85416"/>
    <w:p w14:paraId="77AD1BC5" w14:textId="3A2A9CA4" w:rsidR="00A85416" w:rsidRDefault="00A85416" w:rsidP="00A85416"/>
    <w:p w14:paraId="0FC81E5E" w14:textId="77777777" w:rsidR="0044597A" w:rsidRPr="00A85416" w:rsidRDefault="0044597A" w:rsidP="00A85416">
      <w:pPr>
        <w:jc w:val="center"/>
      </w:pPr>
    </w:p>
    <w:sectPr w:rsidR="0044597A" w:rsidRPr="00A85416" w:rsidSect="0030076F">
      <w:headerReference w:type="default" r:id="rId30"/>
      <w:headerReference w:type="first" r:id="rId3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120DB" w16cid:durableId="1E8C7074"/>
  <w16cid:commentId w16cid:paraId="60B62BA0" w16cid:durableId="1E8C7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361DF" w14:textId="77777777" w:rsidR="00672B87" w:rsidRDefault="00672B87" w:rsidP="007240FE">
      <w:pPr>
        <w:spacing w:before="0" w:after="0" w:line="240" w:lineRule="auto"/>
      </w:pPr>
      <w:r>
        <w:separator/>
      </w:r>
    </w:p>
  </w:endnote>
  <w:endnote w:type="continuationSeparator" w:id="0">
    <w:p w14:paraId="70F000B8" w14:textId="77777777" w:rsidR="00672B87" w:rsidRDefault="00672B87" w:rsidP="007240FE">
      <w:pPr>
        <w:spacing w:before="0" w:after="0" w:line="240" w:lineRule="auto"/>
      </w:pPr>
      <w:r>
        <w:continuationSeparator/>
      </w:r>
    </w:p>
  </w:endnote>
  <w:endnote w:type="continuationNotice" w:id="1">
    <w:p w14:paraId="21BE82E5" w14:textId="77777777" w:rsidR="00672B87" w:rsidRDefault="00672B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85DB7" w14:textId="2420C095" w:rsidR="00672B87" w:rsidRDefault="00672B87">
    <w:pPr>
      <w:pStyle w:val="Footer"/>
      <w:jc w:val="right"/>
    </w:pPr>
    <w:r>
      <w:t>How to apply for an exemption?</w:t>
    </w:r>
    <w:r>
      <w:tab/>
    </w:r>
    <w:r>
      <w:tab/>
    </w:r>
    <w:sdt>
      <w:sdtPr>
        <w:id w:val="-443145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6D81">
          <w:rPr>
            <w:noProof/>
          </w:rPr>
          <w:t>2</w:t>
        </w:r>
        <w:r>
          <w:rPr>
            <w:noProof/>
          </w:rPr>
          <w:fldChar w:fldCharType="end"/>
        </w:r>
      </w:sdtContent>
    </w:sdt>
  </w:p>
  <w:p w14:paraId="283FF625" w14:textId="77777777" w:rsidR="00672B87" w:rsidRDefault="0067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178" w14:textId="77777777" w:rsidR="00672B87" w:rsidRDefault="00672B87" w:rsidP="007240FE">
      <w:pPr>
        <w:spacing w:before="0" w:after="0" w:line="240" w:lineRule="auto"/>
      </w:pPr>
      <w:r>
        <w:separator/>
      </w:r>
    </w:p>
  </w:footnote>
  <w:footnote w:type="continuationSeparator" w:id="0">
    <w:p w14:paraId="7D142CB3" w14:textId="77777777" w:rsidR="00672B87" w:rsidRDefault="00672B87" w:rsidP="007240FE">
      <w:pPr>
        <w:spacing w:before="0" w:after="0" w:line="240" w:lineRule="auto"/>
      </w:pPr>
      <w:r>
        <w:continuationSeparator/>
      </w:r>
    </w:p>
  </w:footnote>
  <w:footnote w:type="continuationNotice" w:id="1">
    <w:p w14:paraId="0548913F" w14:textId="77777777" w:rsidR="00672B87" w:rsidRDefault="00672B8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22FF" w14:textId="2473872B" w:rsidR="00672B87" w:rsidRDefault="00447CAC" w:rsidP="007240FE">
    <w:pPr>
      <w:pStyle w:val="Header"/>
      <w:spacing w:after="240"/>
    </w:pPr>
    <w:r>
      <w:rPr>
        <w:noProof/>
        <w:lang w:eastAsia="en-AU"/>
      </w:rPr>
      <w:drawing>
        <wp:inline distT="0" distB="0" distL="0" distR="0" wp14:anchorId="7F1544C6" wp14:editId="6DFC5D0F">
          <wp:extent cx="4960306" cy="826718"/>
          <wp:effectExtent l="0" t="0" r="0" b="0"/>
          <wp:docPr id="1" name="Picture 1"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4383" cy="83406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73DD" w14:textId="51BC5C12" w:rsidR="0030076F" w:rsidRPr="008C1A82" w:rsidRDefault="008C1A82" w:rsidP="008C1A82">
    <w:pPr>
      <w:pStyle w:val="Header"/>
      <w:jc w:val="center"/>
      <w:rPr>
        <w:lang w:val="en-US"/>
      </w:rPr>
    </w:pPr>
    <w:r w:rsidRPr="008C1A82">
      <w:rPr>
        <w:color w:val="FF0000"/>
        <w:lang w:val="en-US"/>
      </w:rPr>
      <w:t xml:space="preserve">CONFIDENTIAL / PUBLIC </w:t>
    </w:r>
    <w:r>
      <w:rPr>
        <w:lang w:val="en-US"/>
      </w:rPr>
      <w:t>(delete as appropriate)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BE41" w14:textId="37BA9707" w:rsidR="0030076F" w:rsidRDefault="0030076F" w:rsidP="007240FE">
    <w:pPr>
      <w:pStyle w:val="Header"/>
      <w:spacing w:after="240"/>
    </w:pPr>
    <w:r w:rsidRPr="0030076F">
      <w:rPr>
        <w:color w:val="FF0000"/>
      </w:rPr>
      <w:t>CONFID</w:t>
    </w:r>
    <w:r>
      <w:rPr>
        <w:color w:val="FF0000"/>
      </w:rPr>
      <w:t>E</w:t>
    </w:r>
    <w:r w:rsidRPr="0030076F">
      <w:rPr>
        <w:color w:val="FF0000"/>
      </w:rPr>
      <w:t xml:space="preserve">NTIAL / PUBLIC </w:t>
    </w:r>
    <w:r>
      <w:t>(delete as appropriate)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4302CF"/>
    <w:multiLevelType w:val="hybridMultilevel"/>
    <w:tmpl w:val="BCA0C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003F08"/>
    <w:multiLevelType w:val="hybridMultilevel"/>
    <w:tmpl w:val="8D6E56C6"/>
    <w:lvl w:ilvl="0" w:tplc="19BE00BE">
      <w:start w:val="1"/>
      <w:numFmt w:val="bullet"/>
      <w:pStyle w:val="ListParagraph"/>
      <w:lvlText w:val=""/>
      <w:lvlJc w:val="left"/>
      <w:pPr>
        <w:ind w:left="933" w:hanging="360"/>
      </w:pPr>
      <w:rPr>
        <w:rFonts w:ascii="Symbol" w:hAnsi="Symbol" w:hint="default"/>
        <w:color w:val="005677" w:themeColor="accent1"/>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7" w15:restartNumberingAfterBreak="0">
    <w:nsid w:val="6C5E24A4"/>
    <w:multiLevelType w:val="hybridMultilevel"/>
    <w:tmpl w:val="B52CDA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1221"/>
    <w:rsid w:val="00005306"/>
    <w:rsid w:val="00010C11"/>
    <w:rsid w:val="00011BA6"/>
    <w:rsid w:val="000134E5"/>
    <w:rsid w:val="00014145"/>
    <w:rsid w:val="00022AE5"/>
    <w:rsid w:val="00040232"/>
    <w:rsid w:val="00054E70"/>
    <w:rsid w:val="00055DDA"/>
    <w:rsid w:val="00057F8B"/>
    <w:rsid w:val="00070FE8"/>
    <w:rsid w:val="0007766A"/>
    <w:rsid w:val="000824A2"/>
    <w:rsid w:val="00092CEE"/>
    <w:rsid w:val="000C7392"/>
    <w:rsid w:val="000C75FA"/>
    <w:rsid w:val="000E4E39"/>
    <w:rsid w:val="000F40E7"/>
    <w:rsid w:val="000F49E9"/>
    <w:rsid w:val="000F5108"/>
    <w:rsid w:val="0010002E"/>
    <w:rsid w:val="00131023"/>
    <w:rsid w:val="00131962"/>
    <w:rsid w:val="00133EB7"/>
    <w:rsid w:val="0013565F"/>
    <w:rsid w:val="001449F9"/>
    <w:rsid w:val="00146203"/>
    <w:rsid w:val="00157609"/>
    <w:rsid w:val="001603D2"/>
    <w:rsid w:val="001632B6"/>
    <w:rsid w:val="00172A0E"/>
    <w:rsid w:val="001768A9"/>
    <w:rsid w:val="00182AD4"/>
    <w:rsid w:val="00183D4F"/>
    <w:rsid w:val="00187EB9"/>
    <w:rsid w:val="001905EB"/>
    <w:rsid w:val="00192B03"/>
    <w:rsid w:val="001A05CD"/>
    <w:rsid w:val="001A09CA"/>
    <w:rsid w:val="001C6295"/>
    <w:rsid w:val="001C6FC3"/>
    <w:rsid w:val="001D0598"/>
    <w:rsid w:val="001D351B"/>
    <w:rsid w:val="001D7C76"/>
    <w:rsid w:val="001E5127"/>
    <w:rsid w:val="001F03DA"/>
    <w:rsid w:val="001F1DFC"/>
    <w:rsid w:val="001F55CB"/>
    <w:rsid w:val="00203CC1"/>
    <w:rsid w:val="0021248F"/>
    <w:rsid w:val="00214F5E"/>
    <w:rsid w:val="0022316B"/>
    <w:rsid w:val="00226AE7"/>
    <w:rsid w:val="00241100"/>
    <w:rsid w:val="0026077D"/>
    <w:rsid w:val="0026290B"/>
    <w:rsid w:val="00267671"/>
    <w:rsid w:val="00277490"/>
    <w:rsid w:val="00280AB8"/>
    <w:rsid w:val="0029363E"/>
    <w:rsid w:val="00293A38"/>
    <w:rsid w:val="00296F23"/>
    <w:rsid w:val="002970F8"/>
    <w:rsid w:val="002A0F64"/>
    <w:rsid w:val="002C58A1"/>
    <w:rsid w:val="002D2DCC"/>
    <w:rsid w:val="002D2FD6"/>
    <w:rsid w:val="002F3D85"/>
    <w:rsid w:val="002F5AB3"/>
    <w:rsid w:val="0030076F"/>
    <w:rsid w:val="00304740"/>
    <w:rsid w:val="00305837"/>
    <w:rsid w:val="003147EB"/>
    <w:rsid w:val="003442B9"/>
    <w:rsid w:val="00350A5C"/>
    <w:rsid w:val="0035464E"/>
    <w:rsid w:val="0036247C"/>
    <w:rsid w:val="003675A8"/>
    <w:rsid w:val="0037229C"/>
    <w:rsid w:val="003735A2"/>
    <w:rsid w:val="00374643"/>
    <w:rsid w:val="00374EEE"/>
    <w:rsid w:val="00376877"/>
    <w:rsid w:val="003808AD"/>
    <w:rsid w:val="00380D4C"/>
    <w:rsid w:val="003823CF"/>
    <w:rsid w:val="00382C8E"/>
    <w:rsid w:val="003852F0"/>
    <w:rsid w:val="003A256D"/>
    <w:rsid w:val="003B7937"/>
    <w:rsid w:val="003C5AAB"/>
    <w:rsid w:val="003D4AAB"/>
    <w:rsid w:val="003F102E"/>
    <w:rsid w:val="003F6AD9"/>
    <w:rsid w:val="00411EF6"/>
    <w:rsid w:val="00423B5B"/>
    <w:rsid w:val="00426C1E"/>
    <w:rsid w:val="00433066"/>
    <w:rsid w:val="004346B2"/>
    <w:rsid w:val="004355E0"/>
    <w:rsid w:val="00435FCB"/>
    <w:rsid w:val="004413DE"/>
    <w:rsid w:val="0044597A"/>
    <w:rsid w:val="00447CAC"/>
    <w:rsid w:val="00452E30"/>
    <w:rsid w:val="00462692"/>
    <w:rsid w:val="00463E4A"/>
    <w:rsid w:val="00465529"/>
    <w:rsid w:val="00470619"/>
    <w:rsid w:val="004715DB"/>
    <w:rsid w:val="00481943"/>
    <w:rsid w:val="004822D0"/>
    <w:rsid w:val="00483A3C"/>
    <w:rsid w:val="0049197A"/>
    <w:rsid w:val="004925CF"/>
    <w:rsid w:val="00496B2D"/>
    <w:rsid w:val="004A2892"/>
    <w:rsid w:val="004A3488"/>
    <w:rsid w:val="004A5055"/>
    <w:rsid w:val="004B45B9"/>
    <w:rsid w:val="004C3712"/>
    <w:rsid w:val="004C6042"/>
    <w:rsid w:val="004E13B2"/>
    <w:rsid w:val="004E2060"/>
    <w:rsid w:val="004E5452"/>
    <w:rsid w:val="00503141"/>
    <w:rsid w:val="005208FE"/>
    <w:rsid w:val="005212C9"/>
    <w:rsid w:val="00524376"/>
    <w:rsid w:val="00527E00"/>
    <w:rsid w:val="00544300"/>
    <w:rsid w:val="00545F35"/>
    <w:rsid w:val="00553912"/>
    <w:rsid w:val="00557EF6"/>
    <w:rsid w:val="00564861"/>
    <w:rsid w:val="005661E3"/>
    <w:rsid w:val="00567236"/>
    <w:rsid w:val="00567516"/>
    <w:rsid w:val="00583977"/>
    <w:rsid w:val="00590967"/>
    <w:rsid w:val="00591BD7"/>
    <w:rsid w:val="00592AC4"/>
    <w:rsid w:val="00593066"/>
    <w:rsid w:val="005A02B6"/>
    <w:rsid w:val="005A090A"/>
    <w:rsid w:val="005A0E0C"/>
    <w:rsid w:val="005A1F63"/>
    <w:rsid w:val="005A3BE7"/>
    <w:rsid w:val="005C2356"/>
    <w:rsid w:val="005C5958"/>
    <w:rsid w:val="005C5BEA"/>
    <w:rsid w:val="005D062D"/>
    <w:rsid w:val="005D1785"/>
    <w:rsid w:val="005D6A01"/>
    <w:rsid w:val="005E2B9A"/>
    <w:rsid w:val="005E5047"/>
    <w:rsid w:val="005F0E0E"/>
    <w:rsid w:val="005F4203"/>
    <w:rsid w:val="00600D85"/>
    <w:rsid w:val="00607E87"/>
    <w:rsid w:val="0061068E"/>
    <w:rsid w:val="00621B10"/>
    <w:rsid w:val="0062551C"/>
    <w:rsid w:val="006302E4"/>
    <w:rsid w:val="00643F2F"/>
    <w:rsid w:val="00645EB8"/>
    <w:rsid w:val="00653F42"/>
    <w:rsid w:val="00654790"/>
    <w:rsid w:val="006628B5"/>
    <w:rsid w:val="006703BB"/>
    <w:rsid w:val="00670BB8"/>
    <w:rsid w:val="006720FE"/>
    <w:rsid w:val="00672B87"/>
    <w:rsid w:val="006761AA"/>
    <w:rsid w:val="006809EA"/>
    <w:rsid w:val="0068110E"/>
    <w:rsid w:val="00692D8F"/>
    <w:rsid w:val="00696B23"/>
    <w:rsid w:val="006B1A45"/>
    <w:rsid w:val="006C279E"/>
    <w:rsid w:val="006C7039"/>
    <w:rsid w:val="006D3F76"/>
    <w:rsid w:val="006F428F"/>
    <w:rsid w:val="00704369"/>
    <w:rsid w:val="00705F07"/>
    <w:rsid w:val="007123D2"/>
    <w:rsid w:val="00716918"/>
    <w:rsid w:val="00720C9D"/>
    <w:rsid w:val="007240FE"/>
    <w:rsid w:val="00726202"/>
    <w:rsid w:val="00726929"/>
    <w:rsid w:val="00746760"/>
    <w:rsid w:val="00750E22"/>
    <w:rsid w:val="00751ABE"/>
    <w:rsid w:val="00760EDD"/>
    <w:rsid w:val="007610DD"/>
    <w:rsid w:val="00767EAA"/>
    <w:rsid w:val="00771E7A"/>
    <w:rsid w:val="00772503"/>
    <w:rsid w:val="007734F9"/>
    <w:rsid w:val="00783E54"/>
    <w:rsid w:val="00795C3A"/>
    <w:rsid w:val="007A15A7"/>
    <w:rsid w:val="007B602E"/>
    <w:rsid w:val="007C682C"/>
    <w:rsid w:val="007C6905"/>
    <w:rsid w:val="007D13AC"/>
    <w:rsid w:val="007E7707"/>
    <w:rsid w:val="007E7A4E"/>
    <w:rsid w:val="007F41E4"/>
    <w:rsid w:val="007F4268"/>
    <w:rsid w:val="007F5805"/>
    <w:rsid w:val="007F5BB5"/>
    <w:rsid w:val="00810962"/>
    <w:rsid w:val="00811E55"/>
    <w:rsid w:val="00813F05"/>
    <w:rsid w:val="008331F3"/>
    <w:rsid w:val="0083735F"/>
    <w:rsid w:val="008435EE"/>
    <w:rsid w:val="0084403D"/>
    <w:rsid w:val="008530E8"/>
    <w:rsid w:val="00860A87"/>
    <w:rsid w:val="00860C80"/>
    <w:rsid w:val="00872A4A"/>
    <w:rsid w:val="00873BA5"/>
    <w:rsid w:val="00882D6E"/>
    <w:rsid w:val="00886745"/>
    <w:rsid w:val="00890FCF"/>
    <w:rsid w:val="008958F6"/>
    <w:rsid w:val="00896556"/>
    <w:rsid w:val="008B0A84"/>
    <w:rsid w:val="008B55B7"/>
    <w:rsid w:val="008B6BD1"/>
    <w:rsid w:val="008C1A82"/>
    <w:rsid w:val="008D0E71"/>
    <w:rsid w:val="008D6056"/>
    <w:rsid w:val="008D6337"/>
    <w:rsid w:val="008E24E9"/>
    <w:rsid w:val="008F231A"/>
    <w:rsid w:val="008F2A9C"/>
    <w:rsid w:val="008F4630"/>
    <w:rsid w:val="008F5DBA"/>
    <w:rsid w:val="0090000C"/>
    <w:rsid w:val="00906924"/>
    <w:rsid w:val="00912068"/>
    <w:rsid w:val="009140A0"/>
    <w:rsid w:val="009239C5"/>
    <w:rsid w:val="009256A3"/>
    <w:rsid w:val="00946048"/>
    <w:rsid w:val="0094737F"/>
    <w:rsid w:val="00953918"/>
    <w:rsid w:val="009562A7"/>
    <w:rsid w:val="00956FD6"/>
    <w:rsid w:val="00960E7C"/>
    <w:rsid w:val="009631BE"/>
    <w:rsid w:val="0096456E"/>
    <w:rsid w:val="0096517C"/>
    <w:rsid w:val="009657D5"/>
    <w:rsid w:val="00966C1F"/>
    <w:rsid w:val="009708D9"/>
    <w:rsid w:val="00984B33"/>
    <w:rsid w:val="009874BC"/>
    <w:rsid w:val="0099221C"/>
    <w:rsid w:val="009A43C9"/>
    <w:rsid w:val="009A6A0A"/>
    <w:rsid w:val="009B1F76"/>
    <w:rsid w:val="009C43CE"/>
    <w:rsid w:val="009D23E0"/>
    <w:rsid w:val="009D48D2"/>
    <w:rsid w:val="009E6297"/>
    <w:rsid w:val="00A13AAF"/>
    <w:rsid w:val="00A15666"/>
    <w:rsid w:val="00A17FD1"/>
    <w:rsid w:val="00A40AC2"/>
    <w:rsid w:val="00A46C49"/>
    <w:rsid w:val="00A6115B"/>
    <w:rsid w:val="00A62C76"/>
    <w:rsid w:val="00A63293"/>
    <w:rsid w:val="00A66DDB"/>
    <w:rsid w:val="00A73D22"/>
    <w:rsid w:val="00A85416"/>
    <w:rsid w:val="00A91AC1"/>
    <w:rsid w:val="00AA04C7"/>
    <w:rsid w:val="00AA11C0"/>
    <w:rsid w:val="00AA6945"/>
    <w:rsid w:val="00AA6A43"/>
    <w:rsid w:val="00AC2E90"/>
    <w:rsid w:val="00AD3D9D"/>
    <w:rsid w:val="00AD49C7"/>
    <w:rsid w:val="00AD5E08"/>
    <w:rsid w:val="00AE06A2"/>
    <w:rsid w:val="00AE46DA"/>
    <w:rsid w:val="00AE4CAE"/>
    <w:rsid w:val="00AE7FB3"/>
    <w:rsid w:val="00AF2728"/>
    <w:rsid w:val="00AF3517"/>
    <w:rsid w:val="00B00216"/>
    <w:rsid w:val="00B005A1"/>
    <w:rsid w:val="00B075B5"/>
    <w:rsid w:val="00B07610"/>
    <w:rsid w:val="00B12F0F"/>
    <w:rsid w:val="00B253F0"/>
    <w:rsid w:val="00B26C19"/>
    <w:rsid w:val="00B30365"/>
    <w:rsid w:val="00B31510"/>
    <w:rsid w:val="00B32E71"/>
    <w:rsid w:val="00B355C6"/>
    <w:rsid w:val="00B374B5"/>
    <w:rsid w:val="00B4273F"/>
    <w:rsid w:val="00B46DBD"/>
    <w:rsid w:val="00B612F8"/>
    <w:rsid w:val="00B655EF"/>
    <w:rsid w:val="00B71D26"/>
    <w:rsid w:val="00B726A9"/>
    <w:rsid w:val="00B81321"/>
    <w:rsid w:val="00B81EA5"/>
    <w:rsid w:val="00B86D81"/>
    <w:rsid w:val="00B9024B"/>
    <w:rsid w:val="00B905C5"/>
    <w:rsid w:val="00B940F7"/>
    <w:rsid w:val="00BA4498"/>
    <w:rsid w:val="00BB56C8"/>
    <w:rsid w:val="00BC344A"/>
    <w:rsid w:val="00BC7C73"/>
    <w:rsid w:val="00BD73EE"/>
    <w:rsid w:val="00BE14A3"/>
    <w:rsid w:val="00BF1684"/>
    <w:rsid w:val="00BF2B33"/>
    <w:rsid w:val="00BF3E88"/>
    <w:rsid w:val="00BF4181"/>
    <w:rsid w:val="00BF74D1"/>
    <w:rsid w:val="00C00657"/>
    <w:rsid w:val="00C04997"/>
    <w:rsid w:val="00C15B72"/>
    <w:rsid w:val="00C15D12"/>
    <w:rsid w:val="00C1773D"/>
    <w:rsid w:val="00C17C2B"/>
    <w:rsid w:val="00C26A8A"/>
    <w:rsid w:val="00C27728"/>
    <w:rsid w:val="00C35698"/>
    <w:rsid w:val="00C520EE"/>
    <w:rsid w:val="00C54576"/>
    <w:rsid w:val="00C6041D"/>
    <w:rsid w:val="00C61139"/>
    <w:rsid w:val="00C6703E"/>
    <w:rsid w:val="00C70A5D"/>
    <w:rsid w:val="00C73642"/>
    <w:rsid w:val="00C901F1"/>
    <w:rsid w:val="00C91253"/>
    <w:rsid w:val="00C91C1B"/>
    <w:rsid w:val="00C9583C"/>
    <w:rsid w:val="00CA347B"/>
    <w:rsid w:val="00CA4767"/>
    <w:rsid w:val="00CA6162"/>
    <w:rsid w:val="00CA7C70"/>
    <w:rsid w:val="00CB25B3"/>
    <w:rsid w:val="00CC7EB3"/>
    <w:rsid w:val="00CD0BC8"/>
    <w:rsid w:val="00CD2A4A"/>
    <w:rsid w:val="00CE20C0"/>
    <w:rsid w:val="00CE4B77"/>
    <w:rsid w:val="00CE77BB"/>
    <w:rsid w:val="00CF1406"/>
    <w:rsid w:val="00CF436A"/>
    <w:rsid w:val="00D10FA9"/>
    <w:rsid w:val="00D16B27"/>
    <w:rsid w:val="00D17D45"/>
    <w:rsid w:val="00D20301"/>
    <w:rsid w:val="00D36DBC"/>
    <w:rsid w:val="00D41B1B"/>
    <w:rsid w:val="00D60BB6"/>
    <w:rsid w:val="00D61761"/>
    <w:rsid w:val="00D63277"/>
    <w:rsid w:val="00D65898"/>
    <w:rsid w:val="00D65EBF"/>
    <w:rsid w:val="00D75A9D"/>
    <w:rsid w:val="00D95021"/>
    <w:rsid w:val="00D95137"/>
    <w:rsid w:val="00DA6868"/>
    <w:rsid w:val="00DA752E"/>
    <w:rsid w:val="00DC20D9"/>
    <w:rsid w:val="00DC40C8"/>
    <w:rsid w:val="00DC648F"/>
    <w:rsid w:val="00DC6E38"/>
    <w:rsid w:val="00DD1B25"/>
    <w:rsid w:val="00DE3D00"/>
    <w:rsid w:val="00DF0260"/>
    <w:rsid w:val="00DF10FB"/>
    <w:rsid w:val="00DF1857"/>
    <w:rsid w:val="00DF4840"/>
    <w:rsid w:val="00DF647C"/>
    <w:rsid w:val="00DF676A"/>
    <w:rsid w:val="00E00B25"/>
    <w:rsid w:val="00E051ED"/>
    <w:rsid w:val="00E11F64"/>
    <w:rsid w:val="00E1559A"/>
    <w:rsid w:val="00E158A3"/>
    <w:rsid w:val="00E15B9E"/>
    <w:rsid w:val="00E1636C"/>
    <w:rsid w:val="00E23EE4"/>
    <w:rsid w:val="00E27234"/>
    <w:rsid w:val="00E35DA6"/>
    <w:rsid w:val="00E36A49"/>
    <w:rsid w:val="00E42F1C"/>
    <w:rsid w:val="00E4776B"/>
    <w:rsid w:val="00E47906"/>
    <w:rsid w:val="00E51B46"/>
    <w:rsid w:val="00E541B6"/>
    <w:rsid w:val="00E556BD"/>
    <w:rsid w:val="00E64717"/>
    <w:rsid w:val="00E80659"/>
    <w:rsid w:val="00E82387"/>
    <w:rsid w:val="00E86252"/>
    <w:rsid w:val="00E943A8"/>
    <w:rsid w:val="00E967FB"/>
    <w:rsid w:val="00EC098B"/>
    <w:rsid w:val="00EC278A"/>
    <w:rsid w:val="00EC6B6A"/>
    <w:rsid w:val="00EC76AE"/>
    <w:rsid w:val="00ED0970"/>
    <w:rsid w:val="00ED3EE0"/>
    <w:rsid w:val="00ED5CD5"/>
    <w:rsid w:val="00ED7E89"/>
    <w:rsid w:val="00EE6C16"/>
    <w:rsid w:val="00EF11A3"/>
    <w:rsid w:val="00EF12A5"/>
    <w:rsid w:val="00EF2B4C"/>
    <w:rsid w:val="00F01B85"/>
    <w:rsid w:val="00F027F1"/>
    <w:rsid w:val="00F02AD1"/>
    <w:rsid w:val="00F03F63"/>
    <w:rsid w:val="00F11001"/>
    <w:rsid w:val="00F1122C"/>
    <w:rsid w:val="00F1541F"/>
    <w:rsid w:val="00F17D43"/>
    <w:rsid w:val="00F250F0"/>
    <w:rsid w:val="00F25445"/>
    <w:rsid w:val="00F25462"/>
    <w:rsid w:val="00F319C0"/>
    <w:rsid w:val="00F45F88"/>
    <w:rsid w:val="00F47B38"/>
    <w:rsid w:val="00F51C49"/>
    <w:rsid w:val="00F6066A"/>
    <w:rsid w:val="00F6080C"/>
    <w:rsid w:val="00F62F23"/>
    <w:rsid w:val="00F669B7"/>
    <w:rsid w:val="00F7670F"/>
    <w:rsid w:val="00F8250E"/>
    <w:rsid w:val="00F905BF"/>
    <w:rsid w:val="00F94841"/>
    <w:rsid w:val="00F95F8C"/>
    <w:rsid w:val="00FA1E52"/>
    <w:rsid w:val="00FB3843"/>
    <w:rsid w:val="00FB3994"/>
    <w:rsid w:val="00FC48EE"/>
    <w:rsid w:val="00FE1412"/>
    <w:rsid w:val="00FE35E4"/>
    <w:rsid w:val="00FE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20459B"/>
  <w15:chartTrackingRefBased/>
  <w15:docId w15:val="{1B9B0FE0-ED0D-4633-9094-C817E3B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List Paragraph"/>
    <w:basedOn w:val="Normal"/>
    <w:link w:val="ListParagraphChar"/>
    <w:uiPriority w:val="34"/>
    <w:qFormat/>
    <w:rsid w:val="00527E00"/>
    <w:pPr>
      <w:numPr>
        <w:numId w:val="1"/>
      </w:numPr>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C7EB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5"/>
      </w:numPr>
      <w:ind w:left="284" w:hanging="284"/>
    </w:pPr>
  </w:style>
  <w:style w:type="paragraph" w:customStyle="1" w:styleId="TableNumber">
    <w:name w:val="Table Number"/>
    <w:basedOn w:val="TableBody"/>
    <w:qFormat/>
    <w:rsid w:val="00AF3517"/>
    <w:pPr>
      <w:numPr>
        <w:numId w:val="6"/>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2D2FD6"/>
    <w:pPr>
      <w:spacing w:before="120" w:after="0" w:line="240" w:lineRule="auto"/>
    </w:p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
    <w:name w:val="Unresolved Mention"/>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semiHidden/>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semiHidden/>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NoSpacing">
    <w:name w:val="No Spacing"/>
    <w:basedOn w:val="Normal"/>
    <w:link w:val="NoSpacingChar"/>
    <w:uiPriority w:val="1"/>
    <w:qFormat/>
    <w:rsid w:val="004A2892"/>
    <w:pPr>
      <w:spacing w:before="0" w:after="0" w:line="240" w:lineRule="auto"/>
    </w:pPr>
    <w:rPr>
      <w:rFonts w:ascii="Calibri" w:hAnsi="Calibri" w:cs="Times New Roman"/>
    </w:rPr>
  </w:style>
  <w:style w:type="character" w:customStyle="1" w:styleId="NoSpacingChar">
    <w:name w:val="No Spacing Char"/>
    <w:basedOn w:val="DefaultParagraphFont"/>
    <w:link w:val="NoSpacing"/>
    <w:uiPriority w:val="1"/>
    <w:rsid w:val="004A2892"/>
    <w:rPr>
      <w:rFonts w:ascii="Calibri" w:hAnsi="Calibri" w:cs="Times New Roman"/>
    </w:rPr>
  </w:style>
  <w:style w:type="character" w:customStyle="1" w:styleId="ListParagraphChar">
    <w:name w:val="List Paragraph Char"/>
    <w:aliases w:val="~List Paragraph Char"/>
    <w:basedOn w:val="DefaultParagraphFont"/>
    <w:link w:val="ListParagraph"/>
    <w:uiPriority w:val="34"/>
    <w:rsid w:val="008530E8"/>
    <w:rPr>
      <w:rFonts w:ascii="Arial" w:hAnsi="Arial"/>
    </w:rPr>
  </w:style>
  <w:style w:type="character" w:styleId="FollowedHyperlink">
    <w:name w:val="FollowedHyperlink"/>
    <w:basedOn w:val="DefaultParagraphFont"/>
    <w:uiPriority w:val="99"/>
    <w:semiHidden/>
    <w:unhideWhenUsed/>
    <w:rsid w:val="00984B33"/>
    <w:rPr>
      <w:color w:val="7030A0" w:themeColor="followedHyperlink"/>
      <w:u w:val="single"/>
    </w:rPr>
  </w:style>
  <w:style w:type="paragraph" w:styleId="CommentSubject">
    <w:name w:val="annotation subject"/>
    <w:basedOn w:val="CommentText"/>
    <w:next w:val="CommentText"/>
    <w:link w:val="CommentSubjectChar"/>
    <w:uiPriority w:val="99"/>
    <w:semiHidden/>
    <w:unhideWhenUsed/>
    <w:rsid w:val="00146203"/>
    <w:rPr>
      <w:b/>
      <w:bCs/>
    </w:rPr>
  </w:style>
  <w:style w:type="character" w:customStyle="1" w:styleId="CommentSubjectChar">
    <w:name w:val="Comment Subject Char"/>
    <w:basedOn w:val="CommentTextChar"/>
    <w:link w:val="CommentSubject"/>
    <w:uiPriority w:val="99"/>
    <w:semiHidden/>
    <w:rsid w:val="00146203"/>
    <w:rPr>
      <w:rFonts w:ascii="Arial" w:hAnsi="Arial"/>
      <w:b/>
      <w:bCs/>
      <w:sz w:val="20"/>
      <w:szCs w:val="20"/>
    </w:rPr>
  </w:style>
  <w:style w:type="paragraph" w:styleId="Revision">
    <w:name w:val="Revision"/>
    <w:hidden/>
    <w:uiPriority w:val="99"/>
    <w:semiHidden/>
    <w:rsid w:val="0070436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749">
      <w:bodyDiv w:val="1"/>
      <w:marLeft w:val="0"/>
      <w:marRight w:val="0"/>
      <w:marTop w:val="0"/>
      <w:marBottom w:val="0"/>
      <w:divBdr>
        <w:top w:val="none" w:sz="0" w:space="0" w:color="auto"/>
        <w:left w:val="none" w:sz="0" w:space="0" w:color="auto"/>
        <w:bottom w:val="none" w:sz="0" w:space="0" w:color="auto"/>
        <w:right w:val="none" w:sz="0" w:space="0" w:color="auto"/>
      </w:divBdr>
    </w:div>
    <w:div w:id="135731494">
      <w:bodyDiv w:val="1"/>
      <w:marLeft w:val="0"/>
      <w:marRight w:val="0"/>
      <w:marTop w:val="0"/>
      <w:marBottom w:val="0"/>
      <w:divBdr>
        <w:top w:val="none" w:sz="0" w:space="0" w:color="auto"/>
        <w:left w:val="none" w:sz="0" w:space="0" w:color="auto"/>
        <w:bottom w:val="none" w:sz="0" w:space="0" w:color="auto"/>
        <w:right w:val="none" w:sz="0" w:space="0" w:color="auto"/>
      </w:divBdr>
    </w:div>
    <w:div w:id="565455849">
      <w:bodyDiv w:val="1"/>
      <w:marLeft w:val="0"/>
      <w:marRight w:val="0"/>
      <w:marTop w:val="0"/>
      <w:marBottom w:val="0"/>
      <w:divBdr>
        <w:top w:val="none" w:sz="0" w:space="0" w:color="auto"/>
        <w:left w:val="none" w:sz="0" w:space="0" w:color="auto"/>
        <w:bottom w:val="none" w:sz="0" w:space="0" w:color="auto"/>
        <w:right w:val="none" w:sz="0" w:space="0" w:color="auto"/>
      </w:divBdr>
      <w:divsChild>
        <w:div w:id="1219172458">
          <w:marLeft w:val="0"/>
          <w:marRight w:val="0"/>
          <w:marTop w:val="0"/>
          <w:marBottom w:val="0"/>
          <w:divBdr>
            <w:top w:val="none" w:sz="0" w:space="0" w:color="auto"/>
            <w:left w:val="none" w:sz="0" w:space="0" w:color="auto"/>
            <w:bottom w:val="none" w:sz="0" w:space="0" w:color="auto"/>
            <w:right w:val="none" w:sz="0" w:space="0" w:color="auto"/>
          </w:divBdr>
          <w:divsChild>
            <w:div w:id="147552136">
              <w:marLeft w:val="0"/>
              <w:marRight w:val="0"/>
              <w:marTop w:val="0"/>
              <w:marBottom w:val="0"/>
              <w:divBdr>
                <w:top w:val="none" w:sz="0" w:space="0" w:color="auto"/>
                <w:left w:val="none" w:sz="0" w:space="0" w:color="auto"/>
                <w:bottom w:val="none" w:sz="0" w:space="0" w:color="auto"/>
                <w:right w:val="none" w:sz="0" w:space="0" w:color="auto"/>
              </w:divBdr>
              <w:divsChild>
                <w:div w:id="1671759783">
                  <w:marLeft w:val="0"/>
                  <w:marRight w:val="0"/>
                  <w:marTop w:val="0"/>
                  <w:marBottom w:val="0"/>
                  <w:divBdr>
                    <w:top w:val="none" w:sz="0" w:space="0" w:color="auto"/>
                    <w:left w:val="none" w:sz="0" w:space="0" w:color="auto"/>
                    <w:bottom w:val="none" w:sz="0" w:space="0" w:color="auto"/>
                    <w:right w:val="none" w:sz="0" w:space="0" w:color="auto"/>
                  </w:divBdr>
                  <w:divsChild>
                    <w:div w:id="1566984850">
                      <w:marLeft w:val="0"/>
                      <w:marRight w:val="0"/>
                      <w:marTop w:val="0"/>
                      <w:marBottom w:val="0"/>
                      <w:divBdr>
                        <w:top w:val="none" w:sz="0" w:space="0" w:color="auto"/>
                        <w:left w:val="none" w:sz="0" w:space="0" w:color="auto"/>
                        <w:bottom w:val="none" w:sz="0" w:space="0" w:color="auto"/>
                        <w:right w:val="none" w:sz="0" w:space="0" w:color="auto"/>
                      </w:divBdr>
                      <w:divsChild>
                        <w:div w:id="479005949">
                          <w:marLeft w:val="0"/>
                          <w:marRight w:val="0"/>
                          <w:marTop w:val="0"/>
                          <w:marBottom w:val="0"/>
                          <w:divBdr>
                            <w:top w:val="none" w:sz="0" w:space="0" w:color="auto"/>
                            <w:left w:val="none" w:sz="0" w:space="0" w:color="auto"/>
                            <w:bottom w:val="none" w:sz="0" w:space="0" w:color="auto"/>
                            <w:right w:val="none" w:sz="0" w:space="0" w:color="auto"/>
                          </w:divBdr>
                          <w:divsChild>
                            <w:div w:id="2005278266">
                              <w:marLeft w:val="0"/>
                              <w:marRight w:val="0"/>
                              <w:marTop w:val="0"/>
                              <w:marBottom w:val="0"/>
                              <w:divBdr>
                                <w:top w:val="none" w:sz="0" w:space="0" w:color="auto"/>
                                <w:left w:val="none" w:sz="0" w:space="0" w:color="auto"/>
                                <w:bottom w:val="none" w:sz="0" w:space="0" w:color="auto"/>
                                <w:right w:val="none" w:sz="0" w:space="0" w:color="auto"/>
                              </w:divBdr>
                              <w:divsChild>
                                <w:div w:id="1241907403">
                                  <w:marLeft w:val="0"/>
                                  <w:marRight w:val="0"/>
                                  <w:marTop w:val="0"/>
                                  <w:marBottom w:val="0"/>
                                  <w:divBdr>
                                    <w:top w:val="none" w:sz="0" w:space="0" w:color="auto"/>
                                    <w:left w:val="none" w:sz="0" w:space="0" w:color="auto"/>
                                    <w:bottom w:val="none" w:sz="0" w:space="0" w:color="auto"/>
                                    <w:right w:val="none" w:sz="0" w:space="0" w:color="auto"/>
                                  </w:divBdr>
                                  <w:divsChild>
                                    <w:div w:id="583226359">
                                      <w:marLeft w:val="0"/>
                                      <w:marRight w:val="0"/>
                                      <w:marTop w:val="0"/>
                                      <w:marBottom w:val="0"/>
                                      <w:divBdr>
                                        <w:top w:val="none" w:sz="0" w:space="0" w:color="auto"/>
                                        <w:left w:val="none" w:sz="0" w:space="0" w:color="auto"/>
                                        <w:bottom w:val="none" w:sz="0" w:space="0" w:color="auto"/>
                                        <w:right w:val="none" w:sz="0" w:space="0" w:color="auto"/>
                                      </w:divBdr>
                                      <w:divsChild>
                                        <w:div w:id="55596459">
                                          <w:marLeft w:val="0"/>
                                          <w:marRight w:val="0"/>
                                          <w:marTop w:val="0"/>
                                          <w:marBottom w:val="0"/>
                                          <w:divBdr>
                                            <w:top w:val="none" w:sz="0" w:space="0" w:color="auto"/>
                                            <w:left w:val="none" w:sz="0" w:space="0" w:color="auto"/>
                                            <w:bottom w:val="none" w:sz="0" w:space="0" w:color="auto"/>
                                            <w:right w:val="none" w:sz="0" w:space="0" w:color="auto"/>
                                          </w:divBdr>
                                          <w:divsChild>
                                            <w:div w:id="1496333693">
                                              <w:marLeft w:val="0"/>
                                              <w:marRight w:val="0"/>
                                              <w:marTop w:val="0"/>
                                              <w:marBottom w:val="0"/>
                                              <w:divBdr>
                                                <w:top w:val="none" w:sz="0" w:space="0" w:color="auto"/>
                                                <w:left w:val="none" w:sz="0" w:space="0" w:color="auto"/>
                                                <w:bottom w:val="none" w:sz="0" w:space="0" w:color="auto"/>
                                                <w:right w:val="none" w:sz="0" w:space="0" w:color="auto"/>
                                              </w:divBdr>
                                              <w:divsChild>
                                                <w:div w:id="742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commission.gov.au/accessadsystem/Pages/Submissions-to-the-Anti-Dumping-Commission.aspx" TargetMode="External"/><Relationship Id="rId18" Type="http://schemas.openxmlformats.org/officeDocument/2006/relationships/hyperlink" Target="https://adcommission.gov.au/accessadsystem/Pages/Submissions-to-the-Anti-Dumping-Commission.aspx" TargetMode="External"/><Relationship Id="rId26" Type="http://schemas.openxmlformats.org/officeDocument/2006/relationships/hyperlink" Target="http://www.adcommission.gov.au/measures/Pages/default.aspx" TargetMode="External"/><Relationship Id="rId3" Type="http://schemas.openxmlformats.org/officeDocument/2006/relationships/customXml" Target="../customXml/item3.xml"/><Relationship Id="rId21" Type="http://schemas.openxmlformats.org/officeDocument/2006/relationships/hyperlink" Target="https://www.business.gov.au/advisory-services/international-trade-remedies-advisory-service" TargetMode="External"/><Relationship Id="rId7" Type="http://schemas.openxmlformats.org/officeDocument/2006/relationships/styles" Target="styles.xml"/><Relationship Id="rId12" Type="http://schemas.openxmlformats.org/officeDocument/2006/relationships/hyperlink" Target="https://www.legislation.gov.au/Details/C2016C00716" TargetMode="External"/><Relationship Id="rId17" Type="http://schemas.openxmlformats.org/officeDocument/2006/relationships/hyperlink" Target="mailto:clientsupport@adcommission.gov.au" TargetMode="External"/><Relationship Id="rId25" Type="http://schemas.openxmlformats.org/officeDocument/2006/relationships/hyperlink" Target="mailto:clientsupport@adcommission.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ientsupport@adcommission.gov.au" TargetMode="External"/><Relationship Id="rId20" Type="http://schemas.openxmlformats.org/officeDocument/2006/relationships/hyperlink" Target="https://www.adcommission.gov.au/measures/Pages/default.aspx" TargetMode="External"/><Relationship Id="rId29" Type="http://schemas.openxmlformats.org/officeDocument/2006/relationships/hyperlink" Target="https://adcommission.gov.au/measures/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bf.gov.au/importing-exporting-and-manufacturing/tariff-concessions-system/tariff-concession-order" TargetMode="External"/><Relationship Id="rId23" Type="http://schemas.openxmlformats.org/officeDocument/2006/relationships/footer" Target="footer1.xml"/><Relationship Id="rId28" Type="http://schemas.openxmlformats.org/officeDocument/2006/relationships/hyperlink" Target="https://adcommission.gov.au/measures/Pages/default.aspx" TargetMode="External"/><Relationship Id="rId10" Type="http://schemas.openxmlformats.org/officeDocument/2006/relationships/footnotes" Target="footnotes.xml"/><Relationship Id="rId19" Type="http://schemas.openxmlformats.org/officeDocument/2006/relationships/hyperlink" Target="https://www.adcommission.gov.au/accessadsystem/Pages/default.aspx" TargetMode="External"/><Relationship Id="rId31" Type="http://schemas.openxmlformats.org/officeDocument/2006/relationships/header" Target="header3.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f.gov.au/importing-exporting-and-manufacturing/tariff-concessions-system/list-of-tcos" TargetMode="External"/><Relationship Id="rId22" Type="http://schemas.openxmlformats.org/officeDocument/2006/relationships/hyperlink" Target="mailto:itra@industry.gov.au" TargetMode="External"/><Relationship Id="rId27" Type="http://schemas.openxmlformats.org/officeDocument/2006/relationships/hyperlink" Target="mailto:clientsupport@adcommission.gov.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Version using Grants Administrations Guide template</Comments>
    <IconOverlay xmlns="http://schemas.microsoft.com/sharepoint/v4" xsi:nil="true"/>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g7bcb40ba23249a78edca7d43a67c1c9 xmlns="5d55e9dd-4cea-4593-8805-904a126b9efb">
      <Terms xmlns="http://schemas.microsoft.com/office/infopath/2007/PartnerControls"/>
    </g7bcb40ba23249a78edca7d43a67c1c9>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5d55e9dd-4cea-4593-8805-904a126b9efb">X37KMNPMRHAR-1608704753-518</_dlc_DocId>
    <TaxCatchAll xmlns="5d55e9dd-4cea-4593-8805-904a126b9efb">
      <Value>767</Value>
      <Value>3</Value>
      <Value>1801</Value>
    </TaxCatchAll>
    <_dlc_DocIdUrl xmlns="5d55e9dd-4cea-4593-8805-904a126b9efb">
      <Url>https://dochub/div/antidumpingcommission/businessfunctions/eass/policy/_layouts/15/DocIdRedir.aspx?ID=X37KMNPMRHAR-1608704753-518</Url>
      <Description>X37KMNPMRHAR-1608704753-518</Description>
    </_dlc_DocIdUrl>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e1a8023ac9bd4d13a46790ba8a934c2f>
    <a9e5005df30c49b59c550e68528fb7bc xmlns="5d55e9dd-4cea-4593-8805-904a126b9efb">
      <Terms xmlns="http://schemas.microsoft.com/office/infopath/2007/PartnerControls"/>
    </a9e5005df30c49b59c550e68528fb7bc>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 xsi:nil="true"/>
    <g7b8dd3acdce4b2a96ed1fde7b8ea352 xmlns="5d55e9dd-4cea-4593-8805-904a126b9efb">
      <Terms xmlns="http://schemas.microsoft.com/office/infopath/2007/PartnerControls"/>
    </g7b8dd3acdce4b2a96ed1fde7b8ea35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50ACBB4567AE4EA846123F224AD715" ma:contentTypeVersion="55" ma:contentTypeDescription="Create a new document." ma:contentTypeScope="" ma:versionID="3d212e3e5ea2ae29ad77d342b956b79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d401bf3b3cef21f79ca5707e8ff38b3"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g7b8dd3acdce4b2a96ed1fde7b8ea35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9"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g7b8dd3acdce4b2a96ed1fde7b8ea352" ma:index="35" nillable="true" ma:taxonomy="true" ma:internalName="g7b8dd3acdce4b2a96ed1fde7b8ea352" ma:taxonomyFieldName="DocHub_PolicyTopic" ma:displayName="Policy Topic" ma:indexed="true" ma:default="" ma:fieldId="{07b8dd3a-cdce-4b2a-96ed-1fde7b8ea352}" ma:sspId="fb0313f7-9433-48c0-866e-9e0bbee59a50" ma:termSetId="c40def6b-7d10-47fa-93a3-cea3f961ce26" ma:anchorId="00000000-0000-0000-0000-000000000000" ma:open="false" ma:isKeyword="false">
      <xsd:complexType>
        <xsd:sequence>
          <xsd:element ref="pc:Terms" minOccurs="0" maxOccurs="1"/>
        </xsd:sequence>
      </xsd:complex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2.xml><?xml version="1.0" encoding="utf-8"?>
<ds:datastoreItem xmlns:ds="http://schemas.openxmlformats.org/officeDocument/2006/customXml" ds:itemID="{EFBF768A-BAD9-4239-BAF3-2DC780053EE6}">
  <ds:schemaRefs>
    <ds:schemaRef ds:uri="5d55e9dd-4cea-4593-8805-904a126b9efb"/>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2025EB-9AA9-429D-A17F-75C0EA1A7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E12D8-2766-44F1-AC02-8E4844B3AE0D}">
  <ds:schemaRefs>
    <ds:schemaRef ds:uri="http://schemas.microsoft.com/sharepoint/events"/>
  </ds:schemaRefs>
</ds:datastoreItem>
</file>

<file path=customXml/itemProps5.xml><?xml version="1.0" encoding="utf-8"?>
<ds:datastoreItem xmlns:ds="http://schemas.openxmlformats.org/officeDocument/2006/customXml" ds:itemID="{B4D61554-8098-4BE8-95A7-658711BB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1053</TotalTime>
  <Pages>12</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Web site content - Duty assessment</vt:lpstr>
    </vt:vector>
  </TitlesOfParts>
  <Company>Department of Industry, Innovation and Science</Company>
  <LinksUpToDate>false</LinksUpToDate>
  <CharactersWithSpaces>16966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content - Duty assessment</dc:title>
  <dc:subject/>
  <dc:creator>Department of Industry, Innovation and Science</dc:creator>
  <cp:keywords/>
  <dc:description/>
  <cp:lastModifiedBy>Poidomani, Katie</cp:lastModifiedBy>
  <cp:revision>98</cp:revision>
  <cp:lastPrinted>2019-04-30T01:58:00Z</cp:lastPrinted>
  <dcterms:created xsi:type="dcterms:W3CDTF">2019-02-01T05:38:00Z</dcterms:created>
  <dcterms:modified xsi:type="dcterms:W3CDTF">2019-04-30T01:59:00Z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1801;#2018|224abc7b-6f7e-4064-b773-6750976429b5</vt:lpwstr>
  </property>
  <property fmtid="{D5CDD505-2E9C-101B-9397-08002B2CF9AE}" pid="3" name="DocHub_DocumentType">
    <vt:lpwstr>767;#Guide|a4ca7698-9492-435d-8c80-0e92d5f30f1b</vt:lpwstr>
  </property>
  <property fmtid="{D5CDD505-2E9C-101B-9397-08002B2CF9AE}" pid="4" name="DocHub_SecurityClassification">
    <vt:lpwstr>3;#UNCLASSIFIED|6106d03b-a1a0-4e30-9d91-d5e9fb4314f9</vt:lpwstr>
  </property>
  <property fmtid="{D5CDD505-2E9C-101B-9397-08002B2CF9AE}" pid="5" name="ContentTypeId">
    <vt:lpwstr>0x0101009F50ACBB4567AE4EA846123F224AD715</vt:lpwstr>
  </property>
  <property fmtid="{D5CDD505-2E9C-101B-9397-08002B2CF9AE}" pid="6" name="DocHub_Keywords">
    <vt:lpwstr/>
  </property>
  <property fmtid="{D5CDD505-2E9C-101B-9397-08002B2CF9AE}" pid="7" name="DocHub_WorkActivity">
    <vt:lpwstr/>
  </property>
  <property fmtid="{D5CDD505-2E9C-101B-9397-08002B2CF9AE}" pid="8" name="_dlc_DocIdItemGuid">
    <vt:lpwstr>071b2cc1-72a2-44cf-85a4-69d07dedebaf</vt:lpwstr>
  </property>
  <property fmtid="{D5CDD505-2E9C-101B-9397-08002B2CF9AE}" pid="9" name="DocHub_BGHProgramLifecyclePhase">
    <vt:lpwstr>20147;#5 - Manage|e650e787-1666-43f5-8888-8bfba453f889</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Templatecategory">
    <vt:lpwstr/>
  </property>
  <property fmtid="{D5CDD505-2E9C-101B-9397-08002B2CF9AE}" pid="13" name="VersionNumber">
    <vt:i4>0</vt:i4>
  </property>
  <property fmtid="{D5CDD505-2E9C-101B-9397-08002B2CF9AE}" pid="14" name="FileNumberPty">
    <vt:lpwstr/>
  </property>
  <property fmtid="{D5CDD505-2E9C-101B-9397-08002B2CF9AE}" pid="15" name="CorporateTmplBased">
    <vt:lpwstr>No</vt:lpwstr>
  </property>
  <property fmtid="{D5CDD505-2E9C-101B-9397-08002B2CF9AE}" pid="16" name="DocHub_EntityCustomer">
    <vt:lpwstr/>
  </property>
  <property fmtid="{D5CDD505-2E9C-101B-9397-08002B2CF9AE}" pid="17" name="ClassificationPty">
    <vt:lpwstr/>
  </property>
  <property fmtid="{D5CDD505-2E9C-101B-9397-08002B2CF9AE}" pid="18" name="DocHub_ITRASServiceType">
    <vt:lpwstr/>
  </property>
  <property fmtid="{D5CDD505-2E9C-101B-9397-08002B2CF9AE}" pid="19" name="DocHub_CaseType">
    <vt:lpwstr/>
  </property>
  <property fmtid="{D5CDD505-2E9C-101B-9397-08002B2CF9AE}" pid="20" name="DocHub_Entity">
    <vt:lpwstr/>
  </property>
  <property fmtid="{D5CDD505-2E9C-101B-9397-08002B2CF9AE}" pid="21" name="DocHub_PolicyTopic">
    <vt:lpwstr/>
  </property>
  <property fmtid="{D5CDD505-2E9C-101B-9397-08002B2CF9AE}" pid="22" name="DocHub_Goods">
    <vt:lpwstr/>
  </property>
  <property fmtid="{D5CDD505-2E9C-101B-9397-08002B2CF9AE}" pid="23" name="DocHub_Country">
    <vt:lpwstr/>
  </property>
  <property fmtid="{D5CDD505-2E9C-101B-9397-08002B2CF9AE}" pid="24" name="DocHub_ReportType">
    <vt:lpwstr/>
  </property>
</Properties>
</file>