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C28FD" w14:textId="77777777" w:rsidR="00373F4F" w:rsidRPr="00775D97" w:rsidRDefault="00373F4F" w:rsidP="00373F4F">
      <w:pPr>
        <w:pStyle w:val="ListParagraph"/>
        <w:spacing w:line="276" w:lineRule="auto"/>
        <w:jc w:val="both"/>
        <w:rPr>
          <w:rStyle w:val="IntenseEmphasis"/>
          <w:rFonts w:asciiTheme="majorHAnsi" w:hAnsiTheme="majorHAnsi" w:cstheme="majorHAnsi"/>
          <w:i w:val="0"/>
          <w:lang w:val="en-AU"/>
        </w:rPr>
      </w:pPr>
      <w:r w:rsidRPr="00847F9C">
        <w:rPr>
          <w:rFonts w:asciiTheme="majorHAnsi" w:hAnsiTheme="majorHAnsi" w:cstheme="majorHAnsi"/>
          <w:noProof/>
          <w:lang w:val="en-AU" w:eastAsia="en-AU"/>
        </w:rPr>
        <w:drawing>
          <wp:anchor distT="0" distB="0" distL="114300" distR="114300" simplePos="0" relativeHeight="251659264" behindDoc="0" locked="0" layoutInCell="1" allowOverlap="1" wp14:anchorId="22DF9DDD" wp14:editId="77B7D942">
            <wp:simplePos x="0" y="0"/>
            <wp:positionH relativeFrom="margin">
              <wp:align>left</wp:align>
            </wp:positionH>
            <wp:positionV relativeFrom="paragraph">
              <wp:posOffset>6350</wp:posOffset>
            </wp:positionV>
            <wp:extent cx="627380" cy="1098550"/>
            <wp:effectExtent l="0" t="0" r="7620" b="0"/>
            <wp:wrapSquare wrapText="bothSides"/>
            <wp:docPr id="1" name="Picture 1" title="Social Comp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han Loza\Dropbox\Policies, Procedures and templates\Report Writing and Templates\Social Compass Logo\Social_Compass_Logo_Portrait_RGB_L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7380"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ED404A" w14:textId="19E0E471" w:rsidR="00373F4F" w:rsidRPr="00CC0DCA" w:rsidRDefault="000601EC" w:rsidP="00373F4F">
      <w:pPr>
        <w:spacing w:after="0" w:line="240" w:lineRule="auto"/>
        <w:jc w:val="center"/>
        <w:rPr>
          <w:rFonts w:ascii="Calibri" w:eastAsia="MS Mincho" w:hAnsi="Calibri" w:cs="Times New Roman"/>
          <w:caps/>
          <w:color w:val="414751"/>
          <w:sz w:val="40"/>
          <w:szCs w:val="40"/>
        </w:rPr>
      </w:pPr>
      <w:sdt>
        <w:sdtPr>
          <w:rPr>
            <w:rFonts w:ascii="Calibri Light" w:eastAsia="MS Gothic" w:hAnsi="Calibri Light"/>
            <w:spacing w:val="-10"/>
            <w:sz w:val="40"/>
            <w:szCs w:val="40"/>
            <w:lang w:val="en-AU" w:eastAsia="en-AU"/>
          </w:rPr>
          <w:alias w:val="Title"/>
          <w:tag w:val=""/>
          <w:id w:val="-3127490"/>
          <w:dataBinding w:prefixMappings="xmlns:ns0='http://purl.org/dc/elements/1.1/' xmlns:ns1='http://schemas.openxmlformats.org/package/2006/metadata/core-properties' " w:xpath="/ns1:coreProperties[1]/ns0:title[1]" w:storeItemID="{6C3C8BC8-F283-45AE-878A-BAB7291924A1}"/>
          <w:text w:multiLine="1"/>
        </w:sdtPr>
        <w:sdtEndPr/>
        <w:sdtContent>
          <w:r w:rsidR="009761C4">
            <w:rPr>
              <w:rFonts w:ascii="Calibri Light" w:eastAsia="MS Gothic" w:hAnsi="Calibri Light"/>
              <w:spacing w:val="-10"/>
              <w:sz w:val="40"/>
              <w:szCs w:val="40"/>
              <w:lang w:val="en-AU" w:eastAsia="en-AU"/>
            </w:rPr>
            <w:t>The Australia-India Strategic Research Fund: Evaluation</w:t>
          </w:r>
        </w:sdtContent>
      </w:sdt>
    </w:p>
    <w:p w14:paraId="4492AFB4" w14:textId="6E561E3C" w:rsidR="00373F4F" w:rsidRPr="000601EC" w:rsidRDefault="00373F4F" w:rsidP="000601EC">
      <w:pPr>
        <w:pStyle w:val="Heading1"/>
        <w:spacing w:before="360" w:after="360"/>
        <w:jc w:val="center"/>
        <w:rPr>
          <w:sz w:val="40"/>
          <w:szCs w:val="40"/>
          <w:lang w:val="en-AU"/>
        </w:rPr>
      </w:pPr>
      <w:bookmarkStart w:id="0" w:name="_Toc516130717"/>
      <w:r w:rsidRPr="008B42CD">
        <w:rPr>
          <w:sz w:val="40"/>
          <w:szCs w:val="40"/>
        </w:rPr>
        <w:t>Executive</w:t>
      </w:r>
      <w:r w:rsidRPr="008B42CD">
        <w:rPr>
          <w:sz w:val="40"/>
          <w:szCs w:val="40"/>
          <w:lang w:val="en-AU"/>
        </w:rPr>
        <w:t xml:space="preserve"> Summary</w:t>
      </w:r>
      <w:bookmarkEnd w:id="0"/>
    </w:p>
    <w:p w14:paraId="69EA5B40" w14:textId="77777777" w:rsidR="00373F4F" w:rsidRPr="00775D97" w:rsidRDefault="00373F4F" w:rsidP="00373F4F">
      <w:pPr>
        <w:pStyle w:val="Pa4"/>
        <w:spacing w:after="160" w:line="276" w:lineRule="auto"/>
        <w:ind w:left="720"/>
        <w:jc w:val="both"/>
        <w:rPr>
          <w:rStyle w:val="IntenseEmphasis"/>
          <w:rFonts w:asciiTheme="majorHAnsi" w:hAnsiTheme="majorHAnsi" w:cstheme="majorHAnsi"/>
          <w:i w:val="0"/>
          <w:lang w:val="en-AU"/>
        </w:rPr>
      </w:pPr>
      <w:r w:rsidRPr="00775D97">
        <w:rPr>
          <w:rStyle w:val="IntenseEmphasis"/>
          <w:rFonts w:asciiTheme="majorHAnsi" w:hAnsiTheme="majorHAnsi" w:cstheme="majorHAnsi"/>
          <w:i w:val="0"/>
          <w:lang w:val="en-AU"/>
        </w:rPr>
        <w:t>Disclaimer</w:t>
      </w:r>
    </w:p>
    <w:p w14:paraId="5EBBA4F4" w14:textId="77777777" w:rsidR="00373F4F" w:rsidRPr="00775D97" w:rsidRDefault="00373F4F" w:rsidP="00373F4F">
      <w:pPr>
        <w:spacing w:line="276" w:lineRule="auto"/>
        <w:ind w:left="720"/>
        <w:jc w:val="both"/>
        <w:rPr>
          <w:rFonts w:asciiTheme="majorHAnsi" w:hAnsiTheme="majorHAnsi" w:cstheme="majorHAnsi"/>
          <w:i/>
          <w:lang w:val="en-AU"/>
        </w:rPr>
      </w:pPr>
      <w:r w:rsidRPr="00775D97">
        <w:rPr>
          <w:rFonts w:asciiTheme="majorHAnsi" w:hAnsiTheme="majorHAnsi" w:cstheme="majorHAnsi"/>
          <w:i/>
          <w:lang w:val="en-AU"/>
        </w:rPr>
        <w:t>The opinions, comments and/or analysis expressed in this document are those of the authors and do not necessarily represent the views of DIIS.</w:t>
      </w:r>
    </w:p>
    <w:p w14:paraId="16FE22EF" w14:textId="78D2C74D" w:rsidR="00373F4F" w:rsidRPr="000601EC" w:rsidRDefault="00373F4F" w:rsidP="000601EC">
      <w:pPr>
        <w:spacing w:line="276" w:lineRule="auto"/>
        <w:ind w:left="720"/>
        <w:jc w:val="both"/>
        <w:rPr>
          <w:rFonts w:asciiTheme="majorHAnsi" w:hAnsiTheme="majorHAnsi" w:cstheme="majorHAnsi"/>
          <w:i/>
          <w:lang w:val="en-AU"/>
        </w:rPr>
      </w:pPr>
      <w:r w:rsidRPr="00775D97">
        <w:rPr>
          <w:rFonts w:asciiTheme="majorHAnsi" w:hAnsiTheme="majorHAnsi" w:cstheme="majorHAnsi"/>
          <w:i/>
          <w:lang w:val="en-AU"/>
        </w:rPr>
        <w:t>Report commissioned by the D</w:t>
      </w:r>
      <w:r>
        <w:rPr>
          <w:rFonts w:asciiTheme="majorHAnsi" w:hAnsiTheme="majorHAnsi" w:cstheme="majorHAnsi"/>
          <w:i/>
          <w:lang w:val="en-AU"/>
        </w:rPr>
        <w:t>epartment of</w:t>
      </w:r>
      <w:r w:rsidRPr="00775D97">
        <w:rPr>
          <w:rFonts w:asciiTheme="majorHAnsi" w:hAnsiTheme="majorHAnsi" w:cstheme="majorHAnsi"/>
          <w:i/>
          <w:lang w:val="en-AU"/>
        </w:rPr>
        <w:t xml:space="preserve"> Industry</w:t>
      </w:r>
      <w:r>
        <w:rPr>
          <w:rFonts w:asciiTheme="majorHAnsi" w:hAnsiTheme="majorHAnsi" w:cstheme="majorHAnsi"/>
          <w:i/>
          <w:lang w:val="en-AU"/>
        </w:rPr>
        <w:t>,</w:t>
      </w:r>
      <w:r w:rsidRPr="00775D97">
        <w:rPr>
          <w:rFonts w:asciiTheme="majorHAnsi" w:hAnsiTheme="majorHAnsi" w:cstheme="majorHAnsi"/>
          <w:i/>
          <w:lang w:val="en-AU"/>
        </w:rPr>
        <w:t xml:space="preserve"> Innovation and Science (2017)</w:t>
      </w:r>
    </w:p>
    <w:p w14:paraId="7AA1C753" w14:textId="77777777" w:rsidR="00373F4F" w:rsidRPr="00775D97" w:rsidRDefault="00373F4F" w:rsidP="000601EC">
      <w:pPr>
        <w:spacing w:before="360" w:after="240"/>
        <w:ind w:left="720" w:right="856"/>
        <w:jc w:val="both"/>
        <w:rPr>
          <w:rFonts w:asciiTheme="majorHAnsi" w:hAnsiTheme="majorHAnsi" w:cstheme="majorHAnsi"/>
          <w:lang w:val="en-AU"/>
        </w:rPr>
      </w:pPr>
      <w:r w:rsidRPr="00C30585">
        <w:rPr>
          <w:rStyle w:val="Emphasis"/>
          <w:rFonts w:asciiTheme="majorHAnsi" w:hAnsiTheme="majorHAnsi"/>
        </w:rPr>
        <w:t>I believe AISRF is all about forging collaborations between Australia and India, to have impact on dual economies for long-term benefit. I feel as though AISRF projects are aimed at establishing important areas and focus. It’s not just blue-sky research. It aims to develop solid outcomes.</w:t>
      </w:r>
      <w:r w:rsidRPr="00775D97">
        <w:rPr>
          <w:rFonts w:asciiTheme="majorHAnsi" w:hAnsiTheme="majorHAnsi" w:cstheme="majorHAnsi"/>
          <w:lang w:val="en-AU"/>
        </w:rPr>
        <w:t xml:space="preserve"> (General stakeholder / panel member)</w:t>
      </w:r>
    </w:p>
    <w:p w14:paraId="2B68AEFE" w14:textId="77777777" w:rsidR="00373F4F" w:rsidRDefault="00373F4F" w:rsidP="00373F4F">
      <w:pPr>
        <w:spacing w:line="276" w:lineRule="auto"/>
        <w:jc w:val="both"/>
        <w:rPr>
          <w:rFonts w:asciiTheme="majorHAnsi" w:hAnsiTheme="majorHAnsi" w:cstheme="majorHAnsi"/>
          <w:lang w:val="en-AU"/>
        </w:rPr>
      </w:pPr>
      <w:r w:rsidRPr="00775D97">
        <w:rPr>
          <w:rFonts w:asciiTheme="majorHAnsi" w:hAnsiTheme="majorHAnsi" w:cstheme="majorHAnsi"/>
          <w:lang w:val="en-AU"/>
        </w:rPr>
        <w:t xml:space="preserve">Science and commercialisation are essential for increasing Australia’s productivity. They enhance the quality and effectiveness of Australia’s knowledge and technology base, leading to globally competitive industries. International science and innovation partnerships extend Australia’s research and development output and impact. They open access to world-leading expertise, infrastructure, markets, investment and funding programs. Through strong international partnerships, Australian researchers are able to </w:t>
      </w:r>
      <w:r>
        <w:rPr>
          <w:rFonts w:asciiTheme="majorHAnsi" w:hAnsiTheme="majorHAnsi" w:cstheme="majorHAnsi"/>
          <w:lang w:val="en-AU"/>
        </w:rPr>
        <w:t xml:space="preserve">enhance </w:t>
      </w:r>
      <w:r w:rsidRPr="00775D97">
        <w:rPr>
          <w:rFonts w:asciiTheme="majorHAnsi" w:hAnsiTheme="majorHAnsi" w:cstheme="majorHAnsi"/>
          <w:lang w:val="en-AU"/>
        </w:rPr>
        <w:t>their skills, experience and opportunities</w:t>
      </w:r>
      <w:r>
        <w:rPr>
          <w:rFonts w:asciiTheme="majorHAnsi" w:hAnsiTheme="majorHAnsi" w:cstheme="majorHAnsi"/>
          <w:lang w:val="en-AU"/>
        </w:rPr>
        <w:t>.</w:t>
      </w:r>
    </w:p>
    <w:p w14:paraId="6A0E1938" w14:textId="77777777" w:rsidR="00373F4F" w:rsidRPr="00775D97" w:rsidRDefault="00373F4F" w:rsidP="00373F4F">
      <w:pPr>
        <w:spacing w:line="276" w:lineRule="auto"/>
        <w:jc w:val="both"/>
        <w:rPr>
          <w:rFonts w:asciiTheme="majorHAnsi" w:hAnsiTheme="majorHAnsi" w:cstheme="majorHAnsi"/>
          <w:lang w:val="en-AU"/>
        </w:rPr>
      </w:pPr>
      <w:r w:rsidRPr="00EA7941">
        <w:rPr>
          <w:rFonts w:asciiTheme="majorHAnsi" w:hAnsiTheme="majorHAnsi" w:cstheme="majorHAnsi"/>
          <w:lang w:val="en-AU"/>
        </w:rPr>
        <w:t>Leveraging Australian Government investments in science and commercialisation activities (both financial and intellectual) internationally supports a dynamic Australian innovation system. The Department of Industry, Innovation and Science (DIIS) is responsible for promoting increased collaboration between Australian researchers and those in other countries. The AISRF helps Australian researchers from public and private sectors to collaborate with Indian scientists in leading-edge scientific research projects and workshops. The AISRF is Australia’s largest fund dedicated to bilateral research and one of India’s largest sources of support for international science.</w:t>
      </w:r>
      <w:r w:rsidRPr="00775D97">
        <w:rPr>
          <w:rFonts w:asciiTheme="majorHAnsi" w:hAnsiTheme="majorHAnsi" w:cstheme="majorHAnsi"/>
          <w:lang w:val="en-AU"/>
        </w:rPr>
        <w:t xml:space="preserve"> The objectives of the AISRF are to:</w:t>
      </w:r>
    </w:p>
    <w:p w14:paraId="39EA561B" w14:textId="77777777" w:rsidR="00373F4F" w:rsidRPr="00775D97" w:rsidRDefault="00373F4F" w:rsidP="00373F4F">
      <w:pPr>
        <w:numPr>
          <w:ilvl w:val="0"/>
          <w:numId w:val="7"/>
        </w:numPr>
        <w:spacing w:line="276" w:lineRule="auto"/>
        <w:jc w:val="both"/>
        <w:rPr>
          <w:rFonts w:asciiTheme="majorHAnsi" w:hAnsiTheme="majorHAnsi" w:cstheme="majorHAnsi"/>
          <w:lang w:val="en-AU"/>
        </w:rPr>
      </w:pPr>
      <w:r w:rsidRPr="00775D97">
        <w:rPr>
          <w:rFonts w:asciiTheme="majorHAnsi" w:hAnsiTheme="majorHAnsi" w:cstheme="majorHAnsi"/>
          <w:lang w:val="en-AU"/>
        </w:rPr>
        <w:t>Increase the uptake of leading</w:t>
      </w:r>
      <w:r>
        <w:rPr>
          <w:rFonts w:asciiTheme="majorHAnsi" w:hAnsiTheme="majorHAnsi" w:cstheme="majorHAnsi"/>
          <w:lang w:val="en-AU"/>
        </w:rPr>
        <w:t>-</w:t>
      </w:r>
      <w:r w:rsidRPr="00775D97">
        <w:rPr>
          <w:rFonts w:asciiTheme="majorHAnsi" w:hAnsiTheme="majorHAnsi" w:cstheme="majorHAnsi"/>
          <w:lang w:val="en-AU"/>
        </w:rPr>
        <w:t>edge science and technology (S&amp;T) by supporting:</w:t>
      </w:r>
    </w:p>
    <w:p w14:paraId="6DF61EB3" w14:textId="77777777" w:rsidR="00373F4F" w:rsidRPr="00775D97" w:rsidRDefault="00373F4F" w:rsidP="00373F4F">
      <w:pPr>
        <w:pStyle w:val="ListParagraph"/>
        <w:numPr>
          <w:ilvl w:val="0"/>
          <w:numId w:val="8"/>
        </w:numPr>
        <w:spacing w:line="276" w:lineRule="auto"/>
        <w:jc w:val="both"/>
        <w:rPr>
          <w:rFonts w:asciiTheme="majorHAnsi" w:hAnsiTheme="majorHAnsi" w:cstheme="majorHAnsi"/>
          <w:lang w:val="en-AU"/>
        </w:rPr>
      </w:pPr>
      <w:r w:rsidRPr="00775D97">
        <w:rPr>
          <w:rFonts w:asciiTheme="majorHAnsi" w:hAnsiTheme="majorHAnsi" w:cstheme="majorHAnsi"/>
          <w:lang w:val="en-AU"/>
        </w:rPr>
        <w:t>collaboration between Australian and Indian researchers in strategically focused, leading</w:t>
      </w:r>
      <w:r>
        <w:rPr>
          <w:rFonts w:asciiTheme="majorHAnsi" w:hAnsiTheme="majorHAnsi" w:cstheme="majorHAnsi"/>
          <w:lang w:val="en-AU"/>
        </w:rPr>
        <w:t>-</w:t>
      </w:r>
      <w:r w:rsidRPr="00775D97">
        <w:rPr>
          <w:rFonts w:asciiTheme="majorHAnsi" w:hAnsiTheme="majorHAnsi" w:cstheme="majorHAnsi"/>
          <w:lang w:val="en-AU"/>
        </w:rPr>
        <w:t>edge scientific research and technology projects; and</w:t>
      </w:r>
    </w:p>
    <w:p w14:paraId="1604B184" w14:textId="77777777" w:rsidR="00373F4F" w:rsidRPr="00775D97" w:rsidRDefault="00373F4F" w:rsidP="00373F4F">
      <w:pPr>
        <w:pStyle w:val="ListParagraph"/>
        <w:numPr>
          <w:ilvl w:val="0"/>
          <w:numId w:val="8"/>
        </w:numPr>
        <w:spacing w:line="276" w:lineRule="auto"/>
        <w:jc w:val="both"/>
        <w:rPr>
          <w:rFonts w:asciiTheme="majorHAnsi" w:hAnsiTheme="majorHAnsi" w:cstheme="majorHAnsi"/>
          <w:lang w:val="en-AU"/>
        </w:rPr>
      </w:pPr>
      <w:r w:rsidRPr="00775D97">
        <w:rPr>
          <w:rFonts w:asciiTheme="majorHAnsi" w:hAnsiTheme="majorHAnsi" w:cstheme="majorHAnsi"/>
          <w:lang w:val="en-AU"/>
        </w:rPr>
        <w:t>strengthening strategic alliances between Australian and Indian researchers;</w:t>
      </w:r>
    </w:p>
    <w:p w14:paraId="4D1ACB6D" w14:textId="77777777" w:rsidR="00373F4F" w:rsidRPr="00775D97" w:rsidRDefault="00373F4F" w:rsidP="00373F4F">
      <w:pPr>
        <w:numPr>
          <w:ilvl w:val="0"/>
          <w:numId w:val="7"/>
        </w:numPr>
        <w:spacing w:line="276" w:lineRule="auto"/>
        <w:jc w:val="both"/>
        <w:rPr>
          <w:rFonts w:asciiTheme="majorHAnsi" w:hAnsiTheme="majorHAnsi" w:cstheme="majorHAnsi"/>
          <w:lang w:val="en-AU"/>
        </w:rPr>
      </w:pPr>
      <w:r w:rsidRPr="00775D97">
        <w:rPr>
          <w:rFonts w:asciiTheme="majorHAnsi" w:hAnsiTheme="majorHAnsi" w:cstheme="majorHAnsi"/>
          <w:lang w:val="en-AU"/>
        </w:rPr>
        <w:t>Facilitate Australia’s and India’s access to the global S&amp;T system.</w:t>
      </w:r>
    </w:p>
    <w:p w14:paraId="17FAF076" w14:textId="77777777" w:rsidR="00373F4F" w:rsidRPr="00775D97" w:rsidRDefault="00373F4F" w:rsidP="00373F4F">
      <w:pPr>
        <w:spacing w:line="276" w:lineRule="auto"/>
        <w:jc w:val="both"/>
        <w:rPr>
          <w:rFonts w:asciiTheme="majorHAnsi" w:hAnsiTheme="majorHAnsi" w:cstheme="majorHAnsi"/>
          <w:lang w:val="en-AU"/>
        </w:rPr>
      </w:pPr>
      <w:r w:rsidRPr="00775D97">
        <w:rPr>
          <w:rFonts w:asciiTheme="majorHAnsi" w:hAnsiTheme="majorHAnsi" w:cstheme="majorHAnsi"/>
          <w:lang w:val="en-AU"/>
        </w:rPr>
        <w:lastRenderedPageBreak/>
        <w:t>In August 2017, DIIS commissioned Social Compass to undertake an evaluation of the AISRF to assess the program’s effectiveness, efficiency and impact for the period 2013</w:t>
      </w:r>
      <w:r>
        <w:rPr>
          <w:rFonts w:asciiTheme="majorHAnsi" w:hAnsiTheme="majorHAnsi" w:cstheme="majorHAnsi"/>
          <w:lang w:val="en-AU"/>
        </w:rPr>
        <w:t xml:space="preserve"> to </w:t>
      </w:r>
      <w:r w:rsidRPr="00775D97">
        <w:rPr>
          <w:rFonts w:asciiTheme="majorHAnsi" w:hAnsiTheme="majorHAnsi" w:cstheme="majorHAnsi"/>
          <w:lang w:val="en-AU"/>
        </w:rPr>
        <w:t>2017 inclusive. The evaluation covers all AISRF funding arrangements and grants awarded from 2013</w:t>
      </w:r>
      <w:r>
        <w:rPr>
          <w:rFonts w:asciiTheme="majorHAnsi" w:hAnsiTheme="majorHAnsi" w:cstheme="majorHAnsi"/>
          <w:lang w:val="en-AU"/>
        </w:rPr>
        <w:t xml:space="preserve"> to </w:t>
      </w:r>
      <w:r w:rsidRPr="00775D97">
        <w:rPr>
          <w:rFonts w:asciiTheme="majorHAnsi" w:hAnsiTheme="majorHAnsi" w:cstheme="majorHAnsi"/>
          <w:lang w:val="en-AU"/>
        </w:rPr>
        <w:t xml:space="preserve">2017, with a primary focus on the </w:t>
      </w:r>
      <w:r>
        <w:rPr>
          <w:rFonts w:asciiTheme="majorHAnsi" w:hAnsiTheme="majorHAnsi" w:cstheme="majorHAnsi"/>
          <w:lang w:val="en-AU"/>
        </w:rPr>
        <w:t>DIIS administered</w:t>
      </w:r>
      <w:r w:rsidRPr="00775D97">
        <w:rPr>
          <w:rFonts w:asciiTheme="majorHAnsi" w:hAnsiTheme="majorHAnsi" w:cstheme="majorHAnsi"/>
          <w:lang w:val="en-AU"/>
        </w:rPr>
        <w:t xml:space="preserve"> project components of the AISRF. This includes grants awarded under Rounds 7 to 10 of the AISRF’s Science &amp; Technology Fund and Biotechnology Fund and Round 2 of the Grand Challenge Fund. </w:t>
      </w:r>
    </w:p>
    <w:p w14:paraId="1F8B50EF" w14:textId="6B6926E5" w:rsidR="009E26BC" w:rsidRPr="00775D97" w:rsidRDefault="00373F4F" w:rsidP="000601EC">
      <w:pPr>
        <w:spacing w:line="276" w:lineRule="auto"/>
        <w:jc w:val="both"/>
        <w:rPr>
          <w:rFonts w:asciiTheme="majorHAnsi" w:hAnsiTheme="majorHAnsi" w:cstheme="majorHAnsi"/>
          <w:lang w:val="en-AU"/>
        </w:rPr>
      </w:pPr>
      <w:r w:rsidRPr="00775D97">
        <w:rPr>
          <w:rFonts w:asciiTheme="majorHAnsi" w:hAnsiTheme="majorHAnsi" w:cstheme="majorHAnsi"/>
          <w:lang w:val="en-AU"/>
        </w:rPr>
        <w:t>The Department’s Statement of Requirement require</w:t>
      </w:r>
      <w:r>
        <w:rPr>
          <w:rFonts w:asciiTheme="majorHAnsi" w:hAnsiTheme="majorHAnsi" w:cstheme="majorHAnsi"/>
          <w:lang w:val="en-AU"/>
        </w:rPr>
        <w:t>d</w:t>
      </w:r>
      <w:r w:rsidRPr="00775D97">
        <w:rPr>
          <w:rFonts w:asciiTheme="majorHAnsi" w:hAnsiTheme="majorHAnsi" w:cstheme="majorHAnsi"/>
          <w:lang w:val="en-AU"/>
        </w:rPr>
        <w:t xml:space="preserve"> a comprehensive evaluation of the AISRF to b</w:t>
      </w:r>
      <w:r>
        <w:rPr>
          <w:rFonts w:asciiTheme="majorHAnsi" w:hAnsiTheme="majorHAnsi" w:cstheme="majorHAnsi"/>
          <w:lang w:val="en-AU"/>
        </w:rPr>
        <w:t>e</w:t>
      </w:r>
      <w:r w:rsidRPr="00775D97">
        <w:rPr>
          <w:rFonts w:asciiTheme="majorHAnsi" w:hAnsiTheme="majorHAnsi" w:cstheme="majorHAnsi"/>
          <w:lang w:val="en-AU"/>
        </w:rPr>
        <w:t xml:space="preserve"> undertaken against the criteria of appropriateness, effectiveness, efficiency, integration, performance assessment and strategic policy alignment</w:t>
      </w:r>
      <w:r>
        <w:rPr>
          <w:rFonts w:asciiTheme="majorHAnsi" w:hAnsiTheme="majorHAnsi" w:cstheme="majorHAnsi"/>
          <w:lang w:val="en-AU"/>
        </w:rPr>
        <w:t xml:space="preserve">. </w:t>
      </w:r>
      <w:r w:rsidRPr="00EA7941">
        <w:rPr>
          <w:rFonts w:asciiTheme="majorHAnsi" w:hAnsiTheme="majorHAnsi" w:cstheme="majorHAnsi"/>
          <w:lang w:val="en-AU"/>
        </w:rPr>
        <w:t>Social Compass developed a mixed-methods approach that incorporate</w:t>
      </w:r>
      <w:r>
        <w:rPr>
          <w:rFonts w:asciiTheme="majorHAnsi" w:hAnsiTheme="majorHAnsi" w:cstheme="majorHAnsi"/>
          <w:lang w:val="en-AU"/>
        </w:rPr>
        <w:t>d</w:t>
      </w:r>
      <w:r w:rsidRPr="00EA7941">
        <w:rPr>
          <w:rFonts w:asciiTheme="majorHAnsi" w:hAnsiTheme="majorHAnsi" w:cstheme="majorHAnsi"/>
          <w:lang w:val="en-AU"/>
        </w:rPr>
        <w:t xml:space="preserve"> qualitative and quantitative data collection from a range of sources designed to best address the evaluation questions. Three key methods were utilised: </w:t>
      </w:r>
      <w:r>
        <w:rPr>
          <w:rFonts w:asciiTheme="majorHAnsi" w:hAnsiTheme="majorHAnsi" w:cstheme="majorHAnsi"/>
          <w:lang w:val="en-AU"/>
        </w:rPr>
        <w:t>d</w:t>
      </w:r>
      <w:r w:rsidRPr="00EA7941">
        <w:rPr>
          <w:rFonts w:asciiTheme="majorHAnsi" w:hAnsiTheme="majorHAnsi" w:cstheme="majorHAnsi"/>
          <w:lang w:val="en-AU"/>
        </w:rPr>
        <w:t>ocument review; on-line survey; and stakeholder interviews.</w:t>
      </w:r>
      <w:r>
        <w:rPr>
          <w:rFonts w:asciiTheme="majorHAnsi" w:hAnsiTheme="majorHAnsi" w:cstheme="majorHAnsi"/>
          <w:lang w:val="en-AU"/>
        </w:rPr>
        <w:t xml:space="preserve"> Key findings and recommendations arising from the triangulation of these methods are as follows.</w:t>
      </w:r>
    </w:p>
    <w:p w14:paraId="366DF6E5" w14:textId="77777777" w:rsidR="00AC6BB1" w:rsidRPr="00775D97" w:rsidRDefault="006E0750" w:rsidP="006E0750">
      <w:pPr>
        <w:pStyle w:val="Heading2"/>
        <w:rPr>
          <w:lang w:val="en-AU"/>
        </w:rPr>
      </w:pPr>
      <w:bookmarkStart w:id="1" w:name="_Toc517863587"/>
      <w:r>
        <w:rPr>
          <w:lang w:val="en-AU"/>
        </w:rPr>
        <w:t>Key findings</w:t>
      </w:r>
      <w:bookmarkEnd w:id="1"/>
    </w:p>
    <w:tbl>
      <w:tblPr>
        <w:tblStyle w:val="TableGrid"/>
        <w:tblW w:w="0" w:type="auto"/>
        <w:tblLook w:val="04A0" w:firstRow="1" w:lastRow="0" w:firstColumn="1" w:lastColumn="0" w:noHBand="0" w:noVBand="1"/>
        <w:tblCaption w:val="Table 1"/>
        <w:tblDescription w:val="This table lists findings for the criteria of Appropriateness"/>
      </w:tblPr>
      <w:tblGrid>
        <w:gridCol w:w="704"/>
        <w:gridCol w:w="8646"/>
      </w:tblGrid>
      <w:tr w:rsidR="00C37CDD" w:rsidRPr="00775D97" w14:paraId="366DF6E8" w14:textId="77777777" w:rsidTr="00B64034">
        <w:trPr>
          <w:tblHeader/>
        </w:trPr>
        <w:tc>
          <w:tcPr>
            <w:tcW w:w="704" w:type="dxa"/>
            <w:shd w:val="clear" w:color="auto" w:fill="FFC000"/>
          </w:tcPr>
          <w:p w14:paraId="366DF6E6" w14:textId="77777777" w:rsidR="00C37CDD" w:rsidRPr="00775D97" w:rsidRDefault="00C37CDD" w:rsidP="0049015F">
            <w:pPr>
              <w:pStyle w:val="DHHSbody"/>
              <w:rPr>
                <w:rFonts w:asciiTheme="majorHAnsi" w:hAnsiTheme="majorHAnsi" w:cstheme="majorHAnsi"/>
                <w:b/>
              </w:rPr>
            </w:pPr>
            <w:r w:rsidRPr="00775D97">
              <w:rPr>
                <w:rFonts w:asciiTheme="majorHAnsi" w:hAnsiTheme="majorHAnsi" w:cstheme="majorHAnsi"/>
                <w:b/>
              </w:rPr>
              <w:t>1</w:t>
            </w:r>
          </w:p>
        </w:tc>
        <w:tc>
          <w:tcPr>
            <w:tcW w:w="8646" w:type="dxa"/>
            <w:shd w:val="clear" w:color="auto" w:fill="FFC000"/>
          </w:tcPr>
          <w:p w14:paraId="366DF6E7" w14:textId="77777777" w:rsidR="00C37CDD" w:rsidRPr="00775D97" w:rsidRDefault="00C37CDD" w:rsidP="0049015F">
            <w:pPr>
              <w:pStyle w:val="DHHSbody"/>
              <w:rPr>
                <w:rFonts w:asciiTheme="majorHAnsi" w:hAnsiTheme="majorHAnsi" w:cstheme="majorHAnsi"/>
                <w:b/>
              </w:rPr>
            </w:pPr>
            <w:r w:rsidRPr="00775D97">
              <w:rPr>
                <w:rFonts w:asciiTheme="majorHAnsi" w:hAnsiTheme="majorHAnsi" w:cstheme="majorHAnsi"/>
                <w:b/>
                <w:i/>
              </w:rPr>
              <w:t>Appropriateness</w:t>
            </w:r>
          </w:p>
        </w:tc>
      </w:tr>
      <w:tr w:rsidR="008D0A90" w:rsidRPr="00775D97" w14:paraId="366DF6EB" w14:textId="77777777" w:rsidTr="00C37CDD">
        <w:tc>
          <w:tcPr>
            <w:tcW w:w="704" w:type="dxa"/>
          </w:tcPr>
          <w:p w14:paraId="366DF6E9" w14:textId="77777777" w:rsidR="008D0A90" w:rsidRPr="00775D97" w:rsidRDefault="008D0A90" w:rsidP="008D0A90">
            <w:pPr>
              <w:pStyle w:val="DHHSbody"/>
              <w:rPr>
                <w:rFonts w:asciiTheme="majorHAnsi" w:hAnsiTheme="majorHAnsi" w:cstheme="majorHAnsi"/>
              </w:rPr>
            </w:pPr>
            <w:r w:rsidRPr="00775D97">
              <w:rPr>
                <w:rFonts w:asciiTheme="majorHAnsi" w:hAnsiTheme="majorHAnsi" w:cstheme="majorHAnsi"/>
              </w:rPr>
              <w:t>1.1</w:t>
            </w:r>
          </w:p>
        </w:tc>
        <w:tc>
          <w:tcPr>
            <w:tcW w:w="8646" w:type="dxa"/>
          </w:tcPr>
          <w:p w14:paraId="366DF6EA" w14:textId="77777777" w:rsidR="008D0A90" w:rsidRPr="00775D97" w:rsidRDefault="008D0A90" w:rsidP="00854702">
            <w:pPr>
              <w:pStyle w:val="DHHSbody"/>
              <w:rPr>
                <w:rFonts w:asciiTheme="majorHAnsi" w:hAnsiTheme="majorHAnsi" w:cstheme="majorHAnsi"/>
              </w:rPr>
            </w:pPr>
            <w:r w:rsidRPr="00775D97">
              <w:rPr>
                <w:rFonts w:asciiTheme="majorHAnsi" w:hAnsiTheme="majorHAnsi" w:cstheme="majorHAnsi"/>
              </w:rPr>
              <w:t>The original strategic policy objectives of the AISRF are still relevant</w:t>
            </w:r>
            <w:r w:rsidR="00854702">
              <w:rPr>
                <w:rFonts w:asciiTheme="majorHAnsi" w:hAnsiTheme="majorHAnsi" w:cstheme="majorHAnsi"/>
              </w:rPr>
              <w:t xml:space="preserve"> and should be retained as its core focus. H</w:t>
            </w:r>
            <w:r w:rsidRPr="00775D97">
              <w:rPr>
                <w:rFonts w:asciiTheme="majorHAnsi" w:hAnsiTheme="majorHAnsi" w:cstheme="majorHAnsi"/>
              </w:rPr>
              <w:t>owever</w:t>
            </w:r>
            <w:r w:rsidR="00854702">
              <w:rPr>
                <w:rFonts w:asciiTheme="majorHAnsi" w:hAnsiTheme="majorHAnsi" w:cstheme="majorHAnsi"/>
              </w:rPr>
              <w:t>, the value of</w:t>
            </w:r>
            <w:r w:rsidRPr="00775D97">
              <w:rPr>
                <w:rFonts w:asciiTheme="majorHAnsi" w:hAnsiTheme="majorHAnsi" w:cstheme="majorHAnsi"/>
              </w:rPr>
              <w:t xml:space="preserve"> </w:t>
            </w:r>
            <w:r w:rsidRPr="00CC7350">
              <w:rPr>
                <w:rFonts w:asciiTheme="majorHAnsi" w:hAnsiTheme="majorHAnsi" w:cstheme="majorHAnsi"/>
              </w:rPr>
              <w:t>engagement with business and commercialisation</w:t>
            </w:r>
            <w:r w:rsidR="00354D56">
              <w:rPr>
                <w:rFonts w:asciiTheme="majorHAnsi" w:hAnsiTheme="majorHAnsi" w:cstheme="majorHAnsi"/>
              </w:rPr>
              <w:t>,</w:t>
            </w:r>
            <w:r w:rsidRPr="00CC7350">
              <w:rPr>
                <w:rFonts w:asciiTheme="majorHAnsi" w:hAnsiTheme="majorHAnsi" w:cstheme="majorHAnsi"/>
              </w:rPr>
              <w:t xml:space="preserve"> as well as acknowledging the diplomatic benefits of the fund</w:t>
            </w:r>
            <w:r w:rsidR="00354D56">
              <w:rPr>
                <w:rFonts w:asciiTheme="majorHAnsi" w:hAnsiTheme="majorHAnsi" w:cstheme="majorHAnsi"/>
              </w:rPr>
              <w:t>,</w:t>
            </w:r>
            <w:r w:rsidRPr="00CC7350">
              <w:rPr>
                <w:rFonts w:asciiTheme="majorHAnsi" w:hAnsiTheme="majorHAnsi" w:cstheme="majorHAnsi"/>
              </w:rPr>
              <w:t xml:space="preserve"> could be more clearly articulated</w:t>
            </w:r>
            <w:r w:rsidR="00354D56">
              <w:rPr>
                <w:rFonts w:asciiTheme="majorHAnsi" w:hAnsiTheme="majorHAnsi" w:cstheme="majorHAnsi"/>
              </w:rPr>
              <w:t>.</w:t>
            </w:r>
          </w:p>
        </w:tc>
      </w:tr>
      <w:tr w:rsidR="008C35EC" w:rsidRPr="00775D97" w14:paraId="366DF6EE" w14:textId="77777777" w:rsidTr="00C37CDD">
        <w:tc>
          <w:tcPr>
            <w:tcW w:w="704" w:type="dxa"/>
          </w:tcPr>
          <w:p w14:paraId="366DF6EC" w14:textId="77777777" w:rsidR="008C35EC" w:rsidRPr="00775D97" w:rsidRDefault="008C35EC" w:rsidP="008C35EC">
            <w:pPr>
              <w:pStyle w:val="DHHSbody"/>
              <w:rPr>
                <w:rFonts w:asciiTheme="majorHAnsi" w:hAnsiTheme="majorHAnsi" w:cstheme="majorHAnsi"/>
              </w:rPr>
            </w:pPr>
            <w:r w:rsidRPr="00775D97">
              <w:rPr>
                <w:rFonts w:asciiTheme="majorHAnsi" w:hAnsiTheme="majorHAnsi" w:cstheme="majorHAnsi"/>
              </w:rPr>
              <w:t>1.2</w:t>
            </w:r>
          </w:p>
        </w:tc>
        <w:tc>
          <w:tcPr>
            <w:tcW w:w="8646" w:type="dxa"/>
          </w:tcPr>
          <w:p w14:paraId="366DF6ED" w14:textId="77777777" w:rsidR="008C35EC" w:rsidRPr="00775D97" w:rsidRDefault="008C35EC" w:rsidP="008C35EC">
            <w:pPr>
              <w:pStyle w:val="DHHSbody"/>
              <w:rPr>
                <w:rFonts w:asciiTheme="majorHAnsi" w:hAnsiTheme="majorHAnsi" w:cstheme="majorHAnsi"/>
              </w:rPr>
            </w:pPr>
            <w:r>
              <w:rPr>
                <w:rFonts w:asciiTheme="majorHAnsi" w:hAnsiTheme="majorHAnsi" w:cstheme="majorHAnsi"/>
              </w:rPr>
              <w:t>In the context of Australia’s commitment to science collaboration as underpinning Australia’s future prosperity, and the increasing diplomatic importance of the Australia</w:t>
            </w:r>
            <w:r w:rsidR="008041F4">
              <w:rPr>
                <w:rFonts w:asciiTheme="majorHAnsi" w:hAnsiTheme="majorHAnsi" w:cstheme="majorHAnsi"/>
              </w:rPr>
              <w:t>-</w:t>
            </w:r>
            <w:r>
              <w:rPr>
                <w:rFonts w:asciiTheme="majorHAnsi" w:hAnsiTheme="majorHAnsi" w:cstheme="majorHAnsi"/>
              </w:rPr>
              <w:t>India relationship, there</w:t>
            </w:r>
            <w:r w:rsidRPr="00775D97">
              <w:rPr>
                <w:rFonts w:asciiTheme="majorHAnsi" w:hAnsiTheme="majorHAnsi" w:cstheme="majorHAnsi"/>
              </w:rPr>
              <w:t xml:space="preserve"> is a </w:t>
            </w:r>
            <w:r>
              <w:rPr>
                <w:rFonts w:asciiTheme="majorHAnsi" w:hAnsiTheme="majorHAnsi" w:cstheme="majorHAnsi"/>
              </w:rPr>
              <w:t>demonstrated need for the AISRF.</w:t>
            </w:r>
          </w:p>
        </w:tc>
      </w:tr>
      <w:tr w:rsidR="00C37CDD" w:rsidRPr="00775D97" w14:paraId="366DF6F1" w14:textId="77777777" w:rsidTr="00C37CDD">
        <w:tc>
          <w:tcPr>
            <w:tcW w:w="704" w:type="dxa"/>
          </w:tcPr>
          <w:p w14:paraId="366DF6EF" w14:textId="77777777" w:rsidR="00C37CDD" w:rsidRPr="00775D97" w:rsidRDefault="00C37CDD" w:rsidP="0049015F">
            <w:pPr>
              <w:pStyle w:val="DHHSbody"/>
              <w:rPr>
                <w:rFonts w:asciiTheme="majorHAnsi" w:hAnsiTheme="majorHAnsi" w:cstheme="majorHAnsi"/>
              </w:rPr>
            </w:pPr>
            <w:r w:rsidRPr="00775D97">
              <w:rPr>
                <w:rFonts w:asciiTheme="majorHAnsi" w:hAnsiTheme="majorHAnsi" w:cstheme="majorHAnsi"/>
              </w:rPr>
              <w:t>1.3</w:t>
            </w:r>
          </w:p>
        </w:tc>
        <w:tc>
          <w:tcPr>
            <w:tcW w:w="8646" w:type="dxa"/>
          </w:tcPr>
          <w:p w14:paraId="366DF6F0" w14:textId="77777777" w:rsidR="00C37CDD" w:rsidRPr="00775D97" w:rsidRDefault="00E86023" w:rsidP="005B48AC">
            <w:pPr>
              <w:pStyle w:val="DHHSbody"/>
              <w:rPr>
                <w:rFonts w:asciiTheme="majorHAnsi" w:hAnsiTheme="majorHAnsi" w:cstheme="majorHAnsi"/>
              </w:rPr>
            </w:pPr>
            <w:r>
              <w:rPr>
                <w:rFonts w:asciiTheme="majorHAnsi" w:hAnsiTheme="majorHAnsi" w:cstheme="majorHAnsi"/>
              </w:rPr>
              <w:t>Consistent with 2013 evaluation findings, t</w:t>
            </w:r>
            <w:r w:rsidRPr="00775D97">
              <w:rPr>
                <w:rFonts w:asciiTheme="majorHAnsi" w:hAnsiTheme="majorHAnsi" w:cstheme="majorHAnsi"/>
              </w:rPr>
              <w:t xml:space="preserve">he </w:t>
            </w:r>
            <w:r w:rsidR="008D0A90" w:rsidRPr="008D0A90">
              <w:rPr>
                <w:rFonts w:asciiTheme="majorHAnsi" w:hAnsiTheme="majorHAnsi" w:cstheme="majorHAnsi"/>
              </w:rPr>
              <w:t xml:space="preserve">activity is being undertaken by the most appropriate level of government, the Department of Industry, Innovation, and Science (DIIS). The two teams currently responsible (International Science Collaboration team, and </w:t>
            </w:r>
            <w:proofErr w:type="spellStart"/>
            <w:r w:rsidR="008D0A90" w:rsidRPr="008D0A90">
              <w:rPr>
                <w:rFonts w:asciiTheme="majorHAnsi" w:hAnsiTheme="majorHAnsi" w:cstheme="majorHAnsi"/>
              </w:rPr>
              <w:t>AusIndustry</w:t>
            </w:r>
            <w:proofErr w:type="spellEnd"/>
            <w:r w:rsidR="008D0A90" w:rsidRPr="008D0A90">
              <w:rPr>
                <w:rFonts w:asciiTheme="majorHAnsi" w:hAnsiTheme="majorHAnsi" w:cstheme="majorHAnsi"/>
              </w:rPr>
              <w:t xml:space="preserve">) have good reputations with </w:t>
            </w:r>
            <w:r w:rsidR="003C3F2E">
              <w:rPr>
                <w:rFonts w:asciiTheme="majorHAnsi" w:hAnsiTheme="majorHAnsi" w:cstheme="majorHAnsi"/>
              </w:rPr>
              <w:t xml:space="preserve">their stakeholders </w:t>
            </w:r>
            <w:r w:rsidR="00854702">
              <w:rPr>
                <w:rFonts w:asciiTheme="majorHAnsi" w:hAnsiTheme="majorHAnsi" w:cstheme="majorHAnsi"/>
              </w:rPr>
              <w:t xml:space="preserve">and </w:t>
            </w:r>
            <w:r w:rsidR="007157A9">
              <w:rPr>
                <w:rFonts w:asciiTheme="majorHAnsi" w:hAnsiTheme="majorHAnsi" w:cstheme="majorHAnsi"/>
              </w:rPr>
              <w:t xml:space="preserve">they </w:t>
            </w:r>
            <w:r w:rsidR="00854702">
              <w:rPr>
                <w:rFonts w:asciiTheme="majorHAnsi" w:hAnsiTheme="majorHAnsi" w:cstheme="majorHAnsi"/>
              </w:rPr>
              <w:t xml:space="preserve">have collaborated closely in the </w:t>
            </w:r>
            <w:r w:rsidR="00B70E96">
              <w:rPr>
                <w:rFonts w:asciiTheme="majorHAnsi" w:hAnsiTheme="majorHAnsi" w:cstheme="majorHAnsi"/>
              </w:rPr>
              <w:t xml:space="preserve">transition of program administration to </w:t>
            </w:r>
            <w:proofErr w:type="spellStart"/>
            <w:r w:rsidR="00B70E96">
              <w:rPr>
                <w:rFonts w:asciiTheme="majorHAnsi" w:hAnsiTheme="majorHAnsi" w:cstheme="majorHAnsi"/>
              </w:rPr>
              <w:t>AusIndustry</w:t>
            </w:r>
            <w:proofErr w:type="spellEnd"/>
            <w:r w:rsidR="00B70E96">
              <w:rPr>
                <w:rFonts w:asciiTheme="majorHAnsi" w:hAnsiTheme="majorHAnsi" w:cstheme="majorHAnsi"/>
              </w:rPr>
              <w:t>. This collaboration should continue to ensure utilisation of</w:t>
            </w:r>
            <w:r w:rsidR="007157A9">
              <w:rPr>
                <w:rFonts w:asciiTheme="majorHAnsi" w:hAnsiTheme="majorHAnsi" w:cstheme="majorHAnsi"/>
              </w:rPr>
              <w:t xml:space="preserve"> </w:t>
            </w:r>
            <w:r w:rsidR="008D0A90" w:rsidRPr="008D0A90">
              <w:rPr>
                <w:rFonts w:asciiTheme="majorHAnsi" w:hAnsiTheme="majorHAnsi" w:cstheme="majorHAnsi"/>
              </w:rPr>
              <w:t>the expertise and knowledge of the International Science Collaboration team.</w:t>
            </w:r>
          </w:p>
        </w:tc>
      </w:tr>
    </w:tbl>
    <w:p w14:paraId="366DF6F2" w14:textId="77777777" w:rsidR="00AB7A2C" w:rsidRPr="00775D97" w:rsidRDefault="00AB7A2C" w:rsidP="00B2323D">
      <w:pPr>
        <w:pStyle w:val="DHHSbody"/>
        <w:rPr>
          <w:rFonts w:asciiTheme="majorHAnsi" w:hAnsiTheme="majorHAnsi" w:cstheme="majorHAnsi"/>
          <w:b/>
          <w:i/>
        </w:rPr>
      </w:pPr>
    </w:p>
    <w:tbl>
      <w:tblPr>
        <w:tblStyle w:val="TableGrid"/>
        <w:tblW w:w="0" w:type="auto"/>
        <w:tblLook w:val="04A0" w:firstRow="1" w:lastRow="0" w:firstColumn="1" w:lastColumn="0" w:noHBand="0" w:noVBand="1"/>
        <w:tblCaption w:val="Table 2"/>
        <w:tblDescription w:val="This table lists findings for the criteria of Effectiveness"/>
      </w:tblPr>
      <w:tblGrid>
        <w:gridCol w:w="704"/>
        <w:gridCol w:w="8646"/>
      </w:tblGrid>
      <w:tr w:rsidR="00AB7A2C" w:rsidRPr="00775D97" w14:paraId="366DF6F5" w14:textId="77777777" w:rsidTr="00B64034">
        <w:trPr>
          <w:tblHeader/>
        </w:trPr>
        <w:tc>
          <w:tcPr>
            <w:tcW w:w="704" w:type="dxa"/>
            <w:shd w:val="clear" w:color="auto" w:fill="FFC000"/>
          </w:tcPr>
          <w:p w14:paraId="366DF6F3" w14:textId="77777777" w:rsidR="00AB7A2C" w:rsidRPr="00775D97" w:rsidRDefault="00AB7A2C" w:rsidP="0049015F">
            <w:pPr>
              <w:pStyle w:val="DHHSbody"/>
              <w:rPr>
                <w:rFonts w:asciiTheme="majorHAnsi" w:hAnsiTheme="majorHAnsi" w:cstheme="majorHAnsi"/>
                <w:b/>
              </w:rPr>
            </w:pPr>
            <w:r w:rsidRPr="00775D97">
              <w:rPr>
                <w:rFonts w:asciiTheme="majorHAnsi" w:hAnsiTheme="majorHAnsi" w:cstheme="majorHAnsi"/>
                <w:b/>
              </w:rPr>
              <w:t>2</w:t>
            </w:r>
          </w:p>
        </w:tc>
        <w:tc>
          <w:tcPr>
            <w:tcW w:w="8646" w:type="dxa"/>
            <w:shd w:val="clear" w:color="auto" w:fill="FFC000"/>
          </w:tcPr>
          <w:p w14:paraId="366DF6F4" w14:textId="77777777" w:rsidR="00AB7A2C" w:rsidRPr="00775D97" w:rsidRDefault="00AB7A2C" w:rsidP="0049015F">
            <w:pPr>
              <w:pStyle w:val="DHHSbody"/>
              <w:rPr>
                <w:rFonts w:asciiTheme="majorHAnsi" w:hAnsiTheme="majorHAnsi" w:cstheme="majorHAnsi"/>
                <w:b/>
                <w:i/>
              </w:rPr>
            </w:pPr>
            <w:r w:rsidRPr="00775D97">
              <w:rPr>
                <w:rFonts w:asciiTheme="majorHAnsi" w:hAnsiTheme="majorHAnsi" w:cstheme="majorHAnsi"/>
                <w:b/>
                <w:i/>
              </w:rPr>
              <w:t>Effectiveness</w:t>
            </w:r>
          </w:p>
        </w:tc>
      </w:tr>
      <w:tr w:rsidR="008D0A90" w:rsidRPr="00775D97" w14:paraId="366DF6F8" w14:textId="77777777" w:rsidTr="00AB7A2C">
        <w:tc>
          <w:tcPr>
            <w:tcW w:w="704" w:type="dxa"/>
          </w:tcPr>
          <w:p w14:paraId="366DF6F6" w14:textId="77777777" w:rsidR="008D0A90" w:rsidRPr="00775D97" w:rsidRDefault="008D0A90" w:rsidP="008D0A90">
            <w:pPr>
              <w:pStyle w:val="DHHSbody"/>
              <w:rPr>
                <w:rFonts w:asciiTheme="majorHAnsi" w:hAnsiTheme="majorHAnsi" w:cstheme="majorHAnsi"/>
              </w:rPr>
            </w:pPr>
            <w:r w:rsidRPr="00775D97">
              <w:rPr>
                <w:rFonts w:asciiTheme="majorHAnsi" w:hAnsiTheme="majorHAnsi" w:cstheme="majorHAnsi"/>
              </w:rPr>
              <w:t>2.1</w:t>
            </w:r>
          </w:p>
        </w:tc>
        <w:tc>
          <w:tcPr>
            <w:tcW w:w="8646" w:type="dxa"/>
          </w:tcPr>
          <w:p w14:paraId="366DF6F7" w14:textId="77777777" w:rsidR="008D0A90" w:rsidRPr="00775D97" w:rsidRDefault="008D0A90" w:rsidP="008D0A90">
            <w:pPr>
              <w:pStyle w:val="DHHSbody"/>
              <w:rPr>
                <w:rFonts w:asciiTheme="majorHAnsi" w:hAnsiTheme="majorHAnsi" w:cstheme="majorHAnsi"/>
              </w:rPr>
            </w:pPr>
            <w:r>
              <w:rPr>
                <w:rFonts w:asciiTheme="majorHAnsi" w:hAnsiTheme="majorHAnsi" w:cstheme="majorHAnsi"/>
              </w:rPr>
              <w:t xml:space="preserve">The AISRF is effective in achieving the AISRF objectives. However, </w:t>
            </w:r>
            <w:r w:rsidR="00EF231F" w:rsidRPr="00EF231F">
              <w:rPr>
                <w:rFonts w:asciiTheme="majorHAnsi" w:hAnsiTheme="majorHAnsi" w:cstheme="majorHAnsi"/>
              </w:rPr>
              <w:t>monitoring to ascertain the level to which relevant projects achieve commercialisation outcomes would be useful</w:t>
            </w:r>
            <w:r>
              <w:rPr>
                <w:rFonts w:asciiTheme="majorHAnsi" w:hAnsiTheme="majorHAnsi" w:cstheme="majorHAnsi"/>
              </w:rPr>
              <w:t>.</w:t>
            </w:r>
          </w:p>
        </w:tc>
      </w:tr>
      <w:tr w:rsidR="008D0A90" w:rsidRPr="00775D97" w14:paraId="366DF6FB" w14:textId="77777777" w:rsidTr="00AB7A2C">
        <w:tc>
          <w:tcPr>
            <w:tcW w:w="704" w:type="dxa"/>
          </w:tcPr>
          <w:p w14:paraId="366DF6F9" w14:textId="77777777" w:rsidR="008D0A90" w:rsidRPr="00775D97" w:rsidRDefault="008D0A90" w:rsidP="008D0A90">
            <w:pPr>
              <w:pStyle w:val="DHHSbody"/>
              <w:rPr>
                <w:rFonts w:asciiTheme="majorHAnsi" w:hAnsiTheme="majorHAnsi" w:cstheme="majorHAnsi"/>
              </w:rPr>
            </w:pPr>
            <w:r w:rsidRPr="00775D97">
              <w:rPr>
                <w:rFonts w:asciiTheme="majorHAnsi" w:hAnsiTheme="majorHAnsi" w:cstheme="majorHAnsi"/>
              </w:rPr>
              <w:t>2.2</w:t>
            </w:r>
          </w:p>
        </w:tc>
        <w:tc>
          <w:tcPr>
            <w:tcW w:w="8646" w:type="dxa"/>
          </w:tcPr>
          <w:p w14:paraId="366DF6FA" w14:textId="77777777" w:rsidR="008D0A90" w:rsidRPr="00775D97" w:rsidRDefault="008D0A90" w:rsidP="008D0A90">
            <w:pPr>
              <w:pStyle w:val="DHHSbody"/>
              <w:rPr>
                <w:rFonts w:asciiTheme="majorHAnsi" w:hAnsiTheme="majorHAnsi" w:cstheme="majorHAnsi"/>
              </w:rPr>
            </w:pPr>
            <w:r w:rsidRPr="00775D97">
              <w:rPr>
                <w:rFonts w:asciiTheme="majorHAnsi" w:hAnsiTheme="majorHAnsi" w:cstheme="majorHAnsi"/>
              </w:rPr>
              <w:t xml:space="preserve">The AISRF program has clear and consistent objectives, </w:t>
            </w:r>
            <w:r>
              <w:rPr>
                <w:rFonts w:asciiTheme="majorHAnsi" w:hAnsiTheme="majorHAnsi" w:cstheme="majorHAnsi"/>
              </w:rPr>
              <w:t>however they do not currently include the diplomatic value of the program</w:t>
            </w:r>
            <w:r w:rsidRPr="00775D97">
              <w:rPr>
                <w:rFonts w:asciiTheme="majorHAnsi" w:hAnsiTheme="majorHAnsi" w:cstheme="majorHAnsi"/>
              </w:rPr>
              <w:t>.</w:t>
            </w:r>
          </w:p>
        </w:tc>
      </w:tr>
      <w:tr w:rsidR="008D0A90" w:rsidRPr="00775D97" w14:paraId="366DF6FE" w14:textId="77777777" w:rsidTr="00AB7A2C">
        <w:tc>
          <w:tcPr>
            <w:tcW w:w="704" w:type="dxa"/>
          </w:tcPr>
          <w:p w14:paraId="366DF6FC" w14:textId="77777777" w:rsidR="008D0A90" w:rsidRPr="00775D97" w:rsidRDefault="008D0A90" w:rsidP="008D0A90">
            <w:pPr>
              <w:pStyle w:val="DHHSbody"/>
              <w:rPr>
                <w:rFonts w:asciiTheme="majorHAnsi" w:hAnsiTheme="majorHAnsi" w:cstheme="majorHAnsi"/>
              </w:rPr>
            </w:pPr>
            <w:r w:rsidRPr="00775D97">
              <w:rPr>
                <w:rFonts w:asciiTheme="majorHAnsi" w:hAnsiTheme="majorHAnsi" w:cstheme="majorHAnsi"/>
              </w:rPr>
              <w:t>2.3</w:t>
            </w:r>
          </w:p>
        </w:tc>
        <w:tc>
          <w:tcPr>
            <w:tcW w:w="8646" w:type="dxa"/>
          </w:tcPr>
          <w:p w14:paraId="366DF6FD" w14:textId="77777777" w:rsidR="008D0A90" w:rsidRPr="00775D97" w:rsidRDefault="008D0A90" w:rsidP="008D0A90">
            <w:pPr>
              <w:pStyle w:val="DHHSbody"/>
              <w:rPr>
                <w:rFonts w:asciiTheme="majorHAnsi" w:hAnsiTheme="majorHAnsi" w:cstheme="majorHAnsi"/>
              </w:rPr>
            </w:pPr>
            <w:r w:rsidRPr="00775D97">
              <w:rPr>
                <w:rFonts w:asciiTheme="majorHAnsi" w:hAnsiTheme="majorHAnsi" w:cstheme="majorHAnsi"/>
              </w:rPr>
              <w:t xml:space="preserve">Individual participants are reporting very high rates of satisfaction in </w:t>
            </w:r>
            <w:r>
              <w:rPr>
                <w:rFonts w:asciiTheme="majorHAnsi" w:hAnsiTheme="majorHAnsi" w:cstheme="majorHAnsi"/>
              </w:rPr>
              <w:t xml:space="preserve">both </w:t>
            </w:r>
            <w:r w:rsidRPr="00775D97">
              <w:rPr>
                <w:rFonts w:asciiTheme="majorHAnsi" w:hAnsiTheme="majorHAnsi" w:cstheme="majorHAnsi"/>
              </w:rPr>
              <w:t xml:space="preserve">their professional </w:t>
            </w:r>
            <w:r>
              <w:rPr>
                <w:rFonts w:asciiTheme="majorHAnsi" w:hAnsiTheme="majorHAnsi" w:cstheme="majorHAnsi"/>
              </w:rPr>
              <w:t xml:space="preserve">and personal </w:t>
            </w:r>
            <w:r w:rsidRPr="00775D97">
              <w:rPr>
                <w:rFonts w:asciiTheme="majorHAnsi" w:hAnsiTheme="majorHAnsi" w:cstheme="majorHAnsi"/>
              </w:rPr>
              <w:t xml:space="preserve">development. </w:t>
            </w:r>
          </w:p>
        </w:tc>
      </w:tr>
      <w:tr w:rsidR="008D0A90" w:rsidRPr="00775D97" w14:paraId="366DF701" w14:textId="77777777" w:rsidTr="00AB7A2C">
        <w:tc>
          <w:tcPr>
            <w:tcW w:w="704" w:type="dxa"/>
          </w:tcPr>
          <w:p w14:paraId="366DF6FF" w14:textId="77777777" w:rsidR="008D0A90" w:rsidRPr="00775D97" w:rsidRDefault="008D0A90" w:rsidP="008D0A90">
            <w:pPr>
              <w:pStyle w:val="DHHSbody"/>
              <w:rPr>
                <w:rFonts w:asciiTheme="majorHAnsi" w:hAnsiTheme="majorHAnsi" w:cstheme="majorHAnsi"/>
              </w:rPr>
            </w:pPr>
            <w:r w:rsidRPr="00775D97">
              <w:rPr>
                <w:rFonts w:asciiTheme="majorHAnsi" w:hAnsiTheme="majorHAnsi" w:cstheme="majorHAnsi"/>
              </w:rPr>
              <w:t>2.4</w:t>
            </w:r>
          </w:p>
        </w:tc>
        <w:tc>
          <w:tcPr>
            <w:tcW w:w="8646" w:type="dxa"/>
          </w:tcPr>
          <w:p w14:paraId="366DF700" w14:textId="77777777" w:rsidR="008D0A90" w:rsidRPr="00775D97" w:rsidRDefault="008D0A90" w:rsidP="00306818">
            <w:pPr>
              <w:pStyle w:val="DHHSbody"/>
              <w:rPr>
                <w:rFonts w:asciiTheme="majorHAnsi" w:hAnsiTheme="majorHAnsi" w:cstheme="majorHAnsi"/>
              </w:rPr>
            </w:pPr>
            <w:r w:rsidRPr="00775D97">
              <w:rPr>
                <w:rFonts w:asciiTheme="majorHAnsi" w:hAnsiTheme="majorHAnsi" w:cstheme="majorHAnsi"/>
              </w:rPr>
              <w:t xml:space="preserve">The Australian research sector has gained access to </w:t>
            </w:r>
            <w:r w:rsidR="009E3216">
              <w:rPr>
                <w:rFonts w:asciiTheme="majorHAnsi" w:hAnsiTheme="majorHAnsi" w:cstheme="majorHAnsi"/>
              </w:rPr>
              <w:t>significant</w:t>
            </w:r>
            <w:r w:rsidRPr="00775D97">
              <w:rPr>
                <w:rFonts w:asciiTheme="majorHAnsi" w:hAnsiTheme="majorHAnsi" w:cstheme="majorHAnsi"/>
              </w:rPr>
              <w:t xml:space="preserve"> new research and knowledge</w:t>
            </w:r>
            <w:r>
              <w:rPr>
                <w:rFonts w:asciiTheme="majorHAnsi" w:hAnsiTheme="majorHAnsi" w:cstheme="majorHAnsi"/>
              </w:rPr>
              <w:t>, including important international datasets</w:t>
            </w:r>
            <w:r w:rsidRPr="00775D97">
              <w:rPr>
                <w:rFonts w:asciiTheme="majorHAnsi" w:hAnsiTheme="majorHAnsi" w:cstheme="majorHAnsi"/>
              </w:rPr>
              <w:t xml:space="preserve"> via AISRF projects.</w:t>
            </w:r>
          </w:p>
        </w:tc>
      </w:tr>
      <w:tr w:rsidR="00AB7A2C" w:rsidRPr="00775D97" w14:paraId="366DF704" w14:textId="77777777" w:rsidTr="00AB7A2C">
        <w:tc>
          <w:tcPr>
            <w:tcW w:w="704" w:type="dxa"/>
          </w:tcPr>
          <w:p w14:paraId="366DF702" w14:textId="77777777" w:rsidR="00AB7A2C" w:rsidRPr="00775D97" w:rsidRDefault="00AB7A2C" w:rsidP="0049015F">
            <w:pPr>
              <w:pStyle w:val="DHHSbody"/>
              <w:rPr>
                <w:rFonts w:asciiTheme="majorHAnsi" w:hAnsiTheme="majorHAnsi" w:cstheme="majorHAnsi"/>
              </w:rPr>
            </w:pPr>
            <w:r w:rsidRPr="00775D97">
              <w:rPr>
                <w:rFonts w:asciiTheme="majorHAnsi" w:hAnsiTheme="majorHAnsi" w:cstheme="majorHAnsi"/>
              </w:rPr>
              <w:t>2.5</w:t>
            </w:r>
          </w:p>
        </w:tc>
        <w:tc>
          <w:tcPr>
            <w:tcW w:w="8646" w:type="dxa"/>
          </w:tcPr>
          <w:p w14:paraId="366DF703" w14:textId="77777777" w:rsidR="00AB7A2C" w:rsidRPr="00775D97" w:rsidRDefault="008434E5" w:rsidP="008434E5">
            <w:pPr>
              <w:pStyle w:val="DHHSbody"/>
              <w:rPr>
                <w:rFonts w:asciiTheme="majorHAnsi" w:hAnsiTheme="majorHAnsi" w:cstheme="majorHAnsi"/>
              </w:rPr>
            </w:pPr>
            <w:r>
              <w:rPr>
                <w:rFonts w:asciiTheme="majorHAnsi" w:hAnsiTheme="majorHAnsi" w:cstheme="majorHAnsi"/>
              </w:rPr>
              <w:t>The ongoing b</w:t>
            </w:r>
            <w:r w:rsidR="00AB7A2C" w:rsidRPr="00775D97">
              <w:rPr>
                <w:rFonts w:asciiTheme="majorHAnsi" w:hAnsiTheme="majorHAnsi" w:cstheme="majorHAnsi"/>
              </w:rPr>
              <w:t xml:space="preserve">ilateral relations </w:t>
            </w:r>
            <w:r>
              <w:rPr>
                <w:rFonts w:asciiTheme="majorHAnsi" w:hAnsiTheme="majorHAnsi" w:cstheme="majorHAnsi"/>
              </w:rPr>
              <w:t xml:space="preserve">fostered by the AISRF </w:t>
            </w:r>
            <w:r w:rsidR="00AB7A2C" w:rsidRPr="00775D97">
              <w:rPr>
                <w:rFonts w:asciiTheme="majorHAnsi" w:hAnsiTheme="majorHAnsi" w:cstheme="majorHAnsi"/>
              </w:rPr>
              <w:t xml:space="preserve">have been </w:t>
            </w:r>
            <w:r>
              <w:rPr>
                <w:rFonts w:asciiTheme="majorHAnsi" w:hAnsiTheme="majorHAnsi" w:cstheme="majorHAnsi"/>
              </w:rPr>
              <w:t>consistently</w:t>
            </w:r>
            <w:r w:rsidR="00AB7A2C" w:rsidRPr="00775D97">
              <w:rPr>
                <w:rFonts w:asciiTheme="majorHAnsi" w:hAnsiTheme="majorHAnsi" w:cstheme="majorHAnsi"/>
              </w:rPr>
              <w:t xml:space="preserve"> positive and collegial, with </w:t>
            </w:r>
            <w:r w:rsidR="009E3216">
              <w:rPr>
                <w:rFonts w:asciiTheme="majorHAnsi" w:hAnsiTheme="majorHAnsi" w:cstheme="majorHAnsi"/>
              </w:rPr>
              <w:t>a generalised finding from stakeholders</w:t>
            </w:r>
            <w:r w:rsidR="00AB7A2C" w:rsidRPr="00775D97">
              <w:rPr>
                <w:rFonts w:asciiTheme="majorHAnsi" w:hAnsiTheme="majorHAnsi" w:cstheme="majorHAnsi"/>
              </w:rPr>
              <w:t xml:space="preserve"> </w:t>
            </w:r>
            <w:r>
              <w:rPr>
                <w:rFonts w:asciiTheme="majorHAnsi" w:hAnsiTheme="majorHAnsi" w:cstheme="majorHAnsi"/>
              </w:rPr>
              <w:t>that</w:t>
            </w:r>
            <w:r w:rsidR="00AB7A2C" w:rsidRPr="00775D97">
              <w:rPr>
                <w:rFonts w:asciiTheme="majorHAnsi" w:hAnsiTheme="majorHAnsi" w:cstheme="majorHAnsi"/>
              </w:rPr>
              <w:t xml:space="preserve"> the AISRF </w:t>
            </w:r>
            <w:r>
              <w:rPr>
                <w:rFonts w:asciiTheme="majorHAnsi" w:hAnsiTheme="majorHAnsi" w:cstheme="majorHAnsi"/>
              </w:rPr>
              <w:t>is</w:t>
            </w:r>
            <w:r w:rsidR="00AB7A2C" w:rsidRPr="00775D97">
              <w:rPr>
                <w:rFonts w:asciiTheme="majorHAnsi" w:hAnsiTheme="majorHAnsi" w:cstheme="majorHAnsi"/>
              </w:rPr>
              <w:t xml:space="preserve"> a direct contributor to </w:t>
            </w:r>
            <w:r>
              <w:rPr>
                <w:rFonts w:asciiTheme="majorHAnsi" w:hAnsiTheme="majorHAnsi" w:cstheme="majorHAnsi"/>
              </w:rPr>
              <w:t>positive diplomatic relations</w:t>
            </w:r>
            <w:r w:rsidR="00AB7A2C" w:rsidRPr="00775D97">
              <w:rPr>
                <w:rFonts w:asciiTheme="majorHAnsi" w:hAnsiTheme="majorHAnsi" w:cstheme="majorHAnsi"/>
              </w:rPr>
              <w:t xml:space="preserve">.  </w:t>
            </w:r>
          </w:p>
        </w:tc>
      </w:tr>
      <w:tr w:rsidR="00AB7A2C" w:rsidRPr="00775D97" w14:paraId="366DF707" w14:textId="77777777" w:rsidTr="00AB7A2C">
        <w:tc>
          <w:tcPr>
            <w:tcW w:w="704" w:type="dxa"/>
          </w:tcPr>
          <w:p w14:paraId="366DF705" w14:textId="77777777" w:rsidR="00AB7A2C" w:rsidRPr="00775D97" w:rsidRDefault="00AB7A2C" w:rsidP="0049015F">
            <w:pPr>
              <w:pStyle w:val="DHHSbody"/>
              <w:rPr>
                <w:rFonts w:asciiTheme="majorHAnsi" w:hAnsiTheme="majorHAnsi" w:cstheme="majorHAnsi"/>
              </w:rPr>
            </w:pPr>
            <w:r w:rsidRPr="00775D97">
              <w:rPr>
                <w:rFonts w:asciiTheme="majorHAnsi" w:hAnsiTheme="majorHAnsi" w:cstheme="majorHAnsi"/>
              </w:rPr>
              <w:lastRenderedPageBreak/>
              <w:t>2.6</w:t>
            </w:r>
          </w:p>
        </w:tc>
        <w:tc>
          <w:tcPr>
            <w:tcW w:w="8646" w:type="dxa"/>
          </w:tcPr>
          <w:p w14:paraId="366DF706" w14:textId="77777777" w:rsidR="00AB7A2C" w:rsidRPr="00775D97" w:rsidRDefault="00AB7A2C" w:rsidP="009E3216">
            <w:pPr>
              <w:pStyle w:val="DHHSbody"/>
              <w:rPr>
                <w:rFonts w:asciiTheme="majorHAnsi" w:hAnsiTheme="majorHAnsi" w:cstheme="majorHAnsi"/>
              </w:rPr>
            </w:pPr>
            <w:r w:rsidRPr="00775D97">
              <w:rPr>
                <w:rFonts w:asciiTheme="majorHAnsi" w:hAnsiTheme="majorHAnsi" w:cstheme="majorHAnsi"/>
              </w:rPr>
              <w:t xml:space="preserve">In the absence of the AISRF, many successful research projects would not have gone ahead, including several documented large-scale projects which are of significant importance to Australia, India, and </w:t>
            </w:r>
            <w:r w:rsidR="008434E5">
              <w:rPr>
                <w:rFonts w:asciiTheme="majorHAnsi" w:hAnsiTheme="majorHAnsi" w:cstheme="majorHAnsi"/>
              </w:rPr>
              <w:t>globally</w:t>
            </w:r>
            <w:r w:rsidRPr="00775D97">
              <w:rPr>
                <w:rFonts w:asciiTheme="majorHAnsi" w:hAnsiTheme="majorHAnsi" w:cstheme="majorHAnsi"/>
              </w:rPr>
              <w:t>.</w:t>
            </w:r>
          </w:p>
        </w:tc>
      </w:tr>
      <w:tr w:rsidR="00AB7A2C" w:rsidRPr="00775D97" w14:paraId="366DF70A" w14:textId="77777777" w:rsidTr="00AB7A2C">
        <w:tc>
          <w:tcPr>
            <w:tcW w:w="704" w:type="dxa"/>
          </w:tcPr>
          <w:p w14:paraId="366DF708" w14:textId="77777777" w:rsidR="00AB7A2C" w:rsidRPr="00775D97" w:rsidRDefault="00AB7A2C" w:rsidP="0049015F">
            <w:pPr>
              <w:pStyle w:val="DHHSbody"/>
              <w:rPr>
                <w:rFonts w:asciiTheme="majorHAnsi" w:hAnsiTheme="majorHAnsi" w:cstheme="majorHAnsi"/>
              </w:rPr>
            </w:pPr>
            <w:r w:rsidRPr="00775D97">
              <w:rPr>
                <w:rFonts w:asciiTheme="majorHAnsi" w:hAnsiTheme="majorHAnsi" w:cstheme="majorHAnsi"/>
              </w:rPr>
              <w:t>2.7</w:t>
            </w:r>
          </w:p>
        </w:tc>
        <w:tc>
          <w:tcPr>
            <w:tcW w:w="8646" w:type="dxa"/>
          </w:tcPr>
          <w:p w14:paraId="366DF709" w14:textId="77777777" w:rsidR="00AB7A2C" w:rsidRPr="00775D97" w:rsidRDefault="00C63275" w:rsidP="00AE1284">
            <w:pPr>
              <w:pStyle w:val="DHHSbody"/>
              <w:rPr>
                <w:rFonts w:asciiTheme="majorHAnsi" w:hAnsiTheme="majorHAnsi" w:cstheme="majorHAnsi"/>
              </w:rPr>
            </w:pPr>
            <w:r w:rsidRPr="00775D97">
              <w:rPr>
                <w:rFonts w:asciiTheme="majorHAnsi" w:hAnsiTheme="majorHAnsi" w:cstheme="majorHAnsi"/>
              </w:rPr>
              <w:t xml:space="preserve">The </w:t>
            </w:r>
            <w:r w:rsidRPr="0080797A">
              <w:rPr>
                <w:rFonts w:asciiTheme="majorHAnsi" w:hAnsiTheme="majorHAnsi" w:cstheme="majorHAnsi"/>
              </w:rPr>
              <w:t xml:space="preserve">AISRF </w:t>
            </w:r>
            <w:r>
              <w:rPr>
                <w:rFonts w:asciiTheme="majorHAnsi" w:hAnsiTheme="majorHAnsi" w:cstheme="majorHAnsi"/>
              </w:rPr>
              <w:t xml:space="preserve">is having a direct </w:t>
            </w:r>
            <w:r w:rsidRPr="00775D97">
              <w:rPr>
                <w:rFonts w:asciiTheme="majorHAnsi" w:hAnsiTheme="majorHAnsi" w:cstheme="majorHAnsi"/>
              </w:rPr>
              <w:t>economic impact</w:t>
            </w:r>
            <w:r w:rsidR="00FB05FA">
              <w:rPr>
                <w:rFonts w:asciiTheme="majorHAnsi" w:hAnsiTheme="majorHAnsi" w:cstheme="majorHAnsi"/>
              </w:rPr>
              <w:t>,</w:t>
            </w:r>
            <w:r w:rsidRPr="00775D97">
              <w:rPr>
                <w:rFonts w:asciiTheme="majorHAnsi" w:hAnsiTheme="majorHAnsi" w:cstheme="majorHAnsi"/>
              </w:rPr>
              <w:t xml:space="preserve"> </w:t>
            </w:r>
            <w:r>
              <w:rPr>
                <w:rFonts w:asciiTheme="majorHAnsi" w:hAnsiTheme="majorHAnsi" w:cstheme="majorHAnsi"/>
              </w:rPr>
              <w:t xml:space="preserve">employing </w:t>
            </w:r>
            <w:r w:rsidR="009F281A">
              <w:rPr>
                <w:rFonts w:asciiTheme="majorHAnsi" w:hAnsiTheme="majorHAnsi" w:cstheme="majorHAnsi"/>
              </w:rPr>
              <w:t xml:space="preserve">on average </w:t>
            </w:r>
            <w:r w:rsidRPr="00775D97">
              <w:rPr>
                <w:rFonts w:asciiTheme="majorHAnsi" w:hAnsiTheme="majorHAnsi" w:cstheme="majorHAnsi"/>
              </w:rPr>
              <w:t>approximately 16 full-time positions</w:t>
            </w:r>
            <w:r>
              <w:rPr>
                <w:rFonts w:asciiTheme="majorHAnsi" w:hAnsiTheme="majorHAnsi" w:cstheme="majorHAnsi"/>
              </w:rPr>
              <w:t xml:space="preserve"> per project</w:t>
            </w:r>
            <w:r w:rsidRPr="00775D97">
              <w:rPr>
                <w:rFonts w:asciiTheme="majorHAnsi" w:hAnsiTheme="majorHAnsi" w:cstheme="majorHAnsi"/>
              </w:rPr>
              <w:t xml:space="preserve">, with 5.3 of these being Australian. </w:t>
            </w:r>
            <w:r>
              <w:rPr>
                <w:rFonts w:asciiTheme="majorHAnsi" w:hAnsiTheme="majorHAnsi" w:cstheme="majorHAnsi"/>
              </w:rPr>
              <w:t xml:space="preserve">Better data systems are required to further understand this impact. </w:t>
            </w:r>
            <w:r w:rsidR="00AB7A2C" w:rsidRPr="00775D97">
              <w:rPr>
                <w:rFonts w:asciiTheme="majorHAnsi" w:hAnsiTheme="majorHAnsi" w:cstheme="majorHAnsi"/>
              </w:rPr>
              <w:t xml:space="preserve">Very few unsuccessful </w:t>
            </w:r>
            <w:r w:rsidR="007F309D" w:rsidRPr="007F309D">
              <w:rPr>
                <w:rFonts w:asciiTheme="majorHAnsi" w:hAnsiTheme="majorHAnsi" w:cstheme="majorHAnsi"/>
              </w:rPr>
              <w:t>AISRF applicants managed to subsequently secure alternative funding to go ahead with their project</w:t>
            </w:r>
            <w:r w:rsidR="00AB7A2C" w:rsidRPr="00775D97">
              <w:rPr>
                <w:rFonts w:asciiTheme="majorHAnsi" w:hAnsiTheme="majorHAnsi" w:cstheme="majorHAnsi"/>
              </w:rPr>
              <w:t>, and successful applicants typically received cash and in-kind funding from their own institute.</w:t>
            </w:r>
          </w:p>
        </w:tc>
      </w:tr>
      <w:tr w:rsidR="008D0A90" w:rsidRPr="00775D97" w14:paraId="366DF70D" w14:textId="77777777" w:rsidTr="00AB7A2C">
        <w:tc>
          <w:tcPr>
            <w:tcW w:w="704" w:type="dxa"/>
          </w:tcPr>
          <w:p w14:paraId="366DF70B" w14:textId="77777777" w:rsidR="008D0A90" w:rsidRPr="00775D97" w:rsidRDefault="008D0A90" w:rsidP="008D0A90">
            <w:pPr>
              <w:pStyle w:val="DHHSbody"/>
              <w:rPr>
                <w:rFonts w:asciiTheme="majorHAnsi" w:hAnsiTheme="majorHAnsi" w:cstheme="majorHAnsi"/>
              </w:rPr>
            </w:pPr>
            <w:r w:rsidRPr="00775D97">
              <w:rPr>
                <w:rFonts w:asciiTheme="majorHAnsi" w:hAnsiTheme="majorHAnsi" w:cstheme="majorHAnsi"/>
              </w:rPr>
              <w:t>2.8</w:t>
            </w:r>
          </w:p>
        </w:tc>
        <w:tc>
          <w:tcPr>
            <w:tcW w:w="8646" w:type="dxa"/>
          </w:tcPr>
          <w:p w14:paraId="366DF70C" w14:textId="77777777" w:rsidR="008D0A90" w:rsidRPr="00775D97" w:rsidRDefault="00B70E96" w:rsidP="00B70E96">
            <w:pPr>
              <w:pStyle w:val="DHHSbody"/>
              <w:rPr>
                <w:rFonts w:asciiTheme="majorHAnsi" w:hAnsiTheme="majorHAnsi" w:cstheme="majorHAnsi"/>
              </w:rPr>
            </w:pPr>
            <w:r>
              <w:rPr>
                <w:rFonts w:asciiTheme="majorHAnsi" w:hAnsiTheme="majorHAnsi" w:cstheme="majorHAnsi"/>
                <w:lang w:val="en-US"/>
              </w:rPr>
              <w:t>While t</w:t>
            </w:r>
            <w:r w:rsidR="000F283A" w:rsidRPr="000F283A">
              <w:rPr>
                <w:rFonts w:asciiTheme="majorHAnsi" w:hAnsiTheme="majorHAnsi" w:cstheme="majorHAnsi"/>
                <w:lang w:val="en-US"/>
              </w:rPr>
              <w:t xml:space="preserve">he AISRF </w:t>
            </w:r>
            <w:r>
              <w:rPr>
                <w:rFonts w:asciiTheme="majorHAnsi" w:hAnsiTheme="majorHAnsi" w:cstheme="majorHAnsi"/>
                <w:lang w:val="en-US"/>
              </w:rPr>
              <w:t>is</w:t>
            </w:r>
            <w:r w:rsidR="000F283A" w:rsidRPr="000F283A">
              <w:rPr>
                <w:rFonts w:asciiTheme="majorHAnsi" w:hAnsiTheme="majorHAnsi" w:cstheme="majorHAnsi"/>
                <w:lang w:val="en-US"/>
              </w:rPr>
              <w:t xml:space="preserve"> meeting its current objectives, the lack of data on </w:t>
            </w:r>
            <w:proofErr w:type="spellStart"/>
            <w:r w:rsidR="000F283A" w:rsidRPr="000F283A">
              <w:rPr>
                <w:rFonts w:asciiTheme="majorHAnsi" w:hAnsiTheme="majorHAnsi" w:cstheme="majorHAnsi"/>
                <w:lang w:val="en-US"/>
              </w:rPr>
              <w:t>commerciali</w:t>
            </w:r>
            <w:r>
              <w:rPr>
                <w:rFonts w:asciiTheme="majorHAnsi" w:hAnsiTheme="majorHAnsi" w:cstheme="majorHAnsi"/>
                <w:lang w:val="en-US"/>
              </w:rPr>
              <w:t>s</w:t>
            </w:r>
            <w:r w:rsidR="000F283A" w:rsidRPr="000F283A">
              <w:rPr>
                <w:rFonts w:asciiTheme="majorHAnsi" w:hAnsiTheme="majorHAnsi" w:cstheme="majorHAnsi"/>
                <w:lang w:val="en-US"/>
              </w:rPr>
              <w:t>ation</w:t>
            </w:r>
            <w:proofErr w:type="spellEnd"/>
            <w:r w:rsidR="000F283A" w:rsidRPr="000F283A">
              <w:rPr>
                <w:rFonts w:asciiTheme="majorHAnsi" w:hAnsiTheme="majorHAnsi" w:cstheme="majorHAnsi"/>
                <w:lang w:val="en-US"/>
              </w:rPr>
              <w:t xml:space="preserve"> and public good outcomes</w:t>
            </w:r>
            <w:r>
              <w:rPr>
                <w:rFonts w:asciiTheme="majorHAnsi" w:hAnsiTheme="majorHAnsi" w:cstheme="majorHAnsi"/>
                <w:lang w:val="en-US"/>
              </w:rPr>
              <w:t xml:space="preserve"> </w:t>
            </w:r>
            <w:r w:rsidR="000F283A" w:rsidRPr="000F283A">
              <w:rPr>
                <w:rFonts w:asciiTheme="majorHAnsi" w:hAnsiTheme="majorHAnsi" w:cstheme="majorHAnsi"/>
                <w:lang w:val="en-US"/>
              </w:rPr>
              <w:t xml:space="preserve">means that the program’s value for money cannot be </w:t>
            </w:r>
            <w:r>
              <w:rPr>
                <w:rFonts w:asciiTheme="majorHAnsi" w:hAnsiTheme="majorHAnsi" w:cstheme="majorHAnsi"/>
                <w:lang w:val="en-US"/>
              </w:rPr>
              <w:t xml:space="preserve">easily </w:t>
            </w:r>
            <w:r w:rsidR="000F283A" w:rsidRPr="000F283A">
              <w:rPr>
                <w:rFonts w:asciiTheme="majorHAnsi" w:hAnsiTheme="majorHAnsi" w:cstheme="majorHAnsi"/>
                <w:lang w:val="en-US"/>
              </w:rPr>
              <w:t>assessed</w:t>
            </w:r>
            <w:r w:rsidR="000F283A">
              <w:rPr>
                <w:rFonts w:asciiTheme="majorHAnsi" w:hAnsiTheme="majorHAnsi" w:cstheme="majorHAnsi"/>
                <w:lang w:val="en-US"/>
              </w:rPr>
              <w:t xml:space="preserve">. </w:t>
            </w:r>
          </w:p>
        </w:tc>
      </w:tr>
    </w:tbl>
    <w:p w14:paraId="366DF710" w14:textId="77777777" w:rsidR="007513C9" w:rsidRPr="00775D97" w:rsidRDefault="007513C9" w:rsidP="00B2323D">
      <w:pPr>
        <w:pStyle w:val="DHHSbody"/>
        <w:rPr>
          <w:rFonts w:asciiTheme="majorHAnsi" w:hAnsiTheme="majorHAnsi" w:cstheme="majorHAnsi"/>
          <w:b/>
          <w:i/>
        </w:rPr>
      </w:pPr>
    </w:p>
    <w:tbl>
      <w:tblPr>
        <w:tblStyle w:val="TableGrid"/>
        <w:tblW w:w="0" w:type="auto"/>
        <w:tblLook w:val="04A0" w:firstRow="1" w:lastRow="0" w:firstColumn="1" w:lastColumn="0" w:noHBand="0" w:noVBand="1"/>
        <w:tblCaption w:val="Table 3"/>
        <w:tblDescription w:val="This table lists findings for the criteria of Efficiency"/>
      </w:tblPr>
      <w:tblGrid>
        <w:gridCol w:w="704"/>
        <w:gridCol w:w="8646"/>
      </w:tblGrid>
      <w:tr w:rsidR="001166D7" w:rsidRPr="00775D97" w14:paraId="366DF713" w14:textId="77777777" w:rsidTr="00B64034">
        <w:trPr>
          <w:tblHeader/>
        </w:trPr>
        <w:tc>
          <w:tcPr>
            <w:tcW w:w="704" w:type="dxa"/>
            <w:shd w:val="clear" w:color="auto" w:fill="FFC000"/>
          </w:tcPr>
          <w:p w14:paraId="366DF711" w14:textId="77777777" w:rsidR="001166D7" w:rsidRPr="00775D97" w:rsidRDefault="001166D7" w:rsidP="0049015F">
            <w:pPr>
              <w:pStyle w:val="DHHSbody"/>
              <w:rPr>
                <w:rFonts w:asciiTheme="majorHAnsi" w:hAnsiTheme="majorHAnsi" w:cstheme="majorHAnsi"/>
                <w:b/>
              </w:rPr>
            </w:pPr>
            <w:r w:rsidRPr="00775D97">
              <w:rPr>
                <w:rFonts w:asciiTheme="majorHAnsi" w:hAnsiTheme="majorHAnsi" w:cstheme="majorHAnsi"/>
                <w:b/>
              </w:rPr>
              <w:t>3</w:t>
            </w:r>
          </w:p>
        </w:tc>
        <w:tc>
          <w:tcPr>
            <w:tcW w:w="8646" w:type="dxa"/>
            <w:shd w:val="clear" w:color="auto" w:fill="FFC000"/>
          </w:tcPr>
          <w:p w14:paraId="366DF712" w14:textId="77777777" w:rsidR="001166D7" w:rsidRPr="00775D97" w:rsidRDefault="001166D7" w:rsidP="007513C9">
            <w:pPr>
              <w:pStyle w:val="DHHSbody"/>
              <w:keepNext/>
              <w:keepLines/>
              <w:rPr>
                <w:rFonts w:asciiTheme="majorHAnsi" w:hAnsiTheme="majorHAnsi" w:cstheme="majorHAnsi"/>
                <w:b/>
                <w:i/>
              </w:rPr>
            </w:pPr>
            <w:r w:rsidRPr="00775D97">
              <w:rPr>
                <w:rFonts w:asciiTheme="majorHAnsi" w:hAnsiTheme="majorHAnsi" w:cstheme="majorHAnsi"/>
                <w:b/>
                <w:i/>
              </w:rPr>
              <w:t>Efficiency</w:t>
            </w:r>
          </w:p>
        </w:tc>
      </w:tr>
      <w:tr w:rsidR="001166D7" w:rsidRPr="00775D97" w14:paraId="366DF716" w14:textId="77777777" w:rsidTr="001166D7">
        <w:tc>
          <w:tcPr>
            <w:tcW w:w="704" w:type="dxa"/>
          </w:tcPr>
          <w:p w14:paraId="366DF714" w14:textId="77777777" w:rsidR="001166D7" w:rsidRPr="00775D97" w:rsidRDefault="001166D7" w:rsidP="0049015F">
            <w:pPr>
              <w:pStyle w:val="DHHSbody"/>
              <w:rPr>
                <w:rFonts w:asciiTheme="majorHAnsi" w:hAnsiTheme="majorHAnsi" w:cstheme="majorHAnsi"/>
              </w:rPr>
            </w:pPr>
            <w:r w:rsidRPr="00775D97">
              <w:rPr>
                <w:rFonts w:asciiTheme="majorHAnsi" w:hAnsiTheme="majorHAnsi" w:cstheme="majorHAnsi"/>
              </w:rPr>
              <w:t>3.1</w:t>
            </w:r>
          </w:p>
        </w:tc>
        <w:tc>
          <w:tcPr>
            <w:tcW w:w="8646" w:type="dxa"/>
          </w:tcPr>
          <w:p w14:paraId="366DF715" w14:textId="77777777" w:rsidR="001166D7" w:rsidRPr="00775D97" w:rsidRDefault="001166D7" w:rsidP="007513C9">
            <w:pPr>
              <w:pStyle w:val="DHHSbody"/>
              <w:keepNext/>
              <w:keepLines/>
              <w:rPr>
                <w:rFonts w:asciiTheme="majorHAnsi" w:hAnsiTheme="majorHAnsi" w:cstheme="majorHAnsi"/>
              </w:rPr>
            </w:pPr>
            <w:r w:rsidRPr="00775D97">
              <w:rPr>
                <w:rFonts w:asciiTheme="majorHAnsi" w:hAnsiTheme="majorHAnsi" w:cstheme="majorHAnsi"/>
              </w:rPr>
              <w:t xml:space="preserve">The </w:t>
            </w:r>
            <w:r w:rsidR="009E3216">
              <w:rPr>
                <w:rFonts w:asciiTheme="majorHAnsi" w:hAnsiTheme="majorHAnsi" w:cstheme="majorHAnsi"/>
              </w:rPr>
              <w:t xml:space="preserve">evidence from this </w:t>
            </w:r>
            <w:r w:rsidR="00C63275">
              <w:rPr>
                <w:rFonts w:asciiTheme="majorHAnsi" w:hAnsiTheme="majorHAnsi" w:cstheme="majorHAnsi"/>
              </w:rPr>
              <w:t>evaluation</w:t>
            </w:r>
            <w:r w:rsidR="009E3216">
              <w:rPr>
                <w:rFonts w:asciiTheme="majorHAnsi" w:hAnsiTheme="majorHAnsi" w:cstheme="majorHAnsi"/>
              </w:rPr>
              <w:t xml:space="preserve"> suggests the </w:t>
            </w:r>
            <w:r w:rsidRPr="00775D97">
              <w:rPr>
                <w:rFonts w:asciiTheme="majorHAnsi" w:hAnsiTheme="majorHAnsi" w:cstheme="majorHAnsi"/>
              </w:rPr>
              <w:t xml:space="preserve">fund is administered and delivered in an efficient manner in meeting its objectives, including strengthening diplomatic relations. </w:t>
            </w:r>
          </w:p>
        </w:tc>
      </w:tr>
      <w:tr w:rsidR="00FB3F68" w:rsidRPr="00775D97" w14:paraId="366DF719" w14:textId="77777777" w:rsidTr="001166D7">
        <w:tc>
          <w:tcPr>
            <w:tcW w:w="704" w:type="dxa"/>
          </w:tcPr>
          <w:p w14:paraId="366DF717" w14:textId="77777777" w:rsidR="00FB3F68" w:rsidRPr="00775D97" w:rsidRDefault="00FB3F68" w:rsidP="00FB3F68">
            <w:pPr>
              <w:pStyle w:val="DHHSbody"/>
              <w:rPr>
                <w:rFonts w:asciiTheme="majorHAnsi" w:hAnsiTheme="majorHAnsi" w:cstheme="majorHAnsi"/>
              </w:rPr>
            </w:pPr>
            <w:r w:rsidRPr="00775D97">
              <w:rPr>
                <w:rFonts w:asciiTheme="majorHAnsi" w:hAnsiTheme="majorHAnsi" w:cstheme="majorHAnsi"/>
              </w:rPr>
              <w:t>3.2</w:t>
            </w:r>
          </w:p>
        </w:tc>
        <w:tc>
          <w:tcPr>
            <w:tcW w:w="8646" w:type="dxa"/>
          </w:tcPr>
          <w:p w14:paraId="366DF718" w14:textId="77777777" w:rsidR="00FB3F68" w:rsidRPr="00775D97" w:rsidRDefault="00FB3F68" w:rsidP="00FB3F68">
            <w:pPr>
              <w:pStyle w:val="DHHSbody"/>
              <w:rPr>
                <w:rFonts w:asciiTheme="majorHAnsi" w:hAnsiTheme="majorHAnsi" w:cstheme="majorHAnsi"/>
              </w:rPr>
            </w:pPr>
            <w:r w:rsidRPr="00775D97">
              <w:rPr>
                <w:rFonts w:asciiTheme="majorHAnsi" w:hAnsiTheme="majorHAnsi" w:cstheme="majorHAnsi"/>
              </w:rPr>
              <w:t>The compliance costs incurred by stakeholders are deemed to be fair and appropriate in relation to the size and overall value of the fund.</w:t>
            </w:r>
          </w:p>
        </w:tc>
      </w:tr>
      <w:tr w:rsidR="009B7B3D" w:rsidRPr="00775D97" w14:paraId="366DF71C" w14:textId="77777777" w:rsidTr="001166D7">
        <w:tc>
          <w:tcPr>
            <w:tcW w:w="704" w:type="dxa"/>
          </w:tcPr>
          <w:p w14:paraId="366DF71A" w14:textId="77777777" w:rsidR="009B7B3D" w:rsidRPr="00775D97" w:rsidRDefault="009B7B3D" w:rsidP="009B7B3D">
            <w:pPr>
              <w:pStyle w:val="DHHSbody"/>
              <w:rPr>
                <w:rFonts w:asciiTheme="majorHAnsi" w:hAnsiTheme="majorHAnsi" w:cstheme="majorHAnsi"/>
              </w:rPr>
            </w:pPr>
            <w:r w:rsidRPr="00775D97">
              <w:rPr>
                <w:rFonts w:asciiTheme="majorHAnsi" w:hAnsiTheme="majorHAnsi" w:cstheme="majorHAnsi"/>
              </w:rPr>
              <w:t>3.3</w:t>
            </w:r>
          </w:p>
        </w:tc>
        <w:tc>
          <w:tcPr>
            <w:tcW w:w="8646" w:type="dxa"/>
          </w:tcPr>
          <w:p w14:paraId="366DF71B" w14:textId="6E45FDDB" w:rsidR="009B7B3D" w:rsidRPr="00775D97" w:rsidRDefault="009B7B3D" w:rsidP="005C771B">
            <w:pPr>
              <w:pStyle w:val="DHHSbody"/>
              <w:rPr>
                <w:rFonts w:asciiTheme="majorHAnsi" w:hAnsiTheme="majorHAnsi" w:cstheme="majorHAnsi"/>
              </w:rPr>
            </w:pPr>
            <w:r w:rsidRPr="00775D97">
              <w:rPr>
                <w:rFonts w:asciiTheme="majorHAnsi" w:hAnsiTheme="majorHAnsi" w:cstheme="majorHAnsi"/>
              </w:rPr>
              <w:t>The AISRF represent</w:t>
            </w:r>
            <w:r w:rsidR="00325601">
              <w:rPr>
                <w:rFonts w:asciiTheme="majorHAnsi" w:hAnsiTheme="majorHAnsi" w:cstheme="majorHAnsi"/>
              </w:rPr>
              <w:t>s</w:t>
            </w:r>
            <w:r w:rsidRPr="00775D97">
              <w:rPr>
                <w:rFonts w:asciiTheme="majorHAnsi" w:hAnsiTheme="majorHAnsi" w:cstheme="majorHAnsi"/>
              </w:rPr>
              <w:t xml:space="preserve"> value for money in </w:t>
            </w:r>
            <w:r>
              <w:rPr>
                <w:rFonts w:asciiTheme="majorHAnsi" w:hAnsiTheme="majorHAnsi" w:cstheme="majorHAnsi"/>
              </w:rPr>
              <w:t xml:space="preserve">efficiently </w:t>
            </w:r>
            <w:r w:rsidRPr="00775D97">
              <w:rPr>
                <w:rFonts w:asciiTheme="majorHAnsi" w:hAnsiTheme="majorHAnsi" w:cstheme="majorHAnsi"/>
              </w:rPr>
              <w:t xml:space="preserve">meeting its </w:t>
            </w:r>
            <w:r w:rsidRPr="0020155A">
              <w:rPr>
                <w:rFonts w:asciiTheme="majorHAnsi" w:hAnsiTheme="majorHAnsi" w:cstheme="majorHAnsi"/>
              </w:rPr>
              <w:t>objectives,</w:t>
            </w:r>
            <w:r w:rsidRPr="0020155A">
              <w:rPr>
                <w:rFonts w:asciiTheme="majorHAnsi" w:hAnsiTheme="majorHAnsi"/>
              </w:rPr>
              <w:t xml:space="preserve"> in particular the </w:t>
            </w:r>
            <w:r w:rsidRPr="0020155A">
              <w:rPr>
                <w:rFonts w:asciiTheme="majorHAnsi" w:hAnsiTheme="majorHAnsi" w:cstheme="majorHAnsi"/>
              </w:rPr>
              <w:t>collaboration between Australian and Indian researchers and strengthening of strategic alliances</w:t>
            </w:r>
            <w:r>
              <w:rPr>
                <w:rFonts w:asciiTheme="majorHAnsi" w:hAnsiTheme="majorHAnsi" w:cstheme="majorHAnsi"/>
              </w:rPr>
              <w:t>, as well as diplomatic relations</w:t>
            </w:r>
            <w:r w:rsidRPr="0020155A">
              <w:rPr>
                <w:rFonts w:asciiTheme="majorHAnsi" w:hAnsiTheme="majorHAnsi" w:cstheme="majorHAnsi"/>
              </w:rPr>
              <w:t xml:space="preserve">. </w:t>
            </w:r>
            <w:r w:rsidR="00EF231F" w:rsidRPr="00EF231F">
              <w:rPr>
                <w:rFonts w:asciiTheme="majorHAnsi" w:hAnsiTheme="majorHAnsi" w:cstheme="majorHAnsi"/>
              </w:rPr>
              <w:t xml:space="preserve">A substantial return on investment could be realised by </w:t>
            </w:r>
            <w:r w:rsidR="005C771B">
              <w:rPr>
                <w:rFonts w:asciiTheme="majorHAnsi" w:hAnsiTheme="majorHAnsi" w:cstheme="majorHAnsi"/>
              </w:rPr>
              <w:t xml:space="preserve">and better measured with clear reporting frameworks and by </w:t>
            </w:r>
            <w:r w:rsidR="00EF231F" w:rsidRPr="00EF231F">
              <w:rPr>
                <w:rFonts w:asciiTheme="majorHAnsi" w:hAnsiTheme="majorHAnsi" w:cstheme="majorHAnsi"/>
              </w:rPr>
              <w:t xml:space="preserve">working to improve what is currently </w:t>
            </w:r>
            <w:r w:rsidR="005C771B">
              <w:rPr>
                <w:rFonts w:asciiTheme="majorHAnsi" w:hAnsiTheme="majorHAnsi" w:cstheme="majorHAnsi"/>
              </w:rPr>
              <w:t>low collaboration with business</w:t>
            </w:r>
            <w:r w:rsidRPr="0020155A">
              <w:rPr>
                <w:rFonts w:asciiTheme="majorHAnsi" w:hAnsiTheme="majorHAnsi" w:cstheme="majorHAnsi"/>
              </w:rPr>
              <w:t xml:space="preserve">. </w:t>
            </w:r>
          </w:p>
        </w:tc>
      </w:tr>
    </w:tbl>
    <w:p w14:paraId="366DF71D" w14:textId="77777777" w:rsidR="001166D7" w:rsidRPr="00F2235C" w:rsidRDefault="001166D7" w:rsidP="00B2323D">
      <w:pPr>
        <w:pStyle w:val="DHHSbody"/>
        <w:rPr>
          <w:rFonts w:asciiTheme="majorHAnsi" w:hAnsiTheme="majorHAnsi" w:cstheme="majorHAnsi"/>
          <w:b/>
          <w:i/>
          <w:sz w:val="16"/>
          <w:szCs w:val="16"/>
        </w:rPr>
      </w:pPr>
    </w:p>
    <w:tbl>
      <w:tblPr>
        <w:tblStyle w:val="TableGrid"/>
        <w:tblW w:w="0" w:type="auto"/>
        <w:tblLook w:val="04A0" w:firstRow="1" w:lastRow="0" w:firstColumn="1" w:lastColumn="0" w:noHBand="0" w:noVBand="1"/>
        <w:tblCaption w:val="Table 4"/>
        <w:tblDescription w:val="This table lists findings for the criteria of Integration"/>
      </w:tblPr>
      <w:tblGrid>
        <w:gridCol w:w="704"/>
        <w:gridCol w:w="8646"/>
      </w:tblGrid>
      <w:tr w:rsidR="001166D7" w:rsidRPr="00775D97" w14:paraId="366DF720" w14:textId="77777777" w:rsidTr="00B64034">
        <w:trPr>
          <w:tblHeader/>
        </w:trPr>
        <w:tc>
          <w:tcPr>
            <w:tcW w:w="704" w:type="dxa"/>
            <w:shd w:val="clear" w:color="auto" w:fill="FFC000"/>
          </w:tcPr>
          <w:p w14:paraId="366DF71E" w14:textId="77777777" w:rsidR="001166D7" w:rsidRPr="00775D97" w:rsidRDefault="001166D7" w:rsidP="0049015F">
            <w:pPr>
              <w:pStyle w:val="DHHSbody"/>
              <w:rPr>
                <w:rFonts w:asciiTheme="majorHAnsi" w:hAnsiTheme="majorHAnsi" w:cstheme="majorHAnsi"/>
                <w:b/>
              </w:rPr>
            </w:pPr>
            <w:r w:rsidRPr="00775D97">
              <w:rPr>
                <w:rFonts w:asciiTheme="majorHAnsi" w:hAnsiTheme="majorHAnsi" w:cstheme="majorHAnsi"/>
                <w:b/>
              </w:rPr>
              <w:t>4</w:t>
            </w:r>
          </w:p>
        </w:tc>
        <w:tc>
          <w:tcPr>
            <w:tcW w:w="8646" w:type="dxa"/>
            <w:shd w:val="clear" w:color="auto" w:fill="FFC000"/>
          </w:tcPr>
          <w:p w14:paraId="366DF71F" w14:textId="77777777" w:rsidR="001166D7" w:rsidRPr="00775D97" w:rsidRDefault="001166D7" w:rsidP="0049015F">
            <w:pPr>
              <w:pStyle w:val="DHHSbody"/>
              <w:rPr>
                <w:rFonts w:asciiTheme="majorHAnsi" w:hAnsiTheme="majorHAnsi" w:cstheme="majorHAnsi"/>
                <w:b/>
                <w:i/>
              </w:rPr>
            </w:pPr>
            <w:r w:rsidRPr="00775D97">
              <w:rPr>
                <w:rFonts w:asciiTheme="majorHAnsi" w:hAnsiTheme="majorHAnsi" w:cstheme="majorHAnsi"/>
                <w:b/>
                <w:i/>
              </w:rPr>
              <w:t>Integration</w:t>
            </w:r>
          </w:p>
        </w:tc>
      </w:tr>
      <w:tr w:rsidR="00FB3F68" w:rsidRPr="00775D97" w14:paraId="366DF723" w14:textId="77777777" w:rsidTr="001166D7">
        <w:tc>
          <w:tcPr>
            <w:tcW w:w="704" w:type="dxa"/>
          </w:tcPr>
          <w:p w14:paraId="366DF721" w14:textId="77777777" w:rsidR="00FB3F68" w:rsidRPr="00775D97" w:rsidRDefault="00FB3F68" w:rsidP="00FB3F68">
            <w:pPr>
              <w:pStyle w:val="DHHSbody"/>
              <w:rPr>
                <w:rFonts w:asciiTheme="majorHAnsi" w:hAnsiTheme="majorHAnsi" w:cstheme="majorHAnsi"/>
              </w:rPr>
            </w:pPr>
            <w:r w:rsidRPr="00775D97">
              <w:rPr>
                <w:rFonts w:asciiTheme="majorHAnsi" w:hAnsiTheme="majorHAnsi" w:cstheme="majorHAnsi"/>
              </w:rPr>
              <w:t>4.1</w:t>
            </w:r>
          </w:p>
        </w:tc>
        <w:tc>
          <w:tcPr>
            <w:tcW w:w="8646" w:type="dxa"/>
          </w:tcPr>
          <w:p w14:paraId="366DF722" w14:textId="77777777" w:rsidR="00FB3F68" w:rsidRPr="00775D97" w:rsidRDefault="00FB3F68" w:rsidP="003C656E">
            <w:pPr>
              <w:pStyle w:val="DHHSbody"/>
              <w:rPr>
                <w:rFonts w:asciiTheme="majorHAnsi" w:hAnsiTheme="majorHAnsi" w:cstheme="majorHAnsi"/>
              </w:rPr>
            </w:pPr>
            <w:r>
              <w:rPr>
                <w:rFonts w:asciiTheme="majorHAnsi" w:hAnsiTheme="majorHAnsi" w:cstheme="majorHAnsi"/>
              </w:rPr>
              <w:t>The AISRF is a bilateral science program that is highly consistent with broader Australian and State Government science policy</w:t>
            </w:r>
            <w:r w:rsidR="00B72521">
              <w:rPr>
                <w:rFonts w:asciiTheme="majorHAnsi" w:hAnsiTheme="majorHAnsi" w:cstheme="majorHAnsi"/>
              </w:rPr>
              <w:t xml:space="preserve"> including the National Innovation Science Agenda (NISA)</w:t>
            </w:r>
            <w:r w:rsidR="007B3E55">
              <w:rPr>
                <w:rFonts w:asciiTheme="majorHAnsi" w:hAnsiTheme="majorHAnsi" w:cstheme="majorHAnsi"/>
              </w:rPr>
              <w:t>.</w:t>
            </w:r>
          </w:p>
        </w:tc>
      </w:tr>
      <w:tr w:rsidR="00FB3F68" w:rsidRPr="00775D97" w14:paraId="366DF726" w14:textId="77777777" w:rsidTr="001166D7">
        <w:tc>
          <w:tcPr>
            <w:tcW w:w="704" w:type="dxa"/>
          </w:tcPr>
          <w:p w14:paraId="366DF724" w14:textId="77777777" w:rsidR="00FB3F68" w:rsidRPr="00FB3F68" w:rsidRDefault="00FB3F68" w:rsidP="00FB3F68">
            <w:pPr>
              <w:pStyle w:val="DHHSbody"/>
              <w:rPr>
                <w:rFonts w:asciiTheme="majorHAnsi" w:hAnsiTheme="majorHAnsi" w:cstheme="majorHAnsi"/>
              </w:rPr>
            </w:pPr>
            <w:r w:rsidRPr="00FB3F68">
              <w:rPr>
                <w:rFonts w:asciiTheme="majorHAnsi" w:hAnsiTheme="majorHAnsi" w:cstheme="majorHAnsi"/>
              </w:rPr>
              <w:t>4.2</w:t>
            </w:r>
          </w:p>
        </w:tc>
        <w:tc>
          <w:tcPr>
            <w:tcW w:w="8646" w:type="dxa"/>
          </w:tcPr>
          <w:p w14:paraId="366DF725" w14:textId="77777777" w:rsidR="00FB3F68" w:rsidRPr="00775D97" w:rsidRDefault="00FB3F68" w:rsidP="00CB1FF6">
            <w:pPr>
              <w:pStyle w:val="DHHSbody"/>
              <w:rPr>
                <w:rFonts w:asciiTheme="majorHAnsi" w:hAnsiTheme="majorHAnsi" w:cstheme="majorHAnsi"/>
              </w:rPr>
            </w:pPr>
            <w:r>
              <w:rPr>
                <w:rFonts w:asciiTheme="majorHAnsi" w:hAnsiTheme="majorHAnsi" w:cstheme="majorHAnsi"/>
              </w:rPr>
              <w:t>The AISRF ability to fund large stand-alone projects would appear to reduce the need for coordination with the majority of Commonwealth and State programs. Where it does cross</w:t>
            </w:r>
            <w:r w:rsidR="004B719C">
              <w:rPr>
                <w:rFonts w:asciiTheme="majorHAnsi" w:hAnsiTheme="majorHAnsi" w:cstheme="majorHAnsi"/>
              </w:rPr>
              <w:t xml:space="preserve"> </w:t>
            </w:r>
            <w:r>
              <w:rPr>
                <w:rFonts w:asciiTheme="majorHAnsi" w:hAnsiTheme="majorHAnsi" w:cstheme="majorHAnsi"/>
              </w:rPr>
              <w:t xml:space="preserve">over, such as </w:t>
            </w:r>
            <w:r w:rsidR="00CB1FF6">
              <w:rPr>
                <w:rFonts w:asciiTheme="majorHAnsi" w:hAnsiTheme="majorHAnsi" w:cstheme="majorHAnsi"/>
              </w:rPr>
              <w:t xml:space="preserve">in the case of </w:t>
            </w:r>
            <w:r>
              <w:rPr>
                <w:rFonts w:asciiTheme="majorHAnsi" w:hAnsiTheme="majorHAnsi" w:cstheme="majorHAnsi"/>
              </w:rPr>
              <w:t xml:space="preserve">the NHMRC, there is insufficient evidence as to whether </w:t>
            </w:r>
            <w:r w:rsidR="00C85498">
              <w:rPr>
                <w:rFonts w:asciiTheme="majorHAnsi" w:hAnsiTheme="majorHAnsi" w:cstheme="majorHAnsi"/>
              </w:rPr>
              <w:t>coordination</w:t>
            </w:r>
            <w:r>
              <w:rPr>
                <w:rFonts w:asciiTheme="majorHAnsi" w:hAnsiTheme="majorHAnsi" w:cstheme="majorHAnsi"/>
              </w:rPr>
              <w:t xml:space="preserve"> could be further improved or </w:t>
            </w:r>
            <w:r w:rsidR="004B719C">
              <w:rPr>
                <w:rFonts w:asciiTheme="majorHAnsi" w:hAnsiTheme="majorHAnsi" w:cstheme="majorHAnsi"/>
              </w:rPr>
              <w:t xml:space="preserve">is </w:t>
            </w:r>
            <w:r>
              <w:rPr>
                <w:rFonts w:asciiTheme="majorHAnsi" w:hAnsiTheme="majorHAnsi" w:cstheme="majorHAnsi"/>
              </w:rPr>
              <w:t xml:space="preserve">operating at an optimal level. </w:t>
            </w:r>
          </w:p>
        </w:tc>
      </w:tr>
      <w:tr w:rsidR="0084295F" w:rsidRPr="00775D97" w14:paraId="366DF729" w14:textId="77777777" w:rsidTr="001166D7">
        <w:tc>
          <w:tcPr>
            <w:tcW w:w="704" w:type="dxa"/>
          </w:tcPr>
          <w:p w14:paraId="366DF727" w14:textId="77777777" w:rsidR="0084295F" w:rsidRPr="00FB3F68" w:rsidRDefault="0084295F" w:rsidP="00FB3F68">
            <w:pPr>
              <w:pStyle w:val="DHHSbody"/>
              <w:rPr>
                <w:rFonts w:asciiTheme="majorHAnsi" w:hAnsiTheme="majorHAnsi" w:cstheme="majorHAnsi"/>
              </w:rPr>
            </w:pPr>
            <w:r>
              <w:rPr>
                <w:rFonts w:asciiTheme="majorHAnsi" w:hAnsiTheme="majorHAnsi" w:cstheme="majorHAnsi"/>
              </w:rPr>
              <w:t>4.3</w:t>
            </w:r>
          </w:p>
        </w:tc>
        <w:tc>
          <w:tcPr>
            <w:tcW w:w="8646" w:type="dxa"/>
          </w:tcPr>
          <w:p w14:paraId="366DF728" w14:textId="77777777" w:rsidR="0084295F" w:rsidRDefault="00EF231F" w:rsidP="006778F6">
            <w:pPr>
              <w:pStyle w:val="DHHSbody"/>
              <w:rPr>
                <w:rFonts w:asciiTheme="majorHAnsi" w:hAnsiTheme="majorHAnsi" w:cstheme="majorHAnsi"/>
              </w:rPr>
            </w:pPr>
            <w:r w:rsidRPr="00EF231F">
              <w:rPr>
                <w:rFonts w:asciiTheme="majorHAnsi" w:hAnsiTheme="majorHAnsi" w:cstheme="majorHAnsi"/>
                <w:lang w:val="en-US"/>
              </w:rPr>
              <w:t>The efficiency of the AISRF could have been enhanced if some funding had not been tied to the Official Development Assistance (ODA) funding, as this would avoid some eligibility issues.</w:t>
            </w:r>
          </w:p>
        </w:tc>
      </w:tr>
    </w:tbl>
    <w:p w14:paraId="366DF72A" w14:textId="77777777" w:rsidR="00B2323D" w:rsidRPr="00F2235C" w:rsidRDefault="00B2323D" w:rsidP="00B2323D">
      <w:pPr>
        <w:pStyle w:val="DHHSbody"/>
        <w:rPr>
          <w:rFonts w:asciiTheme="majorHAnsi" w:hAnsiTheme="majorHAnsi" w:cstheme="majorHAnsi"/>
          <w:b/>
          <w:i/>
          <w:sz w:val="16"/>
          <w:szCs w:val="16"/>
        </w:rPr>
      </w:pPr>
    </w:p>
    <w:tbl>
      <w:tblPr>
        <w:tblStyle w:val="TableGrid"/>
        <w:tblW w:w="0" w:type="auto"/>
        <w:tblLook w:val="04A0" w:firstRow="1" w:lastRow="0" w:firstColumn="1" w:lastColumn="0" w:noHBand="0" w:noVBand="1"/>
        <w:tblCaption w:val="Table 5"/>
        <w:tblDescription w:val="This table lists findings for the criteria of Performance Assessment"/>
      </w:tblPr>
      <w:tblGrid>
        <w:gridCol w:w="704"/>
        <w:gridCol w:w="8646"/>
      </w:tblGrid>
      <w:tr w:rsidR="00AE1FC4" w:rsidRPr="00775D97" w14:paraId="366DF72D" w14:textId="77777777" w:rsidTr="00B64034">
        <w:trPr>
          <w:tblHeader/>
        </w:trPr>
        <w:tc>
          <w:tcPr>
            <w:tcW w:w="704" w:type="dxa"/>
            <w:shd w:val="clear" w:color="auto" w:fill="FFC000"/>
          </w:tcPr>
          <w:p w14:paraId="366DF72B" w14:textId="77777777" w:rsidR="00AE1FC4" w:rsidRPr="00775D97" w:rsidRDefault="00AE1FC4" w:rsidP="0049015F">
            <w:pPr>
              <w:pStyle w:val="DHHSbody"/>
              <w:rPr>
                <w:rFonts w:asciiTheme="majorHAnsi" w:hAnsiTheme="majorHAnsi" w:cstheme="majorHAnsi"/>
                <w:b/>
              </w:rPr>
            </w:pPr>
            <w:r w:rsidRPr="00775D97">
              <w:rPr>
                <w:rFonts w:asciiTheme="majorHAnsi" w:hAnsiTheme="majorHAnsi" w:cstheme="majorHAnsi"/>
                <w:b/>
              </w:rPr>
              <w:t>5</w:t>
            </w:r>
          </w:p>
        </w:tc>
        <w:tc>
          <w:tcPr>
            <w:tcW w:w="8646" w:type="dxa"/>
            <w:shd w:val="clear" w:color="auto" w:fill="FFC000"/>
          </w:tcPr>
          <w:p w14:paraId="366DF72C" w14:textId="77777777" w:rsidR="00AE1FC4" w:rsidRPr="00775D97" w:rsidRDefault="00AE1FC4" w:rsidP="0049015F">
            <w:pPr>
              <w:pStyle w:val="DHHSbody"/>
              <w:rPr>
                <w:rFonts w:asciiTheme="majorHAnsi" w:hAnsiTheme="majorHAnsi" w:cstheme="majorHAnsi"/>
                <w:b/>
                <w:i/>
              </w:rPr>
            </w:pPr>
            <w:r w:rsidRPr="00775D97">
              <w:rPr>
                <w:rFonts w:asciiTheme="majorHAnsi" w:hAnsiTheme="majorHAnsi" w:cstheme="majorHAnsi"/>
                <w:b/>
                <w:i/>
              </w:rPr>
              <w:t>Performance Assessment</w:t>
            </w:r>
          </w:p>
        </w:tc>
      </w:tr>
      <w:tr w:rsidR="00FB3F68" w:rsidRPr="00775D97" w14:paraId="366DF730" w14:textId="77777777" w:rsidTr="00AE1FC4">
        <w:tc>
          <w:tcPr>
            <w:tcW w:w="704" w:type="dxa"/>
          </w:tcPr>
          <w:p w14:paraId="366DF72E" w14:textId="77777777" w:rsidR="00FB3F68" w:rsidRPr="00775D97" w:rsidRDefault="00FB3F68" w:rsidP="00FB3F68">
            <w:pPr>
              <w:pStyle w:val="DHHSbody"/>
              <w:rPr>
                <w:rFonts w:asciiTheme="majorHAnsi" w:hAnsiTheme="majorHAnsi" w:cstheme="majorHAnsi"/>
              </w:rPr>
            </w:pPr>
            <w:r w:rsidRPr="00775D97">
              <w:rPr>
                <w:rFonts w:asciiTheme="majorHAnsi" w:hAnsiTheme="majorHAnsi" w:cstheme="majorHAnsi"/>
              </w:rPr>
              <w:t>5.1</w:t>
            </w:r>
          </w:p>
        </w:tc>
        <w:tc>
          <w:tcPr>
            <w:tcW w:w="8646" w:type="dxa"/>
          </w:tcPr>
          <w:p w14:paraId="366DF72F" w14:textId="77777777" w:rsidR="00FB3F68" w:rsidRPr="00775D97" w:rsidRDefault="00FB3F68" w:rsidP="00FB3F68">
            <w:pPr>
              <w:pStyle w:val="DHHSbody"/>
              <w:rPr>
                <w:rFonts w:asciiTheme="majorHAnsi" w:hAnsiTheme="majorHAnsi" w:cstheme="majorHAnsi"/>
              </w:rPr>
            </w:pPr>
            <w:r w:rsidRPr="00775D97">
              <w:rPr>
                <w:rFonts w:asciiTheme="majorHAnsi" w:hAnsiTheme="majorHAnsi" w:cstheme="majorHAnsi"/>
              </w:rPr>
              <w:t>There is only one “Key Performance Indicator” for the AISRF</w:t>
            </w:r>
            <w:r w:rsidRPr="00847F9C">
              <w:t xml:space="preserve">: </w:t>
            </w:r>
            <w:r w:rsidRPr="00775D97">
              <w:rPr>
                <w:rFonts w:asciiTheme="majorHAnsi" w:hAnsiTheme="majorHAnsi" w:cstheme="majorHAnsi"/>
                <w:i/>
              </w:rPr>
              <w:t>Number of collaborative research projects completed that reported strengthened international relationships.</w:t>
            </w:r>
            <w:r w:rsidRPr="00775D97">
              <w:rPr>
                <w:rFonts w:asciiTheme="majorHAnsi" w:hAnsiTheme="majorHAnsi" w:cstheme="majorHAnsi"/>
              </w:rPr>
              <w:t xml:space="preserve"> This </w:t>
            </w:r>
            <w:r>
              <w:rPr>
                <w:rFonts w:asciiTheme="majorHAnsi" w:hAnsiTheme="majorHAnsi" w:cstheme="majorHAnsi"/>
              </w:rPr>
              <w:t>does</w:t>
            </w:r>
            <w:r w:rsidRPr="00775D97">
              <w:rPr>
                <w:rFonts w:asciiTheme="majorHAnsi" w:hAnsiTheme="majorHAnsi" w:cstheme="majorHAnsi"/>
              </w:rPr>
              <w:t xml:space="preserve"> not sufficiently captur</w:t>
            </w:r>
            <w:r>
              <w:rPr>
                <w:rFonts w:asciiTheme="majorHAnsi" w:hAnsiTheme="majorHAnsi" w:cstheme="majorHAnsi"/>
              </w:rPr>
              <w:t xml:space="preserve">e </w:t>
            </w:r>
            <w:r w:rsidRPr="00775D97">
              <w:rPr>
                <w:rFonts w:asciiTheme="majorHAnsi" w:hAnsiTheme="majorHAnsi" w:cstheme="majorHAnsi"/>
              </w:rPr>
              <w:t xml:space="preserve">the </w:t>
            </w:r>
            <w:r>
              <w:rPr>
                <w:rFonts w:asciiTheme="majorHAnsi" w:hAnsiTheme="majorHAnsi" w:cstheme="majorHAnsi"/>
              </w:rPr>
              <w:t xml:space="preserve">full </w:t>
            </w:r>
            <w:r w:rsidRPr="00775D97">
              <w:rPr>
                <w:rFonts w:asciiTheme="majorHAnsi" w:hAnsiTheme="majorHAnsi" w:cstheme="majorHAnsi"/>
              </w:rPr>
              <w:t xml:space="preserve">outputs </w:t>
            </w:r>
            <w:r>
              <w:rPr>
                <w:rFonts w:asciiTheme="majorHAnsi" w:hAnsiTheme="majorHAnsi" w:cstheme="majorHAnsi"/>
              </w:rPr>
              <w:t xml:space="preserve">and outcomes </w:t>
            </w:r>
            <w:r w:rsidRPr="00775D97">
              <w:rPr>
                <w:rFonts w:asciiTheme="majorHAnsi" w:hAnsiTheme="majorHAnsi" w:cstheme="majorHAnsi"/>
              </w:rPr>
              <w:t>of the AISRF</w:t>
            </w:r>
            <w:r w:rsidR="009E3216">
              <w:rPr>
                <w:rFonts w:asciiTheme="majorHAnsi" w:hAnsiTheme="majorHAnsi" w:cstheme="majorHAnsi"/>
              </w:rPr>
              <w:t xml:space="preserve"> and therefore means demonstrating value for money is not possible</w:t>
            </w:r>
            <w:r w:rsidR="009C0ED6">
              <w:rPr>
                <w:rFonts w:asciiTheme="majorHAnsi" w:hAnsiTheme="majorHAnsi" w:cstheme="majorHAnsi"/>
              </w:rPr>
              <w:t xml:space="preserve"> </w:t>
            </w:r>
            <w:r w:rsidR="009C0ED6" w:rsidRPr="003E4AC9">
              <w:rPr>
                <w:rFonts w:asciiTheme="majorHAnsi" w:hAnsiTheme="majorHAnsi" w:cstheme="majorHAnsi"/>
              </w:rPr>
              <w:t>using that measure</w:t>
            </w:r>
            <w:r w:rsidRPr="00775D97">
              <w:rPr>
                <w:rFonts w:asciiTheme="majorHAnsi" w:hAnsiTheme="majorHAnsi" w:cstheme="majorHAnsi"/>
              </w:rPr>
              <w:t xml:space="preserve">. </w:t>
            </w:r>
          </w:p>
        </w:tc>
      </w:tr>
      <w:tr w:rsidR="00FB3F68" w:rsidRPr="00775D97" w14:paraId="366DF733" w14:textId="77777777" w:rsidTr="00AE1FC4">
        <w:tc>
          <w:tcPr>
            <w:tcW w:w="704" w:type="dxa"/>
          </w:tcPr>
          <w:p w14:paraId="366DF731" w14:textId="77777777" w:rsidR="00FB3F68" w:rsidRPr="00775D97" w:rsidRDefault="00FB3F68" w:rsidP="00FB3F68">
            <w:pPr>
              <w:pStyle w:val="DHHSbody"/>
              <w:rPr>
                <w:rFonts w:asciiTheme="majorHAnsi" w:hAnsiTheme="majorHAnsi" w:cstheme="majorHAnsi"/>
              </w:rPr>
            </w:pPr>
            <w:r w:rsidRPr="00775D97">
              <w:rPr>
                <w:rFonts w:asciiTheme="majorHAnsi" w:hAnsiTheme="majorHAnsi" w:cstheme="majorHAnsi"/>
              </w:rPr>
              <w:t>5.2</w:t>
            </w:r>
          </w:p>
        </w:tc>
        <w:tc>
          <w:tcPr>
            <w:tcW w:w="8646" w:type="dxa"/>
          </w:tcPr>
          <w:p w14:paraId="366DF732" w14:textId="77777777" w:rsidR="00FB3F68" w:rsidRPr="00775D97" w:rsidRDefault="00733B46">
            <w:pPr>
              <w:pStyle w:val="DHHSbody"/>
              <w:rPr>
                <w:rFonts w:asciiTheme="majorHAnsi" w:hAnsiTheme="majorHAnsi" w:cstheme="majorHAnsi"/>
              </w:rPr>
            </w:pPr>
            <w:r>
              <w:rPr>
                <w:rFonts w:asciiTheme="majorHAnsi" w:hAnsiTheme="majorHAnsi" w:cstheme="majorHAnsi"/>
              </w:rPr>
              <w:t xml:space="preserve">There are </w:t>
            </w:r>
            <w:r w:rsidR="00FB3F68" w:rsidRPr="00775D97">
              <w:rPr>
                <w:rFonts w:asciiTheme="majorHAnsi" w:hAnsiTheme="majorHAnsi" w:cstheme="majorHAnsi"/>
              </w:rPr>
              <w:t xml:space="preserve">large amounts of data within project reports and program files, </w:t>
            </w:r>
            <w:r w:rsidRPr="00733B46">
              <w:rPr>
                <w:rFonts w:asciiTheme="majorHAnsi" w:hAnsiTheme="majorHAnsi" w:cstheme="majorHAnsi"/>
              </w:rPr>
              <w:t xml:space="preserve">and DIIS could develop the systems to aggregate key aspects of this regular program reporting data.   </w:t>
            </w:r>
          </w:p>
        </w:tc>
      </w:tr>
      <w:tr w:rsidR="00FB3F68" w:rsidRPr="00775D97" w14:paraId="366DF736" w14:textId="77777777" w:rsidTr="00AE1FC4">
        <w:tc>
          <w:tcPr>
            <w:tcW w:w="704" w:type="dxa"/>
          </w:tcPr>
          <w:p w14:paraId="366DF734" w14:textId="77777777" w:rsidR="00FB3F68" w:rsidRPr="00775D97" w:rsidRDefault="00733B46" w:rsidP="00FB3F68">
            <w:pPr>
              <w:pStyle w:val="DHHSbody"/>
              <w:rPr>
                <w:rFonts w:asciiTheme="majorHAnsi" w:hAnsiTheme="majorHAnsi" w:cstheme="majorHAnsi"/>
              </w:rPr>
            </w:pPr>
            <w:r>
              <w:rPr>
                <w:rFonts w:asciiTheme="majorHAnsi" w:hAnsiTheme="majorHAnsi" w:cstheme="majorHAnsi"/>
              </w:rPr>
              <w:lastRenderedPageBreak/>
              <w:t>5.3</w:t>
            </w:r>
          </w:p>
        </w:tc>
        <w:tc>
          <w:tcPr>
            <w:tcW w:w="8646" w:type="dxa"/>
          </w:tcPr>
          <w:p w14:paraId="366DF735" w14:textId="77777777" w:rsidR="00FB3F68" w:rsidRPr="00775D97" w:rsidRDefault="00733B46">
            <w:pPr>
              <w:pStyle w:val="DHHSbody"/>
              <w:rPr>
                <w:rFonts w:asciiTheme="majorHAnsi" w:hAnsiTheme="majorHAnsi" w:cstheme="majorHAnsi"/>
              </w:rPr>
            </w:pPr>
            <w:r w:rsidRPr="00733B46">
              <w:rPr>
                <w:rFonts w:asciiTheme="majorHAnsi" w:hAnsiTheme="majorHAnsi" w:cstheme="majorHAnsi"/>
              </w:rPr>
              <w:t xml:space="preserve">The existing Evaluation Ready </w:t>
            </w:r>
            <w:r w:rsidR="004B719C">
              <w:rPr>
                <w:rFonts w:asciiTheme="majorHAnsi" w:hAnsiTheme="majorHAnsi" w:cstheme="majorHAnsi"/>
              </w:rPr>
              <w:t>D</w:t>
            </w:r>
            <w:r w:rsidRPr="00733B46">
              <w:rPr>
                <w:rFonts w:asciiTheme="majorHAnsi" w:hAnsiTheme="majorHAnsi" w:cstheme="majorHAnsi"/>
              </w:rPr>
              <w:t xml:space="preserve">ata </w:t>
            </w:r>
            <w:r w:rsidR="004B719C">
              <w:rPr>
                <w:rFonts w:asciiTheme="majorHAnsi" w:hAnsiTheme="majorHAnsi" w:cstheme="majorHAnsi"/>
              </w:rPr>
              <w:t>M</w:t>
            </w:r>
            <w:r w:rsidRPr="00733B46">
              <w:rPr>
                <w:rFonts w:asciiTheme="majorHAnsi" w:hAnsiTheme="majorHAnsi" w:cstheme="majorHAnsi"/>
              </w:rPr>
              <w:t xml:space="preserve">atrix for the program </w:t>
            </w:r>
            <w:r>
              <w:rPr>
                <w:rFonts w:asciiTheme="majorHAnsi" w:hAnsiTheme="majorHAnsi" w:cstheme="majorHAnsi"/>
              </w:rPr>
              <w:t>c</w:t>
            </w:r>
            <w:r w:rsidRPr="00733B46">
              <w:rPr>
                <w:rFonts w:asciiTheme="majorHAnsi" w:hAnsiTheme="majorHAnsi" w:cstheme="majorHAnsi"/>
              </w:rPr>
              <w:t>ould be reviewed with a focus on program impact and value for money.</w:t>
            </w:r>
          </w:p>
        </w:tc>
      </w:tr>
    </w:tbl>
    <w:p w14:paraId="366DF737" w14:textId="77777777" w:rsidR="00B2323D" w:rsidRPr="00775D97" w:rsidRDefault="00B2323D" w:rsidP="00B2323D">
      <w:pPr>
        <w:pStyle w:val="DHHSbody"/>
        <w:rPr>
          <w:rFonts w:asciiTheme="majorHAnsi" w:hAnsiTheme="majorHAnsi" w:cstheme="majorHAnsi"/>
          <w:b/>
        </w:rPr>
      </w:pPr>
    </w:p>
    <w:tbl>
      <w:tblPr>
        <w:tblStyle w:val="TableGrid"/>
        <w:tblW w:w="0" w:type="auto"/>
        <w:tblLook w:val="04A0" w:firstRow="1" w:lastRow="0" w:firstColumn="1" w:lastColumn="0" w:noHBand="0" w:noVBand="1"/>
        <w:tblCaption w:val="Table 6"/>
        <w:tblDescription w:val="This table lists findings under the category Strategic Polict Alignment"/>
      </w:tblPr>
      <w:tblGrid>
        <w:gridCol w:w="704"/>
        <w:gridCol w:w="8646"/>
      </w:tblGrid>
      <w:tr w:rsidR="00AC6BB1" w:rsidRPr="00775D97" w14:paraId="366DF73A" w14:textId="77777777" w:rsidTr="00B64034">
        <w:trPr>
          <w:tblHeader/>
        </w:trPr>
        <w:tc>
          <w:tcPr>
            <w:tcW w:w="704" w:type="dxa"/>
            <w:shd w:val="clear" w:color="auto" w:fill="FFC000"/>
          </w:tcPr>
          <w:p w14:paraId="366DF738" w14:textId="77777777" w:rsidR="00AC6BB1" w:rsidRPr="00775D97" w:rsidRDefault="00AC6BB1" w:rsidP="0049015F">
            <w:pPr>
              <w:pStyle w:val="DHHSbody"/>
              <w:rPr>
                <w:rFonts w:asciiTheme="majorHAnsi" w:hAnsiTheme="majorHAnsi" w:cstheme="majorHAnsi"/>
                <w:b/>
              </w:rPr>
            </w:pPr>
            <w:r w:rsidRPr="00775D97">
              <w:rPr>
                <w:rFonts w:asciiTheme="majorHAnsi" w:hAnsiTheme="majorHAnsi" w:cstheme="majorHAnsi"/>
                <w:b/>
              </w:rPr>
              <w:t>6</w:t>
            </w:r>
          </w:p>
        </w:tc>
        <w:tc>
          <w:tcPr>
            <w:tcW w:w="8646" w:type="dxa"/>
            <w:shd w:val="clear" w:color="auto" w:fill="FFC000"/>
          </w:tcPr>
          <w:p w14:paraId="366DF739" w14:textId="77777777" w:rsidR="00AC6BB1" w:rsidRPr="00775D97" w:rsidRDefault="00AC6BB1" w:rsidP="0049015F">
            <w:pPr>
              <w:pStyle w:val="DHHSbody"/>
              <w:rPr>
                <w:rFonts w:asciiTheme="majorHAnsi" w:hAnsiTheme="majorHAnsi" w:cstheme="majorHAnsi"/>
                <w:b/>
                <w:i/>
              </w:rPr>
            </w:pPr>
            <w:r w:rsidRPr="00775D97">
              <w:rPr>
                <w:rFonts w:asciiTheme="majorHAnsi" w:hAnsiTheme="majorHAnsi" w:cstheme="majorHAnsi"/>
                <w:b/>
                <w:i/>
              </w:rPr>
              <w:t>Strategic Policy Alignment</w:t>
            </w:r>
          </w:p>
        </w:tc>
      </w:tr>
      <w:tr w:rsidR="00FB3F68" w:rsidRPr="00775D97" w14:paraId="366DF73D" w14:textId="77777777" w:rsidTr="00AC6BB1">
        <w:tc>
          <w:tcPr>
            <w:tcW w:w="704" w:type="dxa"/>
          </w:tcPr>
          <w:p w14:paraId="366DF73B" w14:textId="77777777" w:rsidR="00FB3F68" w:rsidRPr="00775D97" w:rsidRDefault="00FB3F68" w:rsidP="00FB3F68">
            <w:pPr>
              <w:pStyle w:val="DHHSbody"/>
              <w:rPr>
                <w:rFonts w:asciiTheme="majorHAnsi" w:hAnsiTheme="majorHAnsi" w:cstheme="majorHAnsi"/>
              </w:rPr>
            </w:pPr>
            <w:r w:rsidRPr="00775D97">
              <w:rPr>
                <w:rFonts w:asciiTheme="majorHAnsi" w:hAnsiTheme="majorHAnsi" w:cstheme="majorHAnsi"/>
              </w:rPr>
              <w:t>6.1</w:t>
            </w:r>
          </w:p>
        </w:tc>
        <w:tc>
          <w:tcPr>
            <w:tcW w:w="8646" w:type="dxa"/>
          </w:tcPr>
          <w:p w14:paraId="366DF73C" w14:textId="77777777" w:rsidR="00FB3F68" w:rsidRPr="00775D97" w:rsidRDefault="00FB3F68" w:rsidP="00FB3F68">
            <w:pPr>
              <w:pStyle w:val="DHHSbody"/>
              <w:rPr>
                <w:rFonts w:asciiTheme="majorHAnsi" w:hAnsiTheme="majorHAnsi" w:cstheme="majorHAnsi"/>
              </w:rPr>
            </w:pPr>
            <w:r>
              <w:rPr>
                <w:rFonts w:asciiTheme="majorHAnsi" w:hAnsiTheme="majorHAnsi" w:cstheme="majorHAnsi"/>
              </w:rPr>
              <w:t xml:space="preserve">The AISRF </w:t>
            </w:r>
            <w:r w:rsidRPr="003C262A">
              <w:rPr>
                <w:rFonts w:asciiTheme="majorHAnsi" w:hAnsiTheme="majorHAnsi" w:cstheme="majorHAnsi"/>
              </w:rPr>
              <w:t xml:space="preserve">is highly consistent with </w:t>
            </w:r>
            <w:r>
              <w:rPr>
                <w:rFonts w:asciiTheme="majorHAnsi" w:hAnsiTheme="majorHAnsi" w:cstheme="majorHAnsi"/>
              </w:rPr>
              <w:t>the</w:t>
            </w:r>
            <w:r w:rsidRPr="003C262A">
              <w:rPr>
                <w:rFonts w:asciiTheme="majorHAnsi" w:hAnsiTheme="majorHAnsi" w:cstheme="majorHAnsi"/>
              </w:rPr>
              <w:t xml:space="preserve"> Australian Government</w:t>
            </w:r>
            <w:r>
              <w:rPr>
                <w:rFonts w:asciiTheme="majorHAnsi" w:hAnsiTheme="majorHAnsi" w:cstheme="majorHAnsi"/>
              </w:rPr>
              <w:t>’s broader approach to</w:t>
            </w:r>
            <w:r w:rsidRPr="003C262A">
              <w:rPr>
                <w:rFonts w:asciiTheme="majorHAnsi" w:hAnsiTheme="majorHAnsi" w:cstheme="majorHAnsi"/>
              </w:rPr>
              <w:t xml:space="preserve"> science and </w:t>
            </w:r>
            <w:r>
              <w:rPr>
                <w:rFonts w:asciiTheme="majorHAnsi" w:hAnsiTheme="majorHAnsi" w:cstheme="majorHAnsi"/>
              </w:rPr>
              <w:t>innovation, and foreign diplomacy</w:t>
            </w:r>
            <w:r w:rsidR="009E3216">
              <w:rPr>
                <w:rFonts w:asciiTheme="majorHAnsi" w:hAnsiTheme="majorHAnsi" w:cstheme="majorHAnsi"/>
              </w:rPr>
              <w:t>.</w:t>
            </w:r>
            <w:r>
              <w:rPr>
                <w:rFonts w:asciiTheme="majorHAnsi" w:hAnsiTheme="majorHAnsi" w:cstheme="majorHAnsi"/>
              </w:rPr>
              <w:t xml:space="preserve"> </w:t>
            </w:r>
          </w:p>
        </w:tc>
      </w:tr>
      <w:tr w:rsidR="00FB3F68" w:rsidRPr="00775D97" w14:paraId="366DF740" w14:textId="77777777" w:rsidTr="00AC6BB1">
        <w:tc>
          <w:tcPr>
            <w:tcW w:w="704" w:type="dxa"/>
          </w:tcPr>
          <w:p w14:paraId="366DF73E" w14:textId="77777777" w:rsidR="00FB3F68" w:rsidRPr="00775D97" w:rsidRDefault="00FB3F68" w:rsidP="00FB3F68">
            <w:pPr>
              <w:pStyle w:val="DHHSbody"/>
              <w:rPr>
                <w:rFonts w:asciiTheme="majorHAnsi" w:hAnsiTheme="majorHAnsi" w:cstheme="majorHAnsi"/>
              </w:rPr>
            </w:pPr>
            <w:r w:rsidRPr="00775D97">
              <w:rPr>
                <w:rFonts w:asciiTheme="majorHAnsi" w:hAnsiTheme="majorHAnsi" w:cstheme="majorHAnsi"/>
              </w:rPr>
              <w:t>6.2</w:t>
            </w:r>
          </w:p>
        </w:tc>
        <w:tc>
          <w:tcPr>
            <w:tcW w:w="8646" w:type="dxa"/>
          </w:tcPr>
          <w:p w14:paraId="366DF73F" w14:textId="77777777" w:rsidR="00FB3F68" w:rsidRPr="00775D97" w:rsidRDefault="00FB3F68" w:rsidP="00FB3F68">
            <w:pPr>
              <w:pStyle w:val="DHHSbody"/>
              <w:rPr>
                <w:rFonts w:asciiTheme="majorHAnsi" w:hAnsiTheme="majorHAnsi" w:cstheme="majorHAnsi"/>
              </w:rPr>
            </w:pPr>
            <w:r w:rsidRPr="00775D97">
              <w:rPr>
                <w:rFonts w:asciiTheme="majorHAnsi" w:hAnsiTheme="majorHAnsi" w:cstheme="majorHAnsi"/>
              </w:rPr>
              <w:t xml:space="preserve">The AISRF is supporting Australian Government objectives in relation to bilateral engagement with India, via the long-term maintenance of this bilateral </w:t>
            </w:r>
            <w:r>
              <w:rPr>
                <w:rFonts w:asciiTheme="majorHAnsi" w:hAnsiTheme="majorHAnsi" w:cstheme="majorHAnsi"/>
              </w:rPr>
              <w:t>initiative and its outcomes of deep engagement between the two countries in science and innovation as well as intercultural engagement and understanding</w:t>
            </w:r>
            <w:r w:rsidRPr="00775D97">
              <w:rPr>
                <w:rFonts w:asciiTheme="majorHAnsi" w:hAnsiTheme="majorHAnsi" w:cstheme="majorHAnsi"/>
              </w:rPr>
              <w:t xml:space="preserve">. </w:t>
            </w:r>
          </w:p>
        </w:tc>
      </w:tr>
      <w:tr w:rsidR="00FB3F68" w:rsidRPr="00775D97" w14:paraId="366DF743" w14:textId="77777777" w:rsidTr="00AC6BB1">
        <w:tc>
          <w:tcPr>
            <w:tcW w:w="704" w:type="dxa"/>
          </w:tcPr>
          <w:p w14:paraId="366DF741" w14:textId="77777777" w:rsidR="00FB3F68" w:rsidRPr="00775D97" w:rsidRDefault="00FB3F68" w:rsidP="00FB3F68">
            <w:pPr>
              <w:pStyle w:val="DHHSbody"/>
              <w:rPr>
                <w:rFonts w:asciiTheme="majorHAnsi" w:hAnsiTheme="majorHAnsi" w:cstheme="majorHAnsi"/>
              </w:rPr>
            </w:pPr>
            <w:r w:rsidRPr="00775D97">
              <w:rPr>
                <w:rFonts w:asciiTheme="majorHAnsi" w:hAnsiTheme="majorHAnsi" w:cstheme="majorHAnsi"/>
              </w:rPr>
              <w:t>6.3</w:t>
            </w:r>
          </w:p>
        </w:tc>
        <w:tc>
          <w:tcPr>
            <w:tcW w:w="8646" w:type="dxa"/>
          </w:tcPr>
          <w:p w14:paraId="366DF742" w14:textId="77777777" w:rsidR="00FB3F68" w:rsidRPr="00775D97" w:rsidRDefault="00FB3F68" w:rsidP="00F2235C">
            <w:pPr>
              <w:pStyle w:val="DHHSbody"/>
              <w:keepNext/>
              <w:keepLines/>
              <w:rPr>
                <w:rFonts w:asciiTheme="majorHAnsi" w:hAnsiTheme="majorHAnsi" w:cstheme="majorHAnsi"/>
              </w:rPr>
            </w:pPr>
            <w:r w:rsidRPr="00775D97">
              <w:rPr>
                <w:rFonts w:asciiTheme="majorHAnsi" w:hAnsiTheme="majorHAnsi" w:cstheme="majorHAnsi"/>
              </w:rPr>
              <w:t xml:space="preserve">The AISRF is </w:t>
            </w:r>
            <w:r w:rsidR="007B3E55">
              <w:rPr>
                <w:rFonts w:asciiTheme="majorHAnsi" w:hAnsiTheme="majorHAnsi" w:cstheme="majorHAnsi"/>
              </w:rPr>
              <w:t xml:space="preserve">playing a </w:t>
            </w:r>
            <w:r w:rsidRPr="00775D97">
              <w:rPr>
                <w:rFonts w:asciiTheme="majorHAnsi" w:hAnsiTheme="majorHAnsi" w:cstheme="majorHAnsi"/>
              </w:rPr>
              <w:t>unique</w:t>
            </w:r>
            <w:r w:rsidR="007B3E55">
              <w:rPr>
                <w:rFonts w:asciiTheme="majorHAnsi" w:hAnsiTheme="majorHAnsi" w:cstheme="majorHAnsi"/>
              </w:rPr>
              <w:t xml:space="preserve"> role in the Australia-India research relationship and is </w:t>
            </w:r>
            <w:r>
              <w:rPr>
                <w:rFonts w:asciiTheme="majorHAnsi" w:hAnsiTheme="majorHAnsi" w:cstheme="majorHAnsi"/>
              </w:rPr>
              <w:t xml:space="preserve">highly complementary to other Australian science programs and policies. </w:t>
            </w:r>
          </w:p>
        </w:tc>
      </w:tr>
    </w:tbl>
    <w:p w14:paraId="366DF744" w14:textId="77777777" w:rsidR="00B2323D" w:rsidRPr="00847F9C" w:rsidRDefault="00B2323D" w:rsidP="004872D4">
      <w:pPr>
        <w:pStyle w:val="DHHSbody"/>
        <w:jc w:val="both"/>
        <w:rPr>
          <w:rFonts w:asciiTheme="majorHAnsi" w:hAnsiTheme="majorHAnsi" w:cstheme="majorHAnsi"/>
          <w:b/>
        </w:rPr>
      </w:pPr>
    </w:p>
    <w:p w14:paraId="366DF745" w14:textId="77777777" w:rsidR="00B2323D" w:rsidRPr="00775D97" w:rsidRDefault="00B2323D" w:rsidP="00B2323D">
      <w:pPr>
        <w:pStyle w:val="Heading2"/>
        <w:rPr>
          <w:lang w:val="en-AU"/>
        </w:rPr>
      </w:pPr>
      <w:bookmarkStart w:id="2" w:name="_Toc517863588"/>
      <w:r w:rsidRPr="00775D97">
        <w:rPr>
          <w:lang w:val="en-AU"/>
        </w:rPr>
        <w:t>Recommendations</w:t>
      </w:r>
      <w:bookmarkEnd w:id="2"/>
    </w:p>
    <w:p w14:paraId="366DF746" w14:textId="77777777" w:rsidR="00797E1A" w:rsidRDefault="00C871F7" w:rsidP="004872D4">
      <w:pPr>
        <w:pStyle w:val="DHHSbody"/>
        <w:jc w:val="both"/>
        <w:rPr>
          <w:rFonts w:asciiTheme="majorHAnsi" w:hAnsiTheme="majorHAnsi" w:cstheme="majorHAnsi"/>
          <w:sz w:val="22"/>
          <w:szCs w:val="22"/>
        </w:rPr>
      </w:pPr>
      <w:r w:rsidRPr="006C06B9">
        <w:rPr>
          <w:rFonts w:asciiTheme="majorHAnsi" w:hAnsiTheme="majorHAnsi" w:cstheme="majorHAnsi"/>
          <w:b/>
          <w:sz w:val="22"/>
          <w:szCs w:val="22"/>
        </w:rPr>
        <w:t xml:space="preserve">Recommendation </w:t>
      </w:r>
      <w:r w:rsidR="006D533B" w:rsidRPr="006C06B9">
        <w:rPr>
          <w:rFonts w:asciiTheme="majorHAnsi" w:hAnsiTheme="majorHAnsi" w:cstheme="majorHAnsi"/>
          <w:b/>
          <w:sz w:val="22"/>
          <w:szCs w:val="22"/>
        </w:rPr>
        <w:t>1</w:t>
      </w:r>
      <w:r w:rsidRPr="006C06B9">
        <w:rPr>
          <w:rFonts w:asciiTheme="majorHAnsi" w:hAnsiTheme="majorHAnsi" w:cstheme="majorHAnsi"/>
          <w:b/>
          <w:sz w:val="22"/>
          <w:szCs w:val="22"/>
        </w:rPr>
        <w:t xml:space="preserve">: </w:t>
      </w:r>
      <w:r w:rsidR="000E4112">
        <w:rPr>
          <w:rFonts w:asciiTheme="majorHAnsi" w:hAnsiTheme="majorHAnsi" w:cstheme="majorHAnsi"/>
          <w:sz w:val="22"/>
          <w:szCs w:val="22"/>
        </w:rPr>
        <w:t xml:space="preserve">While retaining </w:t>
      </w:r>
      <w:r w:rsidR="004B719C">
        <w:rPr>
          <w:rFonts w:asciiTheme="majorHAnsi" w:hAnsiTheme="majorHAnsi" w:cstheme="majorHAnsi"/>
          <w:sz w:val="22"/>
          <w:szCs w:val="22"/>
        </w:rPr>
        <w:t xml:space="preserve">the </w:t>
      </w:r>
      <w:r w:rsidR="000E4112">
        <w:rPr>
          <w:rFonts w:asciiTheme="majorHAnsi" w:hAnsiTheme="majorHAnsi" w:cstheme="majorHAnsi"/>
          <w:sz w:val="22"/>
          <w:szCs w:val="22"/>
        </w:rPr>
        <w:t xml:space="preserve">building </w:t>
      </w:r>
      <w:r w:rsidR="004B719C">
        <w:rPr>
          <w:rFonts w:asciiTheme="majorHAnsi" w:hAnsiTheme="majorHAnsi" w:cstheme="majorHAnsi"/>
          <w:sz w:val="22"/>
          <w:szCs w:val="22"/>
        </w:rPr>
        <w:t xml:space="preserve">of </w:t>
      </w:r>
      <w:r w:rsidR="000E4112">
        <w:rPr>
          <w:rFonts w:asciiTheme="majorHAnsi" w:hAnsiTheme="majorHAnsi" w:cstheme="majorHAnsi"/>
          <w:sz w:val="22"/>
          <w:szCs w:val="22"/>
        </w:rPr>
        <w:t>research collaborations as its core focus, t</w:t>
      </w:r>
      <w:r w:rsidR="00865DFF" w:rsidRPr="006C06B9">
        <w:rPr>
          <w:rFonts w:asciiTheme="majorHAnsi" w:hAnsiTheme="majorHAnsi" w:cstheme="majorHAnsi"/>
          <w:sz w:val="22"/>
          <w:szCs w:val="22"/>
        </w:rPr>
        <w:t xml:space="preserve">he Department should consider further developing the objectives of the AISRF to </w:t>
      </w:r>
    </w:p>
    <w:p w14:paraId="366DF747" w14:textId="77777777" w:rsidR="00797E1A" w:rsidRDefault="00865DFF" w:rsidP="004872D4">
      <w:pPr>
        <w:pStyle w:val="DHHSbody"/>
        <w:jc w:val="both"/>
        <w:rPr>
          <w:rFonts w:asciiTheme="majorHAnsi" w:hAnsiTheme="majorHAnsi" w:cstheme="majorHAnsi"/>
          <w:sz w:val="22"/>
          <w:szCs w:val="22"/>
        </w:rPr>
      </w:pPr>
      <w:r w:rsidRPr="006C06B9">
        <w:rPr>
          <w:rFonts w:asciiTheme="majorHAnsi" w:hAnsiTheme="majorHAnsi" w:cstheme="majorHAnsi"/>
          <w:sz w:val="22"/>
          <w:szCs w:val="22"/>
        </w:rPr>
        <w:t xml:space="preserve">(a) </w:t>
      </w:r>
      <w:r w:rsidR="00797E1A" w:rsidRPr="006C06B9">
        <w:rPr>
          <w:rFonts w:asciiTheme="majorHAnsi" w:hAnsiTheme="majorHAnsi" w:cstheme="majorHAnsi"/>
          <w:sz w:val="22"/>
          <w:szCs w:val="22"/>
        </w:rPr>
        <w:t>More</w:t>
      </w:r>
      <w:r w:rsidRPr="006C06B9">
        <w:rPr>
          <w:rFonts w:asciiTheme="majorHAnsi" w:hAnsiTheme="majorHAnsi" w:cstheme="majorHAnsi"/>
          <w:sz w:val="22"/>
          <w:szCs w:val="22"/>
        </w:rPr>
        <w:t xml:space="preserve"> explicitly support the engagement of business in commercialising research outcomes</w:t>
      </w:r>
      <w:r w:rsidR="00797E1A">
        <w:rPr>
          <w:rFonts w:asciiTheme="majorHAnsi" w:hAnsiTheme="majorHAnsi" w:cstheme="majorHAnsi"/>
          <w:sz w:val="22"/>
          <w:szCs w:val="22"/>
        </w:rPr>
        <w:t xml:space="preserve">. </w:t>
      </w:r>
      <w:r w:rsidR="009674AA">
        <w:rPr>
          <w:rFonts w:asciiTheme="majorHAnsi" w:hAnsiTheme="majorHAnsi" w:cstheme="majorHAnsi"/>
          <w:sz w:val="22"/>
          <w:szCs w:val="22"/>
        </w:rPr>
        <w:t>Given</w:t>
      </w:r>
      <w:r w:rsidR="00797E1A">
        <w:rPr>
          <w:rFonts w:asciiTheme="majorHAnsi" w:hAnsiTheme="majorHAnsi" w:cstheme="majorHAnsi"/>
          <w:sz w:val="22"/>
          <w:szCs w:val="22"/>
        </w:rPr>
        <w:t xml:space="preserve"> AISRF project timelines are </w:t>
      </w:r>
      <w:r w:rsidR="009674AA">
        <w:rPr>
          <w:rFonts w:asciiTheme="majorHAnsi" w:hAnsiTheme="majorHAnsi" w:cstheme="majorHAnsi"/>
          <w:sz w:val="22"/>
          <w:szCs w:val="22"/>
        </w:rPr>
        <w:t>usually</w:t>
      </w:r>
      <w:r w:rsidR="00797E1A">
        <w:rPr>
          <w:rFonts w:asciiTheme="majorHAnsi" w:hAnsiTheme="majorHAnsi" w:cstheme="majorHAnsi"/>
          <w:sz w:val="22"/>
          <w:szCs w:val="22"/>
        </w:rPr>
        <w:t xml:space="preserve"> shorter than </w:t>
      </w:r>
      <w:r w:rsidR="004B719C">
        <w:rPr>
          <w:rFonts w:asciiTheme="majorHAnsi" w:hAnsiTheme="majorHAnsi" w:cstheme="majorHAnsi"/>
          <w:sz w:val="22"/>
          <w:szCs w:val="22"/>
        </w:rPr>
        <w:t xml:space="preserve">is </w:t>
      </w:r>
      <w:r w:rsidR="00797E1A">
        <w:rPr>
          <w:rFonts w:asciiTheme="majorHAnsi" w:hAnsiTheme="majorHAnsi" w:cstheme="majorHAnsi"/>
          <w:sz w:val="22"/>
          <w:szCs w:val="22"/>
        </w:rPr>
        <w:t xml:space="preserve">necessary to reach product commercialisation, </w:t>
      </w:r>
      <w:r w:rsidR="009674AA">
        <w:rPr>
          <w:rFonts w:asciiTheme="majorHAnsi" w:hAnsiTheme="majorHAnsi" w:cstheme="majorHAnsi"/>
          <w:sz w:val="22"/>
          <w:szCs w:val="22"/>
        </w:rPr>
        <w:t>this may include</w:t>
      </w:r>
      <w:r w:rsidR="00797E1A">
        <w:rPr>
          <w:rFonts w:asciiTheme="majorHAnsi" w:hAnsiTheme="majorHAnsi" w:cstheme="majorHAnsi"/>
          <w:sz w:val="22"/>
          <w:szCs w:val="22"/>
        </w:rPr>
        <w:t xml:space="preserve"> opportunities for assistance or facilitation for researchers, beyond the AISRF project.</w:t>
      </w:r>
      <w:r w:rsidRPr="006C06B9">
        <w:rPr>
          <w:rFonts w:asciiTheme="majorHAnsi" w:hAnsiTheme="majorHAnsi" w:cstheme="majorHAnsi"/>
          <w:sz w:val="22"/>
          <w:szCs w:val="22"/>
        </w:rPr>
        <w:t xml:space="preserve"> </w:t>
      </w:r>
    </w:p>
    <w:p w14:paraId="366DF748" w14:textId="77777777" w:rsidR="00865DFF" w:rsidRPr="006C06B9" w:rsidRDefault="00865DFF" w:rsidP="004872D4">
      <w:pPr>
        <w:pStyle w:val="DHHSbody"/>
        <w:jc w:val="both"/>
        <w:rPr>
          <w:rFonts w:asciiTheme="majorHAnsi" w:hAnsiTheme="majorHAnsi" w:cstheme="majorHAnsi"/>
          <w:b/>
          <w:sz w:val="22"/>
          <w:szCs w:val="22"/>
        </w:rPr>
      </w:pPr>
      <w:r w:rsidRPr="006C06B9">
        <w:rPr>
          <w:rFonts w:asciiTheme="majorHAnsi" w:hAnsiTheme="majorHAnsi" w:cstheme="majorHAnsi"/>
          <w:sz w:val="22"/>
          <w:szCs w:val="22"/>
        </w:rPr>
        <w:t xml:space="preserve">(b) </w:t>
      </w:r>
      <w:r w:rsidR="00797E1A" w:rsidRPr="006C06B9">
        <w:rPr>
          <w:rFonts w:asciiTheme="majorHAnsi" w:hAnsiTheme="majorHAnsi" w:cstheme="majorHAnsi"/>
          <w:sz w:val="22"/>
          <w:szCs w:val="22"/>
        </w:rPr>
        <w:t>Recognise</w:t>
      </w:r>
      <w:r w:rsidRPr="006C06B9">
        <w:rPr>
          <w:rFonts w:asciiTheme="majorHAnsi" w:hAnsiTheme="majorHAnsi" w:cstheme="majorHAnsi"/>
          <w:sz w:val="22"/>
          <w:szCs w:val="22"/>
        </w:rPr>
        <w:t xml:space="preserve"> the diplomatic value of the AISRF</w:t>
      </w:r>
      <w:r w:rsidR="00237DB1" w:rsidRPr="006C06B9">
        <w:rPr>
          <w:rFonts w:asciiTheme="majorHAnsi" w:hAnsiTheme="majorHAnsi" w:cstheme="majorHAnsi"/>
          <w:sz w:val="22"/>
          <w:szCs w:val="22"/>
        </w:rPr>
        <w:t>.</w:t>
      </w:r>
      <w:r w:rsidR="00797E1A">
        <w:rPr>
          <w:rFonts w:asciiTheme="majorHAnsi" w:hAnsiTheme="majorHAnsi" w:cstheme="majorHAnsi"/>
          <w:sz w:val="22"/>
          <w:szCs w:val="22"/>
        </w:rPr>
        <w:t xml:space="preserve"> </w:t>
      </w:r>
    </w:p>
    <w:p w14:paraId="366DF749" w14:textId="77777777" w:rsidR="00BD163C" w:rsidRDefault="00865DFF" w:rsidP="004872D4">
      <w:pPr>
        <w:pStyle w:val="DHHSbody"/>
        <w:jc w:val="both"/>
        <w:rPr>
          <w:rFonts w:asciiTheme="majorHAnsi" w:hAnsiTheme="majorHAnsi" w:cstheme="majorHAnsi"/>
          <w:sz w:val="22"/>
          <w:szCs w:val="22"/>
        </w:rPr>
      </w:pPr>
      <w:r w:rsidRPr="006C06B9">
        <w:rPr>
          <w:rFonts w:asciiTheme="majorHAnsi" w:hAnsiTheme="majorHAnsi" w:cstheme="majorHAnsi"/>
          <w:b/>
          <w:sz w:val="22"/>
          <w:szCs w:val="22"/>
        </w:rPr>
        <w:t xml:space="preserve">Recommendation 2: </w:t>
      </w:r>
      <w:r w:rsidRPr="006C06B9">
        <w:rPr>
          <w:rFonts w:asciiTheme="majorHAnsi" w:hAnsiTheme="majorHAnsi" w:cstheme="majorHAnsi"/>
          <w:sz w:val="22"/>
          <w:szCs w:val="22"/>
        </w:rPr>
        <w:t xml:space="preserve">There is a demonstrated need for the AISRF, therefore </w:t>
      </w:r>
      <w:r w:rsidR="009E3216" w:rsidRPr="006C06B9">
        <w:rPr>
          <w:rFonts w:asciiTheme="majorHAnsi" w:hAnsiTheme="majorHAnsi" w:cstheme="majorHAnsi"/>
          <w:sz w:val="22"/>
          <w:szCs w:val="22"/>
        </w:rPr>
        <w:t xml:space="preserve">the fund </w:t>
      </w:r>
      <w:r w:rsidR="006D533B" w:rsidRPr="006C06B9">
        <w:rPr>
          <w:rFonts w:asciiTheme="majorHAnsi" w:hAnsiTheme="majorHAnsi" w:cstheme="majorHAnsi"/>
          <w:sz w:val="22"/>
          <w:szCs w:val="22"/>
        </w:rPr>
        <w:t xml:space="preserve">should be continued. </w:t>
      </w:r>
      <w:r w:rsidRPr="006C06B9">
        <w:rPr>
          <w:rFonts w:asciiTheme="majorHAnsi" w:hAnsiTheme="majorHAnsi" w:cstheme="majorHAnsi"/>
          <w:sz w:val="22"/>
          <w:szCs w:val="22"/>
        </w:rPr>
        <w:t>Negotiation of ongoing funding sh</w:t>
      </w:r>
      <w:r w:rsidR="006D533B" w:rsidRPr="006C06B9">
        <w:rPr>
          <w:rFonts w:asciiTheme="majorHAnsi" w:hAnsiTheme="majorHAnsi" w:cstheme="majorHAnsi"/>
          <w:sz w:val="22"/>
          <w:szCs w:val="22"/>
        </w:rPr>
        <w:t xml:space="preserve">ould </w:t>
      </w:r>
      <w:r w:rsidRPr="006C06B9">
        <w:rPr>
          <w:rFonts w:asciiTheme="majorHAnsi" w:hAnsiTheme="majorHAnsi" w:cstheme="majorHAnsi"/>
          <w:sz w:val="22"/>
          <w:szCs w:val="22"/>
        </w:rPr>
        <w:t>explore</w:t>
      </w:r>
      <w:r w:rsidR="006D533B" w:rsidRPr="006C06B9">
        <w:rPr>
          <w:rFonts w:asciiTheme="majorHAnsi" w:hAnsiTheme="majorHAnsi" w:cstheme="majorHAnsi"/>
          <w:sz w:val="22"/>
          <w:szCs w:val="22"/>
        </w:rPr>
        <w:t xml:space="preserve"> the </w:t>
      </w:r>
      <w:r w:rsidRPr="006C06B9">
        <w:rPr>
          <w:rFonts w:asciiTheme="majorHAnsi" w:hAnsiTheme="majorHAnsi" w:cstheme="majorHAnsi"/>
          <w:sz w:val="22"/>
          <w:szCs w:val="22"/>
        </w:rPr>
        <w:t>value</w:t>
      </w:r>
      <w:r w:rsidR="006D533B" w:rsidRPr="006C06B9">
        <w:rPr>
          <w:rFonts w:asciiTheme="majorHAnsi" w:hAnsiTheme="majorHAnsi" w:cstheme="majorHAnsi"/>
          <w:sz w:val="22"/>
          <w:szCs w:val="22"/>
        </w:rPr>
        <w:t xml:space="preserve"> of increasing funding and/or making the fund permanent. </w:t>
      </w:r>
    </w:p>
    <w:p w14:paraId="366DF74A" w14:textId="77777777" w:rsidR="006D533B" w:rsidRPr="006C06B9" w:rsidRDefault="00797E1A" w:rsidP="004872D4">
      <w:pPr>
        <w:pStyle w:val="DHHSbody"/>
        <w:jc w:val="both"/>
        <w:rPr>
          <w:rFonts w:asciiTheme="majorHAnsi" w:hAnsiTheme="majorHAnsi" w:cstheme="majorHAnsi"/>
          <w:sz w:val="22"/>
          <w:szCs w:val="22"/>
        </w:rPr>
      </w:pPr>
      <w:r>
        <w:rPr>
          <w:rFonts w:asciiTheme="majorHAnsi" w:hAnsiTheme="majorHAnsi" w:cstheme="majorHAnsi"/>
          <w:sz w:val="22"/>
          <w:szCs w:val="22"/>
        </w:rPr>
        <w:t xml:space="preserve">Note: </w:t>
      </w:r>
      <w:r w:rsidR="00EC3A86">
        <w:rPr>
          <w:rFonts w:asciiTheme="majorHAnsi" w:hAnsiTheme="majorHAnsi" w:cstheme="majorHAnsi"/>
          <w:sz w:val="22"/>
          <w:szCs w:val="22"/>
        </w:rPr>
        <w:t>T</w:t>
      </w:r>
      <w:r>
        <w:rPr>
          <w:rFonts w:asciiTheme="majorHAnsi" w:hAnsiTheme="majorHAnsi" w:cstheme="majorHAnsi"/>
          <w:sz w:val="22"/>
          <w:szCs w:val="22"/>
        </w:rPr>
        <w:t>he 2018 budget did include an extension for the AISRF</w:t>
      </w:r>
      <w:r w:rsidR="00EF231F">
        <w:rPr>
          <w:rFonts w:asciiTheme="majorHAnsi" w:hAnsiTheme="majorHAnsi" w:cstheme="majorHAnsi"/>
          <w:sz w:val="22"/>
          <w:szCs w:val="22"/>
        </w:rPr>
        <w:t xml:space="preserve"> for four years</w:t>
      </w:r>
      <w:r>
        <w:rPr>
          <w:rFonts w:asciiTheme="majorHAnsi" w:hAnsiTheme="majorHAnsi" w:cstheme="majorHAnsi"/>
          <w:sz w:val="22"/>
          <w:szCs w:val="22"/>
        </w:rPr>
        <w:t>, but not permanent funding.</w:t>
      </w:r>
    </w:p>
    <w:p w14:paraId="366DF74B" w14:textId="77777777" w:rsidR="00865DFF" w:rsidRPr="006C06B9" w:rsidRDefault="006D533B" w:rsidP="004872D4">
      <w:pPr>
        <w:pStyle w:val="DHHSbody"/>
        <w:jc w:val="both"/>
        <w:rPr>
          <w:rFonts w:asciiTheme="majorHAnsi" w:hAnsiTheme="majorHAnsi" w:cstheme="majorHAnsi"/>
          <w:sz w:val="22"/>
          <w:szCs w:val="22"/>
        </w:rPr>
      </w:pPr>
      <w:r w:rsidRPr="00C45CCF">
        <w:rPr>
          <w:rFonts w:asciiTheme="majorHAnsi" w:hAnsiTheme="majorHAnsi" w:cstheme="majorHAnsi"/>
          <w:b/>
          <w:sz w:val="22"/>
          <w:szCs w:val="22"/>
        </w:rPr>
        <w:t xml:space="preserve">Recommendation </w:t>
      </w:r>
      <w:r w:rsidR="00AD5F58" w:rsidRPr="00C45CCF">
        <w:rPr>
          <w:rFonts w:asciiTheme="majorHAnsi" w:hAnsiTheme="majorHAnsi" w:cstheme="majorHAnsi"/>
          <w:b/>
          <w:sz w:val="22"/>
          <w:szCs w:val="22"/>
        </w:rPr>
        <w:t>3</w:t>
      </w:r>
      <w:r w:rsidRPr="00C45CCF">
        <w:rPr>
          <w:rFonts w:asciiTheme="majorHAnsi" w:hAnsiTheme="majorHAnsi" w:cstheme="majorHAnsi"/>
          <w:b/>
          <w:sz w:val="22"/>
          <w:szCs w:val="22"/>
        </w:rPr>
        <w:t>:</w:t>
      </w:r>
      <w:r w:rsidR="00AD5F58" w:rsidRPr="00C45CCF">
        <w:rPr>
          <w:rFonts w:asciiTheme="majorHAnsi" w:hAnsiTheme="majorHAnsi" w:cstheme="majorHAnsi"/>
          <w:sz w:val="22"/>
          <w:szCs w:val="22"/>
        </w:rPr>
        <w:t xml:space="preserve"> </w:t>
      </w:r>
      <w:proofErr w:type="spellStart"/>
      <w:r w:rsidRPr="00C45CCF">
        <w:rPr>
          <w:rFonts w:asciiTheme="majorHAnsi" w:hAnsiTheme="majorHAnsi" w:cstheme="majorHAnsi"/>
          <w:sz w:val="22"/>
          <w:szCs w:val="22"/>
        </w:rPr>
        <w:t>Aus</w:t>
      </w:r>
      <w:r w:rsidR="007F693F">
        <w:rPr>
          <w:rFonts w:asciiTheme="majorHAnsi" w:hAnsiTheme="majorHAnsi" w:cstheme="majorHAnsi"/>
          <w:sz w:val="22"/>
          <w:szCs w:val="22"/>
        </w:rPr>
        <w:t>I</w:t>
      </w:r>
      <w:r w:rsidRPr="00C45CCF">
        <w:rPr>
          <w:rFonts w:asciiTheme="majorHAnsi" w:hAnsiTheme="majorHAnsi" w:cstheme="majorHAnsi"/>
          <w:sz w:val="22"/>
          <w:szCs w:val="22"/>
        </w:rPr>
        <w:t>ndustry</w:t>
      </w:r>
      <w:proofErr w:type="spellEnd"/>
      <w:r w:rsidRPr="00C45CCF">
        <w:rPr>
          <w:rFonts w:asciiTheme="majorHAnsi" w:hAnsiTheme="majorHAnsi" w:cstheme="majorHAnsi"/>
          <w:sz w:val="22"/>
          <w:szCs w:val="22"/>
        </w:rPr>
        <w:t xml:space="preserve"> </w:t>
      </w:r>
      <w:r w:rsidR="00C45CCF" w:rsidRPr="00C45CCF">
        <w:rPr>
          <w:rFonts w:asciiTheme="majorHAnsi" w:hAnsiTheme="majorHAnsi" w:cstheme="majorHAnsi"/>
          <w:sz w:val="22"/>
          <w:szCs w:val="22"/>
        </w:rPr>
        <w:t>should continue to liaise with the Internat</w:t>
      </w:r>
      <w:r w:rsidR="00865DFF" w:rsidRPr="00C45CCF">
        <w:rPr>
          <w:rFonts w:asciiTheme="majorHAnsi" w:hAnsiTheme="majorHAnsi" w:cstheme="majorHAnsi"/>
          <w:sz w:val="22"/>
          <w:szCs w:val="22"/>
        </w:rPr>
        <w:t xml:space="preserve">ional Science Collaboration Team, </w:t>
      </w:r>
      <w:r w:rsidR="00C45CCF" w:rsidRPr="00C45CCF">
        <w:rPr>
          <w:rFonts w:asciiTheme="majorHAnsi" w:hAnsiTheme="majorHAnsi" w:cstheme="majorHAnsi"/>
          <w:sz w:val="22"/>
          <w:szCs w:val="22"/>
        </w:rPr>
        <w:t xml:space="preserve">to incorporate their expertise </w:t>
      </w:r>
      <w:r w:rsidR="00B6595F">
        <w:rPr>
          <w:rFonts w:asciiTheme="majorHAnsi" w:hAnsiTheme="majorHAnsi" w:cstheme="majorHAnsi"/>
          <w:sz w:val="22"/>
          <w:szCs w:val="22"/>
        </w:rPr>
        <w:t xml:space="preserve">of cultural and sociological matters, such as Indian engagement, </w:t>
      </w:r>
      <w:r w:rsidR="00C45CCF" w:rsidRPr="00C45CCF">
        <w:rPr>
          <w:rFonts w:asciiTheme="majorHAnsi" w:hAnsiTheme="majorHAnsi" w:cstheme="majorHAnsi"/>
          <w:sz w:val="22"/>
          <w:szCs w:val="22"/>
        </w:rPr>
        <w:t xml:space="preserve">into the </w:t>
      </w:r>
      <w:r w:rsidR="00B6595F">
        <w:rPr>
          <w:rFonts w:asciiTheme="majorHAnsi" w:hAnsiTheme="majorHAnsi" w:cstheme="majorHAnsi"/>
          <w:sz w:val="22"/>
          <w:szCs w:val="22"/>
        </w:rPr>
        <w:t xml:space="preserve">future </w:t>
      </w:r>
      <w:r w:rsidR="009674AA">
        <w:rPr>
          <w:rFonts w:asciiTheme="majorHAnsi" w:hAnsiTheme="majorHAnsi" w:cstheme="majorHAnsi"/>
          <w:sz w:val="22"/>
          <w:szCs w:val="22"/>
        </w:rPr>
        <w:t>operation</w:t>
      </w:r>
      <w:r w:rsidR="00B6595F" w:rsidRPr="00C45CCF">
        <w:rPr>
          <w:rFonts w:asciiTheme="majorHAnsi" w:hAnsiTheme="majorHAnsi" w:cstheme="majorHAnsi"/>
          <w:sz w:val="22"/>
          <w:szCs w:val="22"/>
        </w:rPr>
        <w:t xml:space="preserve"> </w:t>
      </w:r>
      <w:r w:rsidR="00C45CCF" w:rsidRPr="00C45CCF">
        <w:rPr>
          <w:rFonts w:asciiTheme="majorHAnsi" w:hAnsiTheme="majorHAnsi" w:cstheme="majorHAnsi"/>
          <w:sz w:val="22"/>
          <w:szCs w:val="22"/>
        </w:rPr>
        <w:t>of the AISRF</w:t>
      </w:r>
      <w:r w:rsidR="00865DFF" w:rsidRPr="00C45CCF">
        <w:rPr>
          <w:rFonts w:asciiTheme="majorHAnsi" w:hAnsiTheme="majorHAnsi" w:cstheme="majorHAnsi"/>
          <w:sz w:val="22"/>
          <w:szCs w:val="22"/>
        </w:rPr>
        <w:t>.</w:t>
      </w:r>
      <w:r w:rsidR="00437401">
        <w:rPr>
          <w:rFonts w:asciiTheme="majorHAnsi" w:hAnsiTheme="majorHAnsi" w:cstheme="majorHAnsi"/>
          <w:sz w:val="22"/>
          <w:szCs w:val="22"/>
        </w:rPr>
        <w:t xml:space="preserve"> </w:t>
      </w:r>
    </w:p>
    <w:p w14:paraId="366DF74C" w14:textId="77777777" w:rsidR="00C871F7" w:rsidRDefault="00657280" w:rsidP="00307D24">
      <w:pPr>
        <w:pStyle w:val="DHHSbody"/>
        <w:jc w:val="both"/>
        <w:rPr>
          <w:rFonts w:asciiTheme="majorHAnsi" w:hAnsiTheme="majorHAnsi" w:cstheme="majorHAnsi"/>
          <w:sz w:val="22"/>
          <w:szCs w:val="22"/>
        </w:rPr>
      </w:pPr>
      <w:r w:rsidRPr="00724ECC">
        <w:rPr>
          <w:rFonts w:asciiTheme="majorHAnsi" w:hAnsiTheme="majorHAnsi" w:cstheme="majorHAnsi"/>
          <w:b/>
          <w:sz w:val="22"/>
          <w:szCs w:val="22"/>
        </w:rPr>
        <w:t xml:space="preserve">Recommendation 4: </w:t>
      </w:r>
      <w:r w:rsidR="00EF231F" w:rsidRPr="00EF231F">
        <w:rPr>
          <w:rFonts w:asciiTheme="majorHAnsi" w:hAnsiTheme="majorHAnsi" w:cstheme="majorHAnsi"/>
          <w:sz w:val="22"/>
          <w:szCs w:val="22"/>
        </w:rPr>
        <w:t>The efficiency of the AISRF could be enhanced by ensuring some funding is not tied to sources such as ODA with eligibility restrictions.</w:t>
      </w:r>
      <w:r w:rsidR="00EF231F">
        <w:rPr>
          <w:rFonts w:asciiTheme="majorHAnsi" w:hAnsiTheme="majorHAnsi" w:cstheme="majorHAnsi"/>
          <w:sz w:val="22"/>
          <w:szCs w:val="22"/>
        </w:rPr>
        <w:t xml:space="preserve"> </w:t>
      </w:r>
      <w:r w:rsidR="00436BC1" w:rsidRPr="00436BC1">
        <w:rPr>
          <w:rFonts w:asciiTheme="majorHAnsi" w:hAnsiTheme="majorHAnsi" w:cstheme="majorHAnsi"/>
          <w:sz w:val="22"/>
          <w:szCs w:val="22"/>
        </w:rPr>
        <w:t>.</w:t>
      </w:r>
    </w:p>
    <w:p w14:paraId="366DF74D" w14:textId="77777777" w:rsidR="00EC3A86" w:rsidRPr="006C06B9" w:rsidRDefault="00EC3A86" w:rsidP="00EC3A86">
      <w:pPr>
        <w:pStyle w:val="DHHSbody"/>
        <w:jc w:val="both"/>
        <w:rPr>
          <w:rFonts w:asciiTheme="majorHAnsi" w:hAnsiTheme="majorHAnsi" w:cstheme="majorHAnsi"/>
          <w:sz w:val="22"/>
          <w:szCs w:val="22"/>
        </w:rPr>
      </w:pPr>
      <w:r>
        <w:rPr>
          <w:rFonts w:asciiTheme="majorHAnsi" w:hAnsiTheme="majorHAnsi" w:cstheme="majorHAnsi"/>
          <w:sz w:val="22"/>
          <w:szCs w:val="22"/>
        </w:rPr>
        <w:t>Note: The 2018 budget extension for the AISRF is fully funded through DIIS and therefore does not include ODA funding.</w:t>
      </w:r>
    </w:p>
    <w:p w14:paraId="366DF74E" w14:textId="77777777" w:rsidR="000B6688" w:rsidRPr="006C06B9" w:rsidRDefault="000B6688" w:rsidP="00307D24">
      <w:pPr>
        <w:pStyle w:val="DHHSbody"/>
        <w:jc w:val="both"/>
        <w:rPr>
          <w:rFonts w:asciiTheme="majorHAnsi" w:hAnsiTheme="majorHAnsi" w:cstheme="majorHAnsi"/>
          <w:sz w:val="22"/>
          <w:szCs w:val="22"/>
        </w:rPr>
      </w:pPr>
      <w:r w:rsidRPr="006C06B9">
        <w:rPr>
          <w:rFonts w:asciiTheme="majorHAnsi" w:hAnsiTheme="majorHAnsi" w:cstheme="majorHAnsi"/>
          <w:b/>
          <w:sz w:val="22"/>
          <w:szCs w:val="22"/>
        </w:rPr>
        <w:t>Recommendation 5:</w:t>
      </w:r>
      <w:r w:rsidRPr="006C06B9">
        <w:rPr>
          <w:rFonts w:asciiTheme="majorHAnsi" w:hAnsiTheme="majorHAnsi" w:cstheme="majorHAnsi"/>
          <w:sz w:val="22"/>
          <w:szCs w:val="22"/>
        </w:rPr>
        <w:t xml:space="preserve"> The Department </w:t>
      </w:r>
      <w:r w:rsidR="004B719C">
        <w:rPr>
          <w:rFonts w:asciiTheme="majorHAnsi" w:hAnsiTheme="majorHAnsi" w:cstheme="majorHAnsi"/>
          <w:sz w:val="22"/>
          <w:szCs w:val="22"/>
        </w:rPr>
        <w:t>should</w:t>
      </w:r>
      <w:r w:rsidR="004B719C" w:rsidRPr="006C06B9">
        <w:rPr>
          <w:rFonts w:asciiTheme="majorHAnsi" w:hAnsiTheme="majorHAnsi" w:cstheme="majorHAnsi"/>
          <w:sz w:val="22"/>
          <w:szCs w:val="22"/>
        </w:rPr>
        <w:t xml:space="preserve"> </w:t>
      </w:r>
      <w:r w:rsidR="00B6595F">
        <w:rPr>
          <w:rFonts w:asciiTheme="majorHAnsi" w:hAnsiTheme="majorHAnsi" w:cstheme="majorHAnsi"/>
          <w:sz w:val="22"/>
          <w:szCs w:val="22"/>
        </w:rPr>
        <w:t xml:space="preserve">maintain formal </w:t>
      </w:r>
      <w:r w:rsidRPr="006C06B9">
        <w:rPr>
          <w:rFonts w:asciiTheme="majorHAnsi" w:hAnsiTheme="majorHAnsi" w:cstheme="majorHAnsi"/>
          <w:sz w:val="22"/>
          <w:szCs w:val="22"/>
        </w:rPr>
        <w:t xml:space="preserve">mechanisms </w:t>
      </w:r>
      <w:r w:rsidR="00307D24">
        <w:rPr>
          <w:rFonts w:asciiTheme="majorHAnsi" w:hAnsiTheme="majorHAnsi" w:cstheme="majorHAnsi"/>
          <w:sz w:val="22"/>
          <w:szCs w:val="22"/>
        </w:rPr>
        <w:t>of</w:t>
      </w:r>
      <w:r w:rsidRPr="006C06B9">
        <w:rPr>
          <w:rFonts w:asciiTheme="majorHAnsi" w:hAnsiTheme="majorHAnsi" w:cstheme="majorHAnsi"/>
          <w:sz w:val="22"/>
          <w:szCs w:val="22"/>
        </w:rPr>
        <w:t xml:space="preserve"> feedback for unsuccessful applications.</w:t>
      </w:r>
    </w:p>
    <w:p w14:paraId="0CBF2EDB" w14:textId="3C06101C" w:rsidR="009E26BC" w:rsidRPr="000601EC" w:rsidRDefault="009E0D95" w:rsidP="004872D4">
      <w:pPr>
        <w:pStyle w:val="DHHSbody"/>
        <w:jc w:val="both"/>
        <w:rPr>
          <w:rFonts w:asciiTheme="majorHAnsi" w:hAnsiTheme="majorHAnsi" w:cstheme="majorHAnsi"/>
          <w:sz w:val="22"/>
          <w:szCs w:val="22"/>
        </w:rPr>
      </w:pPr>
      <w:r w:rsidRPr="006C06B9">
        <w:rPr>
          <w:rFonts w:asciiTheme="majorHAnsi" w:hAnsiTheme="majorHAnsi" w:cstheme="majorHAnsi"/>
          <w:b/>
          <w:sz w:val="22"/>
          <w:szCs w:val="22"/>
        </w:rPr>
        <w:t xml:space="preserve">Recommendation </w:t>
      </w:r>
      <w:r w:rsidR="00566D65" w:rsidRPr="006C06B9">
        <w:rPr>
          <w:rFonts w:asciiTheme="majorHAnsi" w:hAnsiTheme="majorHAnsi" w:cstheme="majorHAnsi"/>
          <w:b/>
          <w:sz w:val="22"/>
          <w:szCs w:val="22"/>
        </w:rPr>
        <w:t>6:</w:t>
      </w:r>
      <w:r w:rsidRPr="006C06B9">
        <w:rPr>
          <w:rFonts w:asciiTheme="majorHAnsi" w:hAnsiTheme="majorHAnsi" w:cstheme="majorHAnsi"/>
          <w:sz w:val="22"/>
          <w:szCs w:val="22"/>
        </w:rPr>
        <w:t xml:space="preserve"> </w:t>
      </w:r>
      <w:r w:rsidR="00FB3F68" w:rsidRPr="006C06B9">
        <w:rPr>
          <w:rFonts w:asciiTheme="majorHAnsi" w:hAnsiTheme="majorHAnsi" w:cstheme="majorHAnsi"/>
          <w:sz w:val="22"/>
          <w:szCs w:val="22"/>
        </w:rPr>
        <w:t>T</w:t>
      </w:r>
      <w:r w:rsidR="00237DB1" w:rsidRPr="006C06B9">
        <w:rPr>
          <w:rFonts w:asciiTheme="majorHAnsi" w:hAnsiTheme="majorHAnsi" w:cstheme="majorHAnsi"/>
          <w:sz w:val="22"/>
          <w:szCs w:val="22"/>
        </w:rPr>
        <w:t xml:space="preserve">he Department </w:t>
      </w:r>
      <w:r w:rsidR="004B719C">
        <w:rPr>
          <w:rFonts w:asciiTheme="majorHAnsi" w:hAnsiTheme="majorHAnsi" w:cstheme="majorHAnsi"/>
          <w:sz w:val="22"/>
          <w:szCs w:val="22"/>
        </w:rPr>
        <w:t xml:space="preserve">should </w:t>
      </w:r>
      <w:r w:rsidR="00EB5AFA">
        <w:rPr>
          <w:rFonts w:asciiTheme="majorHAnsi" w:hAnsiTheme="majorHAnsi" w:cstheme="majorHAnsi"/>
          <w:sz w:val="22"/>
          <w:szCs w:val="22"/>
        </w:rPr>
        <w:t xml:space="preserve">supplement its case study methodology of demonstrating impact with a quantitative </w:t>
      </w:r>
      <w:r w:rsidR="00237DB1" w:rsidRPr="006C06B9">
        <w:rPr>
          <w:rFonts w:asciiTheme="majorHAnsi" w:hAnsiTheme="majorHAnsi" w:cstheme="majorHAnsi"/>
          <w:sz w:val="22"/>
          <w:szCs w:val="22"/>
        </w:rPr>
        <w:t>reporting and monitoring framework</w:t>
      </w:r>
      <w:r w:rsidR="00EB5AFA">
        <w:rPr>
          <w:rFonts w:asciiTheme="majorHAnsi" w:hAnsiTheme="majorHAnsi" w:cstheme="majorHAnsi"/>
          <w:sz w:val="22"/>
          <w:szCs w:val="22"/>
        </w:rPr>
        <w:t>. This can be</w:t>
      </w:r>
      <w:r w:rsidR="00237DB1" w:rsidRPr="006C06B9">
        <w:rPr>
          <w:rFonts w:asciiTheme="majorHAnsi" w:hAnsiTheme="majorHAnsi" w:cstheme="majorHAnsi"/>
          <w:sz w:val="22"/>
          <w:szCs w:val="22"/>
        </w:rPr>
        <w:t xml:space="preserve"> </w:t>
      </w:r>
      <w:r w:rsidR="00566D65" w:rsidRPr="006C06B9">
        <w:rPr>
          <w:rFonts w:asciiTheme="majorHAnsi" w:hAnsiTheme="majorHAnsi" w:cstheme="majorHAnsi"/>
          <w:sz w:val="22"/>
          <w:szCs w:val="22"/>
        </w:rPr>
        <w:t xml:space="preserve">based on </w:t>
      </w:r>
      <w:r w:rsidR="00EB5AFA">
        <w:rPr>
          <w:rFonts w:asciiTheme="majorHAnsi" w:hAnsiTheme="majorHAnsi" w:cstheme="majorHAnsi"/>
          <w:sz w:val="22"/>
          <w:szCs w:val="22"/>
        </w:rPr>
        <w:t xml:space="preserve">collation of existing program performance data </w:t>
      </w:r>
      <w:r w:rsidR="00237DB1" w:rsidRPr="006C06B9">
        <w:rPr>
          <w:rFonts w:asciiTheme="majorHAnsi" w:hAnsiTheme="majorHAnsi" w:cstheme="majorHAnsi"/>
          <w:sz w:val="22"/>
          <w:szCs w:val="22"/>
        </w:rPr>
        <w:t>that carefully considers all objectives of the AISRF.</w:t>
      </w:r>
      <w:r w:rsidR="00566D65" w:rsidRPr="006C06B9">
        <w:rPr>
          <w:rFonts w:asciiTheme="majorHAnsi" w:hAnsiTheme="majorHAnsi" w:cstheme="majorHAnsi"/>
          <w:sz w:val="22"/>
          <w:szCs w:val="22"/>
        </w:rPr>
        <w:t xml:space="preserve"> </w:t>
      </w:r>
      <w:r w:rsidR="00237DB1" w:rsidRPr="006C06B9">
        <w:rPr>
          <w:rFonts w:asciiTheme="majorHAnsi" w:hAnsiTheme="majorHAnsi" w:cstheme="majorHAnsi"/>
          <w:sz w:val="22"/>
          <w:szCs w:val="22"/>
        </w:rPr>
        <w:t xml:space="preserve">This </w:t>
      </w:r>
      <w:r w:rsidR="00AD32B8">
        <w:rPr>
          <w:rFonts w:asciiTheme="majorHAnsi" w:hAnsiTheme="majorHAnsi" w:cstheme="majorHAnsi"/>
          <w:sz w:val="22"/>
          <w:szCs w:val="22"/>
        </w:rPr>
        <w:t xml:space="preserve">could be supported by the Department reviewing </w:t>
      </w:r>
      <w:r w:rsidR="009724FE">
        <w:rPr>
          <w:rFonts w:asciiTheme="majorHAnsi" w:hAnsiTheme="majorHAnsi" w:cstheme="majorHAnsi"/>
          <w:sz w:val="22"/>
          <w:szCs w:val="22"/>
        </w:rPr>
        <w:t>and updat</w:t>
      </w:r>
      <w:r w:rsidR="00AD32B8">
        <w:rPr>
          <w:rFonts w:asciiTheme="majorHAnsi" w:hAnsiTheme="majorHAnsi" w:cstheme="majorHAnsi"/>
          <w:sz w:val="22"/>
          <w:szCs w:val="22"/>
        </w:rPr>
        <w:t>ing</w:t>
      </w:r>
      <w:r w:rsidR="009724FE">
        <w:rPr>
          <w:rFonts w:asciiTheme="majorHAnsi" w:hAnsiTheme="majorHAnsi" w:cstheme="majorHAnsi"/>
          <w:sz w:val="22"/>
          <w:szCs w:val="22"/>
        </w:rPr>
        <w:t xml:space="preserve"> </w:t>
      </w:r>
      <w:r w:rsidR="00AD32B8">
        <w:rPr>
          <w:rFonts w:asciiTheme="majorHAnsi" w:hAnsiTheme="majorHAnsi" w:cstheme="majorHAnsi"/>
          <w:sz w:val="22"/>
          <w:szCs w:val="22"/>
        </w:rPr>
        <w:t xml:space="preserve">its Evaluation Ready </w:t>
      </w:r>
      <w:r w:rsidR="009724FE">
        <w:rPr>
          <w:rFonts w:asciiTheme="majorHAnsi" w:hAnsiTheme="majorHAnsi" w:cstheme="majorHAnsi"/>
          <w:sz w:val="22"/>
          <w:szCs w:val="22"/>
        </w:rPr>
        <w:t xml:space="preserve">Data Matrix </w:t>
      </w:r>
      <w:r w:rsidR="00AD32B8">
        <w:rPr>
          <w:rFonts w:asciiTheme="majorHAnsi" w:hAnsiTheme="majorHAnsi" w:cstheme="majorHAnsi"/>
          <w:sz w:val="22"/>
          <w:szCs w:val="22"/>
        </w:rPr>
        <w:t>in relation to program impact and value for money</w:t>
      </w:r>
      <w:r w:rsidR="009724FE">
        <w:rPr>
          <w:rFonts w:asciiTheme="majorHAnsi" w:hAnsiTheme="majorHAnsi" w:cstheme="majorHAnsi"/>
          <w:sz w:val="22"/>
          <w:szCs w:val="22"/>
        </w:rPr>
        <w:t>.</w:t>
      </w:r>
      <w:bookmarkStart w:id="3" w:name="_GoBack"/>
      <w:bookmarkEnd w:id="3"/>
    </w:p>
    <w:sectPr w:rsidR="009E26BC" w:rsidRPr="000601EC" w:rsidSect="00F67262">
      <w:footerReference w:type="default" r:id="rId14"/>
      <w:pgSz w:w="12240" w:h="15840"/>
      <w:pgMar w:top="1440" w:right="1440" w:bottom="1440" w:left="1440" w:header="720" w:footer="405"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DFEAD" w14:textId="77777777" w:rsidR="00B22B0E" w:rsidRDefault="00B22B0E" w:rsidP="00280BD8">
      <w:pPr>
        <w:spacing w:after="0" w:line="240" w:lineRule="auto"/>
      </w:pPr>
      <w:r>
        <w:separator/>
      </w:r>
    </w:p>
  </w:endnote>
  <w:endnote w:type="continuationSeparator" w:id="0">
    <w:p w14:paraId="366DFEAE" w14:textId="77777777" w:rsidR="00B22B0E" w:rsidRDefault="00B22B0E" w:rsidP="00280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ato">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rs Eaves Roman">
    <w:altName w:val="Mrs Eaves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b/>
        <w:color w:val="FF0000"/>
        <w:sz w:val="18"/>
        <w:szCs w:val="18"/>
      </w:rPr>
      <w:id w:val="984200426"/>
      <w:docPartObj>
        <w:docPartGallery w:val="Page Numbers (Bottom of Page)"/>
        <w:docPartUnique/>
      </w:docPartObj>
    </w:sdtPr>
    <w:sdtEndPr>
      <w:rPr>
        <w:b w:val="0"/>
        <w:noProof/>
        <w:color w:val="E65B01" w:themeColor="accent1" w:themeShade="BF"/>
      </w:rPr>
    </w:sdtEndPr>
    <w:sdtContent>
      <w:p w14:paraId="366DFEAF" w14:textId="77777777" w:rsidR="00B22B0E" w:rsidRPr="003E3BE4" w:rsidRDefault="00B22B0E" w:rsidP="003E3BE4">
        <w:pPr>
          <w:pStyle w:val="Footer"/>
          <w:rPr>
            <w:rFonts w:asciiTheme="majorHAnsi" w:hAnsiTheme="majorHAnsi" w:cstheme="majorHAnsi"/>
            <w:b/>
            <w:color w:val="FF0000"/>
            <w:sz w:val="18"/>
            <w:szCs w:val="18"/>
          </w:rPr>
        </w:pPr>
      </w:p>
      <w:p w14:paraId="366DFEB0" w14:textId="77777777" w:rsidR="00B22B0E" w:rsidRPr="002A30D9" w:rsidRDefault="00B22B0E">
        <w:pPr>
          <w:pStyle w:val="Footer"/>
          <w:jc w:val="right"/>
          <w:rPr>
            <w:rFonts w:asciiTheme="majorHAnsi" w:hAnsiTheme="majorHAnsi" w:cstheme="majorHAnsi"/>
            <w:color w:val="E65B01" w:themeColor="accent1" w:themeShade="BF"/>
            <w:sz w:val="18"/>
            <w:szCs w:val="18"/>
          </w:rPr>
        </w:pPr>
        <w:r w:rsidRPr="002A30D9">
          <w:rPr>
            <w:rFonts w:asciiTheme="majorHAnsi" w:hAnsiTheme="majorHAnsi" w:cstheme="majorHAnsi"/>
            <w:color w:val="E65B01" w:themeColor="accent1" w:themeShade="BF"/>
            <w:sz w:val="18"/>
            <w:szCs w:val="18"/>
          </w:rPr>
          <w:tab/>
        </w:r>
        <w:r w:rsidRPr="002A30D9">
          <w:rPr>
            <w:rFonts w:asciiTheme="majorHAnsi" w:hAnsiTheme="majorHAnsi" w:cstheme="majorHAnsi"/>
            <w:color w:val="E65B01" w:themeColor="accent1" w:themeShade="BF"/>
            <w:sz w:val="18"/>
            <w:szCs w:val="18"/>
          </w:rPr>
          <w:tab/>
        </w:r>
        <w:r w:rsidRPr="002A30D9">
          <w:rPr>
            <w:rFonts w:asciiTheme="majorHAnsi" w:hAnsiTheme="majorHAnsi" w:cstheme="majorHAnsi"/>
            <w:color w:val="E65B01" w:themeColor="accent1" w:themeShade="BF"/>
            <w:sz w:val="18"/>
            <w:szCs w:val="18"/>
          </w:rPr>
          <w:fldChar w:fldCharType="begin"/>
        </w:r>
        <w:r w:rsidRPr="002A30D9">
          <w:rPr>
            <w:rFonts w:asciiTheme="majorHAnsi" w:hAnsiTheme="majorHAnsi" w:cstheme="majorHAnsi"/>
            <w:color w:val="E65B01" w:themeColor="accent1" w:themeShade="BF"/>
            <w:sz w:val="18"/>
            <w:szCs w:val="18"/>
          </w:rPr>
          <w:instrText xml:space="preserve"> PAGE   \* MERGEFORMAT </w:instrText>
        </w:r>
        <w:r w:rsidRPr="002A30D9">
          <w:rPr>
            <w:rFonts w:asciiTheme="majorHAnsi" w:hAnsiTheme="majorHAnsi" w:cstheme="majorHAnsi"/>
            <w:color w:val="E65B01" w:themeColor="accent1" w:themeShade="BF"/>
            <w:sz w:val="18"/>
            <w:szCs w:val="18"/>
          </w:rPr>
          <w:fldChar w:fldCharType="separate"/>
        </w:r>
        <w:r w:rsidR="000601EC">
          <w:rPr>
            <w:rFonts w:asciiTheme="majorHAnsi" w:hAnsiTheme="majorHAnsi" w:cstheme="majorHAnsi"/>
            <w:noProof/>
            <w:color w:val="E65B01" w:themeColor="accent1" w:themeShade="BF"/>
            <w:sz w:val="18"/>
            <w:szCs w:val="18"/>
          </w:rPr>
          <w:t>4</w:t>
        </w:r>
        <w:r w:rsidRPr="002A30D9">
          <w:rPr>
            <w:rFonts w:asciiTheme="majorHAnsi" w:hAnsiTheme="majorHAnsi" w:cstheme="majorHAnsi"/>
            <w:noProof/>
            <w:color w:val="E65B01" w:themeColor="accent1" w:themeShade="BF"/>
            <w:sz w:val="18"/>
            <w:szCs w:val="18"/>
          </w:rPr>
          <w:fldChar w:fldCharType="end"/>
        </w:r>
      </w:p>
    </w:sdtContent>
  </w:sdt>
  <w:p w14:paraId="366DFEB1" w14:textId="77777777" w:rsidR="00B22B0E" w:rsidRDefault="00B22B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DFEAB" w14:textId="77777777" w:rsidR="00B22B0E" w:rsidRDefault="00B22B0E" w:rsidP="00280BD8">
      <w:pPr>
        <w:spacing w:after="0" w:line="240" w:lineRule="auto"/>
      </w:pPr>
      <w:r>
        <w:separator/>
      </w:r>
    </w:p>
  </w:footnote>
  <w:footnote w:type="continuationSeparator" w:id="0">
    <w:p w14:paraId="366DFEAC" w14:textId="77777777" w:rsidR="00B22B0E" w:rsidRDefault="00B22B0E" w:rsidP="00280B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276C"/>
    <w:multiLevelType w:val="hybridMultilevel"/>
    <w:tmpl w:val="17F8F9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F75B49"/>
    <w:multiLevelType w:val="hybridMultilevel"/>
    <w:tmpl w:val="F2621D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FC1613"/>
    <w:multiLevelType w:val="multilevel"/>
    <w:tmpl w:val="11F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700A2"/>
    <w:multiLevelType w:val="multilevel"/>
    <w:tmpl w:val="11F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43F64"/>
    <w:multiLevelType w:val="hybridMultilevel"/>
    <w:tmpl w:val="57A6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22C4C"/>
    <w:multiLevelType w:val="hybridMultilevel"/>
    <w:tmpl w:val="505A0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1A0E52"/>
    <w:multiLevelType w:val="multilevel"/>
    <w:tmpl w:val="173CB1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D6DC2"/>
    <w:multiLevelType w:val="hybridMultilevel"/>
    <w:tmpl w:val="4E6AC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91108D"/>
    <w:multiLevelType w:val="hybridMultilevel"/>
    <w:tmpl w:val="0BECA4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4791C19"/>
    <w:multiLevelType w:val="multilevel"/>
    <w:tmpl w:val="11F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98396E"/>
    <w:multiLevelType w:val="multilevel"/>
    <w:tmpl w:val="11F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5E396F"/>
    <w:multiLevelType w:val="hybridMultilevel"/>
    <w:tmpl w:val="36860814"/>
    <w:lvl w:ilvl="0" w:tplc="4220489A">
      <w:start w:val="1"/>
      <w:numFmt w:val="bullet"/>
      <w:lvlText w:val=""/>
      <w:lvlJc w:val="left"/>
      <w:pPr>
        <w:tabs>
          <w:tab w:val="num" w:pos="567"/>
        </w:tabs>
        <w:ind w:left="567" w:hanging="39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FA29AD"/>
    <w:multiLevelType w:val="hybridMultilevel"/>
    <w:tmpl w:val="ACBC1C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DD7601"/>
    <w:multiLevelType w:val="multilevel"/>
    <w:tmpl w:val="A14089C6"/>
    <w:lvl w:ilvl="0">
      <w:start w:val="1"/>
      <w:numFmt w:val="bullet"/>
      <w:lvlText w:val=""/>
      <w:lvlJc w:val="left"/>
      <w:pPr>
        <w:tabs>
          <w:tab w:val="num" w:pos="2862"/>
        </w:tabs>
        <w:ind w:left="2862" w:hanging="360"/>
      </w:pPr>
      <w:rPr>
        <w:rFonts w:ascii="Symbol" w:hAnsi="Symbol" w:hint="default"/>
        <w:sz w:val="20"/>
      </w:rPr>
    </w:lvl>
    <w:lvl w:ilvl="1" w:tentative="1">
      <w:start w:val="1"/>
      <w:numFmt w:val="bullet"/>
      <w:lvlText w:val=""/>
      <w:lvlJc w:val="left"/>
      <w:pPr>
        <w:tabs>
          <w:tab w:val="num" w:pos="3582"/>
        </w:tabs>
        <w:ind w:left="3582" w:hanging="360"/>
      </w:pPr>
      <w:rPr>
        <w:rFonts w:ascii="Symbol" w:hAnsi="Symbol" w:hint="default"/>
        <w:sz w:val="20"/>
      </w:rPr>
    </w:lvl>
    <w:lvl w:ilvl="2" w:tentative="1">
      <w:start w:val="1"/>
      <w:numFmt w:val="bullet"/>
      <w:lvlText w:val=""/>
      <w:lvlJc w:val="left"/>
      <w:pPr>
        <w:tabs>
          <w:tab w:val="num" w:pos="4302"/>
        </w:tabs>
        <w:ind w:left="4302" w:hanging="360"/>
      </w:pPr>
      <w:rPr>
        <w:rFonts w:ascii="Symbol" w:hAnsi="Symbol" w:hint="default"/>
        <w:sz w:val="20"/>
      </w:rPr>
    </w:lvl>
    <w:lvl w:ilvl="3" w:tentative="1">
      <w:start w:val="1"/>
      <w:numFmt w:val="bullet"/>
      <w:lvlText w:val=""/>
      <w:lvlJc w:val="left"/>
      <w:pPr>
        <w:tabs>
          <w:tab w:val="num" w:pos="5022"/>
        </w:tabs>
        <w:ind w:left="5022" w:hanging="360"/>
      </w:pPr>
      <w:rPr>
        <w:rFonts w:ascii="Symbol" w:hAnsi="Symbol" w:hint="default"/>
        <w:sz w:val="20"/>
      </w:rPr>
    </w:lvl>
    <w:lvl w:ilvl="4" w:tentative="1">
      <w:start w:val="1"/>
      <w:numFmt w:val="bullet"/>
      <w:lvlText w:val=""/>
      <w:lvlJc w:val="left"/>
      <w:pPr>
        <w:tabs>
          <w:tab w:val="num" w:pos="5742"/>
        </w:tabs>
        <w:ind w:left="5742" w:hanging="360"/>
      </w:pPr>
      <w:rPr>
        <w:rFonts w:ascii="Symbol" w:hAnsi="Symbol" w:hint="default"/>
        <w:sz w:val="20"/>
      </w:rPr>
    </w:lvl>
    <w:lvl w:ilvl="5" w:tentative="1">
      <w:start w:val="1"/>
      <w:numFmt w:val="bullet"/>
      <w:lvlText w:val=""/>
      <w:lvlJc w:val="left"/>
      <w:pPr>
        <w:tabs>
          <w:tab w:val="num" w:pos="6462"/>
        </w:tabs>
        <w:ind w:left="6462" w:hanging="360"/>
      </w:pPr>
      <w:rPr>
        <w:rFonts w:ascii="Symbol" w:hAnsi="Symbol" w:hint="default"/>
        <w:sz w:val="20"/>
      </w:rPr>
    </w:lvl>
    <w:lvl w:ilvl="6" w:tentative="1">
      <w:start w:val="1"/>
      <w:numFmt w:val="bullet"/>
      <w:lvlText w:val=""/>
      <w:lvlJc w:val="left"/>
      <w:pPr>
        <w:tabs>
          <w:tab w:val="num" w:pos="7182"/>
        </w:tabs>
        <w:ind w:left="7182" w:hanging="360"/>
      </w:pPr>
      <w:rPr>
        <w:rFonts w:ascii="Symbol" w:hAnsi="Symbol" w:hint="default"/>
        <w:sz w:val="20"/>
      </w:rPr>
    </w:lvl>
    <w:lvl w:ilvl="7" w:tentative="1">
      <w:start w:val="1"/>
      <w:numFmt w:val="bullet"/>
      <w:lvlText w:val=""/>
      <w:lvlJc w:val="left"/>
      <w:pPr>
        <w:tabs>
          <w:tab w:val="num" w:pos="7902"/>
        </w:tabs>
        <w:ind w:left="7902" w:hanging="360"/>
      </w:pPr>
      <w:rPr>
        <w:rFonts w:ascii="Symbol" w:hAnsi="Symbol" w:hint="default"/>
        <w:sz w:val="20"/>
      </w:rPr>
    </w:lvl>
    <w:lvl w:ilvl="8" w:tentative="1">
      <w:start w:val="1"/>
      <w:numFmt w:val="bullet"/>
      <w:lvlText w:val=""/>
      <w:lvlJc w:val="left"/>
      <w:pPr>
        <w:tabs>
          <w:tab w:val="num" w:pos="8622"/>
        </w:tabs>
        <w:ind w:left="8622" w:hanging="360"/>
      </w:pPr>
      <w:rPr>
        <w:rFonts w:ascii="Symbol" w:hAnsi="Symbol" w:hint="default"/>
        <w:sz w:val="20"/>
      </w:rPr>
    </w:lvl>
  </w:abstractNum>
  <w:abstractNum w:abstractNumId="14" w15:restartNumberingAfterBreak="0">
    <w:nsid w:val="1D835CFC"/>
    <w:multiLevelType w:val="hybridMultilevel"/>
    <w:tmpl w:val="74C6719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CA7B27"/>
    <w:multiLevelType w:val="hybridMultilevel"/>
    <w:tmpl w:val="A516E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557ADF"/>
    <w:multiLevelType w:val="multilevel"/>
    <w:tmpl w:val="11F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E10B98"/>
    <w:multiLevelType w:val="hybridMultilevel"/>
    <w:tmpl w:val="154A1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ED21CE"/>
    <w:multiLevelType w:val="multilevel"/>
    <w:tmpl w:val="11F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6A3A38"/>
    <w:multiLevelType w:val="hybridMultilevel"/>
    <w:tmpl w:val="4394D856"/>
    <w:lvl w:ilvl="0" w:tplc="F082319A">
      <w:numFmt w:val="bullet"/>
      <w:lvlText w:val="-"/>
      <w:lvlJc w:val="left"/>
      <w:pPr>
        <w:ind w:left="1800" w:hanging="360"/>
      </w:pPr>
      <w:rPr>
        <w:rFonts w:ascii="Calibri Light" w:eastAsiaTheme="minorHAnsi" w:hAnsi="Calibri Light" w:cs="Calibri Ligh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36C03F1"/>
    <w:multiLevelType w:val="multilevel"/>
    <w:tmpl w:val="11F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D51E0A"/>
    <w:multiLevelType w:val="hybridMultilevel"/>
    <w:tmpl w:val="36ACD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8E481F"/>
    <w:multiLevelType w:val="multilevel"/>
    <w:tmpl w:val="24C060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CC23B1"/>
    <w:multiLevelType w:val="multilevel"/>
    <w:tmpl w:val="0178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6038B4"/>
    <w:multiLevelType w:val="multilevel"/>
    <w:tmpl w:val="11F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CA1F17"/>
    <w:multiLevelType w:val="hybridMultilevel"/>
    <w:tmpl w:val="E0DCFE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AD77B26"/>
    <w:multiLevelType w:val="multilevel"/>
    <w:tmpl w:val="11F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653586"/>
    <w:multiLevelType w:val="multilevel"/>
    <w:tmpl w:val="11F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7924C2"/>
    <w:multiLevelType w:val="hybridMultilevel"/>
    <w:tmpl w:val="F23ED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2B5BA6"/>
    <w:multiLevelType w:val="hybridMultilevel"/>
    <w:tmpl w:val="206293E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426" w:hanging="360"/>
      </w:pPr>
      <w:rPr>
        <w:rFonts w:ascii="Courier New" w:hAnsi="Courier New" w:cs="Courier New" w:hint="default"/>
      </w:rPr>
    </w:lvl>
    <w:lvl w:ilvl="2" w:tplc="0C090005" w:tentative="1">
      <w:start w:val="1"/>
      <w:numFmt w:val="bullet"/>
      <w:lvlText w:val=""/>
      <w:lvlJc w:val="left"/>
      <w:pPr>
        <w:ind w:left="1146" w:hanging="360"/>
      </w:pPr>
      <w:rPr>
        <w:rFonts w:ascii="Wingdings" w:hAnsi="Wingdings" w:hint="default"/>
      </w:rPr>
    </w:lvl>
    <w:lvl w:ilvl="3" w:tplc="0C090001" w:tentative="1">
      <w:start w:val="1"/>
      <w:numFmt w:val="bullet"/>
      <w:lvlText w:val=""/>
      <w:lvlJc w:val="left"/>
      <w:pPr>
        <w:ind w:left="1866" w:hanging="360"/>
      </w:pPr>
      <w:rPr>
        <w:rFonts w:ascii="Symbol" w:hAnsi="Symbol" w:hint="default"/>
      </w:rPr>
    </w:lvl>
    <w:lvl w:ilvl="4" w:tplc="0C090003" w:tentative="1">
      <w:start w:val="1"/>
      <w:numFmt w:val="bullet"/>
      <w:lvlText w:val="o"/>
      <w:lvlJc w:val="left"/>
      <w:pPr>
        <w:ind w:left="2586" w:hanging="360"/>
      </w:pPr>
      <w:rPr>
        <w:rFonts w:ascii="Courier New" w:hAnsi="Courier New" w:cs="Courier New" w:hint="default"/>
      </w:rPr>
    </w:lvl>
    <w:lvl w:ilvl="5" w:tplc="0C090005" w:tentative="1">
      <w:start w:val="1"/>
      <w:numFmt w:val="bullet"/>
      <w:lvlText w:val=""/>
      <w:lvlJc w:val="left"/>
      <w:pPr>
        <w:ind w:left="3306" w:hanging="360"/>
      </w:pPr>
      <w:rPr>
        <w:rFonts w:ascii="Wingdings" w:hAnsi="Wingdings" w:hint="default"/>
      </w:rPr>
    </w:lvl>
    <w:lvl w:ilvl="6" w:tplc="0C090001" w:tentative="1">
      <w:start w:val="1"/>
      <w:numFmt w:val="bullet"/>
      <w:lvlText w:val=""/>
      <w:lvlJc w:val="left"/>
      <w:pPr>
        <w:ind w:left="4026" w:hanging="360"/>
      </w:pPr>
      <w:rPr>
        <w:rFonts w:ascii="Symbol" w:hAnsi="Symbol" w:hint="default"/>
      </w:rPr>
    </w:lvl>
    <w:lvl w:ilvl="7" w:tplc="0C090003" w:tentative="1">
      <w:start w:val="1"/>
      <w:numFmt w:val="bullet"/>
      <w:lvlText w:val="o"/>
      <w:lvlJc w:val="left"/>
      <w:pPr>
        <w:ind w:left="4746" w:hanging="360"/>
      </w:pPr>
      <w:rPr>
        <w:rFonts w:ascii="Courier New" w:hAnsi="Courier New" w:cs="Courier New" w:hint="default"/>
      </w:rPr>
    </w:lvl>
    <w:lvl w:ilvl="8" w:tplc="0C090005" w:tentative="1">
      <w:start w:val="1"/>
      <w:numFmt w:val="bullet"/>
      <w:lvlText w:val=""/>
      <w:lvlJc w:val="left"/>
      <w:pPr>
        <w:ind w:left="5466" w:hanging="360"/>
      </w:pPr>
      <w:rPr>
        <w:rFonts w:ascii="Wingdings" w:hAnsi="Wingdings" w:hint="default"/>
      </w:rPr>
    </w:lvl>
  </w:abstractNum>
  <w:abstractNum w:abstractNumId="30" w15:restartNumberingAfterBreak="0">
    <w:nsid w:val="436F4709"/>
    <w:multiLevelType w:val="hybridMultilevel"/>
    <w:tmpl w:val="B9463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C8187E"/>
    <w:multiLevelType w:val="multilevel"/>
    <w:tmpl w:val="1FBCB402"/>
    <w:lvl w:ilvl="0">
      <w:start w:val="1"/>
      <w:numFmt w:val="bullet"/>
      <w:lvlText w:val=""/>
      <w:lvlJc w:val="left"/>
      <w:pPr>
        <w:ind w:left="720" w:hanging="360"/>
      </w:pPr>
      <w:rPr>
        <w:rFonts w:ascii="Symbol" w:hAnsi="Symbol" w:hint="default"/>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542A93"/>
    <w:multiLevelType w:val="multilevel"/>
    <w:tmpl w:val="DEBC684E"/>
    <w:lvl w:ilvl="0">
      <w:start w:val="1"/>
      <w:numFmt w:val="decimal"/>
      <w:lvlText w:val="%1."/>
      <w:lvlJc w:val="left"/>
      <w:pPr>
        <w:ind w:left="720" w:hanging="360"/>
      </w:pPr>
      <w:rPr>
        <w:i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48BE77CD"/>
    <w:multiLevelType w:val="hybridMultilevel"/>
    <w:tmpl w:val="839C6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5564EA"/>
    <w:multiLevelType w:val="hybridMultilevel"/>
    <w:tmpl w:val="87C2B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ACA7626"/>
    <w:multiLevelType w:val="hybridMultilevel"/>
    <w:tmpl w:val="06AA2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B971FEE"/>
    <w:multiLevelType w:val="hybridMultilevel"/>
    <w:tmpl w:val="279A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A06E05"/>
    <w:multiLevelType w:val="multilevel"/>
    <w:tmpl w:val="11F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465E9C"/>
    <w:multiLevelType w:val="multilevel"/>
    <w:tmpl w:val="11F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7845D1"/>
    <w:multiLevelType w:val="multilevel"/>
    <w:tmpl w:val="DEBC684E"/>
    <w:lvl w:ilvl="0">
      <w:start w:val="1"/>
      <w:numFmt w:val="decimal"/>
      <w:lvlText w:val="%1."/>
      <w:lvlJc w:val="left"/>
      <w:pPr>
        <w:ind w:left="720" w:hanging="360"/>
      </w:pPr>
      <w:rPr>
        <w:i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534D6541"/>
    <w:multiLevelType w:val="hybridMultilevel"/>
    <w:tmpl w:val="7F4CEB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57521BD"/>
    <w:multiLevelType w:val="multilevel"/>
    <w:tmpl w:val="11F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612010"/>
    <w:multiLevelType w:val="multilevel"/>
    <w:tmpl w:val="11F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021F47"/>
    <w:multiLevelType w:val="hybridMultilevel"/>
    <w:tmpl w:val="1BDC20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7441663"/>
    <w:multiLevelType w:val="hybridMultilevel"/>
    <w:tmpl w:val="2E98D952"/>
    <w:lvl w:ilvl="0" w:tplc="62408DB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8AC7441"/>
    <w:multiLevelType w:val="multilevel"/>
    <w:tmpl w:val="11F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957167F"/>
    <w:multiLevelType w:val="hybridMultilevel"/>
    <w:tmpl w:val="67908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E6346E6"/>
    <w:multiLevelType w:val="hybridMultilevel"/>
    <w:tmpl w:val="81086D68"/>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48" w15:restartNumberingAfterBreak="0">
    <w:nsid w:val="6051610B"/>
    <w:multiLevelType w:val="hybridMultilevel"/>
    <w:tmpl w:val="49A82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2313B67"/>
    <w:multiLevelType w:val="hybridMultilevel"/>
    <w:tmpl w:val="41445D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5EF60EA"/>
    <w:multiLevelType w:val="multilevel"/>
    <w:tmpl w:val="5412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CE3C82"/>
    <w:multiLevelType w:val="hybridMultilevel"/>
    <w:tmpl w:val="DA56D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73A5995"/>
    <w:multiLevelType w:val="multilevel"/>
    <w:tmpl w:val="11F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8C76564"/>
    <w:multiLevelType w:val="multilevel"/>
    <w:tmpl w:val="11F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680128"/>
    <w:multiLevelType w:val="multilevel"/>
    <w:tmpl w:val="DEBC684E"/>
    <w:lvl w:ilvl="0">
      <w:start w:val="1"/>
      <w:numFmt w:val="decimal"/>
      <w:lvlText w:val="%1."/>
      <w:lvlJc w:val="left"/>
      <w:pPr>
        <w:ind w:left="720" w:hanging="360"/>
      </w:pPr>
      <w:rPr>
        <w:i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6980205A"/>
    <w:multiLevelType w:val="multilevel"/>
    <w:tmpl w:val="11F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98B5692"/>
    <w:multiLevelType w:val="hybridMultilevel"/>
    <w:tmpl w:val="AB9C06EE"/>
    <w:lvl w:ilvl="0" w:tplc="0C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9A003C"/>
    <w:multiLevelType w:val="hybridMultilevel"/>
    <w:tmpl w:val="3BA8F7DA"/>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6CD14A02"/>
    <w:multiLevelType w:val="hybridMultilevel"/>
    <w:tmpl w:val="04C2F0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0390A70"/>
    <w:multiLevelType w:val="multilevel"/>
    <w:tmpl w:val="11F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15E6A70"/>
    <w:multiLevelType w:val="hybridMultilevel"/>
    <w:tmpl w:val="F2343D36"/>
    <w:lvl w:ilvl="0" w:tplc="89806832">
      <w:start w:val="1"/>
      <w:numFmt w:val="decimal"/>
      <w:lvlText w:val="%1."/>
      <w:lvlJc w:val="left"/>
      <w:pPr>
        <w:ind w:left="786"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1809DE"/>
    <w:multiLevelType w:val="multilevel"/>
    <w:tmpl w:val="11F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635247A"/>
    <w:multiLevelType w:val="multilevel"/>
    <w:tmpl w:val="11F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69A42D6"/>
    <w:multiLevelType w:val="hybridMultilevel"/>
    <w:tmpl w:val="4C2CA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3D2851"/>
    <w:multiLevelType w:val="multilevel"/>
    <w:tmpl w:val="11F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704D8B"/>
    <w:multiLevelType w:val="multilevel"/>
    <w:tmpl w:val="11F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9E43E5"/>
    <w:multiLevelType w:val="hybridMultilevel"/>
    <w:tmpl w:val="A05E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4265E9"/>
    <w:multiLevelType w:val="hybridMultilevel"/>
    <w:tmpl w:val="F0F0A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4"/>
  </w:num>
  <w:num w:numId="2">
    <w:abstractNumId w:val="4"/>
  </w:num>
  <w:num w:numId="3">
    <w:abstractNumId w:val="36"/>
  </w:num>
  <w:num w:numId="4">
    <w:abstractNumId w:val="51"/>
  </w:num>
  <w:num w:numId="5">
    <w:abstractNumId w:val="23"/>
  </w:num>
  <w:num w:numId="6">
    <w:abstractNumId w:val="50"/>
  </w:num>
  <w:num w:numId="7">
    <w:abstractNumId w:val="66"/>
  </w:num>
  <w:num w:numId="8">
    <w:abstractNumId w:val="19"/>
  </w:num>
  <w:num w:numId="9">
    <w:abstractNumId w:val="21"/>
  </w:num>
  <w:num w:numId="10">
    <w:abstractNumId w:val="44"/>
  </w:num>
  <w:num w:numId="11">
    <w:abstractNumId w:val="57"/>
  </w:num>
  <w:num w:numId="12">
    <w:abstractNumId w:val="29"/>
  </w:num>
  <w:num w:numId="13">
    <w:abstractNumId w:val="31"/>
  </w:num>
  <w:num w:numId="14">
    <w:abstractNumId w:val="14"/>
  </w:num>
  <w:num w:numId="15">
    <w:abstractNumId w:val="11"/>
  </w:num>
  <w:num w:numId="16">
    <w:abstractNumId w:val="42"/>
  </w:num>
  <w:num w:numId="17">
    <w:abstractNumId w:val="30"/>
  </w:num>
  <w:num w:numId="18">
    <w:abstractNumId w:val="28"/>
  </w:num>
  <w:num w:numId="19">
    <w:abstractNumId w:val="67"/>
  </w:num>
  <w:num w:numId="20">
    <w:abstractNumId w:val="33"/>
  </w:num>
  <w:num w:numId="21">
    <w:abstractNumId w:val="52"/>
  </w:num>
  <w:num w:numId="22">
    <w:abstractNumId w:val="10"/>
  </w:num>
  <w:num w:numId="23">
    <w:abstractNumId w:val="45"/>
  </w:num>
  <w:num w:numId="24">
    <w:abstractNumId w:val="48"/>
  </w:num>
  <w:num w:numId="25">
    <w:abstractNumId w:val="15"/>
  </w:num>
  <w:num w:numId="26">
    <w:abstractNumId w:val="46"/>
  </w:num>
  <w:num w:numId="27">
    <w:abstractNumId w:val="13"/>
  </w:num>
  <w:num w:numId="28">
    <w:abstractNumId w:val="65"/>
  </w:num>
  <w:num w:numId="29">
    <w:abstractNumId w:val="26"/>
  </w:num>
  <w:num w:numId="30">
    <w:abstractNumId w:val="41"/>
  </w:num>
  <w:num w:numId="31">
    <w:abstractNumId w:val="16"/>
  </w:num>
  <w:num w:numId="32">
    <w:abstractNumId w:val="18"/>
  </w:num>
  <w:num w:numId="33">
    <w:abstractNumId w:val="6"/>
  </w:num>
  <w:num w:numId="34">
    <w:abstractNumId w:val="20"/>
  </w:num>
  <w:num w:numId="35">
    <w:abstractNumId w:val="59"/>
  </w:num>
  <w:num w:numId="36">
    <w:abstractNumId w:val="9"/>
  </w:num>
  <w:num w:numId="37">
    <w:abstractNumId w:val="64"/>
  </w:num>
  <w:num w:numId="38">
    <w:abstractNumId w:val="38"/>
  </w:num>
  <w:num w:numId="39">
    <w:abstractNumId w:val="55"/>
  </w:num>
  <w:num w:numId="40">
    <w:abstractNumId w:val="22"/>
  </w:num>
  <w:num w:numId="41">
    <w:abstractNumId w:val="61"/>
  </w:num>
  <w:num w:numId="42">
    <w:abstractNumId w:val="27"/>
  </w:num>
  <w:num w:numId="43">
    <w:abstractNumId w:val="62"/>
  </w:num>
  <w:num w:numId="44">
    <w:abstractNumId w:val="24"/>
  </w:num>
  <w:num w:numId="45">
    <w:abstractNumId w:val="3"/>
  </w:num>
  <w:num w:numId="46">
    <w:abstractNumId w:val="37"/>
  </w:num>
  <w:num w:numId="47">
    <w:abstractNumId w:val="2"/>
  </w:num>
  <w:num w:numId="48">
    <w:abstractNumId w:val="53"/>
  </w:num>
  <w:num w:numId="49">
    <w:abstractNumId w:val="5"/>
  </w:num>
  <w:num w:numId="50">
    <w:abstractNumId w:val="35"/>
  </w:num>
  <w:num w:numId="51">
    <w:abstractNumId w:val="47"/>
  </w:num>
  <w:num w:numId="52">
    <w:abstractNumId w:val="7"/>
  </w:num>
  <w:num w:numId="53">
    <w:abstractNumId w:val="12"/>
  </w:num>
  <w:num w:numId="54">
    <w:abstractNumId w:val="32"/>
  </w:num>
  <w:num w:numId="55">
    <w:abstractNumId w:val="39"/>
  </w:num>
  <w:num w:numId="56">
    <w:abstractNumId w:val="17"/>
  </w:num>
  <w:num w:numId="57">
    <w:abstractNumId w:val="63"/>
  </w:num>
  <w:num w:numId="58">
    <w:abstractNumId w:val="60"/>
  </w:num>
  <w:num w:numId="59">
    <w:abstractNumId w:val="34"/>
  </w:num>
  <w:num w:numId="60">
    <w:abstractNumId w:val="56"/>
  </w:num>
  <w:num w:numId="61">
    <w:abstractNumId w:val="1"/>
  </w:num>
  <w:num w:numId="62">
    <w:abstractNumId w:val="40"/>
  </w:num>
  <w:num w:numId="63">
    <w:abstractNumId w:val="58"/>
  </w:num>
  <w:num w:numId="64">
    <w:abstractNumId w:val="49"/>
  </w:num>
  <w:num w:numId="65">
    <w:abstractNumId w:val="8"/>
  </w:num>
  <w:num w:numId="66">
    <w:abstractNumId w:val="43"/>
  </w:num>
  <w:num w:numId="67">
    <w:abstractNumId w:val="25"/>
  </w:num>
  <w:num w:numId="68">
    <w:abstractNumId w:val="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5F"/>
    <w:rsid w:val="00003D6F"/>
    <w:rsid w:val="00004AAC"/>
    <w:rsid w:val="00010011"/>
    <w:rsid w:val="0001290D"/>
    <w:rsid w:val="00014517"/>
    <w:rsid w:val="00016D0F"/>
    <w:rsid w:val="000172E7"/>
    <w:rsid w:val="00017C96"/>
    <w:rsid w:val="00021A82"/>
    <w:rsid w:val="0002255F"/>
    <w:rsid w:val="00027581"/>
    <w:rsid w:val="00027A55"/>
    <w:rsid w:val="00031E0F"/>
    <w:rsid w:val="000330B4"/>
    <w:rsid w:val="000343E5"/>
    <w:rsid w:val="000404EB"/>
    <w:rsid w:val="00041547"/>
    <w:rsid w:val="0004288B"/>
    <w:rsid w:val="00042DD2"/>
    <w:rsid w:val="0004471A"/>
    <w:rsid w:val="00044E17"/>
    <w:rsid w:val="00045B2E"/>
    <w:rsid w:val="0005287D"/>
    <w:rsid w:val="00052F38"/>
    <w:rsid w:val="00054928"/>
    <w:rsid w:val="00055B54"/>
    <w:rsid w:val="00057372"/>
    <w:rsid w:val="00057CF2"/>
    <w:rsid w:val="00057E1A"/>
    <w:rsid w:val="000601EC"/>
    <w:rsid w:val="00060272"/>
    <w:rsid w:val="00060752"/>
    <w:rsid w:val="0006089B"/>
    <w:rsid w:val="00060B55"/>
    <w:rsid w:val="00060E67"/>
    <w:rsid w:val="00061C04"/>
    <w:rsid w:val="00064024"/>
    <w:rsid w:val="000647F6"/>
    <w:rsid w:val="00067DD3"/>
    <w:rsid w:val="00071057"/>
    <w:rsid w:val="00074A4B"/>
    <w:rsid w:val="00075050"/>
    <w:rsid w:val="000768B8"/>
    <w:rsid w:val="0007710D"/>
    <w:rsid w:val="00077BE7"/>
    <w:rsid w:val="00084B15"/>
    <w:rsid w:val="00086D41"/>
    <w:rsid w:val="00092913"/>
    <w:rsid w:val="00093DF6"/>
    <w:rsid w:val="00094A28"/>
    <w:rsid w:val="00095D2E"/>
    <w:rsid w:val="0009628D"/>
    <w:rsid w:val="000A11C7"/>
    <w:rsid w:val="000A1F62"/>
    <w:rsid w:val="000A2036"/>
    <w:rsid w:val="000A2084"/>
    <w:rsid w:val="000A2C2E"/>
    <w:rsid w:val="000A352C"/>
    <w:rsid w:val="000A5630"/>
    <w:rsid w:val="000A65A1"/>
    <w:rsid w:val="000A7B26"/>
    <w:rsid w:val="000B0257"/>
    <w:rsid w:val="000B0DBD"/>
    <w:rsid w:val="000B11C5"/>
    <w:rsid w:val="000B2044"/>
    <w:rsid w:val="000B2D44"/>
    <w:rsid w:val="000B5C2B"/>
    <w:rsid w:val="000B6688"/>
    <w:rsid w:val="000C2D32"/>
    <w:rsid w:val="000C2D37"/>
    <w:rsid w:val="000C3249"/>
    <w:rsid w:val="000D07FD"/>
    <w:rsid w:val="000D0E5E"/>
    <w:rsid w:val="000D128A"/>
    <w:rsid w:val="000D381F"/>
    <w:rsid w:val="000D5B6B"/>
    <w:rsid w:val="000D645D"/>
    <w:rsid w:val="000D728C"/>
    <w:rsid w:val="000E03C1"/>
    <w:rsid w:val="000E11CF"/>
    <w:rsid w:val="000E1598"/>
    <w:rsid w:val="000E4112"/>
    <w:rsid w:val="000E7561"/>
    <w:rsid w:val="000F283A"/>
    <w:rsid w:val="000F46B1"/>
    <w:rsid w:val="000F4C6F"/>
    <w:rsid w:val="000F55FA"/>
    <w:rsid w:val="000F6E25"/>
    <w:rsid w:val="000F76B8"/>
    <w:rsid w:val="0010095E"/>
    <w:rsid w:val="00100AD2"/>
    <w:rsid w:val="001040FD"/>
    <w:rsid w:val="00104766"/>
    <w:rsid w:val="0010788D"/>
    <w:rsid w:val="00113C4C"/>
    <w:rsid w:val="00115A44"/>
    <w:rsid w:val="001166D7"/>
    <w:rsid w:val="00116C86"/>
    <w:rsid w:val="001227F2"/>
    <w:rsid w:val="00125941"/>
    <w:rsid w:val="00125C78"/>
    <w:rsid w:val="001268E6"/>
    <w:rsid w:val="001307B5"/>
    <w:rsid w:val="001336D5"/>
    <w:rsid w:val="00135A18"/>
    <w:rsid w:val="001370A4"/>
    <w:rsid w:val="00143799"/>
    <w:rsid w:val="00144716"/>
    <w:rsid w:val="00151026"/>
    <w:rsid w:val="00151986"/>
    <w:rsid w:val="00153049"/>
    <w:rsid w:val="00154FFE"/>
    <w:rsid w:val="00156F77"/>
    <w:rsid w:val="001578F3"/>
    <w:rsid w:val="00160864"/>
    <w:rsid w:val="00161A14"/>
    <w:rsid w:val="0016493D"/>
    <w:rsid w:val="00164F10"/>
    <w:rsid w:val="001655E6"/>
    <w:rsid w:val="0016717D"/>
    <w:rsid w:val="00170D97"/>
    <w:rsid w:val="001715A1"/>
    <w:rsid w:val="001719B3"/>
    <w:rsid w:val="00176126"/>
    <w:rsid w:val="001779DD"/>
    <w:rsid w:val="00182A41"/>
    <w:rsid w:val="00183641"/>
    <w:rsid w:val="00184601"/>
    <w:rsid w:val="00185F02"/>
    <w:rsid w:val="00187926"/>
    <w:rsid w:val="001879A5"/>
    <w:rsid w:val="00190AF7"/>
    <w:rsid w:val="0019178B"/>
    <w:rsid w:val="00192A05"/>
    <w:rsid w:val="00193724"/>
    <w:rsid w:val="00193A34"/>
    <w:rsid w:val="00195A2C"/>
    <w:rsid w:val="00195FC0"/>
    <w:rsid w:val="00196174"/>
    <w:rsid w:val="001A28DA"/>
    <w:rsid w:val="001A51F3"/>
    <w:rsid w:val="001B14BF"/>
    <w:rsid w:val="001B3C76"/>
    <w:rsid w:val="001B74B7"/>
    <w:rsid w:val="001B7B5B"/>
    <w:rsid w:val="001C1173"/>
    <w:rsid w:val="001C2A37"/>
    <w:rsid w:val="001C32EB"/>
    <w:rsid w:val="001C3BCA"/>
    <w:rsid w:val="001C6034"/>
    <w:rsid w:val="001D00DD"/>
    <w:rsid w:val="001D1473"/>
    <w:rsid w:val="001D2E6E"/>
    <w:rsid w:val="001D3941"/>
    <w:rsid w:val="001D6060"/>
    <w:rsid w:val="001D6607"/>
    <w:rsid w:val="001D755E"/>
    <w:rsid w:val="001E1884"/>
    <w:rsid w:val="001E18EA"/>
    <w:rsid w:val="001E3423"/>
    <w:rsid w:val="001F0507"/>
    <w:rsid w:val="001F1520"/>
    <w:rsid w:val="001F153F"/>
    <w:rsid w:val="001F59BE"/>
    <w:rsid w:val="001F5AF6"/>
    <w:rsid w:val="001F62A8"/>
    <w:rsid w:val="0020155A"/>
    <w:rsid w:val="00203FDD"/>
    <w:rsid w:val="002055A1"/>
    <w:rsid w:val="00205798"/>
    <w:rsid w:val="00205920"/>
    <w:rsid w:val="00205C67"/>
    <w:rsid w:val="002078EB"/>
    <w:rsid w:val="00212A3E"/>
    <w:rsid w:val="002145DE"/>
    <w:rsid w:val="00214DB9"/>
    <w:rsid w:val="00215A9D"/>
    <w:rsid w:val="00217470"/>
    <w:rsid w:val="00224767"/>
    <w:rsid w:val="00226DD6"/>
    <w:rsid w:val="00234EE3"/>
    <w:rsid w:val="00237DB1"/>
    <w:rsid w:val="00240A2D"/>
    <w:rsid w:val="002410BE"/>
    <w:rsid w:val="00242B23"/>
    <w:rsid w:val="00243EFF"/>
    <w:rsid w:val="00251611"/>
    <w:rsid w:val="00251EAE"/>
    <w:rsid w:val="00253CDF"/>
    <w:rsid w:val="002553FB"/>
    <w:rsid w:val="002574CE"/>
    <w:rsid w:val="00262F0F"/>
    <w:rsid w:val="002660D3"/>
    <w:rsid w:val="0027224D"/>
    <w:rsid w:val="00272441"/>
    <w:rsid w:val="00272FB3"/>
    <w:rsid w:val="00280BD8"/>
    <w:rsid w:val="00282310"/>
    <w:rsid w:val="00283F6B"/>
    <w:rsid w:val="00287F83"/>
    <w:rsid w:val="002917EC"/>
    <w:rsid w:val="00292164"/>
    <w:rsid w:val="00292FD0"/>
    <w:rsid w:val="00296B75"/>
    <w:rsid w:val="00296DDC"/>
    <w:rsid w:val="002A09DB"/>
    <w:rsid w:val="002A30D9"/>
    <w:rsid w:val="002A389B"/>
    <w:rsid w:val="002A3BE1"/>
    <w:rsid w:val="002A4C74"/>
    <w:rsid w:val="002B0021"/>
    <w:rsid w:val="002B17EE"/>
    <w:rsid w:val="002B23FE"/>
    <w:rsid w:val="002B305B"/>
    <w:rsid w:val="002B36C4"/>
    <w:rsid w:val="002B54C8"/>
    <w:rsid w:val="002B5D22"/>
    <w:rsid w:val="002C179D"/>
    <w:rsid w:val="002C6B3D"/>
    <w:rsid w:val="002C755D"/>
    <w:rsid w:val="002D20C3"/>
    <w:rsid w:val="002D4316"/>
    <w:rsid w:val="002D459D"/>
    <w:rsid w:val="002D476F"/>
    <w:rsid w:val="002D6180"/>
    <w:rsid w:val="002D6598"/>
    <w:rsid w:val="002D76B1"/>
    <w:rsid w:val="002D78E2"/>
    <w:rsid w:val="002E0C10"/>
    <w:rsid w:val="002E1514"/>
    <w:rsid w:val="002E1C4E"/>
    <w:rsid w:val="002E330D"/>
    <w:rsid w:val="002E5611"/>
    <w:rsid w:val="002E6BD9"/>
    <w:rsid w:val="002F33F9"/>
    <w:rsid w:val="002F3FD3"/>
    <w:rsid w:val="002F4000"/>
    <w:rsid w:val="002F5416"/>
    <w:rsid w:val="002F54B2"/>
    <w:rsid w:val="002F6E0C"/>
    <w:rsid w:val="002F6FE4"/>
    <w:rsid w:val="003007C5"/>
    <w:rsid w:val="00304311"/>
    <w:rsid w:val="00305CF6"/>
    <w:rsid w:val="003065F9"/>
    <w:rsid w:val="00306818"/>
    <w:rsid w:val="003068FA"/>
    <w:rsid w:val="00307D24"/>
    <w:rsid w:val="00311BA8"/>
    <w:rsid w:val="00313C29"/>
    <w:rsid w:val="00314CDC"/>
    <w:rsid w:val="00316A9C"/>
    <w:rsid w:val="00317AF1"/>
    <w:rsid w:val="0032317C"/>
    <w:rsid w:val="0032355D"/>
    <w:rsid w:val="003238A2"/>
    <w:rsid w:val="00325601"/>
    <w:rsid w:val="00327BB7"/>
    <w:rsid w:val="00334587"/>
    <w:rsid w:val="00335F7D"/>
    <w:rsid w:val="0033798C"/>
    <w:rsid w:val="00344082"/>
    <w:rsid w:val="00344479"/>
    <w:rsid w:val="00347B3A"/>
    <w:rsid w:val="00354C2B"/>
    <w:rsid w:val="00354D56"/>
    <w:rsid w:val="003559CC"/>
    <w:rsid w:val="00355BD4"/>
    <w:rsid w:val="003568AD"/>
    <w:rsid w:val="003601CE"/>
    <w:rsid w:val="003624DB"/>
    <w:rsid w:val="00363A4B"/>
    <w:rsid w:val="00363C65"/>
    <w:rsid w:val="00363D55"/>
    <w:rsid w:val="00367F85"/>
    <w:rsid w:val="00371ACD"/>
    <w:rsid w:val="00372FDB"/>
    <w:rsid w:val="00373DB2"/>
    <w:rsid w:val="00373F4F"/>
    <w:rsid w:val="00374597"/>
    <w:rsid w:val="003808E2"/>
    <w:rsid w:val="00382729"/>
    <w:rsid w:val="0038300D"/>
    <w:rsid w:val="003867C2"/>
    <w:rsid w:val="00387273"/>
    <w:rsid w:val="0039194F"/>
    <w:rsid w:val="00391E06"/>
    <w:rsid w:val="0039450B"/>
    <w:rsid w:val="00394772"/>
    <w:rsid w:val="0039636C"/>
    <w:rsid w:val="003A1421"/>
    <w:rsid w:val="003A4C77"/>
    <w:rsid w:val="003A5C72"/>
    <w:rsid w:val="003A6A26"/>
    <w:rsid w:val="003B0203"/>
    <w:rsid w:val="003B0A7A"/>
    <w:rsid w:val="003B2523"/>
    <w:rsid w:val="003B599D"/>
    <w:rsid w:val="003B6A7F"/>
    <w:rsid w:val="003B7492"/>
    <w:rsid w:val="003C1140"/>
    <w:rsid w:val="003C17D5"/>
    <w:rsid w:val="003C262A"/>
    <w:rsid w:val="003C35DC"/>
    <w:rsid w:val="003C3B30"/>
    <w:rsid w:val="003C3F2E"/>
    <w:rsid w:val="003C5FBB"/>
    <w:rsid w:val="003C656E"/>
    <w:rsid w:val="003D4F9E"/>
    <w:rsid w:val="003E2A0C"/>
    <w:rsid w:val="003E3BE4"/>
    <w:rsid w:val="003E4AC9"/>
    <w:rsid w:val="003E6681"/>
    <w:rsid w:val="003F036E"/>
    <w:rsid w:val="003F4C1C"/>
    <w:rsid w:val="003F75ED"/>
    <w:rsid w:val="004007B6"/>
    <w:rsid w:val="0040110B"/>
    <w:rsid w:val="0040186E"/>
    <w:rsid w:val="00406189"/>
    <w:rsid w:val="00410DBE"/>
    <w:rsid w:val="00415A20"/>
    <w:rsid w:val="00416593"/>
    <w:rsid w:val="0042384D"/>
    <w:rsid w:val="0042523C"/>
    <w:rsid w:val="00433CDF"/>
    <w:rsid w:val="00436BC1"/>
    <w:rsid w:val="00437401"/>
    <w:rsid w:val="00437D3A"/>
    <w:rsid w:val="00441557"/>
    <w:rsid w:val="004422F9"/>
    <w:rsid w:val="00442AEF"/>
    <w:rsid w:val="00443B84"/>
    <w:rsid w:val="00445982"/>
    <w:rsid w:val="0045142F"/>
    <w:rsid w:val="00461FD5"/>
    <w:rsid w:val="0046549F"/>
    <w:rsid w:val="00467E17"/>
    <w:rsid w:val="0047597A"/>
    <w:rsid w:val="00475FF4"/>
    <w:rsid w:val="0047714A"/>
    <w:rsid w:val="00483440"/>
    <w:rsid w:val="00485E5F"/>
    <w:rsid w:val="00486F38"/>
    <w:rsid w:val="0048704A"/>
    <w:rsid w:val="004872D4"/>
    <w:rsid w:val="00487DF9"/>
    <w:rsid w:val="0049015F"/>
    <w:rsid w:val="00493921"/>
    <w:rsid w:val="00493AA8"/>
    <w:rsid w:val="00493FE3"/>
    <w:rsid w:val="00494AFE"/>
    <w:rsid w:val="00497F79"/>
    <w:rsid w:val="004A1B6B"/>
    <w:rsid w:val="004A6788"/>
    <w:rsid w:val="004A69A5"/>
    <w:rsid w:val="004B056F"/>
    <w:rsid w:val="004B3307"/>
    <w:rsid w:val="004B4198"/>
    <w:rsid w:val="004B6E2C"/>
    <w:rsid w:val="004B719C"/>
    <w:rsid w:val="004C0DE9"/>
    <w:rsid w:val="004C1468"/>
    <w:rsid w:val="004C34EC"/>
    <w:rsid w:val="004C35E0"/>
    <w:rsid w:val="004C4BF1"/>
    <w:rsid w:val="004C5D9F"/>
    <w:rsid w:val="004D1B4E"/>
    <w:rsid w:val="004D4139"/>
    <w:rsid w:val="004D50A2"/>
    <w:rsid w:val="004E2A93"/>
    <w:rsid w:val="004E3412"/>
    <w:rsid w:val="004E3755"/>
    <w:rsid w:val="004E3F39"/>
    <w:rsid w:val="004E5499"/>
    <w:rsid w:val="004E5AF7"/>
    <w:rsid w:val="004E5C9C"/>
    <w:rsid w:val="004E79E1"/>
    <w:rsid w:val="004F07A5"/>
    <w:rsid w:val="004F21D7"/>
    <w:rsid w:val="004F4B36"/>
    <w:rsid w:val="004F608E"/>
    <w:rsid w:val="004F6287"/>
    <w:rsid w:val="0050269C"/>
    <w:rsid w:val="00502FAF"/>
    <w:rsid w:val="00503FB0"/>
    <w:rsid w:val="005047F7"/>
    <w:rsid w:val="00506116"/>
    <w:rsid w:val="00506F8E"/>
    <w:rsid w:val="005110FE"/>
    <w:rsid w:val="00513762"/>
    <w:rsid w:val="00515ED8"/>
    <w:rsid w:val="00516B06"/>
    <w:rsid w:val="0052251A"/>
    <w:rsid w:val="00523B28"/>
    <w:rsid w:val="00526C5D"/>
    <w:rsid w:val="0053124A"/>
    <w:rsid w:val="00532D4F"/>
    <w:rsid w:val="00535B4B"/>
    <w:rsid w:val="0054155C"/>
    <w:rsid w:val="005509DA"/>
    <w:rsid w:val="00551B02"/>
    <w:rsid w:val="00554DF7"/>
    <w:rsid w:val="00556344"/>
    <w:rsid w:val="0055767D"/>
    <w:rsid w:val="0056193B"/>
    <w:rsid w:val="00562F05"/>
    <w:rsid w:val="00564F8A"/>
    <w:rsid w:val="00565BB3"/>
    <w:rsid w:val="00566285"/>
    <w:rsid w:val="00566C8E"/>
    <w:rsid w:val="00566D65"/>
    <w:rsid w:val="00570036"/>
    <w:rsid w:val="005712FE"/>
    <w:rsid w:val="00571B4B"/>
    <w:rsid w:val="00575179"/>
    <w:rsid w:val="00580AE8"/>
    <w:rsid w:val="00580BA9"/>
    <w:rsid w:val="0058176F"/>
    <w:rsid w:val="00584208"/>
    <w:rsid w:val="0058651C"/>
    <w:rsid w:val="0059002C"/>
    <w:rsid w:val="0059025D"/>
    <w:rsid w:val="00590DAC"/>
    <w:rsid w:val="00592B1A"/>
    <w:rsid w:val="00595D28"/>
    <w:rsid w:val="005967EC"/>
    <w:rsid w:val="00596AFF"/>
    <w:rsid w:val="0059736D"/>
    <w:rsid w:val="00597A6B"/>
    <w:rsid w:val="005A13E0"/>
    <w:rsid w:val="005A4BCF"/>
    <w:rsid w:val="005A7103"/>
    <w:rsid w:val="005A7F41"/>
    <w:rsid w:val="005B0AB6"/>
    <w:rsid w:val="005B115A"/>
    <w:rsid w:val="005B1188"/>
    <w:rsid w:val="005B445E"/>
    <w:rsid w:val="005B48AC"/>
    <w:rsid w:val="005B4EEC"/>
    <w:rsid w:val="005B61F0"/>
    <w:rsid w:val="005B6FB3"/>
    <w:rsid w:val="005C15EE"/>
    <w:rsid w:val="005C1938"/>
    <w:rsid w:val="005C771B"/>
    <w:rsid w:val="005D2B7A"/>
    <w:rsid w:val="005D3A50"/>
    <w:rsid w:val="005D442D"/>
    <w:rsid w:val="005D5EF6"/>
    <w:rsid w:val="005D5FCC"/>
    <w:rsid w:val="005D6C93"/>
    <w:rsid w:val="005D6F97"/>
    <w:rsid w:val="005E33C3"/>
    <w:rsid w:val="005F0EB1"/>
    <w:rsid w:val="005F33E8"/>
    <w:rsid w:val="005F51EA"/>
    <w:rsid w:val="005F6E6B"/>
    <w:rsid w:val="00600799"/>
    <w:rsid w:val="00601FD1"/>
    <w:rsid w:val="006034BE"/>
    <w:rsid w:val="00605017"/>
    <w:rsid w:val="00605883"/>
    <w:rsid w:val="006108DF"/>
    <w:rsid w:val="00613E0D"/>
    <w:rsid w:val="006209DF"/>
    <w:rsid w:val="00623FCF"/>
    <w:rsid w:val="006247C9"/>
    <w:rsid w:val="0062587E"/>
    <w:rsid w:val="0062598E"/>
    <w:rsid w:val="00626FE1"/>
    <w:rsid w:val="00632260"/>
    <w:rsid w:val="00632384"/>
    <w:rsid w:val="006335C1"/>
    <w:rsid w:val="006336E3"/>
    <w:rsid w:val="00640616"/>
    <w:rsid w:val="00640F47"/>
    <w:rsid w:val="00641866"/>
    <w:rsid w:val="00642FB3"/>
    <w:rsid w:val="006430B5"/>
    <w:rsid w:val="0064504C"/>
    <w:rsid w:val="00645212"/>
    <w:rsid w:val="00646549"/>
    <w:rsid w:val="00650513"/>
    <w:rsid w:val="006522E0"/>
    <w:rsid w:val="00654729"/>
    <w:rsid w:val="00655000"/>
    <w:rsid w:val="00655598"/>
    <w:rsid w:val="00657280"/>
    <w:rsid w:val="00664F25"/>
    <w:rsid w:val="00665638"/>
    <w:rsid w:val="00666FEE"/>
    <w:rsid w:val="006670B9"/>
    <w:rsid w:val="006671E6"/>
    <w:rsid w:val="006778F6"/>
    <w:rsid w:val="006843D4"/>
    <w:rsid w:val="00685A31"/>
    <w:rsid w:val="00686D07"/>
    <w:rsid w:val="006905DB"/>
    <w:rsid w:val="00690B78"/>
    <w:rsid w:val="00690EB1"/>
    <w:rsid w:val="00692044"/>
    <w:rsid w:val="00697C50"/>
    <w:rsid w:val="006A03A1"/>
    <w:rsid w:val="006A0DD4"/>
    <w:rsid w:val="006A16F2"/>
    <w:rsid w:val="006A1D55"/>
    <w:rsid w:val="006A363F"/>
    <w:rsid w:val="006A384C"/>
    <w:rsid w:val="006A49DC"/>
    <w:rsid w:val="006A5F28"/>
    <w:rsid w:val="006A6B66"/>
    <w:rsid w:val="006A71F1"/>
    <w:rsid w:val="006B117B"/>
    <w:rsid w:val="006B3A86"/>
    <w:rsid w:val="006B3EF7"/>
    <w:rsid w:val="006B3F14"/>
    <w:rsid w:val="006B4149"/>
    <w:rsid w:val="006B423C"/>
    <w:rsid w:val="006C06B9"/>
    <w:rsid w:val="006C2362"/>
    <w:rsid w:val="006C4B3A"/>
    <w:rsid w:val="006C5318"/>
    <w:rsid w:val="006C619D"/>
    <w:rsid w:val="006C64A4"/>
    <w:rsid w:val="006C698C"/>
    <w:rsid w:val="006D1173"/>
    <w:rsid w:val="006D2961"/>
    <w:rsid w:val="006D2E6B"/>
    <w:rsid w:val="006D3B60"/>
    <w:rsid w:val="006D3C27"/>
    <w:rsid w:val="006D436C"/>
    <w:rsid w:val="006D4EAD"/>
    <w:rsid w:val="006D533B"/>
    <w:rsid w:val="006E0750"/>
    <w:rsid w:val="006E5923"/>
    <w:rsid w:val="006E7702"/>
    <w:rsid w:val="006E7F41"/>
    <w:rsid w:val="006F4FF7"/>
    <w:rsid w:val="006F5A63"/>
    <w:rsid w:val="006F65A0"/>
    <w:rsid w:val="006F76FA"/>
    <w:rsid w:val="00700582"/>
    <w:rsid w:val="00700839"/>
    <w:rsid w:val="007051EF"/>
    <w:rsid w:val="007109D9"/>
    <w:rsid w:val="00712F40"/>
    <w:rsid w:val="007145AE"/>
    <w:rsid w:val="00714818"/>
    <w:rsid w:val="00714DE6"/>
    <w:rsid w:val="007157A9"/>
    <w:rsid w:val="0071618C"/>
    <w:rsid w:val="00721B2A"/>
    <w:rsid w:val="00724ECC"/>
    <w:rsid w:val="00727829"/>
    <w:rsid w:val="00732125"/>
    <w:rsid w:val="00733B46"/>
    <w:rsid w:val="00736558"/>
    <w:rsid w:val="00740E2A"/>
    <w:rsid w:val="00742C40"/>
    <w:rsid w:val="00744BC7"/>
    <w:rsid w:val="00746F21"/>
    <w:rsid w:val="0075022A"/>
    <w:rsid w:val="007513C9"/>
    <w:rsid w:val="007562E3"/>
    <w:rsid w:val="0075757B"/>
    <w:rsid w:val="0075773B"/>
    <w:rsid w:val="007613E1"/>
    <w:rsid w:val="0076174D"/>
    <w:rsid w:val="0076192D"/>
    <w:rsid w:val="00761D9C"/>
    <w:rsid w:val="00762567"/>
    <w:rsid w:val="00762783"/>
    <w:rsid w:val="00763727"/>
    <w:rsid w:val="00766498"/>
    <w:rsid w:val="00767E3F"/>
    <w:rsid w:val="007709F8"/>
    <w:rsid w:val="00775385"/>
    <w:rsid w:val="00775D97"/>
    <w:rsid w:val="00775F4E"/>
    <w:rsid w:val="00782C44"/>
    <w:rsid w:val="0078502C"/>
    <w:rsid w:val="00787581"/>
    <w:rsid w:val="00790CB8"/>
    <w:rsid w:val="00795325"/>
    <w:rsid w:val="00795B7A"/>
    <w:rsid w:val="00797E1A"/>
    <w:rsid w:val="007A144B"/>
    <w:rsid w:val="007A3426"/>
    <w:rsid w:val="007A4D5F"/>
    <w:rsid w:val="007A742E"/>
    <w:rsid w:val="007B194C"/>
    <w:rsid w:val="007B3A25"/>
    <w:rsid w:val="007B3E55"/>
    <w:rsid w:val="007B53B5"/>
    <w:rsid w:val="007B5B03"/>
    <w:rsid w:val="007B6652"/>
    <w:rsid w:val="007B66E0"/>
    <w:rsid w:val="007C09ED"/>
    <w:rsid w:val="007D1583"/>
    <w:rsid w:val="007D216D"/>
    <w:rsid w:val="007D3C54"/>
    <w:rsid w:val="007D55D3"/>
    <w:rsid w:val="007D5D30"/>
    <w:rsid w:val="007D62A4"/>
    <w:rsid w:val="007D79F5"/>
    <w:rsid w:val="007E0B88"/>
    <w:rsid w:val="007E17B5"/>
    <w:rsid w:val="007E1F6E"/>
    <w:rsid w:val="007E4F33"/>
    <w:rsid w:val="007E7277"/>
    <w:rsid w:val="007E77F8"/>
    <w:rsid w:val="007F16E5"/>
    <w:rsid w:val="007F2CF0"/>
    <w:rsid w:val="007F309D"/>
    <w:rsid w:val="007F693F"/>
    <w:rsid w:val="007F782C"/>
    <w:rsid w:val="008012D0"/>
    <w:rsid w:val="008019EF"/>
    <w:rsid w:val="00802FEE"/>
    <w:rsid w:val="00803FD9"/>
    <w:rsid w:val="008041F4"/>
    <w:rsid w:val="008062A5"/>
    <w:rsid w:val="008070C8"/>
    <w:rsid w:val="00812135"/>
    <w:rsid w:val="008123C9"/>
    <w:rsid w:val="008130BE"/>
    <w:rsid w:val="00813D1C"/>
    <w:rsid w:val="00815EC5"/>
    <w:rsid w:val="0081657D"/>
    <w:rsid w:val="008174D6"/>
    <w:rsid w:val="0082079F"/>
    <w:rsid w:val="0082106C"/>
    <w:rsid w:val="008218F2"/>
    <w:rsid w:val="008279CA"/>
    <w:rsid w:val="00827E56"/>
    <w:rsid w:val="0083100E"/>
    <w:rsid w:val="008336E8"/>
    <w:rsid w:val="00833AB4"/>
    <w:rsid w:val="008349DE"/>
    <w:rsid w:val="00841554"/>
    <w:rsid w:val="0084295F"/>
    <w:rsid w:val="008434E5"/>
    <w:rsid w:val="00847F9C"/>
    <w:rsid w:val="008512C2"/>
    <w:rsid w:val="00851B41"/>
    <w:rsid w:val="00852698"/>
    <w:rsid w:val="00854702"/>
    <w:rsid w:val="00856800"/>
    <w:rsid w:val="00856C6D"/>
    <w:rsid w:val="00856F40"/>
    <w:rsid w:val="00860AD7"/>
    <w:rsid w:val="00863AF2"/>
    <w:rsid w:val="00864A67"/>
    <w:rsid w:val="00864F43"/>
    <w:rsid w:val="00865DFF"/>
    <w:rsid w:val="00870B0B"/>
    <w:rsid w:val="008725AE"/>
    <w:rsid w:val="008725BF"/>
    <w:rsid w:val="00873AAE"/>
    <w:rsid w:val="00875A29"/>
    <w:rsid w:val="00876EFC"/>
    <w:rsid w:val="008810C1"/>
    <w:rsid w:val="008814BB"/>
    <w:rsid w:val="008822D0"/>
    <w:rsid w:val="008852F7"/>
    <w:rsid w:val="008961DD"/>
    <w:rsid w:val="008A0A6F"/>
    <w:rsid w:val="008A1DEF"/>
    <w:rsid w:val="008A26C2"/>
    <w:rsid w:val="008A2D78"/>
    <w:rsid w:val="008A4E1E"/>
    <w:rsid w:val="008A57D9"/>
    <w:rsid w:val="008A6528"/>
    <w:rsid w:val="008B1839"/>
    <w:rsid w:val="008B1904"/>
    <w:rsid w:val="008B61A7"/>
    <w:rsid w:val="008B7B75"/>
    <w:rsid w:val="008C0E9F"/>
    <w:rsid w:val="008C135F"/>
    <w:rsid w:val="008C1BF6"/>
    <w:rsid w:val="008C2DB5"/>
    <w:rsid w:val="008C35EC"/>
    <w:rsid w:val="008C5A1D"/>
    <w:rsid w:val="008D0A90"/>
    <w:rsid w:val="008D1289"/>
    <w:rsid w:val="008D265D"/>
    <w:rsid w:val="008D4962"/>
    <w:rsid w:val="008D6D2D"/>
    <w:rsid w:val="008D7D3A"/>
    <w:rsid w:val="008E07BB"/>
    <w:rsid w:val="008E0E78"/>
    <w:rsid w:val="008E653D"/>
    <w:rsid w:val="008F1DA3"/>
    <w:rsid w:val="008F4054"/>
    <w:rsid w:val="008F5803"/>
    <w:rsid w:val="008F58BF"/>
    <w:rsid w:val="008F74D2"/>
    <w:rsid w:val="008F7F89"/>
    <w:rsid w:val="00904978"/>
    <w:rsid w:val="00904AAC"/>
    <w:rsid w:val="009066E1"/>
    <w:rsid w:val="0090684D"/>
    <w:rsid w:val="009104F0"/>
    <w:rsid w:val="00922879"/>
    <w:rsid w:val="00943307"/>
    <w:rsid w:val="0094360D"/>
    <w:rsid w:val="00947F21"/>
    <w:rsid w:val="009528D7"/>
    <w:rsid w:val="00953004"/>
    <w:rsid w:val="009543D2"/>
    <w:rsid w:val="00955F3C"/>
    <w:rsid w:val="00956AB9"/>
    <w:rsid w:val="0095735F"/>
    <w:rsid w:val="00960140"/>
    <w:rsid w:val="009601B2"/>
    <w:rsid w:val="00962680"/>
    <w:rsid w:val="00964386"/>
    <w:rsid w:val="0096687E"/>
    <w:rsid w:val="009674AA"/>
    <w:rsid w:val="009675ED"/>
    <w:rsid w:val="009713CC"/>
    <w:rsid w:val="009724FE"/>
    <w:rsid w:val="0097384A"/>
    <w:rsid w:val="00976106"/>
    <w:rsid w:val="009761C4"/>
    <w:rsid w:val="009801CE"/>
    <w:rsid w:val="009811EA"/>
    <w:rsid w:val="00982BF5"/>
    <w:rsid w:val="009876BC"/>
    <w:rsid w:val="009914A3"/>
    <w:rsid w:val="00991D11"/>
    <w:rsid w:val="009927FF"/>
    <w:rsid w:val="009953EE"/>
    <w:rsid w:val="009976B7"/>
    <w:rsid w:val="00997DD1"/>
    <w:rsid w:val="009A2148"/>
    <w:rsid w:val="009A3E1D"/>
    <w:rsid w:val="009A5D37"/>
    <w:rsid w:val="009A7CF6"/>
    <w:rsid w:val="009B00F9"/>
    <w:rsid w:val="009B4852"/>
    <w:rsid w:val="009B5CA9"/>
    <w:rsid w:val="009B7B3D"/>
    <w:rsid w:val="009C0ED6"/>
    <w:rsid w:val="009C1782"/>
    <w:rsid w:val="009C2E16"/>
    <w:rsid w:val="009C3FE3"/>
    <w:rsid w:val="009C62B4"/>
    <w:rsid w:val="009D0D56"/>
    <w:rsid w:val="009D2ED3"/>
    <w:rsid w:val="009E0023"/>
    <w:rsid w:val="009E0D95"/>
    <w:rsid w:val="009E26BC"/>
    <w:rsid w:val="009E3216"/>
    <w:rsid w:val="009E60EB"/>
    <w:rsid w:val="009E64D2"/>
    <w:rsid w:val="009E783A"/>
    <w:rsid w:val="009F0BA8"/>
    <w:rsid w:val="009F0E98"/>
    <w:rsid w:val="009F281A"/>
    <w:rsid w:val="009F2E04"/>
    <w:rsid w:val="009F34B0"/>
    <w:rsid w:val="009F5759"/>
    <w:rsid w:val="00A02285"/>
    <w:rsid w:val="00A06567"/>
    <w:rsid w:val="00A1226C"/>
    <w:rsid w:val="00A137AD"/>
    <w:rsid w:val="00A13F40"/>
    <w:rsid w:val="00A2064C"/>
    <w:rsid w:val="00A237A3"/>
    <w:rsid w:val="00A252DC"/>
    <w:rsid w:val="00A26BFA"/>
    <w:rsid w:val="00A307F9"/>
    <w:rsid w:val="00A35123"/>
    <w:rsid w:val="00A35180"/>
    <w:rsid w:val="00A351ED"/>
    <w:rsid w:val="00A352AB"/>
    <w:rsid w:val="00A35460"/>
    <w:rsid w:val="00A37697"/>
    <w:rsid w:val="00A402EB"/>
    <w:rsid w:val="00A411E7"/>
    <w:rsid w:val="00A4196B"/>
    <w:rsid w:val="00A42719"/>
    <w:rsid w:val="00A449D5"/>
    <w:rsid w:val="00A45629"/>
    <w:rsid w:val="00A465F8"/>
    <w:rsid w:val="00A50463"/>
    <w:rsid w:val="00A511C0"/>
    <w:rsid w:val="00A56719"/>
    <w:rsid w:val="00A6060B"/>
    <w:rsid w:val="00A67784"/>
    <w:rsid w:val="00A708E5"/>
    <w:rsid w:val="00A73DF8"/>
    <w:rsid w:val="00A80057"/>
    <w:rsid w:val="00A804BE"/>
    <w:rsid w:val="00A830D6"/>
    <w:rsid w:val="00A83C96"/>
    <w:rsid w:val="00A848FA"/>
    <w:rsid w:val="00A8504B"/>
    <w:rsid w:val="00A86195"/>
    <w:rsid w:val="00A90420"/>
    <w:rsid w:val="00A91682"/>
    <w:rsid w:val="00A916C9"/>
    <w:rsid w:val="00A93185"/>
    <w:rsid w:val="00A93346"/>
    <w:rsid w:val="00A94D34"/>
    <w:rsid w:val="00AA0A25"/>
    <w:rsid w:val="00AA14BC"/>
    <w:rsid w:val="00AA1F3F"/>
    <w:rsid w:val="00AA37AD"/>
    <w:rsid w:val="00AA732A"/>
    <w:rsid w:val="00AB2144"/>
    <w:rsid w:val="00AB440E"/>
    <w:rsid w:val="00AB4642"/>
    <w:rsid w:val="00AB4DDD"/>
    <w:rsid w:val="00AB59A7"/>
    <w:rsid w:val="00AB5CD7"/>
    <w:rsid w:val="00AB69DB"/>
    <w:rsid w:val="00AB75C8"/>
    <w:rsid w:val="00AB7A2C"/>
    <w:rsid w:val="00AC33A6"/>
    <w:rsid w:val="00AC451D"/>
    <w:rsid w:val="00AC59D6"/>
    <w:rsid w:val="00AC6BB1"/>
    <w:rsid w:val="00AC7D4B"/>
    <w:rsid w:val="00AD1E19"/>
    <w:rsid w:val="00AD32B8"/>
    <w:rsid w:val="00AD5F58"/>
    <w:rsid w:val="00AE1284"/>
    <w:rsid w:val="00AE1FC4"/>
    <w:rsid w:val="00AE6DF6"/>
    <w:rsid w:val="00AF1F46"/>
    <w:rsid w:val="00AF3745"/>
    <w:rsid w:val="00AF5263"/>
    <w:rsid w:val="00AF6610"/>
    <w:rsid w:val="00AF6EE6"/>
    <w:rsid w:val="00AF7120"/>
    <w:rsid w:val="00B000FE"/>
    <w:rsid w:val="00B01827"/>
    <w:rsid w:val="00B0328B"/>
    <w:rsid w:val="00B060CD"/>
    <w:rsid w:val="00B069D1"/>
    <w:rsid w:val="00B10B9E"/>
    <w:rsid w:val="00B113FC"/>
    <w:rsid w:val="00B15F08"/>
    <w:rsid w:val="00B16139"/>
    <w:rsid w:val="00B1706B"/>
    <w:rsid w:val="00B20C6D"/>
    <w:rsid w:val="00B20F28"/>
    <w:rsid w:val="00B2179C"/>
    <w:rsid w:val="00B21A3D"/>
    <w:rsid w:val="00B22B0E"/>
    <w:rsid w:val="00B2323D"/>
    <w:rsid w:val="00B24437"/>
    <w:rsid w:val="00B248B3"/>
    <w:rsid w:val="00B2528A"/>
    <w:rsid w:val="00B26859"/>
    <w:rsid w:val="00B26950"/>
    <w:rsid w:val="00B30258"/>
    <w:rsid w:val="00B32995"/>
    <w:rsid w:val="00B36D1E"/>
    <w:rsid w:val="00B375BF"/>
    <w:rsid w:val="00B42D5F"/>
    <w:rsid w:val="00B43662"/>
    <w:rsid w:val="00B460EC"/>
    <w:rsid w:val="00B465CB"/>
    <w:rsid w:val="00B501D1"/>
    <w:rsid w:val="00B503E7"/>
    <w:rsid w:val="00B5101F"/>
    <w:rsid w:val="00B52E2B"/>
    <w:rsid w:val="00B53A1B"/>
    <w:rsid w:val="00B53EC6"/>
    <w:rsid w:val="00B553C3"/>
    <w:rsid w:val="00B61B44"/>
    <w:rsid w:val="00B62E8C"/>
    <w:rsid w:val="00B6333E"/>
    <w:rsid w:val="00B64034"/>
    <w:rsid w:val="00B6595F"/>
    <w:rsid w:val="00B66D0C"/>
    <w:rsid w:val="00B70B78"/>
    <w:rsid w:val="00B70E96"/>
    <w:rsid w:val="00B72521"/>
    <w:rsid w:val="00B75245"/>
    <w:rsid w:val="00B76399"/>
    <w:rsid w:val="00B76EA3"/>
    <w:rsid w:val="00B81324"/>
    <w:rsid w:val="00B839F4"/>
    <w:rsid w:val="00B83C46"/>
    <w:rsid w:val="00B84059"/>
    <w:rsid w:val="00B843B5"/>
    <w:rsid w:val="00B85837"/>
    <w:rsid w:val="00B8664C"/>
    <w:rsid w:val="00B87194"/>
    <w:rsid w:val="00B92ADB"/>
    <w:rsid w:val="00B964A4"/>
    <w:rsid w:val="00B96B5E"/>
    <w:rsid w:val="00BA3033"/>
    <w:rsid w:val="00BA52EB"/>
    <w:rsid w:val="00BA6B12"/>
    <w:rsid w:val="00BB2704"/>
    <w:rsid w:val="00BB2DFD"/>
    <w:rsid w:val="00BB2E9E"/>
    <w:rsid w:val="00BB3106"/>
    <w:rsid w:val="00BB3C51"/>
    <w:rsid w:val="00BB4362"/>
    <w:rsid w:val="00BB46E4"/>
    <w:rsid w:val="00BB62BE"/>
    <w:rsid w:val="00BC4F55"/>
    <w:rsid w:val="00BC7BB0"/>
    <w:rsid w:val="00BD163C"/>
    <w:rsid w:val="00BD32FA"/>
    <w:rsid w:val="00BD3C46"/>
    <w:rsid w:val="00BD6601"/>
    <w:rsid w:val="00BD6C74"/>
    <w:rsid w:val="00BE36A2"/>
    <w:rsid w:val="00BE3CBA"/>
    <w:rsid w:val="00BE3CE3"/>
    <w:rsid w:val="00BE6D07"/>
    <w:rsid w:val="00BF0B10"/>
    <w:rsid w:val="00BF1006"/>
    <w:rsid w:val="00BF3772"/>
    <w:rsid w:val="00BF732B"/>
    <w:rsid w:val="00BF74A4"/>
    <w:rsid w:val="00C0033B"/>
    <w:rsid w:val="00C0158F"/>
    <w:rsid w:val="00C0440C"/>
    <w:rsid w:val="00C06D91"/>
    <w:rsid w:val="00C108D4"/>
    <w:rsid w:val="00C11029"/>
    <w:rsid w:val="00C120FA"/>
    <w:rsid w:val="00C124F9"/>
    <w:rsid w:val="00C12786"/>
    <w:rsid w:val="00C12BBF"/>
    <w:rsid w:val="00C13F97"/>
    <w:rsid w:val="00C173B0"/>
    <w:rsid w:val="00C175EE"/>
    <w:rsid w:val="00C17C54"/>
    <w:rsid w:val="00C17FBC"/>
    <w:rsid w:val="00C21157"/>
    <w:rsid w:val="00C2180E"/>
    <w:rsid w:val="00C252C3"/>
    <w:rsid w:val="00C25394"/>
    <w:rsid w:val="00C262F0"/>
    <w:rsid w:val="00C26A31"/>
    <w:rsid w:val="00C26B25"/>
    <w:rsid w:val="00C274BA"/>
    <w:rsid w:val="00C30EAE"/>
    <w:rsid w:val="00C37CDD"/>
    <w:rsid w:val="00C4004E"/>
    <w:rsid w:val="00C4282E"/>
    <w:rsid w:val="00C42A8D"/>
    <w:rsid w:val="00C42E21"/>
    <w:rsid w:val="00C4555E"/>
    <w:rsid w:val="00C45CCF"/>
    <w:rsid w:val="00C502D8"/>
    <w:rsid w:val="00C5190E"/>
    <w:rsid w:val="00C529F9"/>
    <w:rsid w:val="00C5623C"/>
    <w:rsid w:val="00C56C97"/>
    <w:rsid w:val="00C577FF"/>
    <w:rsid w:val="00C61AF8"/>
    <w:rsid w:val="00C62423"/>
    <w:rsid w:val="00C62824"/>
    <w:rsid w:val="00C63207"/>
    <w:rsid w:val="00C63275"/>
    <w:rsid w:val="00C63385"/>
    <w:rsid w:val="00C64A8B"/>
    <w:rsid w:val="00C64FFB"/>
    <w:rsid w:val="00C67424"/>
    <w:rsid w:val="00C71174"/>
    <w:rsid w:val="00C71868"/>
    <w:rsid w:val="00C73736"/>
    <w:rsid w:val="00C73F86"/>
    <w:rsid w:val="00C760AD"/>
    <w:rsid w:val="00C760BF"/>
    <w:rsid w:val="00C808A2"/>
    <w:rsid w:val="00C8222D"/>
    <w:rsid w:val="00C82480"/>
    <w:rsid w:val="00C85498"/>
    <w:rsid w:val="00C871F7"/>
    <w:rsid w:val="00C875B6"/>
    <w:rsid w:val="00C91DC0"/>
    <w:rsid w:val="00C9230A"/>
    <w:rsid w:val="00C923F4"/>
    <w:rsid w:val="00C9263E"/>
    <w:rsid w:val="00C93BFA"/>
    <w:rsid w:val="00C954AC"/>
    <w:rsid w:val="00C9781A"/>
    <w:rsid w:val="00C97CA3"/>
    <w:rsid w:val="00CA1314"/>
    <w:rsid w:val="00CA14A6"/>
    <w:rsid w:val="00CA1B9E"/>
    <w:rsid w:val="00CA299F"/>
    <w:rsid w:val="00CA4882"/>
    <w:rsid w:val="00CA6761"/>
    <w:rsid w:val="00CA6A96"/>
    <w:rsid w:val="00CA7382"/>
    <w:rsid w:val="00CB1FF6"/>
    <w:rsid w:val="00CB5EC1"/>
    <w:rsid w:val="00CC57E5"/>
    <w:rsid w:val="00CC63CF"/>
    <w:rsid w:val="00CC658B"/>
    <w:rsid w:val="00CC7350"/>
    <w:rsid w:val="00CD2145"/>
    <w:rsid w:val="00CD4445"/>
    <w:rsid w:val="00CD4763"/>
    <w:rsid w:val="00CE1C0B"/>
    <w:rsid w:val="00CF59D3"/>
    <w:rsid w:val="00CF5CB4"/>
    <w:rsid w:val="00D00529"/>
    <w:rsid w:val="00D01170"/>
    <w:rsid w:val="00D04F2C"/>
    <w:rsid w:val="00D05859"/>
    <w:rsid w:val="00D11756"/>
    <w:rsid w:val="00D134AF"/>
    <w:rsid w:val="00D14462"/>
    <w:rsid w:val="00D240A0"/>
    <w:rsid w:val="00D324AC"/>
    <w:rsid w:val="00D32C89"/>
    <w:rsid w:val="00D3305F"/>
    <w:rsid w:val="00D41719"/>
    <w:rsid w:val="00D41B60"/>
    <w:rsid w:val="00D42619"/>
    <w:rsid w:val="00D43D4B"/>
    <w:rsid w:val="00D4432D"/>
    <w:rsid w:val="00D44FBB"/>
    <w:rsid w:val="00D456B4"/>
    <w:rsid w:val="00D4766B"/>
    <w:rsid w:val="00D504ED"/>
    <w:rsid w:val="00D515EA"/>
    <w:rsid w:val="00D5207C"/>
    <w:rsid w:val="00D52211"/>
    <w:rsid w:val="00D53A56"/>
    <w:rsid w:val="00D544EC"/>
    <w:rsid w:val="00D55B23"/>
    <w:rsid w:val="00D5673A"/>
    <w:rsid w:val="00D57C3C"/>
    <w:rsid w:val="00D60ED8"/>
    <w:rsid w:val="00D62B8F"/>
    <w:rsid w:val="00D64EC1"/>
    <w:rsid w:val="00D7130F"/>
    <w:rsid w:val="00D720A4"/>
    <w:rsid w:val="00D729CA"/>
    <w:rsid w:val="00D737C2"/>
    <w:rsid w:val="00D76910"/>
    <w:rsid w:val="00D76A8F"/>
    <w:rsid w:val="00D80BEB"/>
    <w:rsid w:val="00D81EF0"/>
    <w:rsid w:val="00D82814"/>
    <w:rsid w:val="00D82BC0"/>
    <w:rsid w:val="00D834B6"/>
    <w:rsid w:val="00D876F3"/>
    <w:rsid w:val="00D91BE1"/>
    <w:rsid w:val="00D930DE"/>
    <w:rsid w:val="00D95AFB"/>
    <w:rsid w:val="00D9786B"/>
    <w:rsid w:val="00D9792B"/>
    <w:rsid w:val="00D97C4D"/>
    <w:rsid w:val="00DA0804"/>
    <w:rsid w:val="00DA1A48"/>
    <w:rsid w:val="00DA2A97"/>
    <w:rsid w:val="00DA2F2D"/>
    <w:rsid w:val="00DA7DC6"/>
    <w:rsid w:val="00DB031D"/>
    <w:rsid w:val="00DB21FB"/>
    <w:rsid w:val="00DB49EA"/>
    <w:rsid w:val="00DB7222"/>
    <w:rsid w:val="00DC1057"/>
    <w:rsid w:val="00DC21E0"/>
    <w:rsid w:val="00DC3577"/>
    <w:rsid w:val="00DC382B"/>
    <w:rsid w:val="00DC66E2"/>
    <w:rsid w:val="00DC6F6F"/>
    <w:rsid w:val="00DD24FE"/>
    <w:rsid w:val="00DD2C5F"/>
    <w:rsid w:val="00DD5C15"/>
    <w:rsid w:val="00DD647E"/>
    <w:rsid w:val="00DD7C1D"/>
    <w:rsid w:val="00DE3DFB"/>
    <w:rsid w:val="00DE5362"/>
    <w:rsid w:val="00DE5CDA"/>
    <w:rsid w:val="00DE6ECD"/>
    <w:rsid w:val="00DE704C"/>
    <w:rsid w:val="00DE76A2"/>
    <w:rsid w:val="00DF0BCE"/>
    <w:rsid w:val="00DF305B"/>
    <w:rsid w:val="00DF30CC"/>
    <w:rsid w:val="00DF572E"/>
    <w:rsid w:val="00DF5EF3"/>
    <w:rsid w:val="00DF7AC6"/>
    <w:rsid w:val="00E013FC"/>
    <w:rsid w:val="00E02CFB"/>
    <w:rsid w:val="00E11062"/>
    <w:rsid w:val="00E1303A"/>
    <w:rsid w:val="00E13A75"/>
    <w:rsid w:val="00E140E3"/>
    <w:rsid w:val="00E17788"/>
    <w:rsid w:val="00E2228B"/>
    <w:rsid w:val="00E2553D"/>
    <w:rsid w:val="00E26944"/>
    <w:rsid w:val="00E312F6"/>
    <w:rsid w:val="00E42AA6"/>
    <w:rsid w:val="00E452EF"/>
    <w:rsid w:val="00E47D29"/>
    <w:rsid w:val="00E50806"/>
    <w:rsid w:val="00E50956"/>
    <w:rsid w:val="00E52237"/>
    <w:rsid w:val="00E533BD"/>
    <w:rsid w:val="00E541F8"/>
    <w:rsid w:val="00E54985"/>
    <w:rsid w:val="00E55795"/>
    <w:rsid w:val="00E559FD"/>
    <w:rsid w:val="00E57CE4"/>
    <w:rsid w:val="00E62BE1"/>
    <w:rsid w:val="00E64C0C"/>
    <w:rsid w:val="00E6664D"/>
    <w:rsid w:val="00E6779F"/>
    <w:rsid w:val="00E73970"/>
    <w:rsid w:val="00E74A1A"/>
    <w:rsid w:val="00E7645E"/>
    <w:rsid w:val="00E766C0"/>
    <w:rsid w:val="00E76D89"/>
    <w:rsid w:val="00E77349"/>
    <w:rsid w:val="00E77B06"/>
    <w:rsid w:val="00E81ED3"/>
    <w:rsid w:val="00E828B9"/>
    <w:rsid w:val="00E82977"/>
    <w:rsid w:val="00E8570B"/>
    <w:rsid w:val="00E86023"/>
    <w:rsid w:val="00E86187"/>
    <w:rsid w:val="00E90300"/>
    <w:rsid w:val="00E90CE5"/>
    <w:rsid w:val="00E91009"/>
    <w:rsid w:val="00E927F3"/>
    <w:rsid w:val="00E94097"/>
    <w:rsid w:val="00E978E5"/>
    <w:rsid w:val="00EA013E"/>
    <w:rsid w:val="00EA348B"/>
    <w:rsid w:val="00EA3A16"/>
    <w:rsid w:val="00EA3AE1"/>
    <w:rsid w:val="00EA7941"/>
    <w:rsid w:val="00EA7C33"/>
    <w:rsid w:val="00EB120B"/>
    <w:rsid w:val="00EB3532"/>
    <w:rsid w:val="00EB3647"/>
    <w:rsid w:val="00EB5AFA"/>
    <w:rsid w:val="00EB6C4D"/>
    <w:rsid w:val="00EC0456"/>
    <w:rsid w:val="00EC083B"/>
    <w:rsid w:val="00EC0C8E"/>
    <w:rsid w:val="00EC3A86"/>
    <w:rsid w:val="00EC5969"/>
    <w:rsid w:val="00EC6C24"/>
    <w:rsid w:val="00ED13FA"/>
    <w:rsid w:val="00ED1A39"/>
    <w:rsid w:val="00ED28DC"/>
    <w:rsid w:val="00ED444F"/>
    <w:rsid w:val="00ED79C3"/>
    <w:rsid w:val="00EE14D1"/>
    <w:rsid w:val="00EE2D3C"/>
    <w:rsid w:val="00EF1FE1"/>
    <w:rsid w:val="00EF231F"/>
    <w:rsid w:val="00EF694D"/>
    <w:rsid w:val="00EF6D5E"/>
    <w:rsid w:val="00EF7A15"/>
    <w:rsid w:val="00F0157B"/>
    <w:rsid w:val="00F0290F"/>
    <w:rsid w:val="00F02D89"/>
    <w:rsid w:val="00F038B9"/>
    <w:rsid w:val="00F05F8F"/>
    <w:rsid w:val="00F13A3E"/>
    <w:rsid w:val="00F1672A"/>
    <w:rsid w:val="00F16B41"/>
    <w:rsid w:val="00F16E8C"/>
    <w:rsid w:val="00F22172"/>
    <w:rsid w:val="00F2235C"/>
    <w:rsid w:val="00F226F0"/>
    <w:rsid w:val="00F232E7"/>
    <w:rsid w:val="00F257F1"/>
    <w:rsid w:val="00F26413"/>
    <w:rsid w:val="00F30A05"/>
    <w:rsid w:val="00F31205"/>
    <w:rsid w:val="00F31C63"/>
    <w:rsid w:val="00F333C6"/>
    <w:rsid w:val="00F3595C"/>
    <w:rsid w:val="00F36073"/>
    <w:rsid w:val="00F362E6"/>
    <w:rsid w:val="00F37486"/>
    <w:rsid w:val="00F37AFB"/>
    <w:rsid w:val="00F41053"/>
    <w:rsid w:val="00F41319"/>
    <w:rsid w:val="00F4547F"/>
    <w:rsid w:val="00F458A4"/>
    <w:rsid w:val="00F45AC2"/>
    <w:rsid w:val="00F4694E"/>
    <w:rsid w:val="00F523B2"/>
    <w:rsid w:val="00F52CB7"/>
    <w:rsid w:val="00F53297"/>
    <w:rsid w:val="00F55CBF"/>
    <w:rsid w:val="00F568ED"/>
    <w:rsid w:val="00F6181B"/>
    <w:rsid w:val="00F6419B"/>
    <w:rsid w:val="00F6576F"/>
    <w:rsid w:val="00F66DD7"/>
    <w:rsid w:val="00F67262"/>
    <w:rsid w:val="00F67CA6"/>
    <w:rsid w:val="00F70CC7"/>
    <w:rsid w:val="00F7194C"/>
    <w:rsid w:val="00F72A13"/>
    <w:rsid w:val="00F737AD"/>
    <w:rsid w:val="00F756EA"/>
    <w:rsid w:val="00F778E3"/>
    <w:rsid w:val="00F817A6"/>
    <w:rsid w:val="00F82384"/>
    <w:rsid w:val="00F82FE5"/>
    <w:rsid w:val="00F85A43"/>
    <w:rsid w:val="00F90698"/>
    <w:rsid w:val="00F91E43"/>
    <w:rsid w:val="00F92212"/>
    <w:rsid w:val="00F94788"/>
    <w:rsid w:val="00F950C3"/>
    <w:rsid w:val="00F96988"/>
    <w:rsid w:val="00F96DAF"/>
    <w:rsid w:val="00F97768"/>
    <w:rsid w:val="00F977FD"/>
    <w:rsid w:val="00FA08C9"/>
    <w:rsid w:val="00FA2EAE"/>
    <w:rsid w:val="00FA53B7"/>
    <w:rsid w:val="00FB05FA"/>
    <w:rsid w:val="00FB3F68"/>
    <w:rsid w:val="00FB526A"/>
    <w:rsid w:val="00FB5BAD"/>
    <w:rsid w:val="00FB790E"/>
    <w:rsid w:val="00FB7B0F"/>
    <w:rsid w:val="00FB7DF7"/>
    <w:rsid w:val="00FC05E6"/>
    <w:rsid w:val="00FD0654"/>
    <w:rsid w:val="00FD090B"/>
    <w:rsid w:val="00FD1953"/>
    <w:rsid w:val="00FD2441"/>
    <w:rsid w:val="00FD6628"/>
    <w:rsid w:val="00FE35E3"/>
    <w:rsid w:val="00FF1553"/>
    <w:rsid w:val="00FF3A97"/>
    <w:rsid w:val="00FF46C6"/>
    <w:rsid w:val="00FF5552"/>
    <w:rsid w:val="00FF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66DF683"/>
  <w15:docId w15:val="{C433F9E2-B0C2-46A7-96BC-7606C987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5DB"/>
  </w:style>
  <w:style w:type="paragraph" w:styleId="Heading1">
    <w:name w:val="heading 1"/>
    <w:basedOn w:val="Normal"/>
    <w:next w:val="Normal"/>
    <w:link w:val="Heading1Char"/>
    <w:uiPriority w:val="9"/>
    <w:qFormat/>
    <w:rsid w:val="00280BD8"/>
    <w:pPr>
      <w:keepNext/>
      <w:keepLines/>
      <w:spacing w:before="240" w:after="0"/>
      <w:outlineLvl w:val="0"/>
    </w:pPr>
    <w:rPr>
      <w:rFonts w:asciiTheme="majorHAnsi" w:eastAsiaTheme="majorEastAsia" w:hAnsiTheme="majorHAnsi" w:cstheme="majorBidi"/>
      <w:color w:val="E65B01" w:themeColor="accent1" w:themeShade="BF"/>
      <w:sz w:val="32"/>
      <w:szCs w:val="32"/>
    </w:rPr>
  </w:style>
  <w:style w:type="paragraph" w:styleId="Heading2">
    <w:name w:val="heading 2"/>
    <w:basedOn w:val="Normal"/>
    <w:next w:val="Normal"/>
    <w:link w:val="Heading2Char"/>
    <w:uiPriority w:val="9"/>
    <w:unhideWhenUsed/>
    <w:qFormat/>
    <w:rsid w:val="00205798"/>
    <w:pPr>
      <w:keepNext/>
      <w:keepLines/>
      <w:spacing w:before="40" w:after="0"/>
      <w:outlineLvl w:val="1"/>
    </w:pPr>
    <w:rPr>
      <w:rFonts w:asciiTheme="majorHAnsi" w:eastAsiaTheme="majorEastAsia" w:hAnsiTheme="majorHAnsi" w:cstheme="majorBidi"/>
      <w:color w:val="E65B01" w:themeColor="accent1" w:themeShade="BF"/>
      <w:sz w:val="26"/>
      <w:szCs w:val="26"/>
    </w:rPr>
  </w:style>
  <w:style w:type="paragraph" w:styleId="Heading3">
    <w:name w:val="heading 3"/>
    <w:basedOn w:val="Normal"/>
    <w:next w:val="Normal"/>
    <w:link w:val="Heading3Char"/>
    <w:uiPriority w:val="9"/>
    <w:unhideWhenUsed/>
    <w:qFormat/>
    <w:rsid w:val="004E5C9C"/>
    <w:pPr>
      <w:keepNext/>
      <w:keepLines/>
      <w:spacing w:before="40" w:after="0"/>
      <w:outlineLvl w:val="2"/>
    </w:pPr>
    <w:rPr>
      <w:rFonts w:asciiTheme="majorHAnsi" w:eastAsiaTheme="majorEastAsia" w:hAnsiTheme="majorHAnsi" w:cstheme="majorBidi"/>
      <w:color w:val="983D00" w:themeColor="accent1" w:themeShade="7F"/>
      <w:sz w:val="24"/>
      <w:szCs w:val="24"/>
    </w:rPr>
  </w:style>
  <w:style w:type="paragraph" w:styleId="Heading4">
    <w:name w:val="heading 4"/>
    <w:basedOn w:val="Normal"/>
    <w:next w:val="Normal"/>
    <w:link w:val="Heading4Char"/>
    <w:uiPriority w:val="9"/>
    <w:semiHidden/>
    <w:unhideWhenUsed/>
    <w:qFormat/>
    <w:rsid w:val="002B5D22"/>
    <w:pPr>
      <w:keepNext/>
      <w:keepLines/>
      <w:spacing w:before="40" w:after="0"/>
      <w:outlineLvl w:val="3"/>
    </w:pPr>
    <w:rPr>
      <w:rFonts w:asciiTheme="majorHAnsi" w:eastAsiaTheme="majorEastAsia" w:hAnsiTheme="majorHAnsi" w:cstheme="majorBidi"/>
      <w:i/>
      <w:iCs/>
      <w:color w:val="E65B0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BD8"/>
    <w:rPr>
      <w:rFonts w:asciiTheme="majorHAnsi" w:eastAsiaTheme="majorEastAsia" w:hAnsiTheme="majorHAnsi" w:cstheme="majorBidi"/>
      <w:color w:val="E65B01" w:themeColor="accent1" w:themeShade="BF"/>
      <w:sz w:val="32"/>
      <w:szCs w:val="32"/>
    </w:rPr>
  </w:style>
  <w:style w:type="paragraph" w:styleId="ListParagraph">
    <w:name w:val="List Paragraph"/>
    <w:basedOn w:val="Normal"/>
    <w:uiPriority w:val="34"/>
    <w:qFormat/>
    <w:rsid w:val="008B7B75"/>
    <w:pPr>
      <w:ind w:left="720"/>
      <w:contextualSpacing/>
    </w:pPr>
  </w:style>
  <w:style w:type="paragraph" w:customStyle="1" w:styleId="Default">
    <w:name w:val="Default"/>
    <w:rsid w:val="008B7B75"/>
    <w:pPr>
      <w:autoSpaceDE w:val="0"/>
      <w:autoSpaceDN w:val="0"/>
      <w:adjustRightInd w:val="0"/>
      <w:spacing w:after="0" w:line="240" w:lineRule="auto"/>
    </w:pPr>
    <w:rPr>
      <w:rFonts w:ascii="Open Sans Light" w:hAnsi="Open Sans Light" w:cs="Open Sans Light"/>
      <w:color w:val="000000"/>
      <w:sz w:val="24"/>
      <w:szCs w:val="24"/>
    </w:rPr>
  </w:style>
  <w:style w:type="paragraph" w:customStyle="1" w:styleId="Pa4">
    <w:name w:val="Pa4"/>
    <w:basedOn w:val="Default"/>
    <w:next w:val="Default"/>
    <w:uiPriority w:val="99"/>
    <w:rsid w:val="008B7B75"/>
    <w:pPr>
      <w:spacing w:line="211" w:lineRule="atLeast"/>
    </w:pPr>
    <w:rPr>
      <w:rFonts w:cstheme="minorBidi"/>
      <w:color w:val="auto"/>
    </w:rPr>
  </w:style>
  <w:style w:type="table" w:styleId="TableGrid">
    <w:name w:val="Table Grid"/>
    <w:basedOn w:val="TableNormal"/>
    <w:uiPriority w:val="59"/>
    <w:rsid w:val="006B3EF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F7"/>
    <w:rPr>
      <w:rFonts w:ascii="Tahoma" w:hAnsi="Tahoma" w:cs="Tahoma"/>
      <w:sz w:val="16"/>
      <w:szCs w:val="16"/>
    </w:rPr>
  </w:style>
  <w:style w:type="table" w:customStyle="1" w:styleId="MediumGrid2-Accent11">
    <w:name w:val="Medium Grid 2 - Accent 11"/>
    <w:basedOn w:val="TableNormal"/>
    <w:next w:val="MediumGrid2-Accent1"/>
    <w:uiPriority w:val="68"/>
    <w:rsid w:val="00762567"/>
    <w:pPr>
      <w:spacing w:after="0" w:line="240" w:lineRule="auto"/>
    </w:pPr>
    <w:rPr>
      <w:rFonts w:ascii="Cambria" w:eastAsia="Times New Roman" w:hAnsi="Cambria" w:cs="Times New Roman"/>
      <w:color w:val="000000"/>
      <w:sz w:val="20"/>
      <w:szCs w:val="20"/>
      <w:lang w:val="en-AU" w:eastAsia="en-AU"/>
    </w:rPr>
    <w:tblPr>
      <w:tblStyleRowBandSize w:val="1"/>
      <w:tblStyleColBandSize w:val="1"/>
      <w:tblBorders>
        <w:top w:val="single" w:sz="8" w:space="0" w:color="D34817"/>
        <w:left w:val="single" w:sz="8" w:space="0" w:color="D34817"/>
        <w:bottom w:val="single" w:sz="8" w:space="0" w:color="D34817"/>
        <w:right w:val="single" w:sz="8" w:space="0" w:color="D34817"/>
        <w:insideH w:val="single" w:sz="8" w:space="0" w:color="D34817"/>
        <w:insideV w:val="single" w:sz="8" w:space="0" w:color="D34817"/>
      </w:tblBorders>
    </w:tblPr>
    <w:tcPr>
      <w:shd w:val="clear" w:color="auto" w:fill="F8CFC1"/>
    </w:tcPr>
    <w:tblStylePr w:type="firstRow">
      <w:rPr>
        <w:b/>
        <w:bCs/>
        <w:color w:val="000000"/>
      </w:rPr>
      <w:tblPr/>
      <w:tcPr>
        <w:shd w:val="clear" w:color="auto" w:fill="FCEC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9D8CD"/>
      </w:tcPr>
    </w:tblStylePr>
    <w:tblStylePr w:type="band1Vert">
      <w:tblPr/>
      <w:tcPr>
        <w:shd w:val="clear" w:color="auto" w:fill="F19F82"/>
      </w:tcPr>
    </w:tblStylePr>
    <w:tblStylePr w:type="band1Horz">
      <w:tblPr/>
      <w:tcPr>
        <w:tcBorders>
          <w:insideH w:val="single" w:sz="6" w:space="0" w:color="D34817"/>
          <w:insideV w:val="single" w:sz="6" w:space="0" w:color="D34817"/>
        </w:tcBorders>
        <w:shd w:val="clear" w:color="auto" w:fill="F19F82"/>
      </w:tcPr>
    </w:tblStylePr>
    <w:tblStylePr w:type="nwCell">
      <w:tblPr/>
      <w:tcPr>
        <w:shd w:val="clear" w:color="auto" w:fill="FFFFFF"/>
      </w:tcPr>
    </w:tblStylePr>
  </w:style>
  <w:style w:type="table" w:styleId="MediumGrid2-Accent1">
    <w:name w:val="Medium Grid 2 Accent 1"/>
    <w:basedOn w:val="TableNormal"/>
    <w:uiPriority w:val="68"/>
    <w:rsid w:val="0076256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8637" w:themeColor="accent1"/>
        <w:left w:val="single" w:sz="8" w:space="0" w:color="FE8637" w:themeColor="accent1"/>
        <w:bottom w:val="single" w:sz="8" w:space="0" w:color="FE8637" w:themeColor="accent1"/>
        <w:right w:val="single" w:sz="8" w:space="0" w:color="FE8637" w:themeColor="accent1"/>
        <w:insideH w:val="single" w:sz="8" w:space="0" w:color="FE8637" w:themeColor="accent1"/>
        <w:insideV w:val="single" w:sz="8" w:space="0" w:color="FE8637" w:themeColor="accent1"/>
      </w:tblBorders>
    </w:tblPr>
    <w:tcPr>
      <w:shd w:val="clear" w:color="auto" w:fill="FEE1CD" w:themeFill="accent1" w:themeFillTint="3F"/>
    </w:tcPr>
    <w:tblStylePr w:type="firstRow">
      <w:rPr>
        <w:b/>
        <w:bCs/>
        <w:color w:val="000000" w:themeColor="text1"/>
      </w:rPr>
      <w:tblPr/>
      <w:tcPr>
        <w:shd w:val="clear" w:color="auto" w:fill="FFF2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6D6" w:themeFill="accent1" w:themeFillTint="33"/>
      </w:tcPr>
    </w:tblStylePr>
    <w:tblStylePr w:type="band1Vert">
      <w:tblPr/>
      <w:tcPr>
        <w:shd w:val="clear" w:color="auto" w:fill="FEC29B" w:themeFill="accent1" w:themeFillTint="7F"/>
      </w:tcPr>
    </w:tblStylePr>
    <w:tblStylePr w:type="band1Horz">
      <w:tblPr/>
      <w:tcPr>
        <w:tcBorders>
          <w:insideH w:val="single" w:sz="6" w:space="0" w:color="FE8637" w:themeColor="accent1"/>
          <w:insideV w:val="single" w:sz="6" w:space="0" w:color="FE8637" w:themeColor="accent1"/>
        </w:tcBorders>
        <w:shd w:val="clear" w:color="auto" w:fill="FEC29B" w:themeFill="accent1" w:themeFillTint="7F"/>
      </w:tcPr>
    </w:tblStylePr>
    <w:tblStylePr w:type="nwCell">
      <w:tblPr/>
      <w:tcPr>
        <w:shd w:val="clear" w:color="auto" w:fill="FFFFFF" w:themeFill="background1"/>
      </w:tcPr>
    </w:tblStylePr>
  </w:style>
  <w:style w:type="table" w:customStyle="1" w:styleId="MediumGrid3-Accent51">
    <w:name w:val="Medium Grid 3 - Accent 51"/>
    <w:basedOn w:val="TableNormal"/>
    <w:next w:val="MediumGrid3-Accent5"/>
    <w:uiPriority w:val="69"/>
    <w:rsid w:val="00762567"/>
    <w:pPr>
      <w:spacing w:after="0" w:line="240" w:lineRule="auto"/>
    </w:pPr>
    <w:rPr>
      <w:rFonts w:eastAsia="Times New Roman"/>
      <w:sz w:val="20"/>
      <w:szCs w:val="20"/>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3E0E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1848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1848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1848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1848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8C1C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8C1C1"/>
      </w:tcPr>
    </w:tblStylePr>
  </w:style>
  <w:style w:type="table" w:styleId="MediumGrid3-Accent5">
    <w:name w:val="Medium Grid 3 Accent 5"/>
    <w:basedOn w:val="TableNormal"/>
    <w:uiPriority w:val="69"/>
    <w:rsid w:val="0076256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ED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EBA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EBA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EBA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EBA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D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DCEA" w:themeFill="accent5" w:themeFillTint="7F"/>
      </w:tcPr>
    </w:tblStylePr>
  </w:style>
  <w:style w:type="table" w:styleId="MediumGrid2-Accent3">
    <w:name w:val="Medium Grid 2 Accent 3"/>
    <w:basedOn w:val="TableNormal"/>
    <w:uiPriority w:val="68"/>
    <w:rsid w:val="00D0117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2C16" w:themeColor="accent3"/>
        <w:left w:val="single" w:sz="8" w:space="0" w:color="B32C16" w:themeColor="accent3"/>
        <w:bottom w:val="single" w:sz="8" w:space="0" w:color="B32C16" w:themeColor="accent3"/>
        <w:right w:val="single" w:sz="8" w:space="0" w:color="B32C16" w:themeColor="accent3"/>
        <w:insideH w:val="single" w:sz="8" w:space="0" w:color="B32C16" w:themeColor="accent3"/>
        <w:insideV w:val="single" w:sz="8" w:space="0" w:color="B32C16" w:themeColor="accent3"/>
      </w:tblBorders>
    </w:tblPr>
    <w:tcPr>
      <w:shd w:val="clear" w:color="auto" w:fill="F6C2BA" w:themeFill="accent3" w:themeFillTint="3F"/>
    </w:tcPr>
    <w:tblStylePr w:type="firstRow">
      <w:rPr>
        <w:b/>
        <w:bCs/>
        <w:color w:val="000000" w:themeColor="text1"/>
      </w:rPr>
      <w:tblPr/>
      <w:tcPr>
        <w:shd w:val="clear" w:color="auto" w:fill="FBE7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CEC7" w:themeFill="accent3" w:themeFillTint="33"/>
      </w:tcPr>
    </w:tblStylePr>
    <w:tblStylePr w:type="band1Vert">
      <w:tblPr/>
      <w:tcPr>
        <w:shd w:val="clear" w:color="auto" w:fill="EE8675" w:themeFill="accent3" w:themeFillTint="7F"/>
      </w:tcPr>
    </w:tblStylePr>
    <w:tblStylePr w:type="band1Horz">
      <w:tblPr/>
      <w:tcPr>
        <w:tcBorders>
          <w:insideH w:val="single" w:sz="6" w:space="0" w:color="B32C16" w:themeColor="accent3"/>
          <w:insideV w:val="single" w:sz="6" w:space="0" w:color="B32C16" w:themeColor="accent3"/>
        </w:tcBorders>
        <w:shd w:val="clear" w:color="auto" w:fill="EE8675" w:themeFill="accent3" w:themeFillTint="7F"/>
      </w:tcPr>
    </w:tblStylePr>
    <w:tblStylePr w:type="nwCell">
      <w:tblPr/>
      <w:tcPr>
        <w:shd w:val="clear" w:color="auto" w:fill="FFFFFF" w:themeFill="background1"/>
      </w:tcPr>
    </w:tblStylePr>
  </w:style>
  <w:style w:type="character" w:styleId="CommentReference">
    <w:name w:val="annotation reference"/>
    <w:basedOn w:val="DefaultParagraphFont"/>
    <w:uiPriority w:val="99"/>
    <w:semiHidden/>
    <w:unhideWhenUsed/>
    <w:rsid w:val="001F1520"/>
    <w:rPr>
      <w:sz w:val="16"/>
      <w:szCs w:val="16"/>
    </w:rPr>
  </w:style>
  <w:style w:type="paragraph" w:styleId="CommentText">
    <w:name w:val="annotation text"/>
    <w:basedOn w:val="Normal"/>
    <w:link w:val="CommentTextChar"/>
    <w:uiPriority w:val="99"/>
    <w:semiHidden/>
    <w:unhideWhenUsed/>
    <w:rsid w:val="001F1520"/>
    <w:pPr>
      <w:spacing w:line="240" w:lineRule="auto"/>
    </w:pPr>
    <w:rPr>
      <w:sz w:val="20"/>
      <w:szCs w:val="20"/>
    </w:rPr>
  </w:style>
  <w:style w:type="character" w:customStyle="1" w:styleId="CommentTextChar">
    <w:name w:val="Comment Text Char"/>
    <w:basedOn w:val="DefaultParagraphFont"/>
    <w:link w:val="CommentText"/>
    <w:uiPriority w:val="99"/>
    <w:semiHidden/>
    <w:rsid w:val="001F1520"/>
    <w:rPr>
      <w:sz w:val="20"/>
      <w:szCs w:val="20"/>
    </w:rPr>
  </w:style>
  <w:style w:type="paragraph" w:styleId="CommentSubject">
    <w:name w:val="annotation subject"/>
    <w:basedOn w:val="CommentText"/>
    <w:next w:val="CommentText"/>
    <w:link w:val="CommentSubjectChar"/>
    <w:uiPriority w:val="99"/>
    <w:semiHidden/>
    <w:unhideWhenUsed/>
    <w:rsid w:val="001F1520"/>
    <w:rPr>
      <w:b/>
      <w:bCs/>
    </w:rPr>
  </w:style>
  <w:style w:type="character" w:customStyle="1" w:styleId="CommentSubjectChar">
    <w:name w:val="Comment Subject Char"/>
    <w:basedOn w:val="CommentTextChar"/>
    <w:link w:val="CommentSubject"/>
    <w:uiPriority w:val="99"/>
    <w:semiHidden/>
    <w:rsid w:val="001F1520"/>
    <w:rPr>
      <w:b/>
      <w:bCs/>
      <w:sz w:val="20"/>
      <w:szCs w:val="20"/>
    </w:rPr>
  </w:style>
  <w:style w:type="paragraph" w:customStyle="1" w:styleId="CM99">
    <w:name w:val="CM99"/>
    <w:basedOn w:val="Default"/>
    <w:next w:val="Default"/>
    <w:uiPriority w:val="99"/>
    <w:rsid w:val="00D834B6"/>
    <w:rPr>
      <w:rFonts w:ascii="Lato" w:hAnsi="Lato" w:cstheme="minorBidi"/>
      <w:color w:val="auto"/>
    </w:rPr>
  </w:style>
  <w:style w:type="paragraph" w:customStyle="1" w:styleId="CM25">
    <w:name w:val="CM25"/>
    <w:basedOn w:val="Default"/>
    <w:next w:val="Default"/>
    <w:uiPriority w:val="99"/>
    <w:rsid w:val="00C11029"/>
    <w:pPr>
      <w:spacing w:line="260" w:lineRule="atLeast"/>
    </w:pPr>
    <w:rPr>
      <w:rFonts w:ascii="Lato" w:hAnsi="Lato" w:cstheme="minorBidi"/>
      <w:color w:val="auto"/>
    </w:rPr>
  </w:style>
  <w:style w:type="paragraph" w:customStyle="1" w:styleId="CM101">
    <w:name w:val="CM101"/>
    <w:basedOn w:val="Default"/>
    <w:next w:val="Default"/>
    <w:uiPriority w:val="99"/>
    <w:rsid w:val="00C11029"/>
    <w:rPr>
      <w:rFonts w:ascii="Lato" w:hAnsi="Lato" w:cstheme="minorBidi"/>
      <w:color w:val="auto"/>
    </w:rPr>
  </w:style>
  <w:style w:type="paragraph" w:customStyle="1" w:styleId="CM107">
    <w:name w:val="CM107"/>
    <w:basedOn w:val="Default"/>
    <w:next w:val="Default"/>
    <w:uiPriority w:val="99"/>
    <w:rsid w:val="00C11029"/>
    <w:rPr>
      <w:rFonts w:ascii="Lato" w:hAnsi="Lato" w:cstheme="minorBidi"/>
      <w:color w:val="auto"/>
    </w:rPr>
  </w:style>
  <w:style w:type="paragraph" w:customStyle="1" w:styleId="CM103">
    <w:name w:val="CM103"/>
    <w:basedOn w:val="Default"/>
    <w:next w:val="Default"/>
    <w:uiPriority w:val="99"/>
    <w:rsid w:val="00C11029"/>
    <w:rPr>
      <w:rFonts w:ascii="Lato" w:hAnsi="Lato" w:cstheme="minorBidi"/>
      <w:color w:val="auto"/>
    </w:rPr>
  </w:style>
  <w:style w:type="paragraph" w:customStyle="1" w:styleId="DHHSbody">
    <w:name w:val="DHHS body"/>
    <w:qFormat/>
    <w:rsid w:val="00C11029"/>
    <w:pPr>
      <w:spacing w:after="120" w:line="270" w:lineRule="atLeast"/>
    </w:pPr>
    <w:rPr>
      <w:rFonts w:ascii="Arial" w:eastAsia="Times" w:hAnsi="Arial" w:cs="Times New Roman"/>
      <w:sz w:val="20"/>
      <w:szCs w:val="20"/>
      <w:lang w:val="en-AU"/>
    </w:rPr>
  </w:style>
  <w:style w:type="paragraph" w:styleId="TOCHeading">
    <w:name w:val="TOC Heading"/>
    <w:basedOn w:val="Heading1"/>
    <w:next w:val="Normal"/>
    <w:uiPriority w:val="39"/>
    <w:unhideWhenUsed/>
    <w:qFormat/>
    <w:rsid w:val="00280BD8"/>
    <w:pPr>
      <w:outlineLvl w:val="9"/>
    </w:pPr>
  </w:style>
  <w:style w:type="paragraph" w:styleId="Header">
    <w:name w:val="header"/>
    <w:basedOn w:val="Normal"/>
    <w:link w:val="HeaderChar"/>
    <w:uiPriority w:val="99"/>
    <w:unhideWhenUsed/>
    <w:rsid w:val="00280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BD8"/>
  </w:style>
  <w:style w:type="paragraph" w:styleId="Footer">
    <w:name w:val="footer"/>
    <w:basedOn w:val="Normal"/>
    <w:link w:val="FooterChar"/>
    <w:uiPriority w:val="99"/>
    <w:unhideWhenUsed/>
    <w:rsid w:val="00280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BD8"/>
  </w:style>
  <w:style w:type="paragraph" w:styleId="TOC1">
    <w:name w:val="toc 1"/>
    <w:basedOn w:val="Normal"/>
    <w:next w:val="Normal"/>
    <w:autoRedefine/>
    <w:uiPriority w:val="39"/>
    <w:unhideWhenUsed/>
    <w:rsid w:val="00280BD8"/>
    <w:pPr>
      <w:spacing w:after="100"/>
    </w:pPr>
  </w:style>
  <w:style w:type="character" w:styleId="Hyperlink">
    <w:name w:val="Hyperlink"/>
    <w:basedOn w:val="DefaultParagraphFont"/>
    <w:uiPriority w:val="99"/>
    <w:unhideWhenUsed/>
    <w:rsid w:val="00280BD8"/>
    <w:rPr>
      <w:color w:val="D2611C" w:themeColor="hyperlink"/>
      <w:u w:val="single"/>
    </w:rPr>
  </w:style>
  <w:style w:type="paragraph" w:styleId="FootnoteText">
    <w:name w:val="footnote text"/>
    <w:basedOn w:val="Normal"/>
    <w:link w:val="FootnoteTextChar"/>
    <w:uiPriority w:val="99"/>
    <w:unhideWhenUsed/>
    <w:rsid w:val="00280BD8"/>
    <w:pPr>
      <w:spacing w:after="0" w:line="240" w:lineRule="auto"/>
    </w:pPr>
    <w:rPr>
      <w:sz w:val="20"/>
      <w:szCs w:val="20"/>
    </w:rPr>
  </w:style>
  <w:style w:type="character" w:customStyle="1" w:styleId="FootnoteTextChar">
    <w:name w:val="Footnote Text Char"/>
    <w:basedOn w:val="DefaultParagraphFont"/>
    <w:link w:val="FootnoteText"/>
    <w:uiPriority w:val="99"/>
    <w:rsid w:val="00280BD8"/>
    <w:rPr>
      <w:sz w:val="20"/>
      <w:szCs w:val="20"/>
    </w:rPr>
  </w:style>
  <w:style w:type="character" w:styleId="FootnoteReference">
    <w:name w:val="footnote reference"/>
    <w:basedOn w:val="DefaultParagraphFont"/>
    <w:uiPriority w:val="99"/>
    <w:unhideWhenUsed/>
    <w:rsid w:val="00280BD8"/>
    <w:rPr>
      <w:vertAlign w:val="superscript"/>
    </w:rPr>
  </w:style>
  <w:style w:type="paragraph" w:styleId="NoSpacing">
    <w:name w:val="No Spacing"/>
    <w:link w:val="NoSpacingChar"/>
    <w:uiPriority w:val="1"/>
    <w:qFormat/>
    <w:rsid w:val="002A30D9"/>
    <w:pPr>
      <w:spacing w:after="0" w:line="240" w:lineRule="auto"/>
    </w:pPr>
    <w:rPr>
      <w:rFonts w:eastAsiaTheme="minorEastAsia"/>
    </w:rPr>
  </w:style>
  <w:style w:type="character" w:customStyle="1" w:styleId="NoSpacingChar">
    <w:name w:val="No Spacing Char"/>
    <w:basedOn w:val="DefaultParagraphFont"/>
    <w:link w:val="NoSpacing"/>
    <w:uiPriority w:val="1"/>
    <w:rsid w:val="002A30D9"/>
    <w:rPr>
      <w:rFonts w:eastAsiaTheme="minorEastAsia"/>
    </w:rPr>
  </w:style>
  <w:style w:type="character" w:styleId="IntenseEmphasis">
    <w:name w:val="Intense Emphasis"/>
    <w:basedOn w:val="DefaultParagraphFont"/>
    <w:uiPriority w:val="21"/>
    <w:qFormat/>
    <w:rsid w:val="002A30D9"/>
    <w:rPr>
      <w:i/>
      <w:iCs/>
      <w:color w:val="FE8637" w:themeColor="accent1"/>
    </w:rPr>
  </w:style>
  <w:style w:type="table" w:customStyle="1" w:styleId="GridTable1Light-Accent21">
    <w:name w:val="Grid Table 1 Light - Accent 21"/>
    <w:basedOn w:val="TableNormal"/>
    <w:uiPriority w:val="46"/>
    <w:rsid w:val="00852698"/>
    <w:pPr>
      <w:spacing w:after="0" w:line="240" w:lineRule="auto"/>
    </w:pPr>
    <w:rPr>
      <w:lang w:val="en-AU"/>
    </w:rPr>
    <w:tblPr>
      <w:tblStyleRowBandSize w:val="1"/>
      <w:tblStyleColBandSize w:val="1"/>
      <w:tblBorders>
        <w:top w:val="single" w:sz="4" w:space="0" w:color="C7D5EF" w:themeColor="accent2" w:themeTint="66"/>
        <w:left w:val="single" w:sz="4" w:space="0" w:color="C7D5EF" w:themeColor="accent2" w:themeTint="66"/>
        <w:bottom w:val="single" w:sz="4" w:space="0" w:color="C7D5EF" w:themeColor="accent2" w:themeTint="66"/>
        <w:right w:val="single" w:sz="4" w:space="0" w:color="C7D5EF" w:themeColor="accent2" w:themeTint="66"/>
        <w:insideH w:val="single" w:sz="4" w:space="0" w:color="C7D5EF" w:themeColor="accent2" w:themeTint="66"/>
        <w:insideV w:val="single" w:sz="4" w:space="0" w:color="C7D5EF" w:themeColor="accent2" w:themeTint="66"/>
      </w:tblBorders>
    </w:tblPr>
    <w:tblStylePr w:type="firstRow">
      <w:rPr>
        <w:b/>
        <w:bCs/>
      </w:rPr>
      <w:tblPr/>
      <w:tcPr>
        <w:tcBorders>
          <w:bottom w:val="single" w:sz="12" w:space="0" w:color="ACC1E8" w:themeColor="accent2" w:themeTint="99"/>
        </w:tcBorders>
      </w:tcPr>
    </w:tblStylePr>
    <w:tblStylePr w:type="lastRow">
      <w:rPr>
        <w:b/>
        <w:bCs/>
      </w:rPr>
      <w:tblPr/>
      <w:tcPr>
        <w:tcBorders>
          <w:top w:val="double" w:sz="2" w:space="0" w:color="ACC1E8" w:themeColor="accent2" w:themeTint="99"/>
        </w:tcBorders>
      </w:tcPr>
    </w:tblStylePr>
    <w:tblStylePr w:type="firstCol">
      <w:rPr>
        <w:b/>
        <w:bCs/>
      </w:rPr>
    </w:tblStylePr>
    <w:tblStylePr w:type="lastCol">
      <w:rPr>
        <w:b/>
        <w:bCs/>
      </w:rPr>
    </w:tblStylePr>
  </w:style>
  <w:style w:type="table" w:customStyle="1" w:styleId="MediumGrid2-Accent31">
    <w:name w:val="Medium Grid 2 - Accent 31"/>
    <w:basedOn w:val="TableNormal"/>
    <w:next w:val="MediumGrid2-Accent3"/>
    <w:uiPriority w:val="68"/>
    <w:rsid w:val="00852698"/>
    <w:pPr>
      <w:spacing w:after="0" w:line="240" w:lineRule="auto"/>
    </w:pPr>
    <w:rPr>
      <w:rFonts w:ascii="Calibri Light" w:eastAsia="Times New Roman" w:hAnsi="Calibri Light" w:cs="Times New Roman"/>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numbering" w:customStyle="1" w:styleId="NoList1">
    <w:name w:val="No List1"/>
    <w:next w:val="NoList"/>
    <w:uiPriority w:val="99"/>
    <w:semiHidden/>
    <w:unhideWhenUsed/>
    <w:rsid w:val="00253CDF"/>
  </w:style>
  <w:style w:type="table" w:customStyle="1" w:styleId="MediumGrid2-Accent111">
    <w:name w:val="Medium Grid 2 - Accent 111"/>
    <w:basedOn w:val="TableNormal"/>
    <w:next w:val="MediumGrid2-Accent1"/>
    <w:uiPriority w:val="68"/>
    <w:rsid w:val="00253CDF"/>
    <w:pPr>
      <w:spacing w:after="0" w:line="240" w:lineRule="auto"/>
    </w:pPr>
    <w:rPr>
      <w:rFonts w:ascii="Cambria" w:eastAsia="Times New Roman" w:hAnsi="Cambria" w:cs="Times New Roman"/>
      <w:color w:val="000000"/>
      <w:sz w:val="20"/>
      <w:szCs w:val="20"/>
      <w:lang w:val="en-AU" w:eastAsia="en-AU"/>
    </w:rPr>
    <w:tblPr>
      <w:tblStyleRowBandSize w:val="1"/>
      <w:tblStyleColBandSize w:val="1"/>
      <w:tblBorders>
        <w:top w:val="single" w:sz="8" w:space="0" w:color="D34817"/>
        <w:left w:val="single" w:sz="8" w:space="0" w:color="D34817"/>
        <w:bottom w:val="single" w:sz="8" w:space="0" w:color="D34817"/>
        <w:right w:val="single" w:sz="8" w:space="0" w:color="D34817"/>
        <w:insideH w:val="single" w:sz="8" w:space="0" w:color="D34817"/>
        <w:insideV w:val="single" w:sz="8" w:space="0" w:color="D34817"/>
      </w:tblBorders>
    </w:tblPr>
    <w:tcPr>
      <w:shd w:val="clear" w:color="auto" w:fill="F8CFC1"/>
    </w:tcPr>
    <w:tblStylePr w:type="firstRow">
      <w:rPr>
        <w:b/>
        <w:bCs/>
        <w:color w:val="000000"/>
      </w:rPr>
      <w:tblPr/>
      <w:tcPr>
        <w:shd w:val="clear" w:color="auto" w:fill="FCEC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9D8CD"/>
      </w:tcPr>
    </w:tblStylePr>
    <w:tblStylePr w:type="band1Vert">
      <w:tblPr/>
      <w:tcPr>
        <w:shd w:val="clear" w:color="auto" w:fill="F19F82"/>
      </w:tcPr>
    </w:tblStylePr>
    <w:tblStylePr w:type="band1Horz">
      <w:tblPr/>
      <w:tcPr>
        <w:tcBorders>
          <w:insideH w:val="single" w:sz="6" w:space="0" w:color="D34817"/>
          <w:insideV w:val="single" w:sz="6" w:space="0" w:color="D34817"/>
        </w:tcBorders>
        <w:shd w:val="clear" w:color="auto" w:fill="F19F82"/>
      </w:tcPr>
    </w:tblStylePr>
    <w:tblStylePr w:type="nwCell">
      <w:tblPr/>
      <w:tcPr>
        <w:shd w:val="clear" w:color="auto" w:fill="FFFFFF"/>
      </w:tcPr>
    </w:tblStylePr>
  </w:style>
  <w:style w:type="table" w:customStyle="1" w:styleId="MediumGrid2-Accent1111">
    <w:name w:val="Medium Grid 2 - Accent 1111"/>
    <w:basedOn w:val="TableNormal"/>
    <w:next w:val="MediumGrid2-Accent1"/>
    <w:uiPriority w:val="68"/>
    <w:rsid w:val="00253CDF"/>
    <w:pPr>
      <w:spacing w:after="0" w:line="240" w:lineRule="auto"/>
    </w:pPr>
    <w:rPr>
      <w:rFonts w:ascii="Cambria" w:eastAsia="Times New Roman" w:hAnsi="Cambria" w:cs="Times New Roman"/>
      <w:color w:val="000000"/>
      <w:sz w:val="20"/>
      <w:szCs w:val="20"/>
      <w:lang w:val="en-AU" w:eastAsia="en-AU"/>
    </w:rPr>
    <w:tblPr>
      <w:tblStyleRowBandSize w:val="1"/>
      <w:tblStyleColBandSize w:val="1"/>
      <w:tblBorders>
        <w:top w:val="single" w:sz="8" w:space="0" w:color="D34817"/>
        <w:left w:val="single" w:sz="8" w:space="0" w:color="D34817"/>
        <w:bottom w:val="single" w:sz="8" w:space="0" w:color="D34817"/>
        <w:right w:val="single" w:sz="8" w:space="0" w:color="D34817"/>
        <w:insideH w:val="single" w:sz="8" w:space="0" w:color="D34817"/>
        <w:insideV w:val="single" w:sz="8" w:space="0" w:color="D34817"/>
      </w:tblBorders>
    </w:tblPr>
    <w:tcPr>
      <w:shd w:val="clear" w:color="auto" w:fill="F8CFC1"/>
    </w:tcPr>
    <w:tblStylePr w:type="firstRow">
      <w:rPr>
        <w:b/>
        <w:bCs/>
        <w:color w:val="000000"/>
      </w:rPr>
      <w:tblPr/>
      <w:tcPr>
        <w:shd w:val="clear" w:color="auto" w:fill="FCEC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9D8CD"/>
      </w:tcPr>
    </w:tblStylePr>
    <w:tblStylePr w:type="band1Vert">
      <w:tblPr/>
      <w:tcPr>
        <w:shd w:val="clear" w:color="auto" w:fill="F19F82"/>
      </w:tcPr>
    </w:tblStylePr>
    <w:tblStylePr w:type="band1Horz">
      <w:tblPr/>
      <w:tcPr>
        <w:tcBorders>
          <w:insideH w:val="single" w:sz="6" w:space="0" w:color="D34817"/>
          <w:insideV w:val="single" w:sz="6" w:space="0" w:color="D34817"/>
        </w:tcBorders>
        <w:shd w:val="clear" w:color="auto" w:fill="F19F82"/>
      </w:tcPr>
    </w:tblStylePr>
    <w:tblStylePr w:type="nwCell">
      <w:tblPr/>
      <w:tcPr>
        <w:shd w:val="clear" w:color="auto" w:fill="FFFFFF"/>
      </w:tcPr>
    </w:tblStylePr>
  </w:style>
  <w:style w:type="table" w:customStyle="1" w:styleId="MediumGrid2-Accent1112">
    <w:name w:val="Medium Grid 2 - Accent 1112"/>
    <w:basedOn w:val="TableNormal"/>
    <w:next w:val="MediumGrid2-Accent1"/>
    <w:uiPriority w:val="68"/>
    <w:rsid w:val="00253CDF"/>
    <w:pPr>
      <w:spacing w:after="0" w:line="240" w:lineRule="auto"/>
    </w:pPr>
    <w:rPr>
      <w:rFonts w:ascii="Cambria" w:eastAsia="Times New Roman" w:hAnsi="Cambria" w:cs="Times New Roman"/>
      <w:color w:val="000000"/>
      <w:sz w:val="20"/>
      <w:szCs w:val="20"/>
      <w:lang w:val="en-AU" w:eastAsia="en-AU"/>
    </w:rPr>
    <w:tblPr>
      <w:tblStyleRowBandSize w:val="1"/>
      <w:tblStyleColBandSize w:val="1"/>
      <w:tblBorders>
        <w:top w:val="single" w:sz="8" w:space="0" w:color="D34817"/>
        <w:left w:val="single" w:sz="8" w:space="0" w:color="D34817"/>
        <w:bottom w:val="single" w:sz="8" w:space="0" w:color="D34817"/>
        <w:right w:val="single" w:sz="8" w:space="0" w:color="D34817"/>
        <w:insideH w:val="single" w:sz="8" w:space="0" w:color="D34817"/>
        <w:insideV w:val="single" w:sz="8" w:space="0" w:color="D34817"/>
      </w:tblBorders>
    </w:tblPr>
    <w:tcPr>
      <w:shd w:val="clear" w:color="auto" w:fill="F8CFC1"/>
    </w:tcPr>
    <w:tblStylePr w:type="firstRow">
      <w:rPr>
        <w:b/>
        <w:bCs/>
        <w:color w:val="000000"/>
      </w:rPr>
      <w:tblPr/>
      <w:tcPr>
        <w:shd w:val="clear" w:color="auto" w:fill="FCEC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9D8CD"/>
      </w:tcPr>
    </w:tblStylePr>
    <w:tblStylePr w:type="band1Vert">
      <w:tblPr/>
      <w:tcPr>
        <w:shd w:val="clear" w:color="auto" w:fill="F19F82"/>
      </w:tcPr>
    </w:tblStylePr>
    <w:tblStylePr w:type="band1Horz">
      <w:tblPr/>
      <w:tcPr>
        <w:tcBorders>
          <w:insideH w:val="single" w:sz="6" w:space="0" w:color="D34817"/>
          <w:insideV w:val="single" w:sz="6" w:space="0" w:color="D34817"/>
        </w:tcBorders>
        <w:shd w:val="clear" w:color="auto" w:fill="F19F82"/>
      </w:tcPr>
    </w:tblStylePr>
    <w:tblStylePr w:type="nwCell">
      <w:tblPr/>
      <w:tcPr>
        <w:shd w:val="clear" w:color="auto" w:fill="FFFFFF"/>
      </w:tcPr>
    </w:tblStylePr>
  </w:style>
  <w:style w:type="paragraph" w:styleId="Revision">
    <w:name w:val="Revision"/>
    <w:hidden/>
    <w:uiPriority w:val="99"/>
    <w:semiHidden/>
    <w:rsid w:val="00253CDF"/>
    <w:pPr>
      <w:spacing w:after="0" w:line="240" w:lineRule="auto"/>
    </w:pPr>
    <w:rPr>
      <w:lang w:val="en-AU"/>
    </w:rPr>
  </w:style>
  <w:style w:type="character" w:customStyle="1" w:styleId="Heading2Char">
    <w:name w:val="Heading 2 Char"/>
    <w:basedOn w:val="DefaultParagraphFont"/>
    <w:link w:val="Heading2"/>
    <w:uiPriority w:val="9"/>
    <w:rsid w:val="00205798"/>
    <w:rPr>
      <w:rFonts w:asciiTheme="majorHAnsi" w:eastAsiaTheme="majorEastAsia" w:hAnsiTheme="majorHAnsi" w:cstheme="majorBidi"/>
      <w:color w:val="E65B01" w:themeColor="accent1" w:themeShade="BF"/>
      <w:sz w:val="26"/>
      <w:szCs w:val="26"/>
    </w:rPr>
  </w:style>
  <w:style w:type="paragraph" w:styleId="TOC2">
    <w:name w:val="toc 2"/>
    <w:basedOn w:val="Normal"/>
    <w:next w:val="Normal"/>
    <w:autoRedefine/>
    <w:uiPriority w:val="39"/>
    <w:unhideWhenUsed/>
    <w:rsid w:val="00205798"/>
    <w:pPr>
      <w:spacing w:after="100"/>
      <w:ind w:left="220"/>
    </w:pPr>
  </w:style>
  <w:style w:type="paragraph" w:styleId="IntenseQuote">
    <w:name w:val="Intense Quote"/>
    <w:basedOn w:val="Normal"/>
    <w:next w:val="Normal"/>
    <w:link w:val="IntenseQuoteChar"/>
    <w:uiPriority w:val="30"/>
    <w:qFormat/>
    <w:rsid w:val="00060272"/>
    <w:pPr>
      <w:pBdr>
        <w:top w:val="single" w:sz="4" w:space="10" w:color="FE8637" w:themeColor="accent1"/>
        <w:bottom w:val="single" w:sz="4" w:space="10" w:color="FE8637" w:themeColor="accent1"/>
      </w:pBdr>
      <w:spacing w:before="360" w:after="360"/>
      <w:ind w:left="864" w:right="864"/>
      <w:jc w:val="center"/>
    </w:pPr>
    <w:rPr>
      <w:i/>
      <w:iCs/>
      <w:color w:val="FE8637" w:themeColor="accent1"/>
    </w:rPr>
  </w:style>
  <w:style w:type="character" w:customStyle="1" w:styleId="IntenseQuoteChar">
    <w:name w:val="Intense Quote Char"/>
    <w:basedOn w:val="DefaultParagraphFont"/>
    <w:link w:val="IntenseQuote"/>
    <w:uiPriority w:val="30"/>
    <w:rsid w:val="00060272"/>
    <w:rPr>
      <w:i/>
      <w:iCs/>
      <w:color w:val="FE8637" w:themeColor="accent1"/>
    </w:rPr>
  </w:style>
  <w:style w:type="paragraph" w:styleId="NormalWeb">
    <w:name w:val="Normal (Web)"/>
    <w:basedOn w:val="Normal"/>
    <w:uiPriority w:val="99"/>
    <w:semiHidden/>
    <w:unhideWhenUsed/>
    <w:rsid w:val="00060B55"/>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07710D"/>
    <w:rPr>
      <w:color w:val="3B435B" w:themeColor="followedHyperlink"/>
      <w:u w:val="single"/>
    </w:rPr>
  </w:style>
  <w:style w:type="table" w:customStyle="1" w:styleId="GridTable6Colorful-Accent61">
    <w:name w:val="Grid Table 6 Colorful - Accent 61"/>
    <w:basedOn w:val="TableNormal"/>
    <w:uiPriority w:val="51"/>
    <w:rsid w:val="00714818"/>
    <w:pPr>
      <w:spacing w:after="0" w:line="240" w:lineRule="auto"/>
    </w:pPr>
    <w:rPr>
      <w:color w:val="595C62" w:themeColor="accent6" w:themeShade="BF"/>
    </w:rPr>
    <w:tblPr>
      <w:tblStyleRowBandSize w:val="1"/>
      <w:tblStyleColBandSize w:val="1"/>
      <w:tblBorders>
        <w:top w:val="single" w:sz="4" w:space="0" w:color="ADB0B5" w:themeColor="accent6" w:themeTint="99"/>
        <w:left w:val="single" w:sz="4" w:space="0" w:color="ADB0B5" w:themeColor="accent6" w:themeTint="99"/>
        <w:bottom w:val="single" w:sz="4" w:space="0" w:color="ADB0B5" w:themeColor="accent6" w:themeTint="99"/>
        <w:right w:val="single" w:sz="4" w:space="0" w:color="ADB0B5" w:themeColor="accent6" w:themeTint="99"/>
        <w:insideH w:val="single" w:sz="4" w:space="0" w:color="ADB0B5" w:themeColor="accent6" w:themeTint="99"/>
        <w:insideV w:val="single" w:sz="4" w:space="0" w:color="ADB0B5" w:themeColor="accent6" w:themeTint="99"/>
      </w:tblBorders>
    </w:tblPr>
    <w:tblStylePr w:type="firstRow">
      <w:rPr>
        <w:b/>
        <w:bCs/>
      </w:rPr>
      <w:tblPr/>
      <w:tcPr>
        <w:tcBorders>
          <w:bottom w:val="single" w:sz="12" w:space="0" w:color="ADB0B5" w:themeColor="accent6" w:themeTint="99"/>
        </w:tcBorders>
      </w:tcPr>
    </w:tblStylePr>
    <w:tblStylePr w:type="lastRow">
      <w:rPr>
        <w:b/>
        <w:bCs/>
      </w:rPr>
      <w:tblPr/>
      <w:tcPr>
        <w:tcBorders>
          <w:top w:val="double" w:sz="4" w:space="0" w:color="ADB0B5" w:themeColor="accent6" w:themeTint="99"/>
        </w:tcBorders>
      </w:tcPr>
    </w:tblStylePr>
    <w:tblStylePr w:type="firstCol">
      <w:rPr>
        <w:b/>
        <w:bCs/>
      </w:rPr>
    </w:tblStylePr>
    <w:tblStylePr w:type="lastCol">
      <w:rPr>
        <w:b/>
        <w:bCs/>
      </w:rPr>
    </w:tblStylePr>
    <w:tblStylePr w:type="band1Vert">
      <w:tblPr/>
      <w:tcPr>
        <w:shd w:val="clear" w:color="auto" w:fill="E3E4E6" w:themeFill="accent6" w:themeFillTint="33"/>
      </w:tcPr>
    </w:tblStylePr>
    <w:tblStylePr w:type="band1Horz">
      <w:tblPr/>
      <w:tcPr>
        <w:shd w:val="clear" w:color="auto" w:fill="E3E4E6" w:themeFill="accent6" w:themeFillTint="33"/>
      </w:tcPr>
    </w:tblStylePr>
  </w:style>
  <w:style w:type="character" w:styleId="Emphasis">
    <w:name w:val="Emphasis"/>
    <w:basedOn w:val="DefaultParagraphFont"/>
    <w:uiPriority w:val="20"/>
    <w:qFormat/>
    <w:rsid w:val="00601FD1"/>
    <w:rPr>
      <w:i/>
      <w:iCs/>
    </w:rPr>
  </w:style>
  <w:style w:type="character" w:customStyle="1" w:styleId="citation">
    <w:name w:val="citation"/>
    <w:basedOn w:val="DefaultParagraphFont"/>
    <w:rsid w:val="00601FD1"/>
  </w:style>
  <w:style w:type="character" w:customStyle="1" w:styleId="apple-converted-space">
    <w:name w:val="apple-converted-space"/>
    <w:basedOn w:val="DefaultParagraphFont"/>
    <w:rsid w:val="00601FD1"/>
  </w:style>
  <w:style w:type="character" w:customStyle="1" w:styleId="A0">
    <w:name w:val="A0"/>
    <w:uiPriority w:val="99"/>
    <w:rsid w:val="00601FD1"/>
    <w:rPr>
      <w:rFonts w:cs="Mrs Eaves Roman"/>
      <w:color w:val="000000"/>
      <w:sz w:val="20"/>
      <w:szCs w:val="20"/>
    </w:rPr>
  </w:style>
  <w:style w:type="character" w:customStyle="1" w:styleId="Heading4Char">
    <w:name w:val="Heading 4 Char"/>
    <w:basedOn w:val="DefaultParagraphFont"/>
    <w:link w:val="Heading4"/>
    <w:uiPriority w:val="9"/>
    <w:semiHidden/>
    <w:rsid w:val="002B5D22"/>
    <w:rPr>
      <w:rFonts w:asciiTheme="majorHAnsi" w:eastAsiaTheme="majorEastAsia" w:hAnsiTheme="majorHAnsi" w:cstheme="majorBidi"/>
      <w:i/>
      <w:iCs/>
      <w:color w:val="E65B01" w:themeColor="accent1" w:themeShade="BF"/>
    </w:rPr>
  </w:style>
  <w:style w:type="character" w:customStyle="1" w:styleId="Heading3Char">
    <w:name w:val="Heading 3 Char"/>
    <w:basedOn w:val="DefaultParagraphFont"/>
    <w:link w:val="Heading3"/>
    <w:uiPriority w:val="9"/>
    <w:rsid w:val="004E5C9C"/>
    <w:rPr>
      <w:rFonts w:asciiTheme="majorHAnsi" w:eastAsiaTheme="majorEastAsia" w:hAnsiTheme="majorHAnsi" w:cstheme="majorBidi"/>
      <w:color w:val="983D00" w:themeColor="accent1" w:themeShade="7F"/>
      <w:sz w:val="24"/>
      <w:szCs w:val="24"/>
    </w:rPr>
  </w:style>
  <w:style w:type="paragraph" w:styleId="TOC3">
    <w:name w:val="toc 3"/>
    <w:basedOn w:val="Normal"/>
    <w:next w:val="Normal"/>
    <w:autoRedefine/>
    <w:uiPriority w:val="39"/>
    <w:unhideWhenUsed/>
    <w:rsid w:val="008070C8"/>
    <w:pPr>
      <w:spacing w:after="100"/>
      <w:ind w:left="440"/>
    </w:pPr>
  </w:style>
  <w:style w:type="paragraph" w:styleId="TOC4">
    <w:name w:val="toc 4"/>
    <w:basedOn w:val="Normal"/>
    <w:next w:val="Normal"/>
    <w:autoRedefine/>
    <w:uiPriority w:val="39"/>
    <w:unhideWhenUsed/>
    <w:rsid w:val="00497F79"/>
    <w:pPr>
      <w:spacing w:after="100"/>
      <w:ind w:left="660"/>
    </w:pPr>
    <w:rPr>
      <w:rFonts w:eastAsiaTheme="minorEastAsia"/>
      <w:lang w:val="en-AU" w:eastAsia="en-AU"/>
    </w:rPr>
  </w:style>
  <w:style w:type="paragraph" w:styleId="TOC5">
    <w:name w:val="toc 5"/>
    <w:basedOn w:val="Normal"/>
    <w:next w:val="Normal"/>
    <w:autoRedefine/>
    <w:uiPriority w:val="39"/>
    <w:unhideWhenUsed/>
    <w:rsid w:val="00497F79"/>
    <w:pPr>
      <w:spacing w:after="100"/>
      <w:ind w:left="880"/>
    </w:pPr>
    <w:rPr>
      <w:rFonts w:eastAsiaTheme="minorEastAsia"/>
      <w:lang w:val="en-AU" w:eastAsia="en-AU"/>
    </w:rPr>
  </w:style>
  <w:style w:type="paragraph" w:styleId="TOC6">
    <w:name w:val="toc 6"/>
    <w:basedOn w:val="Normal"/>
    <w:next w:val="Normal"/>
    <w:autoRedefine/>
    <w:uiPriority w:val="39"/>
    <w:unhideWhenUsed/>
    <w:rsid w:val="00497F79"/>
    <w:pPr>
      <w:spacing w:after="100"/>
      <w:ind w:left="1100"/>
    </w:pPr>
    <w:rPr>
      <w:rFonts w:eastAsiaTheme="minorEastAsia"/>
      <w:lang w:val="en-AU" w:eastAsia="en-AU"/>
    </w:rPr>
  </w:style>
  <w:style w:type="paragraph" w:styleId="TOC7">
    <w:name w:val="toc 7"/>
    <w:basedOn w:val="Normal"/>
    <w:next w:val="Normal"/>
    <w:autoRedefine/>
    <w:uiPriority w:val="39"/>
    <w:unhideWhenUsed/>
    <w:rsid w:val="00497F79"/>
    <w:pPr>
      <w:spacing w:after="100"/>
      <w:ind w:left="1320"/>
    </w:pPr>
    <w:rPr>
      <w:rFonts w:eastAsiaTheme="minorEastAsia"/>
      <w:lang w:val="en-AU" w:eastAsia="en-AU"/>
    </w:rPr>
  </w:style>
  <w:style w:type="paragraph" w:styleId="TOC8">
    <w:name w:val="toc 8"/>
    <w:basedOn w:val="Normal"/>
    <w:next w:val="Normal"/>
    <w:autoRedefine/>
    <w:uiPriority w:val="39"/>
    <w:unhideWhenUsed/>
    <w:rsid w:val="00497F79"/>
    <w:pPr>
      <w:spacing w:after="100"/>
      <w:ind w:left="1540"/>
    </w:pPr>
    <w:rPr>
      <w:rFonts w:eastAsiaTheme="minorEastAsia"/>
      <w:lang w:val="en-AU" w:eastAsia="en-AU"/>
    </w:rPr>
  </w:style>
  <w:style w:type="paragraph" w:styleId="TOC9">
    <w:name w:val="toc 9"/>
    <w:basedOn w:val="Normal"/>
    <w:next w:val="Normal"/>
    <w:autoRedefine/>
    <w:uiPriority w:val="39"/>
    <w:unhideWhenUsed/>
    <w:rsid w:val="00497F79"/>
    <w:pPr>
      <w:spacing w:after="100"/>
      <w:ind w:left="1760"/>
    </w:pPr>
    <w:rPr>
      <w:rFonts w:eastAsiaTheme="minorEastAsia"/>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9109">
      <w:bodyDiv w:val="1"/>
      <w:marLeft w:val="0"/>
      <w:marRight w:val="0"/>
      <w:marTop w:val="0"/>
      <w:marBottom w:val="0"/>
      <w:divBdr>
        <w:top w:val="none" w:sz="0" w:space="0" w:color="auto"/>
        <w:left w:val="none" w:sz="0" w:space="0" w:color="auto"/>
        <w:bottom w:val="none" w:sz="0" w:space="0" w:color="auto"/>
        <w:right w:val="none" w:sz="0" w:space="0" w:color="auto"/>
      </w:divBdr>
    </w:div>
    <w:div w:id="14691808">
      <w:bodyDiv w:val="1"/>
      <w:marLeft w:val="0"/>
      <w:marRight w:val="0"/>
      <w:marTop w:val="0"/>
      <w:marBottom w:val="0"/>
      <w:divBdr>
        <w:top w:val="none" w:sz="0" w:space="0" w:color="auto"/>
        <w:left w:val="none" w:sz="0" w:space="0" w:color="auto"/>
        <w:bottom w:val="none" w:sz="0" w:space="0" w:color="auto"/>
        <w:right w:val="none" w:sz="0" w:space="0" w:color="auto"/>
      </w:divBdr>
    </w:div>
    <w:div w:id="83888084">
      <w:bodyDiv w:val="1"/>
      <w:marLeft w:val="0"/>
      <w:marRight w:val="0"/>
      <w:marTop w:val="0"/>
      <w:marBottom w:val="0"/>
      <w:divBdr>
        <w:top w:val="none" w:sz="0" w:space="0" w:color="auto"/>
        <w:left w:val="none" w:sz="0" w:space="0" w:color="auto"/>
        <w:bottom w:val="none" w:sz="0" w:space="0" w:color="auto"/>
        <w:right w:val="none" w:sz="0" w:space="0" w:color="auto"/>
      </w:divBdr>
    </w:div>
    <w:div w:id="180629995">
      <w:bodyDiv w:val="1"/>
      <w:marLeft w:val="0"/>
      <w:marRight w:val="0"/>
      <w:marTop w:val="0"/>
      <w:marBottom w:val="0"/>
      <w:divBdr>
        <w:top w:val="none" w:sz="0" w:space="0" w:color="auto"/>
        <w:left w:val="none" w:sz="0" w:space="0" w:color="auto"/>
        <w:bottom w:val="none" w:sz="0" w:space="0" w:color="auto"/>
        <w:right w:val="none" w:sz="0" w:space="0" w:color="auto"/>
      </w:divBdr>
    </w:div>
    <w:div w:id="240330831">
      <w:bodyDiv w:val="1"/>
      <w:marLeft w:val="0"/>
      <w:marRight w:val="0"/>
      <w:marTop w:val="0"/>
      <w:marBottom w:val="0"/>
      <w:divBdr>
        <w:top w:val="none" w:sz="0" w:space="0" w:color="auto"/>
        <w:left w:val="none" w:sz="0" w:space="0" w:color="auto"/>
        <w:bottom w:val="none" w:sz="0" w:space="0" w:color="auto"/>
        <w:right w:val="none" w:sz="0" w:space="0" w:color="auto"/>
      </w:divBdr>
    </w:div>
    <w:div w:id="258762624">
      <w:bodyDiv w:val="1"/>
      <w:marLeft w:val="0"/>
      <w:marRight w:val="0"/>
      <w:marTop w:val="0"/>
      <w:marBottom w:val="0"/>
      <w:divBdr>
        <w:top w:val="none" w:sz="0" w:space="0" w:color="auto"/>
        <w:left w:val="none" w:sz="0" w:space="0" w:color="auto"/>
        <w:bottom w:val="none" w:sz="0" w:space="0" w:color="auto"/>
        <w:right w:val="none" w:sz="0" w:space="0" w:color="auto"/>
      </w:divBdr>
    </w:div>
    <w:div w:id="345325275">
      <w:bodyDiv w:val="1"/>
      <w:marLeft w:val="0"/>
      <w:marRight w:val="0"/>
      <w:marTop w:val="0"/>
      <w:marBottom w:val="0"/>
      <w:divBdr>
        <w:top w:val="none" w:sz="0" w:space="0" w:color="auto"/>
        <w:left w:val="none" w:sz="0" w:space="0" w:color="auto"/>
        <w:bottom w:val="none" w:sz="0" w:space="0" w:color="auto"/>
        <w:right w:val="none" w:sz="0" w:space="0" w:color="auto"/>
      </w:divBdr>
    </w:div>
    <w:div w:id="366370109">
      <w:bodyDiv w:val="1"/>
      <w:marLeft w:val="0"/>
      <w:marRight w:val="0"/>
      <w:marTop w:val="0"/>
      <w:marBottom w:val="0"/>
      <w:divBdr>
        <w:top w:val="none" w:sz="0" w:space="0" w:color="auto"/>
        <w:left w:val="none" w:sz="0" w:space="0" w:color="auto"/>
        <w:bottom w:val="none" w:sz="0" w:space="0" w:color="auto"/>
        <w:right w:val="none" w:sz="0" w:space="0" w:color="auto"/>
      </w:divBdr>
    </w:div>
    <w:div w:id="406343028">
      <w:bodyDiv w:val="1"/>
      <w:marLeft w:val="0"/>
      <w:marRight w:val="0"/>
      <w:marTop w:val="0"/>
      <w:marBottom w:val="0"/>
      <w:divBdr>
        <w:top w:val="none" w:sz="0" w:space="0" w:color="auto"/>
        <w:left w:val="none" w:sz="0" w:space="0" w:color="auto"/>
        <w:bottom w:val="none" w:sz="0" w:space="0" w:color="auto"/>
        <w:right w:val="none" w:sz="0" w:space="0" w:color="auto"/>
      </w:divBdr>
      <w:divsChild>
        <w:div w:id="39868043">
          <w:marLeft w:val="547"/>
          <w:marRight w:val="0"/>
          <w:marTop w:val="0"/>
          <w:marBottom w:val="0"/>
          <w:divBdr>
            <w:top w:val="none" w:sz="0" w:space="0" w:color="auto"/>
            <w:left w:val="none" w:sz="0" w:space="0" w:color="auto"/>
            <w:bottom w:val="none" w:sz="0" w:space="0" w:color="auto"/>
            <w:right w:val="none" w:sz="0" w:space="0" w:color="auto"/>
          </w:divBdr>
        </w:div>
        <w:div w:id="773404950">
          <w:marLeft w:val="547"/>
          <w:marRight w:val="0"/>
          <w:marTop w:val="0"/>
          <w:marBottom w:val="0"/>
          <w:divBdr>
            <w:top w:val="none" w:sz="0" w:space="0" w:color="auto"/>
            <w:left w:val="none" w:sz="0" w:space="0" w:color="auto"/>
            <w:bottom w:val="none" w:sz="0" w:space="0" w:color="auto"/>
            <w:right w:val="none" w:sz="0" w:space="0" w:color="auto"/>
          </w:divBdr>
        </w:div>
        <w:div w:id="1849523183">
          <w:marLeft w:val="547"/>
          <w:marRight w:val="0"/>
          <w:marTop w:val="0"/>
          <w:marBottom w:val="0"/>
          <w:divBdr>
            <w:top w:val="none" w:sz="0" w:space="0" w:color="auto"/>
            <w:left w:val="none" w:sz="0" w:space="0" w:color="auto"/>
            <w:bottom w:val="none" w:sz="0" w:space="0" w:color="auto"/>
            <w:right w:val="none" w:sz="0" w:space="0" w:color="auto"/>
          </w:divBdr>
        </w:div>
      </w:divsChild>
    </w:div>
    <w:div w:id="427506677">
      <w:bodyDiv w:val="1"/>
      <w:marLeft w:val="0"/>
      <w:marRight w:val="0"/>
      <w:marTop w:val="0"/>
      <w:marBottom w:val="0"/>
      <w:divBdr>
        <w:top w:val="none" w:sz="0" w:space="0" w:color="auto"/>
        <w:left w:val="none" w:sz="0" w:space="0" w:color="auto"/>
        <w:bottom w:val="none" w:sz="0" w:space="0" w:color="auto"/>
        <w:right w:val="none" w:sz="0" w:space="0" w:color="auto"/>
      </w:divBdr>
    </w:div>
    <w:div w:id="439186373">
      <w:bodyDiv w:val="1"/>
      <w:marLeft w:val="0"/>
      <w:marRight w:val="0"/>
      <w:marTop w:val="0"/>
      <w:marBottom w:val="0"/>
      <w:divBdr>
        <w:top w:val="none" w:sz="0" w:space="0" w:color="auto"/>
        <w:left w:val="none" w:sz="0" w:space="0" w:color="auto"/>
        <w:bottom w:val="none" w:sz="0" w:space="0" w:color="auto"/>
        <w:right w:val="none" w:sz="0" w:space="0" w:color="auto"/>
      </w:divBdr>
    </w:div>
    <w:div w:id="450247413">
      <w:bodyDiv w:val="1"/>
      <w:marLeft w:val="0"/>
      <w:marRight w:val="0"/>
      <w:marTop w:val="0"/>
      <w:marBottom w:val="0"/>
      <w:divBdr>
        <w:top w:val="none" w:sz="0" w:space="0" w:color="auto"/>
        <w:left w:val="none" w:sz="0" w:space="0" w:color="auto"/>
        <w:bottom w:val="none" w:sz="0" w:space="0" w:color="auto"/>
        <w:right w:val="none" w:sz="0" w:space="0" w:color="auto"/>
      </w:divBdr>
    </w:div>
    <w:div w:id="463737016">
      <w:bodyDiv w:val="1"/>
      <w:marLeft w:val="0"/>
      <w:marRight w:val="0"/>
      <w:marTop w:val="0"/>
      <w:marBottom w:val="0"/>
      <w:divBdr>
        <w:top w:val="none" w:sz="0" w:space="0" w:color="auto"/>
        <w:left w:val="none" w:sz="0" w:space="0" w:color="auto"/>
        <w:bottom w:val="none" w:sz="0" w:space="0" w:color="auto"/>
        <w:right w:val="none" w:sz="0" w:space="0" w:color="auto"/>
      </w:divBdr>
      <w:divsChild>
        <w:div w:id="1361470548">
          <w:marLeft w:val="0"/>
          <w:marRight w:val="0"/>
          <w:marTop w:val="0"/>
          <w:marBottom w:val="0"/>
          <w:divBdr>
            <w:top w:val="none" w:sz="0" w:space="0" w:color="auto"/>
            <w:left w:val="none" w:sz="0" w:space="0" w:color="auto"/>
            <w:bottom w:val="none" w:sz="0" w:space="0" w:color="auto"/>
            <w:right w:val="none" w:sz="0" w:space="0" w:color="auto"/>
          </w:divBdr>
          <w:divsChild>
            <w:div w:id="196747258">
              <w:marLeft w:val="0"/>
              <w:marRight w:val="0"/>
              <w:marTop w:val="0"/>
              <w:marBottom w:val="0"/>
              <w:divBdr>
                <w:top w:val="none" w:sz="0" w:space="0" w:color="auto"/>
                <w:left w:val="none" w:sz="0" w:space="0" w:color="auto"/>
                <w:bottom w:val="none" w:sz="0" w:space="0" w:color="auto"/>
                <w:right w:val="none" w:sz="0" w:space="0" w:color="auto"/>
              </w:divBdr>
              <w:divsChild>
                <w:div w:id="1033460786">
                  <w:marLeft w:val="-225"/>
                  <w:marRight w:val="-225"/>
                  <w:marTop w:val="0"/>
                  <w:marBottom w:val="0"/>
                  <w:divBdr>
                    <w:top w:val="none" w:sz="0" w:space="0" w:color="auto"/>
                    <w:left w:val="none" w:sz="0" w:space="0" w:color="auto"/>
                    <w:bottom w:val="none" w:sz="0" w:space="0" w:color="auto"/>
                    <w:right w:val="none" w:sz="0" w:space="0" w:color="auto"/>
                  </w:divBdr>
                  <w:divsChild>
                    <w:div w:id="903494722">
                      <w:marLeft w:val="-225"/>
                      <w:marRight w:val="-225"/>
                      <w:marTop w:val="0"/>
                      <w:marBottom w:val="0"/>
                      <w:divBdr>
                        <w:top w:val="none" w:sz="0" w:space="0" w:color="auto"/>
                        <w:left w:val="none" w:sz="0" w:space="0" w:color="auto"/>
                        <w:bottom w:val="none" w:sz="0" w:space="0" w:color="auto"/>
                        <w:right w:val="none" w:sz="0" w:space="0" w:color="auto"/>
                      </w:divBdr>
                      <w:divsChild>
                        <w:div w:id="1364597550">
                          <w:marLeft w:val="0"/>
                          <w:marRight w:val="0"/>
                          <w:marTop w:val="0"/>
                          <w:marBottom w:val="0"/>
                          <w:divBdr>
                            <w:top w:val="none" w:sz="0" w:space="0" w:color="auto"/>
                            <w:left w:val="none" w:sz="0" w:space="0" w:color="auto"/>
                            <w:bottom w:val="none" w:sz="0" w:space="0" w:color="auto"/>
                            <w:right w:val="none" w:sz="0" w:space="0" w:color="auto"/>
                          </w:divBdr>
                          <w:divsChild>
                            <w:div w:id="2026708649">
                              <w:marLeft w:val="0"/>
                              <w:marRight w:val="0"/>
                              <w:marTop w:val="0"/>
                              <w:marBottom w:val="0"/>
                              <w:divBdr>
                                <w:top w:val="single" w:sz="12" w:space="9" w:color="FFFFFF"/>
                                <w:left w:val="single" w:sz="12" w:space="15" w:color="FFFFFF"/>
                                <w:bottom w:val="single" w:sz="12" w:space="9" w:color="FFFFFF"/>
                                <w:right w:val="single" w:sz="12" w:space="15" w:color="FFFFFF"/>
                              </w:divBdr>
                              <w:divsChild>
                                <w:div w:id="14305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553333">
      <w:bodyDiv w:val="1"/>
      <w:marLeft w:val="0"/>
      <w:marRight w:val="0"/>
      <w:marTop w:val="0"/>
      <w:marBottom w:val="0"/>
      <w:divBdr>
        <w:top w:val="none" w:sz="0" w:space="0" w:color="auto"/>
        <w:left w:val="none" w:sz="0" w:space="0" w:color="auto"/>
        <w:bottom w:val="none" w:sz="0" w:space="0" w:color="auto"/>
        <w:right w:val="none" w:sz="0" w:space="0" w:color="auto"/>
      </w:divBdr>
    </w:div>
    <w:div w:id="468058639">
      <w:bodyDiv w:val="1"/>
      <w:marLeft w:val="0"/>
      <w:marRight w:val="0"/>
      <w:marTop w:val="0"/>
      <w:marBottom w:val="0"/>
      <w:divBdr>
        <w:top w:val="none" w:sz="0" w:space="0" w:color="auto"/>
        <w:left w:val="none" w:sz="0" w:space="0" w:color="auto"/>
        <w:bottom w:val="none" w:sz="0" w:space="0" w:color="auto"/>
        <w:right w:val="none" w:sz="0" w:space="0" w:color="auto"/>
      </w:divBdr>
    </w:div>
    <w:div w:id="490602947">
      <w:bodyDiv w:val="1"/>
      <w:marLeft w:val="0"/>
      <w:marRight w:val="0"/>
      <w:marTop w:val="0"/>
      <w:marBottom w:val="0"/>
      <w:divBdr>
        <w:top w:val="none" w:sz="0" w:space="0" w:color="auto"/>
        <w:left w:val="none" w:sz="0" w:space="0" w:color="auto"/>
        <w:bottom w:val="none" w:sz="0" w:space="0" w:color="auto"/>
        <w:right w:val="none" w:sz="0" w:space="0" w:color="auto"/>
      </w:divBdr>
    </w:div>
    <w:div w:id="491992183">
      <w:bodyDiv w:val="1"/>
      <w:marLeft w:val="0"/>
      <w:marRight w:val="0"/>
      <w:marTop w:val="0"/>
      <w:marBottom w:val="0"/>
      <w:divBdr>
        <w:top w:val="none" w:sz="0" w:space="0" w:color="auto"/>
        <w:left w:val="none" w:sz="0" w:space="0" w:color="auto"/>
        <w:bottom w:val="none" w:sz="0" w:space="0" w:color="auto"/>
        <w:right w:val="none" w:sz="0" w:space="0" w:color="auto"/>
      </w:divBdr>
    </w:div>
    <w:div w:id="624040893">
      <w:bodyDiv w:val="1"/>
      <w:marLeft w:val="0"/>
      <w:marRight w:val="0"/>
      <w:marTop w:val="0"/>
      <w:marBottom w:val="0"/>
      <w:divBdr>
        <w:top w:val="none" w:sz="0" w:space="0" w:color="auto"/>
        <w:left w:val="none" w:sz="0" w:space="0" w:color="auto"/>
        <w:bottom w:val="none" w:sz="0" w:space="0" w:color="auto"/>
        <w:right w:val="none" w:sz="0" w:space="0" w:color="auto"/>
      </w:divBdr>
    </w:div>
    <w:div w:id="900024981">
      <w:bodyDiv w:val="1"/>
      <w:marLeft w:val="0"/>
      <w:marRight w:val="0"/>
      <w:marTop w:val="0"/>
      <w:marBottom w:val="0"/>
      <w:divBdr>
        <w:top w:val="none" w:sz="0" w:space="0" w:color="auto"/>
        <w:left w:val="none" w:sz="0" w:space="0" w:color="auto"/>
        <w:bottom w:val="none" w:sz="0" w:space="0" w:color="auto"/>
        <w:right w:val="none" w:sz="0" w:space="0" w:color="auto"/>
      </w:divBdr>
    </w:div>
    <w:div w:id="940376250">
      <w:bodyDiv w:val="1"/>
      <w:marLeft w:val="0"/>
      <w:marRight w:val="0"/>
      <w:marTop w:val="0"/>
      <w:marBottom w:val="0"/>
      <w:divBdr>
        <w:top w:val="none" w:sz="0" w:space="0" w:color="auto"/>
        <w:left w:val="none" w:sz="0" w:space="0" w:color="auto"/>
        <w:bottom w:val="none" w:sz="0" w:space="0" w:color="auto"/>
        <w:right w:val="none" w:sz="0" w:space="0" w:color="auto"/>
      </w:divBdr>
    </w:div>
    <w:div w:id="1061908775">
      <w:bodyDiv w:val="1"/>
      <w:marLeft w:val="0"/>
      <w:marRight w:val="0"/>
      <w:marTop w:val="0"/>
      <w:marBottom w:val="0"/>
      <w:divBdr>
        <w:top w:val="none" w:sz="0" w:space="0" w:color="auto"/>
        <w:left w:val="none" w:sz="0" w:space="0" w:color="auto"/>
        <w:bottom w:val="none" w:sz="0" w:space="0" w:color="auto"/>
        <w:right w:val="none" w:sz="0" w:space="0" w:color="auto"/>
      </w:divBdr>
    </w:div>
    <w:div w:id="1174684825">
      <w:bodyDiv w:val="1"/>
      <w:marLeft w:val="0"/>
      <w:marRight w:val="0"/>
      <w:marTop w:val="0"/>
      <w:marBottom w:val="0"/>
      <w:divBdr>
        <w:top w:val="none" w:sz="0" w:space="0" w:color="auto"/>
        <w:left w:val="none" w:sz="0" w:space="0" w:color="auto"/>
        <w:bottom w:val="none" w:sz="0" w:space="0" w:color="auto"/>
        <w:right w:val="none" w:sz="0" w:space="0" w:color="auto"/>
      </w:divBdr>
    </w:div>
    <w:div w:id="1217398597">
      <w:bodyDiv w:val="1"/>
      <w:marLeft w:val="0"/>
      <w:marRight w:val="0"/>
      <w:marTop w:val="0"/>
      <w:marBottom w:val="0"/>
      <w:divBdr>
        <w:top w:val="none" w:sz="0" w:space="0" w:color="auto"/>
        <w:left w:val="none" w:sz="0" w:space="0" w:color="auto"/>
        <w:bottom w:val="none" w:sz="0" w:space="0" w:color="auto"/>
        <w:right w:val="none" w:sz="0" w:space="0" w:color="auto"/>
      </w:divBdr>
    </w:div>
    <w:div w:id="1360811367">
      <w:bodyDiv w:val="1"/>
      <w:marLeft w:val="0"/>
      <w:marRight w:val="0"/>
      <w:marTop w:val="0"/>
      <w:marBottom w:val="0"/>
      <w:divBdr>
        <w:top w:val="none" w:sz="0" w:space="0" w:color="auto"/>
        <w:left w:val="none" w:sz="0" w:space="0" w:color="auto"/>
        <w:bottom w:val="none" w:sz="0" w:space="0" w:color="auto"/>
        <w:right w:val="none" w:sz="0" w:space="0" w:color="auto"/>
      </w:divBdr>
      <w:divsChild>
        <w:div w:id="1405685952">
          <w:marLeft w:val="274"/>
          <w:marRight w:val="0"/>
          <w:marTop w:val="0"/>
          <w:marBottom w:val="0"/>
          <w:divBdr>
            <w:top w:val="none" w:sz="0" w:space="0" w:color="auto"/>
            <w:left w:val="none" w:sz="0" w:space="0" w:color="auto"/>
            <w:bottom w:val="none" w:sz="0" w:space="0" w:color="auto"/>
            <w:right w:val="none" w:sz="0" w:space="0" w:color="auto"/>
          </w:divBdr>
        </w:div>
        <w:div w:id="2059891561">
          <w:marLeft w:val="274"/>
          <w:marRight w:val="0"/>
          <w:marTop w:val="0"/>
          <w:marBottom w:val="0"/>
          <w:divBdr>
            <w:top w:val="none" w:sz="0" w:space="0" w:color="auto"/>
            <w:left w:val="none" w:sz="0" w:space="0" w:color="auto"/>
            <w:bottom w:val="none" w:sz="0" w:space="0" w:color="auto"/>
            <w:right w:val="none" w:sz="0" w:space="0" w:color="auto"/>
          </w:divBdr>
        </w:div>
      </w:divsChild>
    </w:div>
    <w:div w:id="1411274303">
      <w:bodyDiv w:val="1"/>
      <w:marLeft w:val="0"/>
      <w:marRight w:val="0"/>
      <w:marTop w:val="0"/>
      <w:marBottom w:val="0"/>
      <w:divBdr>
        <w:top w:val="none" w:sz="0" w:space="0" w:color="auto"/>
        <w:left w:val="none" w:sz="0" w:space="0" w:color="auto"/>
        <w:bottom w:val="none" w:sz="0" w:space="0" w:color="auto"/>
        <w:right w:val="none" w:sz="0" w:space="0" w:color="auto"/>
      </w:divBdr>
    </w:div>
    <w:div w:id="1479372480">
      <w:bodyDiv w:val="1"/>
      <w:marLeft w:val="0"/>
      <w:marRight w:val="0"/>
      <w:marTop w:val="0"/>
      <w:marBottom w:val="0"/>
      <w:divBdr>
        <w:top w:val="none" w:sz="0" w:space="0" w:color="auto"/>
        <w:left w:val="none" w:sz="0" w:space="0" w:color="auto"/>
        <w:bottom w:val="none" w:sz="0" w:space="0" w:color="auto"/>
        <w:right w:val="none" w:sz="0" w:space="0" w:color="auto"/>
      </w:divBdr>
    </w:div>
    <w:div w:id="1532954152">
      <w:bodyDiv w:val="1"/>
      <w:marLeft w:val="0"/>
      <w:marRight w:val="0"/>
      <w:marTop w:val="0"/>
      <w:marBottom w:val="0"/>
      <w:divBdr>
        <w:top w:val="none" w:sz="0" w:space="0" w:color="auto"/>
        <w:left w:val="none" w:sz="0" w:space="0" w:color="auto"/>
        <w:bottom w:val="none" w:sz="0" w:space="0" w:color="auto"/>
        <w:right w:val="none" w:sz="0" w:space="0" w:color="auto"/>
      </w:divBdr>
    </w:div>
    <w:div w:id="1551765313">
      <w:bodyDiv w:val="1"/>
      <w:marLeft w:val="0"/>
      <w:marRight w:val="0"/>
      <w:marTop w:val="0"/>
      <w:marBottom w:val="0"/>
      <w:divBdr>
        <w:top w:val="none" w:sz="0" w:space="0" w:color="auto"/>
        <w:left w:val="none" w:sz="0" w:space="0" w:color="auto"/>
        <w:bottom w:val="none" w:sz="0" w:space="0" w:color="auto"/>
        <w:right w:val="none" w:sz="0" w:space="0" w:color="auto"/>
      </w:divBdr>
      <w:divsChild>
        <w:div w:id="793905966">
          <w:marLeft w:val="0"/>
          <w:marRight w:val="0"/>
          <w:marTop w:val="0"/>
          <w:marBottom w:val="0"/>
          <w:divBdr>
            <w:top w:val="none" w:sz="0" w:space="0" w:color="auto"/>
            <w:left w:val="none" w:sz="0" w:space="0" w:color="auto"/>
            <w:bottom w:val="none" w:sz="0" w:space="0" w:color="auto"/>
            <w:right w:val="none" w:sz="0" w:space="0" w:color="auto"/>
          </w:divBdr>
          <w:divsChild>
            <w:div w:id="593708128">
              <w:marLeft w:val="0"/>
              <w:marRight w:val="0"/>
              <w:marTop w:val="0"/>
              <w:marBottom w:val="0"/>
              <w:divBdr>
                <w:top w:val="none" w:sz="0" w:space="0" w:color="auto"/>
                <w:left w:val="none" w:sz="0" w:space="0" w:color="auto"/>
                <w:bottom w:val="none" w:sz="0" w:space="0" w:color="auto"/>
                <w:right w:val="none" w:sz="0" w:space="0" w:color="auto"/>
              </w:divBdr>
              <w:divsChild>
                <w:div w:id="901789080">
                  <w:marLeft w:val="-225"/>
                  <w:marRight w:val="-225"/>
                  <w:marTop w:val="0"/>
                  <w:marBottom w:val="0"/>
                  <w:divBdr>
                    <w:top w:val="none" w:sz="0" w:space="0" w:color="auto"/>
                    <w:left w:val="none" w:sz="0" w:space="0" w:color="auto"/>
                    <w:bottom w:val="none" w:sz="0" w:space="0" w:color="auto"/>
                    <w:right w:val="none" w:sz="0" w:space="0" w:color="auto"/>
                  </w:divBdr>
                  <w:divsChild>
                    <w:div w:id="1716276844">
                      <w:marLeft w:val="-225"/>
                      <w:marRight w:val="-225"/>
                      <w:marTop w:val="0"/>
                      <w:marBottom w:val="0"/>
                      <w:divBdr>
                        <w:top w:val="none" w:sz="0" w:space="0" w:color="auto"/>
                        <w:left w:val="none" w:sz="0" w:space="0" w:color="auto"/>
                        <w:bottom w:val="none" w:sz="0" w:space="0" w:color="auto"/>
                        <w:right w:val="none" w:sz="0" w:space="0" w:color="auto"/>
                      </w:divBdr>
                      <w:divsChild>
                        <w:div w:id="855077405">
                          <w:marLeft w:val="0"/>
                          <w:marRight w:val="0"/>
                          <w:marTop w:val="0"/>
                          <w:marBottom w:val="0"/>
                          <w:divBdr>
                            <w:top w:val="none" w:sz="0" w:space="0" w:color="auto"/>
                            <w:left w:val="none" w:sz="0" w:space="0" w:color="auto"/>
                            <w:bottom w:val="none" w:sz="0" w:space="0" w:color="auto"/>
                            <w:right w:val="none" w:sz="0" w:space="0" w:color="auto"/>
                          </w:divBdr>
                          <w:divsChild>
                            <w:div w:id="3634339">
                              <w:marLeft w:val="0"/>
                              <w:marRight w:val="0"/>
                              <w:marTop w:val="0"/>
                              <w:marBottom w:val="0"/>
                              <w:divBdr>
                                <w:top w:val="single" w:sz="12" w:space="9" w:color="FFFFFF"/>
                                <w:left w:val="single" w:sz="12" w:space="15" w:color="FFFFFF"/>
                                <w:bottom w:val="single" w:sz="12" w:space="9" w:color="FFFFFF"/>
                                <w:right w:val="single" w:sz="12" w:space="15" w:color="FFFFFF"/>
                              </w:divBdr>
                              <w:divsChild>
                                <w:div w:id="8907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389679">
      <w:bodyDiv w:val="1"/>
      <w:marLeft w:val="0"/>
      <w:marRight w:val="0"/>
      <w:marTop w:val="0"/>
      <w:marBottom w:val="0"/>
      <w:divBdr>
        <w:top w:val="none" w:sz="0" w:space="0" w:color="auto"/>
        <w:left w:val="none" w:sz="0" w:space="0" w:color="auto"/>
        <w:bottom w:val="none" w:sz="0" w:space="0" w:color="auto"/>
        <w:right w:val="none" w:sz="0" w:space="0" w:color="auto"/>
      </w:divBdr>
    </w:div>
    <w:div w:id="1616912076">
      <w:bodyDiv w:val="1"/>
      <w:marLeft w:val="0"/>
      <w:marRight w:val="0"/>
      <w:marTop w:val="0"/>
      <w:marBottom w:val="0"/>
      <w:divBdr>
        <w:top w:val="none" w:sz="0" w:space="0" w:color="auto"/>
        <w:left w:val="none" w:sz="0" w:space="0" w:color="auto"/>
        <w:bottom w:val="none" w:sz="0" w:space="0" w:color="auto"/>
        <w:right w:val="none" w:sz="0" w:space="0" w:color="auto"/>
      </w:divBdr>
    </w:div>
    <w:div w:id="1621914246">
      <w:bodyDiv w:val="1"/>
      <w:marLeft w:val="0"/>
      <w:marRight w:val="0"/>
      <w:marTop w:val="0"/>
      <w:marBottom w:val="0"/>
      <w:divBdr>
        <w:top w:val="none" w:sz="0" w:space="0" w:color="auto"/>
        <w:left w:val="none" w:sz="0" w:space="0" w:color="auto"/>
        <w:bottom w:val="none" w:sz="0" w:space="0" w:color="auto"/>
        <w:right w:val="none" w:sz="0" w:space="0" w:color="auto"/>
      </w:divBdr>
    </w:div>
    <w:div w:id="1626155928">
      <w:bodyDiv w:val="1"/>
      <w:marLeft w:val="0"/>
      <w:marRight w:val="0"/>
      <w:marTop w:val="0"/>
      <w:marBottom w:val="0"/>
      <w:divBdr>
        <w:top w:val="none" w:sz="0" w:space="0" w:color="auto"/>
        <w:left w:val="none" w:sz="0" w:space="0" w:color="auto"/>
        <w:bottom w:val="none" w:sz="0" w:space="0" w:color="auto"/>
        <w:right w:val="none" w:sz="0" w:space="0" w:color="auto"/>
      </w:divBdr>
    </w:div>
    <w:div w:id="1626422921">
      <w:bodyDiv w:val="1"/>
      <w:marLeft w:val="0"/>
      <w:marRight w:val="0"/>
      <w:marTop w:val="0"/>
      <w:marBottom w:val="0"/>
      <w:divBdr>
        <w:top w:val="none" w:sz="0" w:space="0" w:color="auto"/>
        <w:left w:val="none" w:sz="0" w:space="0" w:color="auto"/>
        <w:bottom w:val="none" w:sz="0" w:space="0" w:color="auto"/>
        <w:right w:val="none" w:sz="0" w:space="0" w:color="auto"/>
      </w:divBdr>
    </w:div>
    <w:div w:id="1669938691">
      <w:bodyDiv w:val="1"/>
      <w:marLeft w:val="0"/>
      <w:marRight w:val="0"/>
      <w:marTop w:val="0"/>
      <w:marBottom w:val="0"/>
      <w:divBdr>
        <w:top w:val="none" w:sz="0" w:space="0" w:color="auto"/>
        <w:left w:val="none" w:sz="0" w:space="0" w:color="auto"/>
        <w:bottom w:val="none" w:sz="0" w:space="0" w:color="auto"/>
        <w:right w:val="none" w:sz="0" w:space="0" w:color="auto"/>
      </w:divBdr>
      <w:divsChild>
        <w:div w:id="1746537549">
          <w:marLeft w:val="274"/>
          <w:marRight w:val="0"/>
          <w:marTop w:val="0"/>
          <w:marBottom w:val="0"/>
          <w:divBdr>
            <w:top w:val="none" w:sz="0" w:space="0" w:color="auto"/>
            <w:left w:val="none" w:sz="0" w:space="0" w:color="auto"/>
            <w:bottom w:val="none" w:sz="0" w:space="0" w:color="auto"/>
            <w:right w:val="none" w:sz="0" w:space="0" w:color="auto"/>
          </w:divBdr>
        </w:div>
        <w:div w:id="1818645220">
          <w:marLeft w:val="274"/>
          <w:marRight w:val="0"/>
          <w:marTop w:val="0"/>
          <w:marBottom w:val="0"/>
          <w:divBdr>
            <w:top w:val="none" w:sz="0" w:space="0" w:color="auto"/>
            <w:left w:val="none" w:sz="0" w:space="0" w:color="auto"/>
            <w:bottom w:val="none" w:sz="0" w:space="0" w:color="auto"/>
            <w:right w:val="none" w:sz="0" w:space="0" w:color="auto"/>
          </w:divBdr>
        </w:div>
      </w:divsChild>
    </w:div>
    <w:div w:id="1719040369">
      <w:bodyDiv w:val="1"/>
      <w:marLeft w:val="0"/>
      <w:marRight w:val="0"/>
      <w:marTop w:val="0"/>
      <w:marBottom w:val="0"/>
      <w:divBdr>
        <w:top w:val="none" w:sz="0" w:space="0" w:color="auto"/>
        <w:left w:val="none" w:sz="0" w:space="0" w:color="auto"/>
        <w:bottom w:val="none" w:sz="0" w:space="0" w:color="auto"/>
        <w:right w:val="none" w:sz="0" w:space="0" w:color="auto"/>
      </w:divBdr>
    </w:div>
    <w:div w:id="1999766755">
      <w:bodyDiv w:val="1"/>
      <w:marLeft w:val="0"/>
      <w:marRight w:val="0"/>
      <w:marTop w:val="0"/>
      <w:marBottom w:val="0"/>
      <w:divBdr>
        <w:top w:val="none" w:sz="0" w:space="0" w:color="auto"/>
        <w:left w:val="none" w:sz="0" w:space="0" w:color="auto"/>
        <w:bottom w:val="none" w:sz="0" w:space="0" w:color="auto"/>
        <w:right w:val="none" w:sz="0" w:space="0" w:color="auto"/>
      </w:divBdr>
    </w:div>
    <w:div w:id="2010405435">
      <w:bodyDiv w:val="1"/>
      <w:marLeft w:val="0"/>
      <w:marRight w:val="0"/>
      <w:marTop w:val="0"/>
      <w:marBottom w:val="0"/>
      <w:divBdr>
        <w:top w:val="none" w:sz="0" w:space="0" w:color="auto"/>
        <w:left w:val="none" w:sz="0" w:space="0" w:color="auto"/>
        <w:bottom w:val="none" w:sz="0" w:space="0" w:color="auto"/>
        <w:right w:val="none" w:sz="0" w:space="0" w:color="auto"/>
      </w:divBdr>
    </w:div>
    <w:div w:id="2030637030">
      <w:bodyDiv w:val="1"/>
      <w:marLeft w:val="0"/>
      <w:marRight w:val="0"/>
      <w:marTop w:val="0"/>
      <w:marBottom w:val="0"/>
      <w:divBdr>
        <w:top w:val="none" w:sz="0" w:space="0" w:color="auto"/>
        <w:left w:val="none" w:sz="0" w:space="0" w:color="auto"/>
        <w:bottom w:val="none" w:sz="0" w:space="0" w:color="auto"/>
        <w:right w:val="none" w:sz="0" w:space="0" w:color="auto"/>
      </w:divBdr>
      <w:divsChild>
        <w:div w:id="782116706">
          <w:marLeft w:val="547"/>
          <w:marRight w:val="0"/>
          <w:marTop w:val="0"/>
          <w:marBottom w:val="0"/>
          <w:divBdr>
            <w:top w:val="none" w:sz="0" w:space="0" w:color="auto"/>
            <w:left w:val="none" w:sz="0" w:space="0" w:color="auto"/>
            <w:bottom w:val="none" w:sz="0" w:space="0" w:color="auto"/>
            <w:right w:val="none" w:sz="0" w:space="0" w:color="auto"/>
          </w:divBdr>
        </w:div>
      </w:divsChild>
    </w:div>
    <w:div w:id="2115322788">
      <w:bodyDiv w:val="1"/>
      <w:marLeft w:val="0"/>
      <w:marRight w:val="0"/>
      <w:marTop w:val="0"/>
      <w:marBottom w:val="0"/>
      <w:divBdr>
        <w:top w:val="none" w:sz="0" w:space="0" w:color="auto"/>
        <w:left w:val="none" w:sz="0" w:space="0" w:color="auto"/>
        <w:bottom w:val="none" w:sz="0" w:space="0" w:color="auto"/>
        <w:right w:val="none" w:sz="0" w:space="0" w:color="auto"/>
      </w:divBdr>
    </w:div>
    <w:div w:id="213863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n99e4c9942c6404eb103464a00e6097b xmlns="e47d1c65-9f6c-49e5-a774-2c92ccb46d02">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e6307d108efb4078a2e1037fc6673e98 xmlns="e47d1c65-9f6c-49e5-a774-2c92ccb46d02">
      <Terms xmlns="http://schemas.microsoft.com/office/infopath/2007/PartnerControls">
        <TermInfo xmlns="http://schemas.microsoft.com/office/infopath/2007/PartnerControls">
          <TermName xmlns="http://schemas.microsoft.com/office/infopath/2007/PartnerControls">Science and Commercialisation</TermName>
          <TermId xmlns="http://schemas.microsoft.com/office/infopath/2007/PartnerControls">764070f2-01c0-4dae-b6b8-85a1fb35f75c</TermId>
        </TermInfo>
      </Terms>
    </e6307d108efb4078a2e1037fc6673e98>
    <adb9bed2e36e4a93af574aeb444da63e xmlns="e47d1c65-9f6c-49e5-a774-2c92ccb46d02">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112bb1dd-e479-4981-8e19-1fdeebb97ab3</TermId>
        </TermInfo>
        <TermInfo xmlns="http://schemas.microsoft.com/office/infopath/2007/PartnerControls">
          <TermName xmlns="http://schemas.microsoft.com/office/infopath/2007/PartnerControls">Australia-India Strategic Research Fund</TermName>
          <TermId xmlns="http://schemas.microsoft.com/office/infopath/2007/PartnerControls">83048312-6200-4ee1-ae0d-53ea431b26c3</TermId>
        </TermInfo>
      </Terms>
    </adb9bed2e36e4a93af574aeb444da63e>
    <pe2555c81638466f9eb614edb9ecde52 xmlns="e47d1c65-9f6c-49e5-a774-2c92ccb46d02">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67166ce2-6da7-40d0-8019-f7580244f8f4</TermId>
        </TermInfo>
      </Terms>
    </pe2555c81638466f9eb614edb9ecde52>
    <TaxCatchAll xmlns="e47d1c65-9f6c-49e5-a774-2c92ccb46d02">
      <Value>1700</Value>
      <Value>1697</Value>
      <Value>1950</Value>
      <Value>537</Value>
      <Value>160</Value>
      <Value>1705</Value>
      <Value>3</Value>
      <Value>1480</Value>
      <Value>289</Value>
    </TaxCatchAll>
    <aa25a1a23adf4c92a153145de6afe324 xmlns="e47d1c65-9f6c-49e5-a774-2c92ccb46d0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g7bcb40ba23249a78edca7d43a67c1c9 xmlns="e47d1c65-9f6c-49e5-a774-2c92ccb46d02">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28fcc9c4-cc04-4474-8c96-4c996189684f</TermId>
        </TermInfo>
      </Terms>
    </g7bcb40ba23249a78edca7d43a67c1c9>
    <Comments xmlns="http://schemas.microsoft.com/sharepoint/v3">Comments / amendmends suggested by Exec done. </Comments>
    <oc2780c9a78343c49550a44d0a00a6d3 xmlns="e47d1c65-9f6c-49e5-a774-2c92ccb46d02">
      <Terms xmlns="http://schemas.microsoft.com/office/infopath/2007/PartnerControls">
        <TermInfo xmlns="http://schemas.microsoft.com/office/infopath/2007/PartnerControls">
          <TermName xmlns="http://schemas.microsoft.com/office/infopath/2007/PartnerControls">Grant</TermName>
          <TermId xmlns="http://schemas.microsoft.com/office/infopath/2007/PartnerControls">21564cac-45ec-4321-9ffc-1a7d9fcd095c</TermId>
        </TermInfo>
      </Terms>
    </oc2780c9a78343c49550a44d0a00a6d3>
    <gdf93727fcb94884b51922df977e043a xmlns="e47d1c65-9f6c-49e5-a774-2c92ccb46d02">
      <Terms xmlns="http://schemas.microsoft.com/office/infopath/2007/PartnerControls">
        <TermInfo xmlns="http://schemas.microsoft.com/office/infopath/2007/PartnerControls">
          <TermName xmlns="http://schemas.microsoft.com/office/infopath/2007/PartnerControls">Impact Evaluation</TermName>
          <TermId xmlns="http://schemas.microsoft.com/office/infopath/2007/PartnerControls">fc2b0914-1124-44f4-a57e-fa0f7140e7db</TermId>
        </TermInfo>
      </Terms>
    </gdf93727fcb94884b51922df977e043a>
    <_dlc_DocId xmlns="e47d1c65-9f6c-49e5-a774-2c92ccb46d02">EUCW2WRC2PUD-63198783-213</_dlc_DocId>
    <_dlc_DocIdUrl xmlns="e47d1c65-9f6c-49e5-a774-2c92ccb46d02">
      <Url>https://dochub/div/economicanalyticalservices/businessfunctions/evaluations/completedevaluations/_layouts/15/DocIdRedir.aspx?ID=EUCW2WRC2PUD-63198783-213</Url>
      <Description>EUCW2WRC2PUD-63198783-213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CB56A1EDECFC6479A5738EA51625367" ma:contentTypeVersion="21" ma:contentTypeDescription="Create a new document." ma:contentTypeScope="" ma:versionID="4b569c54b0094160be042199bbf52bf3">
  <xsd:schema xmlns:xsd="http://www.w3.org/2001/XMLSchema" xmlns:xs="http://www.w3.org/2001/XMLSchema" xmlns:p="http://schemas.microsoft.com/office/2006/metadata/properties" xmlns:ns1="http://schemas.microsoft.com/sharepoint/v3" xmlns:ns2="e47d1c65-9f6c-49e5-a774-2c92ccb46d02" targetNamespace="http://schemas.microsoft.com/office/2006/metadata/properties" ma:root="true" ma:fieldsID="2f2509485822bb5ab18e6435aebeb046" ns1:_="" ns2:_="">
    <xsd:import namespace="http://schemas.microsoft.com/sharepoint/v3"/>
    <xsd:import namespace="e47d1c65-9f6c-49e5-a774-2c92ccb46d02"/>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e6307d108efb4078a2e1037fc6673e98" minOccurs="0"/>
                <xsd:element ref="ns2:oc2780c9a78343c49550a44d0a00a6d3" minOccurs="0"/>
                <xsd:element ref="ns2:gdf93727fcb94884b51922df977e043a"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7d1c65-9f6c-49e5-a774-2c92ccb46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5f851f-72f6-498a-a802-dc52b0f6bebd}" ma:internalName="TaxCatchAll" ma:showField="CatchAllData" ma:web="e47d1c65-9f6c-49e5-a774-2c92ccb46d02">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990c95c-aaef-4b88-979c-1afb69c61976"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e6307d108efb4078a2e1037fc6673e98" ma:index="25" nillable="true" ma:taxonomy="true" ma:internalName="e6307d108efb4078a2e1037fc6673e98" ma:taxonomyFieldName="DocHub_PolicyArea" ma:displayName="Policy Area" ma:default="" ma:fieldId="{e6307d10-8efb-4078-a2e1-037fc6673e98}" ma:sspId="fb0313f7-9433-48c0-866e-9e0bbee59a50" ma:termSetId="79e7287e-de87-49c2-bf8e-e69109aa5e6b" ma:anchorId="00000000-0000-0000-0000-000000000000" ma:open="false" ma:isKeyword="false">
      <xsd:complexType>
        <xsd:sequence>
          <xsd:element ref="pc:Terms" minOccurs="0" maxOccurs="1"/>
        </xsd:sequence>
      </xsd:complexType>
    </xsd:element>
    <xsd:element name="oc2780c9a78343c49550a44d0a00a6d3" ma:index="27" nillable="true" ma:taxonomy="true" ma:internalName="oc2780c9a78343c49550a44d0a00a6d3" ma:taxonomyFieldName="DocHub_ProgramType" ma:displayName="Program Type" ma:default="" ma:fieldId="{8c2780c9-a783-43c4-9550-a44d0a00a6d3}" ma:sspId="fb0313f7-9433-48c0-866e-9e0bbee59a50" ma:termSetId="9ec11168-b9fe-422e-a1b7-8311083925e9" ma:anchorId="00000000-0000-0000-0000-000000000000" ma:open="false" ma:isKeyword="false">
      <xsd:complexType>
        <xsd:sequence>
          <xsd:element ref="pc:Terms" minOccurs="0" maxOccurs="1"/>
        </xsd:sequence>
      </xsd:complexType>
    </xsd:element>
    <xsd:element name="gdf93727fcb94884b51922df977e043a" ma:index="29" nillable="true" ma:taxonomy="true" ma:internalName="gdf93727fcb94884b51922df977e043a" ma:taxonomyFieldName="DocHub_TypeofEvaluation" ma:displayName="Type of Evaluation" ma:default="" ma:fieldId="{0df93727-fcb9-4884-b519-22df977e043a}" ma:sspId="fb0313f7-9433-48c0-866e-9e0bbee59a50" ma:termSetId="2ca09529-3ff1-4639-bf2a-8a985cc94185" ma:anchorId="00000000-0000-0000-0000-000000000000" ma:open="false" ma:isKeyword="false">
      <xsd:complexType>
        <xsd:sequence>
          <xsd:element ref="pc:Terms" minOccurs="0" maxOccurs="1"/>
        </xsd:sequence>
      </xsd:complexType>
    </xsd:element>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EFD36A-001C-4093-92AA-D030C9BA67E1}">
  <ds:schemaRefs>
    <ds:schemaRef ds:uri="http://schemas.microsoft.com/sharepoint/events"/>
  </ds:schemaRefs>
</ds:datastoreItem>
</file>

<file path=customXml/itemProps3.xml><?xml version="1.0" encoding="utf-8"?>
<ds:datastoreItem xmlns:ds="http://schemas.openxmlformats.org/officeDocument/2006/customXml" ds:itemID="{F53C9939-61DF-47F0-9324-4F8D6BF86961}">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e47d1c65-9f6c-49e5-a774-2c92ccb46d02"/>
    <ds:schemaRef ds:uri="http://www.w3.org/XML/1998/namespace"/>
    <ds:schemaRef ds:uri="http://purl.org/dc/dcmitype/"/>
  </ds:schemaRefs>
</ds:datastoreItem>
</file>

<file path=customXml/itemProps4.xml><?xml version="1.0" encoding="utf-8"?>
<ds:datastoreItem xmlns:ds="http://schemas.openxmlformats.org/officeDocument/2006/customXml" ds:itemID="{A7649C78-59C5-4AB9-98E4-6127656CE2C4}">
  <ds:schemaRefs>
    <ds:schemaRef ds:uri="http://schemas.microsoft.com/sharepoint/v3/contenttype/forms"/>
  </ds:schemaRefs>
</ds:datastoreItem>
</file>

<file path=customXml/itemProps5.xml><?xml version="1.0" encoding="utf-8"?>
<ds:datastoreItem xmlns:ds="http://schemas.openxmlformats.org/officeDocument/2006/customXml" ds:itemID="{AE23B034-28BA-4B1F-9F98-AA7764D36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7d1c65-9f6c-49e5-a774-2c92ccb4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BCB3539-EA0B-42D0-A6B9-0D50892B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The Australia-India Strategic Research Fund: Evaluation</vt:lpstr>
    </vt:vector>
  </TitlesOfParts>
  <Company>Microsoft</Company>
  <LinksUpToDate>false</LinksUpToDate>
  <CharactersWithSpaces>10965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Australia-India Strategic Research Fund: Evaluation</dc:title>
  <dc:subject>The Department of Industry, Innovation and Science</dc:subject>
  <dc:creator>John Prince</dc:creator>
  <cp:keywords/>
  <dc:description/>
  <cp:lastModifiedBy>Francis, Sophie</cp:lastModifiedBy>
  <cp:revision>5</cp:revision>
  <cp:lastPrinted>2018-06-27T01:57:00Z</cp:lastPrinted>
  <dcterms:created xsi:type="dcterms:W3CDTF">2019-02-20T22:36:00Z</dcterms:created>
  <dcterms:modified xsi:type="dcterms:W3CDTF">2019-02-21T01:33:00Z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0x010100DCB56A1EDECFC6479A5738EA51625367</vt:lpwstr>
  </property>
  <property fmtid="{D5CDD505-2E9C-101B-9397-08002B2CF9AE}" pid="3" name="_dlc_DocIdItemGuid">
    <vt:lpwstr>83385edf-4ba4-4dd9-bb82-70d9012e71c0</vt:lpwstr>
  </property>
  <property fmtid="{D5CDD505-2E9C-101B-9397-08002B2CF9AE}" pid="4" name="DocHub_Year">
    <vt:lpwstr>1480;#2018|224abc7b-6f7e-4064-b773-6750976429b5</vt:lpwstr>
  </property>
  <property fmtid="{D5CDD505-2E9C-101B-9397-08002B2CF9AE}" pid="5" name="DocHub_DocumentType">
    <vt:lpwstr>537;#Executive Summary|67166ce2-6da7-40d0-8019-f7580244f8f4</vt:lpwstr>
  </property>
  <property fmtid="{D5CDD505-2E9C-101B-9397-08002B2CF9AE}" pid="6" name="DocHub_SecurityClassification">
    <vt:lpwstr>3;#UNCLASSIFIED|6106d03b-a1a0-4e30-9d91-d5e9fb4314f9</vt:lpwstr>
  </property>
  <property fmtid="{D5CDD505-2E9C-101B-9397-08002B2CF9AE}" pid="7" name="DocHub_TypeofEvaluation">
    <vt:lpwstr>1700;#Impact Evaluation|fc2b0914-1124-44f4-a57e-fa0f7140e7db</vt:lpwstr>
  </property>
  <property fmtid="{D5CDD505-2E9C-101B-9397-08002B2CF9AE}" pid="8" name="DocHub_Keywords">
    <vt:lpwstr>289;#Evaluation|112bb1dd-e479-4981-8e19-1fdeebb97ab3;#1950;#Australia-India Strategic Research Fund|83048312-6200-4ee1-ae0d-53ea431b26c3</vt:lpwstr>
  </property>
  <property fmtid="{D5CDD505-2E9C-101B-9397-08002B2CF9AE}" pid="9" name="DocHub_PolicyArea">
    <vt:lpwstr>1705;#Science and Commercialisation|764070f2-01c0-4dae-b6b8-85a1fb35f75c</vt:lpwstr>
  </property>
  <property fmtid="{D5CDD505-2E9C-101B-9397-08002B2CF9AE}" pid="10" name="DocHub_WorkActivity">
    <vt:lpwstr>160;#Evaluation|28fcc9c4-cc04-4474-8c96-4c996189684f</vt:lpwstr>
  </property>
  <property fmtid="{D5CDD505-2E9C-101B-9397-08002B2CF9AE}" pid="11" name="DocHub_ProgramType">
    <vt:lpwstr>1697;#Grant|21564cac-45ec-4321-9ffc-1a7d9fcd095c</vt:lpwstr>
  </property>
</Properties>
</file>