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Calibri" w:hAnsi="Arial" w:cs="Arial"/>
          <w:color w:val="auto"/>
          <w:sz w:val="22"/>
          <w:szCs w:val="18"/>
          <w:lang w:val="en"/>
        </w:rPr>
        <w:id w:val="1833718902"/>
        <w:docPartObj>
          <w:docPartGallery w:val="Cover Pages"/>
          <w:docPartUnique/>
        </w:docPartObj>
      </w:sdtPr>
      <w:sdtEndPr>
        <w:rPr>
          <w:rFonts w:asciiTheme="minorHAnsi" w:hAnsiTheme="minorHAnsi"/>
          <w:sz w:val="16"/>
        </w:rPr>
      </w:sdtEndPr>
      <w:sdtContent>
        <w:tbl>
          <w:tblPr>
            <w:tblW w:w="0" w:type="auto"/>
            <w:tblLook w:val="04A0" w:firstRow="1" w:lastRow="0" w:firstColumn="1" w:lastColumn="0" w:noHBand="0" w:noVBand="1"/>
          </w:tblPr>
          <w:tblGrid>
            <w:gridCol w:w="8625"/>
          </w:tblGrid>
          <w:tr w:rsidR="001E7838" w14:paraId="209E2CF1" w14:textId="77777777" w:rsidTr="00FD5C18">
            <w:trPr>
              <w:cantSplit/>
              <w:trHeight w:val="1418"/>
            </w:trPr>
            <w:tc>
              <w:tcPr>
                <w:tcW w:w="9242" w:type="dxa"/>
              </w:tcPr>
              <w:p w14:paraId="209E2CF0" w14:textId="19761726" w:rsidR="001E7838" w:rsidRDefault="00B527E1" w:rsidP="00FD5C18">
                <w:pPr>
                  <w:pStyle w:val="CoverNormal"/>
                </w:pPr>
                <w:r w:rsidRPr="00B527E1">
                  <w:rPr>
                    <w:noProof/>
                    <w:lang w:eastAsia="en-AU"/>
                  </w:rPr>
                  <w:drawing>
                    <wp:inline distT="0" distB="0" distL="0" distR="0" wp14:anchorId="6262D1D0" wp14:editId="49A3D3EA">
                      <wp:extent cx="5390148" cy="657495"/>
                      <wp:effectExtent l="0" t="0" r="1270" b="9525"/>
                      <wp:docPr id="4" name="Picture 4" descr="EDAN, Economic Data and Analysis Network, Data Integration Partnership for Australia&#10;&#10;Office of the Chief Economist" title="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CE and EDAN logo v2-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0148" cy="657495"/>
                              </a:xfrm>
                              <a:prstGeom prst="rect">
                                <a:avLst/>
                              </a:prstGeom>
                            </pic:spPr>
                          </pic:pic>
                        </a:graphicData>
                      </a:graphic>
                    </wp:inline>
                  </w:drawing>
                </w:r>
              </w:p>
            </w:tc>
          </w:tr>
          <w:tr w:rsidR="001E7838" w14:paraId="209E2CF3" w14:textId="77777777" w:rsidTr="00FD5C18">
            <w:trPr>
              <w:cantSplit/>
              <w:trHeight w:hRule="exact" w:val="1417"/>
            </w:trPr>
            <w:tc>
              <w:tcPr>
                <w:tcW w:w="9242" w:type="dxa"/>
                <w:vAlign w:val="bottom"/>
              </w:tcPr>
              <w:p w14:paraId="209E2CF2" w14:textId="26EE1DDF" w:rsidR="001E7838" w:rsidRPr="00717C28" w:rsidRDefault="00717C28" w:rsidP="00B67202">
                <w:pPr>
                  <w:pStyle w:val="ResearchPaper"/>
                </w:pPr>
                <w:r>
                  <w:t xml:space="preserve">Research Paper </w:t>
                </w:r>
                <w:r w:rsidR="00B67202">
                  <w:t>6</w:t>
                </w:r>
                <w:r>
                  <w:t>/2019</w:t>
                </w:r>
              </w:p>
            </w:tc>
          </w:tr>
          <w:tr w:rsidR="001E7838" w:rsidRPr="00CF654B" w14:paraId="209E2CF5" w14:textId="77777777" w:rsidTr="00FD5C18">
            <w:trPr>
              <w:cantSplit/>
            </w:trPr>
            <w:sdt>
              <w:sdtPr>
                <w:rPr>
                  <w:rStyle w:val="TitleHeadingChar"/>
                  <w:b/>
                </w:rPr>
                <w:alias w:val="Research Paper Title"/>
                <w:tag w:val="Research Paper Title"/>
                <w:id w:val="803742244"/>
                <w:placeholder>
                  <w:docPart w:val="CDF75690A9854D7AB443A7DC6A5962F4"/>
                </w:placeholder>
              </w:sdtPr>
              <w:sdtEndPr>
                <w:rPr>
                  <w:rStyle w:val="DefaultParagraphFont"/>
                </w:rPr>
              </w:sdtEndPr>
              <w:sdtContent>
                <w:tc>
                  <w:tcPr>
                    <w:tcW w:w="9242" w:type="dxa"/>
                  </w:tcPr>
                  <w:p w14:paraId="209E2CF4" w14:textId="01855937" w:rsidR="001E7838" w:rsidRPr="00E018A4" w:rsidRDefault="001E7838" w:rsidP="00EF37A3">
                    <w:pPr>
                      <w:pStyle w:val="TitleHeading"/>
                      <w:rPr>
                        <w:b/>
                      </w:rPr>
                    </w:pPr>
                    <w:r>
                      <w:rPr>
                        <w:rStyle w:val="TitleHeadingChar"/>
                      </w:rPr>
                      <w:t xml:space="preserve">Government </w:t>
                    </w:r>
                    <w:r w:rsidR="00EF37A3">
                      <w:rPr>
                        <w:rStyle w:val="TitleHeadingChar"/>
                      </w:rPr>
                      <w:t>f</w:t>
                    </w:r>
                    <w:r>
                      <w:rPr>
                        <w:rStyle w:val="TitleHeadingChar"/>
                      </w:rPr>
                      <w:t xml:space="preserve">inancial </w:t>
                    </w:r>
                    <w:r w:rsidR="00EF37A3">
                      <w:rPr>
                        <w:rStyle w:val="TitleHeadingChar"/>
                      </w:rPr>
                      <w:t>a</w:t>
                    </w:r>
                    <w:r>
                      <w:rPr>
                        <w:rStyle w:val="TitleHeadingChar"/>
                      </w:rPr>
                      <w:t xml:space="preserve">ssistance as </w:t>
                    </w:r>
                    <w:r w:rsidR="00EF37A3">
                      <w:rPr>
                        <w:rStyle w:val="TitleHeadingChar"/>
                      </w:rPr>
                      <w:t>c</w:t>
                    </w:r>
                    <w:r>
                      <w:rPr>
                        <w:rStyle w:val="TitleHeadingChar"/>
                      </w:rPr>
                      <w:t xml:space="preserve">atalyst for </w:t>
                    </w:r>
                    <w:r w:rsidR="00EF37A3">
                      <w:rPr>
                        <w:rStyle w:val="TitleHeadingChar"/>
                      </w:rPr>
                      <w:t>p</w:t>
                    </w:r>
                    <w:r>
                      <w:rPr>
                        <w:rStyle w:val="TitleHeadingChar"/>
                      </w:rPr>
                      <w:t xml:space="preserve">rivate </w:t>
                    </w:r>
                    <w:r w:rsidR="00EF37A3">
                      <w:rPr>
                        <w:rStyle w:val="TitleHeadingChar"/>
                      </w:rPr>
                      <w:t>f</w:t>
                    </w:r>
                    <w:r>
                      <w:rPr>
                        <w:rStyle w:val="TitleHeadingChar"/>
                      </w:rPr>
                      <w:t>inancing</w:t>
                    </w:r>
                  </w:p>
                </w:tc>
              </w:sdtContent>
            </w:sdt>
          </w:tr>
          <w:tr w:rsidR="001E7838" w14:paraId="209E2CF7" w14:textId="77777777" w:rsidTr="00FD5C18">
            <w:trPr>
              <w:cantSplit/>
            </w:trPr>
            <w:tc>
              <w:tcPr>
                <w:tcW w:w="9242" w:type="dxa"/>
                <w:vAlign w:val="center"/>
              </w:tcPr>
              <w:p w14:paraId="209E2CF6" w14:textId="77777777" w:rsidR="001E7838" w:rsidRDefault="001E7838" w:rsidP="00FD5C18">
                <w:pPr>
                  <w:pStyle w:val="Author"/>
                </w:pPr>
                <w:r>
                  <w:t>Sasan Bakhtiari</w:t>
                </w:r>
              </w:p>
            </w:tc>
          </w:tr>
          <w:tr w:rsidR="001E7838" w14:paraId="209E2CF9" w14:textId="77777777" w:rsidTr="00FD5C18">
            <w:trPr>
              <w:cantSplit/>
            </w:trPr>
            <w:tc>
              <w:tcPr>
                <w:tcW w:w="9242" w:type="dxa"/>
                <w:vAlign w:val="center"/>
              </w:tcPr>
              <w:p w14:paraId="209E2CF8" w14:textId="77777777" w:rsidR="001E7838" w:rsidRDefault="001E7838" w:rsidP="00FD5C18">
                <w:pPr>
                  <w:pStyle w:val="MonthYear"/>
                </w:pPr>
                <w:r>
                  <w:fldChar w:fldCharType="begin"/>
                </w:r>
                <w:r>
                  <w:instrText xml:space="preserve"> DATE  \@ "MMMM yyyy"  \* MERGEFORMAT </w:instrText>
                </w:r>
                <w:r>
                  <w:fldChar w:fldCharType="separate"/>
                </w:r>
                <w:r w:rsidR="009F431A">
                  <w:rPr>
                    <w:noProof/>
                  </w:rPr>
                  <w:t>July 2019</w:t>
                </w:r>
                <w:r>
                  <w:fldChar w:fldCharType="end"/>
                </w:r>
              </w:p>
            </w:tc>
          </w:tr>
          <w:tr w:rsidR="001E7838" w14:paraId="209E2CFB" w14:textId="77777777" w:rsidTr="00FD5C18">
            <w:trPr>
              <w:cantSplit/>
              <w:trHeight w:val="765"/>
            </w:trPr>
            <w:tc>
              <w:tcPr>
                <w:tcW w:w="9242" w:type="dxa"/>
              </w:tcPr>
              <w:p w14:paraId="209E2CFA" w14:textId="77777777" w:rsidR="001E7838" w:rsidRDefault="001E7838" w:rsidP="00FD5C18">
                <w:pPr>
                  <w:pStyle w:val="AbstractHeader"/>
                </w:pPr>
                <w:r w:rsidRPr="002054C2">
                  <w:t>Abstract</w:t>
                </w:r>
              </w:p>
            </w:tc>
          </w:tr>
          <w:tr w:rsidR="001E7838" w14:paraId="209E2CFE" w14:textId="77777777" w:rsidTr="00FD5C18">
            <w:trPr>
              <w:cantSplit/>
              <w:trHeight w:val="1125"/>
            </w:trPr>
            <w:tc>
              <w:tcPr>
                <w:tcW w:w="9242" w:type="dxa"/>
              </w:tcPr>
              <w:p w14:paraId="209E2CFC" w14:textId="54FFDB41" w:rsidR="001E7838" w:rsidRPr="00851CD1" w:rsidRDefault="001E7838" w:rsidP="00C51C68">
                <w:pPr>
                  <w:pStyle w:val="Abstract"/>
                  <w:jc w:val="both"/>
                  <w:rPr>
                    <w:color w:val="373737"/>
                  </w:rPr>
                </w:pPr>
                <w:r w:rsidRPr="00851CD1">
                  <w:rPr>
                    <w:color w:val="373737"/>
                  </w:rPr>
                  <w:t>This paper investigates whether financial assistance from Australian state and federal governments to firms facilitates firms’ access to external financing. Findings show that government assistance affects firms through increasing their propensity to seek financing and further by increasing their propensity to obtain the financing. The former</w:t>
                </w:r>
                <w:r w:rsidR="00B10091">
                  <w:rPr>
                    <w:color w:val="373737"/>
                  </w:rPr>
                  <w:t xml:space="preserve"> is the larger effect. Besides</w:t>
                </w:r>
                <w:r w:rsidRPr="00851CD1">
                  <w:rPr>
                    <w:color w:val="373737"/>
                  </w:rPr>
                  <w:t xml:space="preserve">, the largest additionality accrues to young and innovative firms. The form and the number of assistance packages received from the government also affect the type and strength of the impact. The findings </w:t>
                </w:r>
                <w:r w:rsidR="002E0FF0" w:rsidRPr="00851CD1">
                  <w:rPr>
                    <w:color w:val="373737"/>
                  </w:rPr>
                  <w:t>suggest</w:t>
                </w:r>
                <w:r w:rsidR="00096F6A">
                  <w:rPr>
                    <w:color w:val="373737"/>
                  </w:rPr>
                  <w:t xml:space="preserve"> that</w:t>
                </w:r>
                <w:r w:rsidR="0068393A" w:rsidRPr="00851CD1">
                  <w:rPr>
                    <w:color w:val="373737"/>
                  </w:rPr>
                  <w:t xml:space="preserve"> </w:t>
                </w:r>
                <w:r w:rsidRPr="00851CD1">
                  <w:rPr>
                    <w:color w:val="373737"/>
                  </w:rPr>
                  <w:t xml:space="preserve">government financial assistance </w:t>
                </w:r>
                <w:r w:rsidR="00096F6A">
                  <w:rPr>
                    <w:color w:val="373737"/>
                  </w:rPr>
                  <w:t>can have</w:t>
                </w:r>
                <w:r w:rsidR="0068393A" w:rsidRPr="00851CD1">
                  <w:rPr>
                    <w:color w:val="373737"/>
                  </w:rPr>
                  <w:t xml:space="preserve"> much broader </w:t>
                </w:r>
                <w:r w:rsidR="00096F6A">
                  <w:rPr>
                    <w:color w:val="373737"/>
                  </w:rPr>
                  <w:t>impact than just s</w:t>
                </w:r>
                <w:r w:rsidR="00A902F9">
                  <w:rPr>
                    <w:color w:val="373737"/>
                  </w:rPr>
                  <w:t>upplying firms with direct cash</w:t>
                </w:r>
                <w:r w:rsidRPr="00851CD1">
                  <w:rPr>
                    <w:color w:val="373737"/>
                  </w:rPr>
                  <w:t>.</w:t>
                </w:r>
              </w:p>
              <w:p w14:paraId="209E2CFD" w14:textId="77777777" w:rsidR="001E7838" w:rsidRPr="00C63547" w:rsidRDefault="001E7838" w:rsidP="00FD5C18">
                <w:pPr>
                  <w:pStyle w:val="AbstractText"/>
                </w:pPr>
              </w:p>
            </w:tc>
          </w:tr>
          <w:tr w:rsidR="001E7838" w14:paraId="209E2D02" w14:textId="77777777" w:rsidTr="00FD5C18">
            <w:trPr>
              <w:cantSplit/>
              <w:trHeight w:val="1125"/>
            </w:trPr>
            <w:tc>
              <w:tcPr>
                <w:tcW w:w="9242" w:type="dxa"/>
              </w:tcPr>
              <w:p w14:paraId="209E2CFF" w14:textId="77777777" w:rsidR="001E7838" w:rsidRPr="00116A9D" w:rsidRDefault="001E7838" w:rsidP="00FD5C18">
                <w:pPr>
                  <w:pStyle w:val="JELCodeheader"/>
                  <w:rPr>
                    <w:b w:val="0"/>
                  </w:rPr>
                </w:pPr>
                <w:r w:rsidRPr="000502F2">
                  <w:rPr>
                    <w:color w:val="005CAF"/>
                  </w:rPr>
                  <w:t>JEL Codes:</w:t>
                </w:r>
                <w:r w:rsidRPr="000502F2">
                  <w:rPr>
                    <w:b w:val="0"/>
                    <w:color w:val="005CAF"/>
                  </w:rPr>
                  <w:t xml:space="preserve"> </w:t>
                </w:r>
                <w:r w:rsidR="00117F8A">
                  <w:rPr>
                    <w:b w:val="0"/>
                    <w:color w:val="005CAF"/>
                  </w:rPr>
                  <w:t>G30, H25,</w:t>
                </w:r>
                <w:r>
                  <w:rPr>
                    <w:b w:val="0"/>
                    <w:color w:val="005CAF"/>
                  </w:rPr>
                  <w:t xml:space="preserve"> L26</w:t>
                </w:r>
                <w:r w:rsidR="00117F8A">
                  <w:rPr>
                    <w:b w:val="0"/>
                    <w:color w:val="005CAF"/>
                  </w:rPr>
                  <w:t>, O38</w:t>
                </w:r>
              </w:p>
              <w:p w14:paraId="209E2D00" w14:textId="77777777" w:rsidR="001E7838" w:rsidRDefault="001E7838" w:rsidP="00FD5C18">
                <w:pPr>
                  <w:pStyle w:val="JELCodeheader"/>
                  <w:rPr>
                    <w:b w:val="0"/>
                  </w:rPr>
                </w:pPr>
                <w:r w:rsidRPr="000502F2">
                  <w:rPr>
                    <w:color w:val="005CAF"/>
                  </w:rPr>
                  <w:t>Keywords:</w:t>
                </w:r>
                <w:r>
                  <w:rPr>
                    <w:b w:val="0"/>
                  </w:rPr>
                  <w:t xml:space="preserve"> Debt Financing, Small Business, Entrepreneurship, Innovation, Public Policy</w:t>
                </w:r>
              </w:p>
              <w:p w14:paraId="209E2D01" w14:textId="77777777" w:rsidR="001E7838" w:rsidRPr="002054C2" w:rsidRDefault="001E7838" w:rsidP="00FD5C18">
                <w:pPr>
                  <w:pStyle w:val="JELCodeheader"/>
                </w:pPr>
              </w:p>
            </w:tc>
          </w:tr>
        </w:tbl>
        <w:p w14:paraId="209E2D03" w14:textId="77777777" w:rsidR="001E7838" w:rsidRDefault="001E7838" w:rsidP="00FD5C18">
          <w:pPr>
            <w:pStyle w:val="CoverNormal"/>
          </w:pPr>
        </w:p>
        <w:p w14:paraId="209E2D05" w14:textId="02BDE230" w:rsidR="001E7838" w:rsidRDefault="001E7838" w:rsidP="004B784D">
          <w:r>
            <w:br w:type="page"/>
          </w:r>
          <w:r>
            <w:rPr>
              <w:noProof/>
              <w:lang w:eastAsia="en-AU"/>
            </w:rPr>
            <w:lastRenderedPageBreak/>
            <w:drawing>
              <wp:anchor distT="0" distB="0" distL="114300" distR="114300" simplePos="0" relativeHeight="251660288" behindDoc="0" locked="0" layoutInCell="1" allowOverlap="1" wp14:anchorId="209E31FD" wp14:editId="13537CA0">
                <wp:simplePos x="0" y="0"/>
                <wp:positionH relativeFrom="column">
                  <wp:posOffset>1370965</wp:posOffset>
                </wp:positionH>
                <wp:positionV relativeFrom="paragraph">
                  <wp:posOffset>110490</wp:posOffset>
                </wp:positionV>
                <wp:extent cx="4142105" cy="403225"/>
                <wp:effectExtent l="0" t="0" r="0" b="0"/>
                <wp:wrapSquare wrapText="bothSides"/>
                <wp:docPr id="15" name="Picture 15" descr="EDAN, Economic Data and Analysis Network, Data Integration Partnership for Australia&#10;&#10;Office of the Chief Economist" title="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0804 OCE lockup 01 RGB Blu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42105" cy="403225"/>
                        </a:xfrm>
                        <a:prstGeom prst="rect">
                          <a:avLst/>
                        </a:prstGeom>
                      </pic:spPr>
                    </pic:pic>
                  </a:graphicData>
                </a:graphic>
                <wp14:sizeRelH relativeFrom="margin">
                  <wp14:pctWidth>0</wp14:pctWidth>
                </wp14:sizeRelH>
                <wp14:sizeRelV relativeFrom="margin">
                  <wp14:pctHeight>0</wp14:pctHeight>
                </wp14:sizeRelV>
              </wp:anchor>
            </w:drawing>
          </w:r>
          <w:r>
            <w:br/>
          </w:r>
        </w:p>
        <w:p w14:paraId="209E2D06" w14:textId="77777777" w:rsidR="001E7838" w:rsidRDefault="001E7838" w:rsidP="00FD5C18">
          <w:pPr>
            <w:pStyle w:val="CoverNormal"/>
          </w:pPr>
        </w:p>
        <w:p w14:paraId="209E2D07" w14:textId="77777777" w:rsidR="001E7838" w:rsidRDefault="001E7838" w:rsidP="00FD5C18">
          <w:pPr>
            <w:pStyle w:val="DisclaimerHeading"/>
            <w:keepNext/>
            <w:numPr>
              <w:ilvl w:val="7"/>
              <w:numId w:val="3"/>
            </w:numPr>
            <w:spacing w:before="600"/>
            <w:ind w:left="2160"/>
            <w:outlineLvl w:val="7"/>
          </w:pPr>
          <w:r w:rsidRPr="00CF654B">
            <w:t>For</w:t>
          </w:r>
          <w:r w:rsidRPr="00F12E30">
            <w:t xml:space="preserve"> further information on this research paper please </w:t>
          </w:r>
          <w:r w:rsidRPr="00B91524">
            <w:t xml:space="preserve">contact: </w:t>
          </w:r>
        </w:p>
        <w:p w14:paraId="209E2D08" w14:textId="77777777" w:rsidR="001E7838" w:rsidRPr="00EC76AE" w:rsidRDefault="001135D0" w:rsidP="009311F5">
          <w:pPr>
            <w:pStyle w:val="DisclaimerandAcknowledgement"/>
            <w:ind w:left="2127"/>
          </w:pPr>
          <w:r>
            <w:t>Sasan Bakhtiari</w:t>
          </w:r>
        </w:p>
        <w:p w14:paraId="209E2D09" w14:textId="77777777" w:rsidR="001E7838" w:rsidRPr="00EC76AE" w:rsidRDefault="001135D0" w:rsidP="009311F5">
          <w:pPr>
            <w:pStyle w:val="DisclaimerandAcknowledgement"/>
            <w:ind w:left="2127"/>
          </w:pPr>
          <w:r>
            <w:t>Industry and Firm Analysis</w:t>
          </w:r>
        </w:p>
        <w:p w14:paraId="209E2D0A" w14:textId="77777777" w:rsidR="001E7838" w:rsidRPr="00B91524" w:rsidRDefault="001E7838" w:rsidP="009311F5">
          <w:pPr>
            <w:pStyle w:val="DisclaimerandAcknowledgement"/>
            <w:ind w:left="2127"/>
          </w:pPr>
          <w:r w:rsidRPr="00B91524">
            <w:t>Department of Industry</w:t>
          </w:r>
          <w:r>
            <w:t>, Innovation and Science</w:t>
          </w:r>
        </w:p>
        <w:p w14:paraId="209E2D0B" w14:textId="77777777" w:rsidR="001E7838" w:rsidRPr="00EC76AE" w:rsidRDefault="001E7838" w:rsidP="009311F5">
          <w:pPr>
            <w:pStyle w:val="DisclaimerandAcknowledgement"/>
            <w:ind w:left="2127"/>
          </w:pPr>
          <w:r w:rsidRPr="00EC76AE">
            <w:t>GPO Box 9839</w:t>
          </w:r>
        </w:p>
        <w:p w14:paraId="209E2D0C" w14:textId="77777777" w:rsidR="001E7838" w:rsidRPr="00EC76AE" w:rsidRDefault="001E7838" w:rsidP="009311F5">
          <w:pPr>
            <w:pStyle w:val="DisclaimerandAcknowledgement"/>
            <w:ind w:left="2127"/>
          </w:pPr>
          <w:r w:rsidRPr="00EC76AE">
            <w:t>Canberra ACT 2601</w:t>
          </w:r>
        </w:p>
        <w:p w14:paraId="209E2D0D" w14:textId="77777777" w:rsidR="001E7838" w:rsidRPr="00EC76AE" w:rsidRDefault="001E7838" w:rsidP="009311F5">
          <w:pPr>
            <w:pStyle w:val="DisclaimerandAcknowledgement"/>
            <w:ind w:left="2127"/>
          </w:pPr>
          <w:r w:rsidRPr="00EC76AE">
            <w:t>Phone :</w:t>
          </w:r>
          <w:r w:rsidR="001135D0">
            <w:t xml:space="preserve"> +61 2 9397 1639</w:t>
          </w:r>
        </w:p>
        <w:p w14:paraId="209E2D0E" w14:textId="77777777" w:rsidR="001E7838" w:rsidRDefault="001E7838" w:rsidP="009311F5">
          <w:pPr>
            <w:pStyle w:val="DisclaimerandAcknowledgement"/>
            <w:ind w:left="2127"/>
            <w:rPr>
              <w:rStyle w:val="HyperlinkStyleChar"/>
            </w:rPr>
          </w:pPr>
          <w:r w:rsidRPr="00EC76AE">
            <w:t xml:space="preserve">Email: </w:t>
          </w:r>
          <w:r w:rsidR="001135D0">
            <w:t>sasan.</w:t>
          </w:r>
          <w:r>
            <w:t>@industry.gov.au</w:t>
          </w:r>
        </w:p>
        <w:p w14:paraId="209E2D0F" w14:textId="77777777" w:rsidR="001E7838" w:rsidRPr="00EC76AE" w:rsidRDefault="001E7838" w:rsidP="00FD5C18">
          <w:pPr>
            <w:pStyle w:val="DisclaimerHeading"/>
            <w:keepNext/>
            <w:numPr>
              <w:ilvl w:val="7"/>
              <w:numId w:val="3"/>
            </w:numPr>
            <w:spacing w:before="600"/>
            <w:ind w:left="2160"/>
            <w:outlineLvl w:val="7"/>
          </w:pPr>
          <w:r w:rsidRPr="00EC76AE">
            <w:t>Disclaimer</w:t>
          </w:r>
        </w:p>
        <w:p w14:paraId="209E2D10" w14:textId="77777777" w:rsidR="001E7838" w:rsidRDefault="001E7838" w:rsidP="009311F5">
          <w:pPr>
            <w:pStyle w:val="DisclaimerandAcknowledgement"/>
            <w:ind w:left="2127"/>
          </w:pPr>
          <w:r>
            <w:t xml:space="preserve">The views expressed in this report are those of the author(s) and do not necessarily reflect those of the Australian Government or the Department of </w:t>
          </w:r>
          <w:r w:rsidRPr="00B91524">
            <w:t>Industry</w:t>
          </w:r>
          <w:r>
            <w:t>, Innovation and Science.</w:t>
          </w:r>
        </w:p>
        <w:p w14:paraId="209E2D11" w14:textId="77777777" w:rsidR="001E7838" w:rsidRPr="00EC76AE" w:rsidRDefault="001E7838" w:rsidP="009311F5">
          <w:pPr>
            <w:pStyle w:val="DisclaimerandAcknowledgement"/>
            <w:ind w:left="2127"/>
          </w:pPr>
          <w:r w:rsidRPr="00EC76AE">
            <w:sym w:font="Symbol" w:char="F0D3"/>
          </w:r>
          <w:r w:rsidRPr="00EC76AE">
            <w:t xml:space="preserve"> Commonwealth of Australia</w:t>
          </w:r>
          <w:r>
            <w:t xml:space="preserve"> </w:t>
          </w:r>
          <w:r>
            <w:fldChar w:fldCharType="begin"/>
          </w:r>
          <w:r>
            <w:instrText xml:space="preserve"> DATE  \@ "yyyy"  \* MERGEFORMAT </w:instrText>
          </w:r>
          <w:r>
            <w:fldChar w:fldCharType="separate"/>
          </w:r>
          <w:r w:rsidR="009F431A">
            <w:rPr>
              <w:noProof/>
            </w:rPr>
            <w:t>2019</w:t>
          </w:r>
          <w:r>
            <w:fldChar w:fldCharType="end"/>
          </w:r>
          <w:r>
            <w:t>.</w:t>
          </w:r>
          <w:r w:rsidRPr="00EC76AE">
            <w:t xml:space="preserve"> </w:t>
          </w:r>
        </w:p>
        <w:p w14:paraId="209E2D12" w14:textId="7FC6289E" w:rsidR="001E7838" w:rsidRDefault="001F6276" w:rsidP="009311F5">
          <w:pPr>
            <w:pStyle w:val="DisclaimerandAcknowledgement"/>
            <w:ind w:left="2127"/>
            <w:rPr>
              <w:rStyle w:val="HyperlinkStyleChar"/>
              <w:sz w:val="18"/>
            </w:rPr>
          </w:pPr>
          <w:r>
            <w:rPr>
              <w:rFonts w:ascii="inherit" w:hAnsi="inherit"/>
              <w:noProof/>
              <w:sz w:val="20"/>
              <w:szCs w:val="20"/>
              <w:lang w:val="en-AU" w:eastAsia="en-AU"/>
            </w:rPr>
            <w:drawing>
              <wp:anchor distT="0" distB="0" distL="114300" distR="114300" simplePos="0" relativeHeight="251659264" behindDoc="0" locked="0" layoutInCell="1" allowOverlap="1" wp14:anchorId="209E31FF" wp14:editId="369AAC4F">
                <wp:simplePos x="0" y="0"/>
                <wp:positionH relativeFrom="column">
                  <wp:posOffset>1402715</wp:posOffset>
                </wp:positionH>
                <wp:positionV relativeFrom="paragraph">
                  <wp:posOffset>1091565</wp:posOffset>
                </wp:positionV>
                <wp:extent cx="1189355" cy="407035"/>
                <wp:effectExtent l="0" t="0" r="0" b="0"/>
                <wp:wrapSquare wrapText="bothSides"/>
                <wp:docPr id="16" name="Picture 16" descr="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935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1E7838" w:rsidRPr="00EC76AE">
            <w:t xml:space="preserve">This work is copyright. Apart from use under Copyright Act 1968, no part may be reproduced or altered by any process without prior written permission from the Australian Government. Requests and inquiries concerning reproduction and rights should be addressed to </w:t>
          </w:r>
          <w:hyperlink r:id="rId15" w:history="1">
            <w:r w:rsidR="001E7838" w:rsidRPr="001B6EF9">
              <w:rPr>
                <w:rStyle w:val="Hyperlink"/>
              </w:rPr>
              <w:t>chiefeconomist@industry.gov.au</w:t>
            </w:r>
          </w:hyperlink>
          <w:r w:rsidR="001E7838" w:rsidRPr="00B461F3">
            <w:rPr>
              <w:rFonts w:cstheme="minorHAnsi"/>
              <w:color w:val="666666"/>
              <w:szCs w:val="16"/>
            </w:rPr>
            <w:t>.</w:t>
          </w:r>
          <w:r w:rsidR="001E7838">
            <w:rPr>
              <w:rFonts w:ascii="Tahoma" w:hAnsi="Tahoma" w:cs="Tahoma"/>
              <w:color w:val="666666"/>
              <w:sz w:val="18"/>
            </w:rPr>
            <w:t> </w:t>
          </w:r>
          <w:r w:rsidR="001E7838" w:rsidRPr="00EC76AE">
            <w:t xml:space="preserve">For more information on Office of the Chief Economist research papers please access the Department’s website at: </w:t>
          </w:r>
          <w:hyperlink r:id="rId16" w:history="1">
            <w:r w:rsidR="001E7838" w:rsidRPr="001B6EF9">
              <w:rPr>
                <w:rStyle w:val="Hyperlink"/>
              </w:rPr>
              <w:t>www.industry.gov.au/OCE</w:t>
            </w:r>
          </w:hyperlink>
        </w:p>
        <w:p w14:paraId="209E2D13" w14:textId="4155485E" w:rsidR="001E7838" w:rsidRPr="00D86453" w:rsidRDefault="001E7838" w:rsidP="00D86453">
          <w:pPr>
            <w:pStyle w:val="DisclaimerandAcknowledgement"/>
            <w:spacing w:line="80" w:lineRule="exact"/>
            <w:rPr>
              <w:rStyle w:val="HyperlinkStyleChar"/>
              <w:sz w:val="16"/>
              <w:szCs w:val="16"/>
            </w:rPr>
          </w:pPr>
        </w:p>
        <w:p w14:paraId="209E2D14" w14:textId="77777777" w:rsidR="001E7838" w:rsidRPr="00D86453" w:rsidRDefault="001E7838" w:rsidP="00D86453">
          <w:pPr>
            <w:spacing w:line="220" w:lineRule="exact"/>
            <w:rPr>
              <w:rStyle w:val="HyperlinkStyleChar"/>
              <w:rFonts w:cs="Arial"/>
              <w:b/>
              <w:color w:val="595A5B"/>
              <w:sz w:val="16"/>
              <w:szCs w:val="16"/>
            </w:rPr>
          </w:pPr>
        </w:p>
        <w:p w14:paraId="209E2D15" w14:textId="77777777" w:rsidR="001E7838" w:rsidRPr="004D7A11" w:rsidRDefault="001E7838" w:rsidP="00FD5C18">
          <w:pPr>
            <w:pStyle w:val="DisclaimerHeading"/>
            <w:keepNext/>
            <w:numPr>
              <w:ilvl w:val="7"/>
              <w:numId w:val="3"/>
            </w:numPr>
            <w:spacing w:before="600"/>
            <w:ind w:left="2160"/>
            <w:outlineLvl w:val="7"/>
            <w:rPr>
              <w:rFonts w:eastAsia="Calibri"/>
            </w:rPr>
          </w:pPr>
          <w:r w:rsidRPr="004D7A11">
            <w:t>Creative Commons Licence</w:t>
          </w:r>
        </w:p>
        <w:p w14:paraId="209E2D16" w14:textId="77777777" w:rsidR="001E7838" w:rsidRPr="00A1774F" w:rsidRDefault="001E7838" w:rsidP="009311F5">
          <w:pPr>
            <w:pStyle w:val="DisclaimerandAcknowledgement"/>
            <w:ind w:left="2127"/>
          </w:pPr>
          <w:r w:rsidRPr="00A1774F">
            <w:t>With the exception of the Coat of Arms, this publication is licensed under a Creative Commons Attribution 3.0 Australia Licence.</w:t>
          </w:r>
        </w:p>
        <w:p w14:paraId="209E2D17" w14:textId="263ADB47" w:rsidR="001E7838" w:rsidRPr="00A1774F" w:rsidRDefault="001E7838" w:rsidP="009311F5">
          <w:pPr>
            <w:pStyle w:val="DisclaimerandAcknowledgement"/>
            <w:ind w:left="2127"/>
          </w:pPr>
          <w:r w:rsidRPr="00A1774F">
            <w:t>Creative Commons Attribution 3.0 Australia Licence is a standard form license agreement that allows you to copy, distrib</w:t>
          </w:r>
          <w:r>
            <w:t xml:space="preserve">ute, </w:t>
          </w:r>
          <w:r w:rsidRPr="00A1774F">
            <w:t xml:space="preserve">transmit and adapt this publication provided that you attribute the work. A summary of the licence </w:t>
          </w:r>
          <w:r>
            <w:t xml:space="preserve">terms is available from </w:t>
          </w:r>
          <w:hyperlink r:id="rId17" w:history="1">
            <w:r w:rsidRPr="00D86453">
              <w:rPr>
                <w:rStyle w:val="Hyperlink"/>
              </w:rPr>
              <w:t>http://creativecommons.org/licenses/by/3.0/au/deed.en</w:t>
            </w:r>
          </w:hyperlink>
          <w:r w:rsidRPr="00A1774F">
            <w:t xml:space="preserve">. The full licence terms are available from </w:t>
          </w:r>
          <w:hyperlink r:id="rId18" w:history="1">
            <w:r w:rsidRPr="00D86453">
              <w:rPr>
                <w:rStyle w:val="Hyperlink"/>
              </w:rPr>
              <w:t>http://creativecommons.org/licenses/by/3.0/au/legalcode.</w:t>
            </w:r>
          </w:hyperlink>
        </w:p>
        <w:p w14:paraId="209E2D18" w14:textId="77777777" w:rsidR="001E7838" w:rsidRPr="00A1774F" w:rsidRDefault="001E7838" w:rsidP="009311F5">
          <w:pPr>
            <w:pStyle w:val="DisclaimerandAcknowledgement"/>
            <w:ind w:left="2127"/>
          </w:pPr>
          <w:r w:rsidRPr="00A1774F">
            <w:t>The Commonwealth’s preference is that you attribute this publication (and any material sourc</w:t>
          </w:r>
          <w:r>
            <w:t xml:space="preserve">ed from it) using the following </w:t>
          </w:r>
          <w:r w:rsidRPr="00A1774F">
            <w:t>wording:</w:t>
          </w:r>
        </w:p>
        <w:p w14:paraId="209E2D1A" w14:textId="61D71C10" w:rsidR="001E7838" w:rsidRDefault="001E7838" w:rsidP="009311F5">
          <w:pPr>
            <w:pStyle w:val="DisclaimerandAcknowledgement"/>
            <w:ind w:left="2127"/>
            <w:sectPr w:rsidR="001E7838" w:rsidSect="00C821A6">
              <w:pgSz w:w="11906" w:h="16838" w:code="9"/>
              <w:pgMar w:top="1440" w:right="1841" w:bottom="1440" w:left="1440" w:header="709" w:footer="709" w:gutter="0"/>
              <w:pgNumType w:start="0"/>
              <w:cols w:space="708"/>
              <w:titlePg/>
              <w:docGrid w:linePitch="360"/>
            </w:sectPr>
          </w:pPr>
          <w:r w:rsidRPr="00A1774F">
            <w:t>Source: Licensed from the Commonwealth of Australia under a Creative Commons Attribution 3.0 Australia Licence.</w:t>
          </w:r>
          <w:r>
            <w:t xml:space="preserve"> </w:t>
          </w:r>
          <w:r w:rsidRPr="00A1774F">
            <w:t>The Commonwealth of Australia does not necessarily endorse</w:t>
          </w:r>
          <w:r>
            <w:t xml:space="preserve"> the content of this publication. </w:t>
          </w:r>
        </w:p>
      </w:sdtContent>
    </w:sdt>
    <w:tbl>
      <w:tblPr>
        <w:tblW w:w="0" w:type="auto"/>
        <w:tblInd w:w="57" w:type="dxa"/>
        <w:shd w:val="clear" w:color="auto" w:fill="DEE8F1"/>
        <w:tblLayout w:type="fixed"/>
        <w:tblLook w:val="04A0" w:firstRow="1" w:lastRow="0" w:firstColumn="1" w:lastColumn="0" w:noHBand="0" w:noVBand="1"/>
      </w:tblPr>
      <w:tblGrid>
        <w:gridCol w:w="7007"/>
      </w:tblGrid>
      <w:tr w:rsidR="00831870" w14:paraId="209E2D23" w14:textId="77777777" w:rsidTr="00FD5C18">
        <w:tc>
          <w:tcPr>
            <w:tcW w:w="7007" w:type="dxa"/>
            <w:shd w:val="clear" w:color="auto" w:fill="DEE8F1"/>
          </w:tcPr>
          <w:p w14:paraId="209E2D1B" w14:textId="77777777" w:rsidR="00831870" w:rsidRPr="001835DD" w:rsidRDefault="00831870" w:rsidP="00FD5C18">
            <w:pPr>
              <w:pStyle w:val="Keypointsheader"/>
            </w:pPr>
            <w:r w:rsidRPr="00AC3DDE">
              <w:lastRenderedPageBreak/>
              <w:t>Key points</w:t>
            </w:r>
          </w:p>
          <w:p w14:paraId="209E2D1C" w14:textId="77777777" w:rsidR="00831870" w:rsidRDefault="001C3782" w:rsidP="009B33AE">
            <w:pPr>
              <w:pStyle w:val="Keypointsbullet"/>
              <w:ind w:left="317" w:right="155" w:hanging="252"/>
              <w:jc w:val="left"/>
            </w:pPr>
            <w:r>
              <w:t>Government financial assistance makes firms more likely to apply for financing</w:t>
            </w:r>
          </w:p>
          <w:p w14:paraId="209E2D1D" w14:textId="77777777" w:rsidR="00831870" w:rsidRDefault="001C3782" w:rsidP="009B33AE">
            <w:pPr>
              <w:pStyle w:val="Keypointsbullet"/>
              <w:ind w:left="317" w:right="155" w:hanging="252"/>
              <w:jc w:val="left"/>
            </w:pPr>
            <w:r>
              <w:t xml:space="preserve">Government financial assistance also </w:t>
            </w:r>
            <w:r w:rsidR="00D0306E">
              <w:t>makes firms more likely to ob</w:t>
            </w:r>
            <w:r>
              <w:t>t</w:t>
            </w:r>
            <w:r w:rsidR="00D0306E">
              <w:t>a</w:t>
            </w:r>
            <w:r>
              <w:t xml:space="preserve">in financing once they </w:t>
            </w:r>
            <w:r w:rsidR="009B33AE">
              <w:t>apply</w:t>
            </w:r>
          </w:p>
          <w:p w14:paraId="209E2D1E" w14:textId="77777777" w:rsidR="001C3782" w:rsidRDefault="00D0306E" w:rsidP="009B33AE">
            <w:pPr>
              <w:pStyle w:val="Keypointsbullet"/>
              <w:ind w:left="317" w:right="155" w:hanging="252"/>
              <w:jc w:val="left"/>
            </w:pPr>
            <w:r>
              <w:t>The former effect is larger</w:t>
            </w:r>
          </w:p>
          <w:p w14:paraId="209E2D1F" w14:textId="77777777" w:rsidR="009B33AE" w:rsidRDefault="00D0306E" w:rsidP="009B33AE">
            <w:pPr>
              <w:pStyle w:val="Keypointsbullet"/>
              <w:ind w:left="317" w:right="155" w:hanging="252"/>
              <w:jc w:val="left"/>
            </w:pPr>
            <w:r>
              <w:t>Small and young innovative firms show the largest additionality</w:t>
            </w:r>
          </w:p>
          <w:p w14:paraId="209E2D20" w14:textId="77777777" w:rsidR="00D0306E" w:rsidRDefault="009B33AE" w:rsidP="009B33AE">
            <w:pPr>
              <w:pStyle w:val="Keypointsbullet"/>
              <w:ind w:left="317" w:right="155" w:hanging="252"/>
              <w:jc w:val="left"/>
            </w:pPr>
            <w:r>
              <w:t>Subsidies and rebates increase chances of financing. Tax concessions only increase chances of financing for innovative firms</w:t>
            </w:r>
          </w:p>
          <w:p w14:paraId="209E2D22" w14:textId="07E321C9" w:rsidR="00831870" w:rsidRDefault="00D0306E" w:rsidP="00FD5C18">
            <w:pPr>
              <w:pStyle w:val="Keypointsbullet"/>
              <w:ind w:left="317" w:right="155" w:hanging="252"/>
              <w:jc w:val="left"/>
            </w:pPr>
            <w:r>
              <w:t>Receiving multiple forms of government assistance increases the likelihood of obtaining financing, but receiving too many forms of government assistance undermine</w:t>
            </w:r>
            <w:r w:rsidR="009B33AE">
              <w:t>s</w:t>
            </w:r>
            <w:r>
              <w:t xml:space="preserve"> that chance</w:t>
            </w:r>
          </w:p>
        </w:tc>
      </w:tr>
    </w:tbl>
    <w:p w14:paraId="209E2D25" w14:textId="77777777" w:rsidR="00831870" w:rsidRDefault="00831870" w:rsidP="00831870">
      <w:pPr>
        <w:pStyle w:val="Heading1"/>
      </w:pPr>
      <w:r>
        <w:t>Introduction</w:t>
      </w:r>
    </w:p>
    <w:p w14:paraId="209E2D26" w14:textId="6A191489" w:rsidR="00831870" w:rsidRPr="004B784D" w:rsidRDefault="00831870" w:rsidP="004B784D">
      <w:pPr>
        <w:spacing w:before="60" w:line="270" w:lineRule="exact"/>
        <w:jc w:val="both"/>
        <w:rPr>
          <w:sz w:val="20"/>
          <w:szCs w:val="20"/>
        </w:rPr>
      </w:pPr>
      <w:r w:rsidRPr="004B784D">
        <w:rPr>
          <w:sz w:val="20"/>
          <w:szCs w:val="20"/>
        </w:rPr>
        <w:t>Government financial assistance to firms is a form of intervention intended to overcome market imperfections and to foster an environment fertile for innovation and growth. In theory, if government assistance is scarce and merit based, the mere reception of the assistance by a firm sends a positive signal about the firm’s capabilities.</w:t>
      </w:r>
      <w:r w:rsidR="00F00CB5" w:rsidRPr="004B784D">
        <w:rPr>
          <w:sz w:val="20"/>
          <w:szCs w:val="20"/>
        </w:rPr>
        <w:t xml:space="preserve"> More generally, firms receiving government assistance have more liquidity, hence, are less risky.</w:t>
      </w:r>
      <w:r w:rsidRPr="004B784D">
        <w:rPr>
          <w:sz w:val="20"/>
          <w:szCs w:val="20"/>
        </w:rPr>
        <w:t xml:space="preserve"> In an asymmetric information market for financing, private investors take notice and are more willing to lend to a firm with government assistance. </w:t>
      </w:r>
    </w:p>
    <w:p w14:paraId="209E2D27" w14:textId="77777777" w:rsidR="00831870" w:rsidRPr="004B784D" w:rsidRDefault="00831870" w:rsidP="004B784D">
      <w:pPr>
        <w:spacing w:line="270" w:lineRule="exact"/>
        <w:jc w:val="both"/>
        <w:rPr>
          <w:sz w:val="20"/>
          <w:szCs w:val="20"/>
        </w:rPr>
      </w:pPr>
      <w:r w:rsidRPr="004B784D">
        <w:rPr>
          <w:sz w:val="20"/>
          <w:szCs w:val="20"/>
        </w:rPr>
        <w:t xml:space="preserve">Anticipating this change in the </w:t>
      </w:r>
      <w:r w:rsidR="00D52263" w:rsidRPr="004B784D">
        <w:rPr>
          <w:sz w:val="20"/>
          <w:szCs w:val="20"/>
        </w:rPr>
        <w:t>behaviour</w:t>
      </w:r>
      <w:r w:rsidRPr="004B784D">
        <w:rPr>
          <w:sz w:val="20"/>
          <w:szCs w:val="20"/>
        </w:rPr>
        <w:t xml:space="preserve"> of potential investors, firms with government assistance will also apply for financing more confidently. This change in the </w:t>
      </w:r>
      <w:r w:rsidR="00D52263" w:rsidRPr="004B784D">
        <w:rPr>
          <w:sz w:val="20"/>
          <w:szCs w:val="20"/>
        </w:rPr>
        <w:t>behaviour</w:t>
      </w:r>
      <w:r w:rsidRPr="004B784D">
        <w:rPr>
          <w:sz w:val="20"/>
          <w:szCs w:val="20"/>
        </w:rPr>
        <w:t xml:space="preserve"> of both sides leads to what Buisseret et al. (1995) call the </w:t>
      </w:r>
      <w:r w:rsidR="00D52263" w:rsidRPr="004B784D">
        <w:rPr>
          <w:i/>
          <w:iCs/>
          <w:sz w:val="20"/>
          <w:szCs w:val="20"/>
        </w:rPr>
        <w:t>behavioural</w:t>
      </w:r>
      <w:r w:rsidRPr="004B784D">
        <w:rPr>
          <w:i/>
          <w:iCs/>
          <w:sz w:val="20"/>
          <w:szCs w:val="20"/>
        </w:rPr>
        <w:t xml:space="preserve"> additionality</w:t>
      </w:r>
      <w:r w:rsidRPr="004B784D">
        <w:rPr>
          <w:sz w:val="20"/>
          <w:szCs w:val="20"/>
        </w:rPr>
        <w:t xml:space="preserve"> of the policy. This additionality can be especially beneficial to small and young firms where credit history or sizable collateral is lacking. </w:t>
      </w:r>
    </w:p>
    <w:p w14:paraId="209E2D28" w14:textId="77777777" w:rsidR="00831870" w:rsidRPr="004B784D" w:rsidRDefault="00831870" w:rsidP="004B784D">
      <w:pPr>
        <w:spacing w:line="270" w:lineRule="exact"/>
        <w:jc w:val="both"/>
        <w:rPr>
          <w:sz w:val="20"/>
          <w:szCs w:val="20"/>
        </w:rPr>
      </w:pPr>
      <w:r w:rsidRPr="004B784D">
        <w:rPr>
          <w:sz w:val="20"/>
          <w:szCs w:val="20"/>
        </w:rPr>
        <w:t xml:space="preserve">In this paper, I explore the </w:t>
      </w:r>
      <w:r w:rsidR="00D52263" w:rsidRPr="004B784D">
        <w:rPr>
          <w:sz w:val="20"/>
          <w:szCs w:val="20"/>
        </w:rPr>
        <w:t>behavioural</w:t>
      </w:r>
      <w:r w:rsidRPr="004B784D">
        <w:rPr>
          <w:sz w:val="20"/>
          <w:szCs w:val="20"/>
        </w:rPr>
        <w:t xml:space="preserve"> additionality of government financial assistance on both the firm and the investors using a panel of Australian firms. Australian state and federal governments offer financial assistance to firms in various forms including grants, subsidies, tax concessions, rebates, and in some cases an on-going aid.</w:t>
      </w:r>
      <w:r w:rsidRPr="004B784D">
        <w:rPr>
          <w:rStyle w:val="FootnoteReference"/>
          <w:sz w:val="20"/>
          <w:szCs w:val="20"/>
        </w:rPr>
        <w:footnoteReference w:id="1"/>
      </w:r>
      <w:r w:rsidRPr="004B784D">
        <w:rPr>
          <w:sz w:val="20"/>
          <w:szCs w:val="20"/>
        </w:rPr>
        <w:t xml:space="preserve"> Firms can also apply and receive multiple forms of government assistance simultaneously. I further test whether all or certain forms of government assistance are conducive to </w:t>
      </w:r>
      <w:r w:rsidR="00D52263" w:rsidRPr="004B784D">
        <w:rPr>
          <w:sz w:val="20"/>
          <w:szCs w:val="20"/>
        </w:rPr>
        <w:t>behavioural</w:t>
      </w:r>
      <w:r w:rsidRPr="004B784D">
        <w:rPr>
          <w:sz w:val="20"/>
          <w:szCs w:val="20"/>
        </w:rPr>
        <w:t xml:space="preserve"> additionality and also whether the number of simultaneous forms of assistance matters. </w:t>
      </w:r>
    </w:p>
    <w:p w14:paraId="209E2D29" w14:textId="77777777" w:rsidR="00831870" w:rsidRPr="004B784D" w:rsidRDefault="00831870" w:rsidP="004B784D">
      <w:pPr>
        <w:spacing w:line="270" w:lineRule="exact"/>
        <w:jc w:val="both"/>
        <w:rPr>
          <w:sz w:val="20"/>
          <w:szCs w:val="20"/>
        </w:rPr>
      </w:pPr>
      <w:r w:rsidRPr="004B784D">
        <w:rPr>
          <w:sz w:val="20"/>
          <w:szCs w:val="20"/>
        </w:rPr>
        <w:t xml:space="preserve">Overall, the results support the notion that receiving government financial assistance makes firms more likely to secure debt or equity financing. This </w:t>
      </w:r>
      <w:r w:rsidRPr="004B784D">
        <w:rPr>
          <w:sz w:val="20"/>
          <w:szCs w:val="20"/>
        </w:rPr>
        <w:lastRenderedPageBreak/>
        <w:t xml:space="preserve">improvement is achieved in two ways: firms with government assistance are more likely to seek external financing. Once seeking financing, these firms are also more likely to obtain financing. The former is </w:t>
      </w:r>
      <w:r w:rsidR="00D52263" w:rsidRPr="004B784D">
        <w:rPr>
          <w:sz w:val="20"/>
          <w:szCs w:val="20"/>
        </w:rPr>
        <w:t>behavioural</w:t>
      </w:r>
      <w:r w:rsidRPr="004B784D">
        <w:rPr>
          <w:sz w:val="20"/>
          <w:szCs w:val="20"/>
        </w:rPr>
        <w:t xml:space="preserve"> additionality on the part of the firm; the latter is </w:t>
      </w:r>
      <w:r w:rsidR="00D52263" w:rsidRPr="004B784D">
        <w:rPr>
          <w:sz w:val="20"/>
          <w:szCs w:val="20"/>
        </w:rPr>
        <w:t>behavioural</w:t>
      </w:r>
      <w:r w:rsidRPr="004B784D">
        <w:rPr>
          <w:sz w:val="20"/>
          <w:szCs w:val="20"/>
        </w:rPr>
        <w:t xml:space="preserve"> additionality on the part of investors. The former is a much stronger effect. </w:t>
      </w:r>
    </w:p>
    <w:p w14:paraId="209E2D2A" w14:textId="77777777" w:rsidR="00831870" w:rsidRPr="004B784D" w:rsidRDefault="00831870" w:rsidP="004B784D">
      <w:pPr>
        <w:spacing w:line="270" w:lineRule="exact"/>
        <w:jc w:val="both"/>
        <w:rPr>
          <w:sz w:val="20"/>
          <w:szCs w:val="20"/>
        </w:rPr>
      </w:pPr>
      <w:r w:rsidRPr="004B784D">
        <w:rPr>
          <w:sz w:val="20"/>
          <w:szCs w:val="20"/>
        </w:rPr>
        <w:t>Small firms seeking financing to invest in innovation are especially disadvantaged. The findings show that government assistance substantially improves the chances for young small firms to secure financing for innovation.</w:t>
      </w:r>
    </w:p>
    <w:p w14:paraId="209E2D2B" w14:textId="77777777" w:rsidR="00831870" w:rsidRPr="004B784D" w:rsidRDefault="00831870" w:rsidP="004B784D">
      <w:pPr>
        <w:spacing w:line="270" w:lineRule="exact"/>
        <w:jc w:val="both"/>
        <w:rPr>
          <w:sz w:val="20"/>
          <w:szCs w:val="20"/>
        </w:rPr>
      </w:pPr>
      <w:r w:rsidRPr="004B784D">
        <w:rPr>
          <w:sz w:val="20"/>
          <w:szCs w:val="20"/>
        </w:rPr>
        <w:t xml:space="preserve">It also turns out that not every form of government assistance is conducive to </w:t>
      </w:r>
      <w:r w:rsidR="00D52263" w:rsidRPr="004B784D">
        <w:rPr>
          <w:sz w:val="20"/>
          <w:szCs w:val="20"/>
        </w:rPr>
        <w:t>behavioural</w:t>
      </w:r>
      <w:r w:rsidRPr="004B784D">
        <w:rPr>
          <w:sz w:val="20"/>
          <w:szCs w:val="20"/>
        </w:rPr>
        <w:t xml:space="preserve"> additionality on the part of investors. Subsidies and rebates appear to have a positive effect. Tax concessions also have a large positive effect but only for firms intending to invest in innovation. Firms receiving a larger number of simultaneous assistance from government are also more likely to obtain financing. However, receiving too many different forms of assistance diminishes those chances.</w:t>
      </w:r>
    </w:p>
    <w:p w14:paraId="209E2D2C" w14:textId="2BDBDAC2" w:rsidR="00831870" w:rsidRPr="004B784D" w:rsidRDefault="00831870" w:rsidP="004B784D">
      <w:pPr>
        <w:spacing w:line="270" w:lineRule="exact"/>
        <w:jc w:val="both"/>
        <w:rPr>
          <w:sz w:val="20"/>
          <w:szCs w:val="20"/>
        </w:rPr>
      </w:pPr>
      <w:r w:rsidRPr="004B784D">
        <w:rPr>
          <w:sz w:val="20"/>
          <w:szCs w:val="20"/>
        </w:rPr>
        <w:t>The remainder of the paper is composed as follows: in the next Section, I review some background on the topic. T</w:t>
      </w:r>
      <w:r w:rsidR="004F4212" w:rsidRPr="004B784D">
        <w:rPr>
          <w:sz w:val="20"/>
          <w:szCs w:val="20"/>
        </w:rPr>
        <w:t>he data is described in Section 3</w:t>
      </w:r>
      <w:r w:rsidRPr="004B784D">
        <w:rPr>
          <w:sz w:val="20"/>
          <w:szCs w:val="20"/>
        </w:rPr>
        <w:t>. Section </w:t>
      </w:r>
      <w:r w:rsidR="004F4212" w:rsidRPr="004B784D">
        <w:rPr>
          <w:sz w:val="20"/>
          <w:szCs w:val="20"/>
        </w:rPr>
        <w:t>4</w:t>
      </w:r>
      <w:r w:rsidRPr="004B784D">
        <w:rPr>
          <w:sz w:val="20"/>
          <w:szCs w:val="20"/>
        </w:rPr>
        <w:t xml:space="preserve"> reports the descriptive statistics for the analysis sample. In Sections </w:t>
      </w:r>
      <w:r w:rsidR="004F4212" w:rsidRPr="004B784D">
        <w:rPr>
          <w:sz w:val="20"/>
          <w:szCs w:val="20"/>
        </w:rPr>
        <w:t>5</w:t>
      </w:r>
      <w:r w:rsidRPr="004B784D">
        <w:rPr>
          <w:sz w:val="20"/>
          <w:szCs w:val="20"/>
        </w:rPr>
        <w:t xml:space="preserve">, I explain my </w:t>
      </w:r>
      <w:r w:rsidR="00D52263" w:rsidRPr="004B784D">
        <w:rPr>
          <w:sz w:val="20"/>
          <w:szCs w:val="20"/>
        </w:rPr>
        <w:t>modelling</w:t>
      </w:r>
      <w:r w:rsidRPr="004B784D">
        <w:rPr>
          <w:sz w:val="20"/>
          <w:szCs w:val="20"/>
        </w:rPr>
        <w:t xml:space="preserve"> strategy and then report the estimation results in Section </w:t>
      </w:r>
      <w:r w:rsidR="004F4212" w:rsidRPr="004B784D">
        <w:rPr>
          <w:sz w:val="20"/>
          <w:szCs w:val="20"/>
        </w:rPr>
        <w:t>6</w:t>
      </w:r>
      <w:r w:rsidRPr="004B784D">
        <w:rPr>
          <w:sz w:val="20"/>
          <w:szCs w:val="20"/>
        </w:rPr>
        <w:t>. I conclude the paper in Section </w:t>
      </w:r>
      <w:r w:rsidR="004F4212" w:rsidRPr="004B784D">
        <w:rPr>
          <w:sz w:val="20"/>
          <w:szCs w:val="20"/>
        </w:rPr>
        <w:t>7</w:t>
      </w:r>
      <w:r w:rsidRPr="004B784D">
        <w:rPr>
          <w:sz w:val="20"/>
          <w:szCs w:val="20"/>
        </w:rPr>
        <w:t>.</w:t>
      </w:r>
    </w:p>
    <w:p w14:paraId="209E2D2E" w14:textId="77777777" w:rsidR="00831870" w:rsidRDefault="00586EC7" w:rsidP="00586EC7">
      <w:pPr>
        <w:pStyle w:val="Heading1"/>
      </w:pPr>
      <w:r>
        <w:t>Background</w:t>
      </w:r>
    </w:p>
    <w:p w14:paraId="209E2D2F" w14:textId="77777777" w:rsidR="00586EC7" w:rsidRPr="004B784D" w:rsidRDefault="00586EC7" w:rsidP="004B784D">
      <w:pPr>
        <w:spacing w:before="60" w:line="270" w:lineRule="exact"/>
        <w:jc w:val="both"/>
        <w:rPr>
          <w:sz w:val="20"/>
          <w:szCs w:val="20"/>
        </w:rPr>
      </w:pPr>
      <w:r w:rsidRPr="004B784D">
        <w:rPr>
          <w:sz w:val="20"/>
          <w:szCs w:val="20"/>
        </w:rPr>
        <w:t xml:space="preserve">The notion that government financial assistance to firms paves the way for debt or equity financing is not completely new and has both theoretical and empirical precedences. At least as early as Akerlof (1970), the connection between asymmetric information and market failure has been contemplated. Uncertainty breeds speculations that one side is offering </w:t>
      </w:r>
      <w:r w:rsidRPr="004B784D">
        <w:rPr>
          <w:i/>
          <w:iCs/>
          <w:sz w:val="20"/>
          <w:szCs w:val="20"/>
        </w:rPr>
        <w:t>lemon</w:t>
      </w:r>
      <w:r w:rsidRPr="004B784D">
        <w:rPr>
          <w:sz w:val="20"/>
          <w:szCs w:val="20"/>
        </w:rPr>
        <w:t>. In the market for financing, in particular, investors may decide not to participate at all or to demand extraordinary concessions to compensate for the perception of a risky investment. Observing the challenges, firms might decide not to seek external financing in the first place (Myers &amp; Majluf, 1984).</w:t>
      </w:r>
    </w:p>
    <w:p w14:paraId="209E2D30" w14:textId="77777777" w:rsidR="00586EC7" w:rsidRPr="004B784D" w:rsidRDefault="00586EC7" w:rsidP="004B784D">
      <w:pPr>
        <w:spacing w:line="270" w:lineRule="exact"/>
        <w:jc w:val="both"/>
        <w:rPr>
          <w:sz w:val="20"/>
          <w:szCs w:val="20"/>
        </w:rPr>
      </w:pPr>
      <w:r w:rsidRPr="004B784D">
        <w:rPr>
          <w:sz w:val="20"/>
          <w:szCs w:val="20"/>
        </w:rPr>
        <w:t>Small and young firms are the most susceptible, where the operation is riskier and credible information and history is lacking. Compounded with a lack of sizable collateral to protect investors, the obstacles to acquiring financing can become too daunting for most small firms to overcome. The problem is especially acute for small firms seeking investment to carry out risky research and innovation projects. The existing evidence in other countries shows a pattern of discrimination against such ventures (Westhead &amp; Storey, 1997; Freel, 1999, 2007; Carpenter &amp; Petersen, 2002).</w:t>
      </w:r>
    </w:p>
    <w:p w14:paraId="209E2D31" w14:textId="6466BDD4" w:rsidR="00586EC7" w:rsidRPr="004B784D" w:rsidRDefault="00586EC7" w:rsidP="004B784D">
      <w:pPr>
        <w:spacing w:line="270" w:lineRule="exact"/>
        <w:jc w:val="both"/>
        <w:rPr>
          <w:sz w:val="20"/>
          <w:szCs w:val="20"/>
        </w:rPr>
      </w:pPr>
      <w:r w:rsidRPr="004B784D">
        <w:rPr>
          <w:sz w:val="20"/>
          <w:szCs w:val="20"/>
        </w:rPr>
        <w:t xml:space="preserve">Awarding of R&amp;D tax incentives or R&amp;D grants can partly remedy the market failure in these cases. Egger &amp; Keuschnigg (2015) present a theory of equity versus debt financing, in which government offering R&amp;D subsidies improves the financial standing of a firm and makes it possible for innovative firms to attract debt financing and to avoid the more demanding venture capitalists. A series of works provide substantial evidence that </w:t>
      </w:r>
      <w:r w:rsidR="00DA2DBF" w:rsidRPr="004B784D">
        <w:rPr>
          <w:sz w:val="20"/>
          <w:szCs w:val="20"/>
        </w:rPr>
        <w:t xml:space="preserve">receiving </w:t>
      </w:r>
      <w:r w:rsidRPr="004B784D">
        <w:rPr>
          <w:sz w:val="20"/>
          <w:szCs w:val="20"/>
        </w:rPr>
        <w:t>R&amp;D tax subsidies improve the likelihood and amount of external financing av</w:t>
      </w:r>
      <w:r w:rsidR="00DA2DBF" w:rsidRPr="004B784D">
        <w:rPr>
          <w:sz w:val="20"/>
          <w:szCs w:val="20"/>
        </w:rPr>
        <w:t>ailable to a</w:t>
      </w:r>
      <w:r w:rsidRPr="004B784D">
        <w:rPr>
          <w:sz w:val="20"/>
          <w:szCs w:val="20"/>
        </w:rPr>
        <w:t xml:space="preserve"> firm, </w:t>
      </w:r>
      <w:r w:rsidRPr="004B784D">
        <w:rPr>
          <w:sz w:val="20"/>
          <w:szCs w:val="20"/>
        </w:rPr>
        <w:lastRenderedPageBreak/>
        <w:t xml:space="preserve">especially when the firm is small and high-tech (Lerner, 1999; Feldman &amp; Kelley, 2006; Takalo &amp; Tanayama, 2010; Meuleman &amp; De Maeseneire, 2012). </w:t>
      </w:r>
    </w:p>
    <w:p w14:paraId="209E2D32" w14:textId="77777777" w:rsidR="00586EC7" w:rsidRPr="004B784D" w:rsidRDefault="00586EC7" w:rsidP="004B784D">
      <w:pPr>
        <w:spacing w:line="270" w:lineRule="exact"/>
        <w:jc w:val="both"/>
        <w:rPr>
          <w:sz w:val="20"/>
          <w:szCs w:val="20"/>
        </w:rPr>
      </w:pPr>
      <w:r w:rsidRPr="004B784D">
        <w:rPr>
          <w:sz w:val="20"/>
          <w:szCs w:val="20"/>
        </w:rPr>
        <w:t>In this work, I do not confine myself to the impact of R&amp;D tax incentives. Instead, I investigate the broader range of government assistance in the form of grants, subsidies, tax concessions, cash rebates, and other temporary or on-going forms of assistance. The results will provide a broader understanding of the role government assistance is playing in the debt or equity markets.</w:t>
      </w:r>
    </w:p>
    <w:p w14:paraId="209E2D33" w14:textId="77777777" w:rsidR="00586EC7" w:rsidRDefault="00586EC7" w:rsidP="00586EC7">
      <w:pPr>
        <w:pStyle w:val="Heading1"/>
      </w:pPr>
      <w:r>
        <w:t>Data</w:t>
      </w:r>
    </w:p>
    <w:p w14:paraId="209E2D34" w14:textId="77777777" w:rsidR="00586EC7" w:rsidRPr="004B784D" w:rsidRDefault="00586EC7" w:rsidP="004B784D">
      <w:pPr>
        <w:spacing w:before="60" w:line="270" w:lineRule="exact"/>
        <w:jc w:val="both"/>
        <w:rPr>
          <w:sz w:val="20"/>
          <w:szCs w:val="20"/>
        </w:rPr>
      </w:pPr>
      <w:r w:rsidRPr="004B784D">
        <w:rPr>
          <w:sz w:val="20"/>
          <w:szCs w:val="20"/>
        </w:rPr>
        <w:t>The main source of data for this study is the Business Characteristics Survey (BCS). This survey is conducted by the ABS annually on a rolling panel of firms randomly selected from the ABS Business Register. The data report many aspects of business operation such as turnover and employment as well as innovation, business challenges and business plans.</w:t>
      </w:r>
      <w:r w:rsidRPr="004B784D">
        <w:rPr>
          <w:rStyle w:val="FootnoteReference"/>
          <w:sz w:val="20"/>
          <w:szCs w:val="20"/>
        </w:rPr>
        <w:footnoteReference w:id="2"/>
      </w:r>
    </w:p>
    <w:p w14:paraId="209E2D35" w14:textId="77777777" w:rsidR="00586EC7" w:rsidRPr="004B784D" w:rsidRDefault="00586EC7" w:rsidP="004B784D">
      <w:pPr>
        <w:spacing w:line="270" w:lineRule="exact"/>
        <w:jc w:val="both"/>
        <w:rPr>
          <w:sz w:val="20"/>
          <w:szCs w:val="20"/>
        </w:rPr>
      </w:pPr>
      <w:r w:rsidRPr="004B784D">
        <w:rPr>
          <w:sz w:val="20"/>
          <w:szCs w:val="20"/>
        </w:rPr>
        <w:t>The BCS starts in 2006 and has been conducted each year since. Firms with 200 employees or larger are a permanent part of the data. Every year, the ABS selects a new panel of firms smaller than 200 employees to be surveyed. Each panel runs for five years, which means several panels could be running in parallel. The samples for simultaneous panels are non-overlapping.</w:t>
      </w:r>
    </w:p>
    <w:p w14:paraId="209E2D36" w14:textId="77777777" w:rsidR="00586EC7" w:rsidRPr="004B784D" w:rsidRDefault="00586EC7" w:rsidP="004B784D">
      <w:pPr>
        <w:spacing w:line="270" w:lineRule="exact"/>
        <w:jc w:val="both"/>
        <w:rPr>
          <w:sz w:val="20"/>
          <w:szCs w:val="20"/>
        </w:rPr>
      </w:pPr>
      <w:r w:rsidRPr="004B784D">
        <w:rPr>
          <w:sz w:val="20"/>
          <w:szCs w:val="20"/>
        </w:rPr>
        <w:t>A panel typically includes about 3,000 firms, with the samp</w:t>
      </w:r>
      <w:r w:rsidR="003A5AD0" w:rsidRPr="004B784D">
        <w:rPr>
          <w:sz w:val="20"/>
          <w:szCs w:val="20"/>
        </w:rPr>
        <w:t>le size varying between 2,000 and</w:t>
      </w:r>
      <w:r w:rsidRPr="004B784D">
        <w:rPr>
          <w:sz w:val="20"/>
          <w:szCs w:val="20"/>
        </w:rPr>
        <w:t xml:space="preserve"> 5,000 from panel to panel. The sample is randomly drawn from the ABS Business Register using a stratification over firm size and industry. In a typical panel, about one-third of the sample is selected from food industry, whereas the remaining two-thirds are selected from other industries. This emphasis on food industry is typical in Australia and reflects the over-sized contribution of this sector to manufacturing and to the Australian economy.</w:t>
      </w:r>
      <w:r w:rsidRPr="004B784D">
        <w:rPr>
          <w:rStyle w:val="FootnoteReference"/>
          <w:sz w:val="20"/>
          <w:szCs w:val="20"/>
        </w:rPr>
        <w:footnoteReference w:id="3"/>
      </w:r>
    </w:p>
    <w:p w14:paraId="209E2D38" w14:textId="61012FC1" w:rsidR="00586EC7" w:rsidRPr="004B784D" w:rsidRDefault="00586EC7" w:rsidP="004B784D">
      <w:pPr>
        <w:spacing w:line="270" w:lineRule="exact"/>
        <w:jc w:val="both"/>
        <w:rPr>
          <w:sz w:val="20"/>
          <w:szCs w:val="20"/>
        </w:rPr>
      </w:pPr>
      <w:r w:rsidRPr="004B784D">
        <w:rPr>
          <w:sz w:val="20"/>
          <w:szCs w:val="20"/>
        </w:rPr>
        <w:t>In one section of the survey, firms report whether they sought debt or equity financing</w:t>
      </w:r>
      <w:r w:rsidR="00D51BB1" w:rsidRPr="004B784D">
        <w:rPr>
          <w:sz w:val="20"/>
          <w:szCs w:val="20"/>
        </w:rPr>
        <w:t xml:space="preserve"> (see Appendix A for the survey questions)</w:t>
      </w:r>
      <w:r w:rsidR="00265645" w:rsidRPr="004B784D">
        <w:rPr>
          <w:sz w:val="20"/>
          <w:szCs w:val="20"/>
        </w:rPr>
        <w:t>s</w:t>
      </w:r>
      <w:r w:rsidRPr="004B784D">
        <w:rPr>
          <w:sz w:val="20"/>
          <w:szCs w:val="20"/>
        </w:rPr>
        <w:t>. If so, they also report whether the requested financing is obtained, in-progress, or rejected. Firms also respond whether they received any form of financial assistance from the Australian state or federal governments, and if they did then which form(s) of assistance they received. This set of questions constitute the basis for the analysis that I will carry out.</w:t>
      </w:r>
    </w:p>
    <w:p w14:paraId="209E2D39" w14:textId="77777777" w:rsidR="00586EC7" w:rsidRPr="004B784D" w:rsidRDefault="00586EC7" w:rsidP="004B784D">
      <w:pPr>
        <w:spacing w:line="270" w:lineRule="exact"/>
        <w:jc w:val="both"/>
        <w:rPr>
          <w:sz w:val="20"/>
          <w:szCs w:val="20"/>
        </w:rPr>
      </w:pPr>
      <w:r w:rsidRPr="004B784D">
        <w:rPr>
          <w:sz w:val="20"/>
          <w:szCs w:val="20"/>
        </w:rPr>
        <w:t>I further supplement the BCS with firms’ financial information from the Business Income Tax (BIT) reports and Business Activity Statements (BAS). These data along with the BCS are part of the current Business Longitudinal Analysis Data Environment (BLADE) in the ABS. The linkage further furnishes the analysis with reports of total and current assets, and total liabilities.</w:t>
      </w:r>
    </w:p>
    <w:p w14:paraId="209E2D3B" w14:textId="77777777" w:rsidR="00586EC7" w:rsidRDefault="00586EC7" w:rsidP="00586EC7">
      <w:pPr>
        <w:pStyle w:val="Heading1"/>
      </w:pPr>
      <w:r>
        <w:lastRenderedPageBreak/>
        <w:t>Descriptive Statistics</w:t>
      </w:r>
    </w:p>
    <w:p w14:paraId="209E2D3C" w14:textId="54FE36A0" w:rsidR="00202B8F" w:rsidRPr="004B784D" w:rsidRDefault="00202B8F" w:rsidP="00202B8F">
      <w:pPr>
        <w:spacing w:before="60" w:line="270" w:lineRule="exact"/>
        <w:rPr>
          <w:sz w:val="20"/>
          <w:szCs w:val="20"/>
        </w:rPr>
      </w:pPr>
      <w:r w:rsidRPr="004B784D">
        <w:rPr>
          <w:sz w:val="20"/>
          <w:szCs w:val="20"/>
        </w:rPr>
        <w:t>The total count of firms in the BCS are listed</w:t>
      </w:r>
      <w:r w:rsidR="00F91239" w:rsidRPr="004B784D">
        <w:rPr>
          <w:sz w:val="20"/>
          <w:szCs w:val="20"/>
        </w:rPr>
        <w:t xml:space="preserve"> in </w:t>
      </w:r>
      <w:r w:rsidR="00F91239" w:rsidRPr="004B784D">
        <w:rPr>
          <w:sz w:val="20"/>
          <w:szCs w:val="20"/>
        </w:rPr>
        <w:fldChar w:fldCharType="begin"/>
      </w:r>
      <w:r w:rsidR="00F91239" w:rsidRPr="004B784D">
        <w:rPr>
          <w:sz w:val="20"/>
          <w:szCs w:val="20"/>
        </w:rPr>
        <w:instrText xml:space="preserve"> REF _Ref519600576 \h </w:instrText>
      </w:r>
      <w:r w:rsidR="004B784D">
        <w:rPr>
          <w:sz w:val="20"/>
          <w:szCs w:val="20"/>
        </w:rPr>
        <w:instrText xml:space="preserve"> \* MERGEFORMAT </w:instrText>
      </w:r>
      <w:r w:rsidR="00F91239" w:rsidRPr="004B784D">
        <w:rPr>
          <w:sz w:val="20"/>
          <w:szCs w:val="20"/>
        </w:rPr>
      </w:r>
      <w:r w:rsidR="00F91239" w:rsidRPr="004B784D">
        <w:rPr>
          <w:sz w:val="20"/>
          <w:szCs w:val="20"/>
        </w:rPr>
        <w:fldChar w:fldCharType="separate"/>
      </w:r>
      <w:r w:rsidR="00851CD1" w:rsidRPr="004B784D">
        <w:rPr>
          <w:sz w:val="20"/>
          <w:szCs w:val="20"/>
        </w:rPr>
        <w:t xml:space="preserve">Table </w:t>
      </w:r>
      <w:r w:rsidR="00851CD1" w:rsidRPr="004B784D">
        <w:rPr>
          <w:noProof/>
          <w:sz w:val="20"/>
          <w:szCs w:val="20"/>
        </w:rPr>
        <w:t>4</w:t>
      </w:r>
      <w:r w:rsidR="00851CD1" w:rsidRPr="004B784D">
        <w:rPr>
          <w:sz w:val="20"/>
          <w:szCs w:val="20"/>
        </w:rPr>
        <w:t>.</w:t>
      </w:r>
      <w:r w:rsidR="00851CD1" w:rsidRPr="004B784D">
        <w:rPr>
          <w:noProof/>
          <w:sz w:val="20"/>
          <w:szCs w:val="20"/>
        </w:rPr>
        <w:t>1</w:t>
      </w:r>
      <w:r w:rsidR="00F91239" w:rsidRPr="004B784D">
        <w:rPr>
          <w:sz w:val="20"/>
          <w:szCs w:val="20"/>
        </w:rPr>
        <w:fldChar w:fldCharType="end"/>
      </w:r>
      <w:r w:rsidRPr="004B784D">
        <w:rPr>
          <w:sz w:val="20"/>
          <w:szCs w:val="20"/>
        </w:rPr>
        <w:t xml:space="preserve">. I will be looking at the effect of government assistance in </w:t>
      </w:r>
      <w:r w:rsidRPr="004B784D">
        <w:rPr>
          <w:i/>
          <w:iCs/>
          <w:sz w:val="20"/>
          <w:szCs w:val="20"/>
        </w:rPr>
        <w:t>t</w:t>
      </w:r>
      <w:r w:rsidRPr="004B784D">
        <w:rPr>
          <w:sz w:val="20"/>
          <w:szCs w:val="20"/>
        </w:rPr>
        <w:t xml:space="preserve"> on the propensity to apply for and to obtain financing in </w:t>
      </w:r>
      <w:r w:rsidRPr="004B784D">
        <w:rPr>
          <w:i/>
          <w:iCs/>
          <w:sz w:val="20"/>
          <w:szCs w:val="20"/>
        </w:rPr>
        <w:t>t</w:t>
      </w:r>
      <w:r w:rsidRPr="004B784D">
        <w:rPr>
          <w:sz w:val="20"/>
          <w:szCs w:val="20"/>
        </w:rPr>
        <w:t xml:space="preserve">+1. The time lag is essential to reduce reverse causality. </w:t>
      </w:r>
    </w:p>
    <w:p w14:paraId="209E2D3D" w14:textId="77777777" w:rsidR="00202B8F" w:rsidRDefault="00202B8F" w:rsidP="00FD5C18">
      <w:pPr>
        <w:pStyle w:val="Caption"/>
      </w:pPr>
      <w:bookmarkStart w:id="0" w:name="_Ref519600576"/>
      <w:r w:rsidRPr="000618FB">
        <w:t xml:space="preserve">Table </w:t>
      </w:r>
      <w:r>
        <w:rPr>
          <w:noProof/>
        </w:rPr>
        <w:fldChar w:fldCharType="begin"/>
      </w:r>
      <w:r>
        <w:rPr>
          <w:noProof/>
        </w:rPr>
        <w:instrText xml:space="preserve"> STYLEREF 1 \s </w:instrText>
      </w:r>
      <w:r>
        <w:rPr>
          <w:noProof/>
        </w:rPr>
        <w:fldChar w:fldCharType="separate"/>
      </w:r>
      <w:r w:rsidR="00851CD1">
        <w:rPr>
          <w:noProof/>
        </w:rPr>
        <w:t>4</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851CD1">
        <w:rPr>
          <w:noProof/>
        </w:rPr>
        <w:t>1</w:t>
      </w:r>
      <w:r>
        <w:rPr>
          <w:noProof/>
        </w:rPr>
        <w:fldChar w:fldCharType="end"/>
      </w:r>
      <w:bookmarkEnd w:id="0"/>
      <w:r w:rsidRPr="000618FB">
        <w:t xml:space="preserve">: </w:t>
      </w:r>
      <w:r>
        <w:t>The count of firms with government assistance and seeking external financing</w:t>
      </w:r>
    </w:p>
    <w:tbl>
      <w:tblPr>
        <w:tblStyle w:val="OCETable"/>
        <w:tblW w:w="5000" w:type="pct"/>
        <w:tblLook w:val="04A0" w:firstRow="1" w:lastRow="0" w:firstColumn="1" w:lastColumn="0" w:noHBand="0" w:noVBand="1"/>
        <w:tblCaption w:val="Count of firms"/>
        <w:tblDescription w:val="There are about 7000 to 10000 firms a year. Almost a quarter of them seek financing. Almost 40 per cent of those seeking financing are government assisted. About 23 per cent of those not seeking financing are government assisted."/>
      </w:tblPr>
      <w:tblGrid>
        <w:gridCol w:w="770"/>
        <w:gridCol w:w="1120"/>
        <w:gridCol w:w="831"/>
        <w:gridCol w:w="1511"/>
        <w:gridCol w:w="277"/>
        <w:gridCol w:w="831"/>
        <w:gridCol w:w="1554"/>
      </w:tblGrid>
      <w:tr w:rsidR="00F91239" w14:paraId="209E2D43" w14:textId="77777777" w:rsidTr="00C109E5">
        <w:trPr>
          <w:cnfStyle w:val="100000000000" w:firstRow="1" w:lastRow="0" w:firstColumn="0" w:lastColumn="0" w:oddVBand="0" w:evenVBand="0" w:oddHBand="0" w:evenHBand="0" w:firstRowFirstColumn="0" w:firstRowLastColumn="0" w:lastRowFirstColumn="0" w:lastRowLastColumn="0"/>
          <w:trHeight w:hRule="exact" w:val="526"/>
          <w:tblHeader/>
        </w:trPr>
        <w:tc>
          <w:tcPr>
            <w:tcW w:w="558" w:type="pct"/>
            <w:shd w:val="clear" w:color="auto" w:fill="005CAF" w:themeFill="accent1"/>
          </w:tcPr>
          <w:p w14:paraId="209E2D3E" w14:textId="77777777" w:rsidR="00F91239" w:rsidRPr="00202B8F" w:rsidRDefault="00F91239" w:rsidP="00F91239">
            <w:pPr>
              <w:pStyle w:val="Tableheadertext"/>
              <w:jc w:val="center"/>
              <w:rPr>
                <w:color w:val="FFFFFF" w:themeColor="background1"/>
              </w:rPr>
            </w:pPr>
          </w:p>
        </w:tc>
        <w:tc>
          <w:tcPr>
            <w:tcW w:w="812" w:type="pct"/>
            <w:shd w:val="clear" w:color="auto" w:fill="005CAF" w:themeFill="accent1"/>
          </w:tcPr>
          <w:p w14:paraId="209E2D3F" w14:textId="77777777" w:rsidR="00F91239" w:rsidRPr="00202B8F" w:rsidRDefault="00F91239" w:rsidP="00CF0B96">
            <w:pPr>
              <w:pStyle w:val="Tableheadertext"/>
              <w:jc w:val="right"/>
              <w:rPr>
                <w:color w:val="FFFFFF" w:themeColor="background1"/>
              </w:rPr>
            </w:pPr>
          </w:p>
        </w:tc>
        <w:tc>
          <w:tcPr>
            <w:tcW w:w="1699" w:type="pct"/>
            <w:gridSpan w:val="2"/>
            <w:tcBorders>
              <w:bottom w:val="none" w:sz="0" w:space="0" w:color="auto"/>
            </w:tcBorders>
            <w:shd w:val="clear" w:color="auto" w:fill="005CAF" w:themeFill="accent1"/>
          </w:tcPr>
          <w:p w14:paraId="209E2D40" w14:textId="77777777" w:rsidR="00F91239" w:rsidRPr="00FD78A6" w:rsidRDefault="00F91239" w:rsidP="00CF0B96">
            <w:pPr>
              <w:pStyle w:val="Tableheadertext"/>
              <w:jc w:val="right"/>
              <w:rPr>
                <w:i/>
                <w:color w:val="FFFFFF" w:themeColor="background1"/>
              </w:rPr>
            </w:pPr>
            <w:r w:rsidRPr="00FD78A6">
              <w:rPr>
                <w:color w:val="FFFFFF" w:themeColor="background1"/>
              </w:rPr>
              <w:t>Seeking Financing</w:t>
            </w:r>
          </w:p>
        </w:tc>
        <w:tc>
          <w:tcPr>
            <w:tcW w:w="201" w:type="pct"/>
            <w:shd w:val="clear" w:color="auto" w:fill="005CAF" w:themeFill="accent1"/>
          </w:tcPr>
          <w:p w14:paraId="209E2D41" w14:textId="77777777" w:rsidR="00F91239" w:rsidRPr="00202B8F" w:rsidRDefault="00F91239" w:rsidP="00CF0B96">
            <w:pPr>
              <w:pStyle w:val="Tableheadertext"/>
              <w:jc w:val="right"/>
              <w:rPr>
                <w:color w:val="FFFFFF" w:themeColor="background1"/>
              </w:rPr>
            </w:pPr>
          </w:p>
        </w:tc>
        <w:tc>
          <w:tcPr>
            <w:tcW w:w="1730" w:type="pct"/>
            <w:gridSpan w:val="2"/>
            <w:tcBorders>
              <w:bottom w:val="none" w:sz="0" w:space="0" w:color="auto"/>
            </w:tcBorders>
            <w:shd w:val="clear" w:color="auto" w:fill="005CAF" w:themeFill="accent1"/>
          </w:tcPr>
          <w:p w14:paraId="209E2D42" w14:textId="64EA6BD5" w:rsidR="00F91239" w:rsidRPr="00896189" w:rsidRDefault="00F91239" w:rsidP="00CF0B96">
            <w:pPr>
              <w:pStyle w:val="Tableheadertext"/>
              <w:jc w:val="right"/>
              <w:rPr>
                <w:color w:val="FFFFFF" w:themeColor="background1"/>
              </w:rPr>
            </w:pPr>
            <w:r>
              <w:rPr>
                <w:color w:val="FFFFFF" w:themeColor="background1"/>
              </w:rPr>
              <w:t>Not seeking financing</w:t>
            </w:r>
            <w:r w:rsidR="00896189">
              <w:rPr>
                <w:color w:val="FFFFFF" w:themeColor="background1"/>
              </w:rPr>
              <w:t xml:space="preserve"> </w:t>
            </w:r>
            <w:r w:rsidR="00C821A6">
              <w:rPr>
                <w:color w:val="FFFFFF" w:themeColor="background1"/>
              </w:rPr>
              <w:br/>
            </w:r>
            <w:r w:rsidR="00896189">
              <w:rPr>
                <w:color w:val="FFFFFF" w:themeColor="background1"/>
              </w:rPr>
              <w:t>in t</w:t>
            </w:r>
            <w:r w:rsidR="00896189">
              <w:rPr>
                <w:i/>
                <w:color w:val="FFFFFF" w:themeColor="background1"/>
              </w:rPr>
              <w:t>t</w:t>
            </w:r>
            <w:r w:rsidR="00896189">
              <w:rPr>
                <w:color w:val="FFFFFF" w:themeColor="background1"/>
              </w:rPr>
              <w:t>=1t</w:t>
            </w:r>
          </w:p>
        </w:tc>
      </w:tr>
      <w:tr w:rsidR="00202B8F" w14:paraId="209E2D4B" w14:textId="77777777" w:rsidTr="00C109E5">
        <w:trPr>
          <w:cnfStyle w:val="000000100000" w:firstRow="0" w:lastRow="0" w:firstColumn="0" w:lastColumn="0" w:oddVBand="0" w:evenVBand="0" w:oddHBand="1" w:evenHBand="0" w:firstRowFirstColumn="0" w:firstRowLastColumn="0" w:lastRowFirstColumn="0" w:lastRowLastColumn="0"/>
          <w:trHeight w:hRule="exact" w:val="284"/>
        </w:trPr>
        <w:tc>
          <w:tcPr>
            <w:tcW w:w="558" w:type="pct"/>
            <w:shd w:val="clear" w:color="auto" w:fill="005CAF" w:themeFill="accent1"/>
          </w:tcPr>
          <w:p w14:paraId="209E2D44" w14:textId="77777777" w:rsidR="00202B8F" w:rsidRPr="00202B8F" w:rsidRDefault="00202B8F" w:rsidP="00F91239">
            <w:pPr>
              <w:pStyle w:val="Tableheadertext"/>
              <w:jc w:val="center"/>
              <w:rPr>
                <w:color w:val="FFFFFF" w:themeColor="background1"/>
              </w:rPr>
            </w:pPr>
          </w:p>
        </w:tc>
        <w:tc>
          <w:tcPr>
            <w:tcW w:w="812" w:type="pct"/>
            <w:shd w:val="clear" w:color="auto" w:fill="005CAF" w:themeFill="accent1"/>
          </w:tcPr>
          <w:p w14:paraId="209E2D45" w14:textId="77777777" w:rsidR="00202B8F" w:rsidRPr="00202B8F" w:rsidRDefault="00202B8F" w:rsidP="00CF0B96">
            <w:pPr>
              <w:pStyle w:val="Tableheadertext"/>
              <w:jc w:val="right"/>
              <w:rPr>
                <w:color w:val="FFFFFF" w:themeColor="background1"/>
              </w:rPr>
            </w:pPr>
          </w:p>
        </w:tc>
        <w:tc>
          <w:tcPr>
            <w:tcW w:w="603" w:type="pct"/>
            <w:shd w:val="clear" w:color="auto" w:fill="005CAF" w:themeFill="accent1"/>
          </w:tcPr>
          <w:p w14:paraId="209E2D46" w14:textId="77777777" w:rsidR="00202B8F" w:rsidRPr="00202B8F" w:rsidRDefault="00202B8F" w:rsidP="00CF0B96">
            <w:pPr>
              <w:pStyle w:val="Tableheadertext"/>
              <w:jc w:val="right"/>
              <w:rPr>
                <w:color w:val="FFFFFF" w:themeColor="background1"/>
              </w:rPr>
            </w:pPr>
          </w:p>
        </w:tc>
        <w:tc>
          <w:tcPr>
            <w:tcW w:w="1096" w:type="pct"/>
            <w:shd w:val="clear" w:color="auto" w:fill="005CAF" w:themeFill="accent1"/>
          </w:tcPr>
          <w:p w14:paraId="209E2D47" w14:textId="77777777" w:rsidR="00202B8F" w:rsidRPr="00202B8F" w:rsidRDefault="00F91239" w:rsidP="00CF0B96">
            <w:pPr>
              <w:pStyle w:val="Tableheadertext"/>
              <w:jc w:val="right"/>
              <w:rPr>
                <w:color w:val="FFFFFF" w:themeColor="background1"/>
              </w:rPr>
            </w:pPr>
            <w:r>
              <w:rPr>
                <w:color w:val="FFFFFF" w:themeColor="background1"/>
              </w:rPr>
              <w:t>Government</w:t>
            </w:r>
          </w:p>
        </w:tc>
        <w:tc>
          <w:tcPr>
            <w:tcW w:w="201" w:type="pct"/>
            <w:shd w:val="clear" w:color="auto" w:fill="005CAF" w:themeFill="accent1"/>
          </w:tcPr>
          <w:p w14:paraId="209E2D48" w14:textId="77777777" w:rsidR="00202B8F" w:rsidRPr="00202B8F" w:rsidRDefault="00202B8F" w:rsidP="00CF0B96">
            <w:pPr>
              <w:pStyle w:val="Tableheadertext"/>
              <w:jc w:val="right"/>
              <w:rPr>
                <w:color w:val="FFFFFF" w:themeColor="background1"/>
              </w:rPr>
            </w:pPr>
          </w:p>
        </w:tc>
        <w:tc>
          <w:tcPr>
            <w:tcW w:w="603" w:type="pct"/>
            <w:shd w:val="clear" w:color="auto" w:fill="005CAF" w:themeFill="accent1"/>
          </w:tcPr>
          <w:p w14:paraId="209E2D49" w14:textId="77777777" w:rsidR="00202B8F" w:rsidRPr="00202B8F" w:rsidRDefault="00202B8F" w:rsidP="00CF0B96">
            <w:pPr>
              <w:pStyle w:val="Tableheadertext"/>
              <w:jc w:val="right"/>
              <w:rPr>
                <w:color w:val="FFFFFF" w:themeColor="background1"/>
              </w:rPr>
            </w:pPr>
          </w:p>
        </w:tc>
        <w:tc>
          <w:tcPr>
            <w:tcW w:w="1127" w:type="pct"/>
            <w:shd w:val="clear" w:color="auto" w:fill="005CAF" w:themeFill="accent1"/>
          </w:tcPr>
          <w:p w14:paraId="209E2D4A" w14:textId="77777777" w:rsidR="00202B8F" w:rsidRPr="00202B8F" w:rsidRDefault="00F91239" w:rsidP="00CF0B96">
            <w:pPr>
              <w:pStyle w:val="Tableheadertext"/>
              <w:jc w:val="right"/>
              <w:rPr>
                <w:color w:val="FFFFFF" w:themeColor="background1"/>
              </w:rPr>
            </w:pPr>
            <w:r>
              <w:rPr>
                <w:color w:val="FFFFFF" w:themeColor="background1"/>
              </w:rPr>
              <w:t>Government</w:t>
            </w:r>
          </w:p>
        </w:tc>
      </w:tr>
      <w:tr w:rsidR="00202B8F" w14:paraId="209E2D53" w14:textId="77777777" w:rsidTr="00C109E5">
        <w:trPr>
          <w:cnfStyle w:val="000000010000" w:firstRow="0" w:lastRow="0" w:firstColumn="0" w:lastColumn="0" w:oddVBand="0" w:evenVBand="0" w:oddHBand="0" w:evenHBand="1" w:firstRowFirstColumn="0" w:firstRowLastColumn="0" w:lastRowFirstColumn="0" w:lastRowLastColumn="0"/>
        </w:trPr>
        <w:tc>
          <w:tcPr>
            <w:tcW w:w="558" w:type="pct"/>
            <w:shd w:val="clear" w:color="auto" w:fill="005CAF" w:themeFill="accent1"/>
          </w:tcPr>
          <w:p w14:paraId="209E2D4C" w14:textId="77777777" w:rsidR="00202B8F" w:rsidRDefault="00202B8F" w:rsidP="00F91239">
            <w:pPr>
              <w:pStyle w:val="Tableheadertext"/>
              <w:jc w:val="center"/>
            </w:pPr>
            <w:r>
              <w:t>Year</w:t>
            </w:r>
          </w:p>
        </w:tc>
        <w:tc>
          <w:tcPr>
            <w:tcW w:w="812" w:type="pct"/>
            <w:shd w:val="clear" w:color="auto" w:fill="005CAF" w:themeFill="accent1"/>
          </w:tcPr>
          <w:p w14:paraId="209E2D4D" w14:textId="77777777" w:rsidR="00202B8F" w:rsidRDefault="00202B8F" w:rsidP="00CF0B96">
            <w:pPr>
              <w:pStyle w:val="Tableheadertext"/>
              <w:jc w:val="right"/>
            </w:pPr>
            <w:r>
              <w:t>Number</w:t>
            </w:r>
          </w:p>
        </w:tc>
        <w:tc>
          <w:tcPr>
            <w:tcW w:w="603" w:type="pct"/>
            <w:shd w:val="clear" w:color="auto" w:fill="005CAF" w:themeFill="accent1"/>
          </w:tcPr>
          <w:p w14:paraId="209E2D4E" w14:textId="77777777" w:rsidR="00202B8F" w:rsidRDefault="00202B8F" w:rsidP="00CF0B96">
            <w:pPr>
              <w:pStyle w:val="Tableheadertext"/>
              <w:jc w:val="right"/>
            </w:pPr>
            <w:r>
              <w:t>All</w:t>
            </w:r>
          </w:p>
        </w:tc>
        <w:tc>
          <w:tcPr>
            <w:tcW w:w="1096" w:type="pct"/>
            <w:shd w:val="clear" w:color="auto" w:fill="005CAF" w:themeFill="accent1"/>
          </w:tcPr>
          <w:p w14:paraId="209E2D4F" w14:textId="77777777" w:rsidR="00202B8F" w:rsidRDefault="00202B8F" w:rsidP="00CF0B96">
            <w:pPr>
              <w:pStyle w:val="Tableheadertext"/>
              <w:jc w:val="right"/>
            </w:pPr>
            <w:r>
              <w:t>Assisted (</w:t>
            </w:r>
            <m:oMath>
              <m:r>
                <m:rPr>
                  <m:sty m:val="bi"/>
                </m:rPr>
                <w:rPr>
                  <w:rFonts w:ascii="Cambria Math" w:hAnsi="Cambria Math"/>
                </w:rPr>
                <m:t>t</m:t>
              </m:r>
            </m:oMath>
            <w:r>
              <w:t>)</w:t>
            </w:r>
          </w:p>
        </w:tc>
        <w:tc>
          <w:tcPr>
            <w:tcW w:w="201" w:type="pct"/>
            <w:shd w:val="clear" w:color="auto" w:fill="005CAF" w:themeFill="accent1"/>
          </w:tcPr>
          <w:p w14:paraId="209E2D50" w14:textId="77777777" w:rsidR="00202B8F" w:rsidRDefault="00202B8F" w:rsidP="00CF0B96">
            <w:pPr>
              <w:pStyle w:val="Tableheadertext"/>
              <w:jc w:val="right"/>
            </w:pPr>
          </w:p>
        </w:tc>
        <w:tc>
          <w:tcPr>
            <w:tcW w:w="603" w:type="pct"/>
            <w:shd w:val="clear" w:color="auto" w:fill="005CAF" w:themeFill="accent1"/>
          </w:tcPr>
          <w:p w14:paraId="209E2D51" w14:textId="77777777" w:rsidR="00202B8F" w:rsidRDefault="00202B8F" w:rsidP="00CF0B96">
            <w:pPr>
              <w:pStyle w:val="Tableheadertext"/>
              <w:jc w:val="right"/>
            </w:pPr>
            <w:r>
              <w:t>All</w:t>
            </w:r>
          </w:p>
        </w:tc>
        <w:tc>
          <w:tcPr>
            <w:tcW w:w="1127" w:type="pct"/>
            <w:shd w:val="clear" w:color="auto" w:fill="005CAF" w:themeFill="accent1"/>
          </w:tcPr>
          <w:p w14:paraId="209E2D52" w14:textId="77777777" w:rsidR="00202B8F" w:rsidRDefault="00202B8F" w:rsidP="00CF0B96">
            <w:pPr>
              <w:pStyle w:val="Tableheadertext"/>
              <w:jc w:val="right"/>
            </w:pPr>
            <w:r>
              <w:t>Assisted (</w:t>
            </w:r>
            <m:oMath>
              <m:r>
                <m:rPr>
                  <m:sty m:val="bi"/>
                </m:rPr>
                <w:rPr>
                  <w:rFonts w:ascii="Cambria Math" w:hAnsi="Cambria Math"/>
                </w:rPr>
                <m:t>t</m:t>
              </m:r>
            </m:oMath>
            <w:r>
              <w:t>)</w:t>
            </w:r>
          </w:p>
        </w:tc>
      </w:tr>
      <w:tr w:rsidR="00202B8F" w14:paraId="209E2D5B" w14:textId="77777777" w:rsidTr="00C109E5">
        <w:trPr>
          <w:cnfStyle w:val="000000100000" w:firstRow="0" w:lastRow="0" w:firstColumn="0" w:lastColumn="0" w:oddVBand="0" w:evenVBand="0" w:oddHBand="1" w:evenHBand="0" w:firstRowFirstColumn="0" w:firstRowLastColumn="0" w:lastRowFirstColumn="0" w:lastRowLastColumn="0"/>
        </w:trPr>
        <w:tc>
          <w:tcPr>
            <w:tcW w:w="558" w:type="pct"/>
          </w:tcPr>
          <w:p w14:paraId="209E2D54" w14:textId="77777777" w:rsidR="00202B8F" w:rsidRDefault="00202B8F" w:rsidP="00F91239">
            <w:pPr>
              <w:pStyle w:val="Tablebodytext"/>
              <w:jc w:val="center"/>
            </w:pPr>
            <w:r>
              <w:t>2006</w:t>
            </w:r>
          </w:p>
        </w:tc>
        <w:tc>
          <w:tcPr>
            <w:tcW w:w="812" w:type="pct"/>
          </w:tcPr>
          <w:p w14:paraId="209E2D55" w14:textId="77777777" w:rsidR="00202B8F" w:rsidRDefault="00202B8F" w:rsidP="00CF0B96">
            <w:pPr>
              <w:pStyle w:val="Tablebodytext"/>
              <w:jc w:val="right"/>
            </w:pPr>
            <w:r>
              <w:t>7,328</w:t>
            </w:r>
          </w:p>
        </w:tc>
        <w:tc>
          <w:tcPr>
            <w:tcW w:w="603" w:type="pct"/>
          </w:tcPr>
          <w:p w14:paraId="209E2D56" w14:textId="77777777" w:rsidR="00202B8F" w:rsidRDefault="00202B8F" w:rsidP="00CF0B96">
            <w:pPr>
              <w:pStyle w:val="Tablebodytext"/>
              <w:jc w:val="right"/>
            </w:pPr>
            <w:r>
              <w:t>1,902</w:t>
            </w:r>
          </w:p>
        </w:tc>
        <w:tc>
          <w:tcPr>
            <w:tcW w:w="1096" w:type="pct"/>
          </w:tcPr>
          <w:p w14:paraId="209E2D57" w14:textId="77777777" w:rsidR="00202B8F" w:rsidRDefault="00202B8F" w:rsidP="00CF0B96">
            <w:pPr>
              <w:pStyle w:val="Tablebodytext"/>
              <w:jc w:val="right"/>
            </w:pPr>
            <w:r>
              <w:t>692(36.4%)</w:t>
            </w:r>
          </w:p>
        </w:tc>
        <w:tc>
          <w:tcPr>
            <w:tcW w:w="201" w:type="pct"/>
          </w:tcPr>
          <w:p w14:paraId="209E2D58" w14:textId="77777777" w:rsidR="00202B8F" w:rsidRDefault="00202B8F" w:rsidP="00CF0B96">
            <w:pPr>
              <w:pStyle w:val="Tablebodytext"/>
              <w:jc w:val="right"/>
            </w:pPr>
          </w:p>
        </w:tc>
        <w:tc>
          <w:tcPr>
            <w:tcW w:w="603" w:type="pct"/>
          </w:tcPr>
          <w:p w14:paraId="209E2D59" w14:textId="77777777" w:rsidR="00202B8F" w:rsidRDefault="00202B8F" w:rsidP="00CF0B96">
            <w:pPr>
              <w:pStyle w:val="Tablebodytext"/>
              <w:jc w:val="right"/>
            </w:pPr>
            <w:r>
              <w:t>5,426</w:t>
            </w:r>
          </w:p>
        </w:tc>
        <w:tc>
          <w:tcPr>
            <w:tcW w:w="1127" w:type="pct"/>
          </w:tcPr>
          <w:p w14:paraId="209E2D5A" w14:textId="77777777" w:rsidR="00202B8F" w:rsidRDefault="00202B8F" w:rsidP="00CF0B96">
            <w:pPr>
              <w:pStyle w:val="Tablebodytext"/>
              <w:jc w:val="right"/>
            </w:pPr>
            <w:r>
              <w:t>1231(22.7%)</w:t>
            </w:r>
          </w:p>
        </w:tc>
      </w:tr>
      <w:tr w:rsidR="00202B8F" w14:paraId="209E2D63" w14:textId="77777777" w:rsidTr="00C109E5">
        <w:trPr>
          <w:cnfStyle w:val="000000010000" w:firstRow="0" w:lastRow="0" w:firstColumn="0" w:lastColumn="0" w:oddVBand="0" w:evenVBand="0" w:oddHBand="0" w:evenHBand="1" w:firstRowFirstColumn="0" w:firstRowLastColumn="0" w:lastRowFirstColumn="0" w:lastRowLastColumn="0"/>
        </w:trPr>
        <w:tc>
          <w:tcPr>
            <w:tcW w:w="558" w:type="pct"/>
          </w:tcPr>
          <w:p w14:paraId="209E2D5C" w14:textId="77777777" w:rsidR="00202B8F" w:rsidRDefault="00202B8F" w:rsidP="00F91239">
            <w:pPr>
              <w:pStyle w:val="Tablebodytext"/>
              <w:jc w:val="center"/>
            </w:pPr>
            <w:r>
              <w:t>2007</w:t>
            </w:r>
          </w:p>
        </w:tc>
        <w:tc>
          <w:tcPr>
            <w:tcW w:w="812" w:type="pct"/>
          </w:tcPr>
          <w:p w14:paraId="209E2D5D" w14:textId="77777777" w:rsidR="00202B8F" w:rsidRDefault="00202B8F" w:rsidP="00CF0B96">
            <w:pPr>
              <w:pStyle w:val="Tablebodytext"/>
              <w:jc w:val="right"/>
            </w:pPr>
            <w:r>
              <w:t>10,354</w:t>
            </w:r>
          </w:p>
        </w:tc>
        <w:tc>
          <w:tcPr>
            <w:tcW w:w="603" w:type="pct"/>
          </w:tcPr>
          <w:p w14:paraId="209E2D5E" w14:textId="77777777" w:rsidR="00202B8F" w:rsidRDefault="00202B8F" w:rsidP="00CF0B96">
            <w:pPr>
              <w:pStyle w:val="Tablebodytext"/>
              <w:jc w:val="right"/>
            </w:pPr>
            <w:r>
              <w:t>2,438</w:t>
            </w:r>
          </w:p>
        </w:tc>
        <w:tc>
          <w:tcPr>
            <w:tcW w:w="1096" w:type="pct"/>
          </w:tcPr>
          <w:p w14:paraId="209E2D5F" w14:textId="77777777" w:rsidR="00202B8F" w:rsidRDefault="00202B8F" w:rsidP="00CF0B96">
            <w:pPr>
              <w:pStyle w:val="Tablebodytext"/>
              <w:jc w:val="right"/>
            </w:pPr>
            <w:r>
              <w:t>937(38.4%)</w:t>
            </w:r>
          </w:p>
        </w:tc>
        <w:tc>
          <w:tcPr>
            <w:tcW w:w="201" w:type="pct"/>
          </w:tcPr>
          <w:p w14:paraId="209E2D60" w14:textId="77777777" w:rsidR="00202B8F" w:rsidRDefault="00202B8F" w:rsidP="00CF0B96">
            <w:pPr>
              <w:pStyle w:val="Tablebodytext"/>
              <w:jc w:val="right"/>
            </w:pPr>
          </w:p>
        </w:tc>
        <w:tc>
          <w:tcPr>
            <w:tcW w:w="603" w:type="pct"/>
          </w:tcPr>
          <w:p w14:paraId="209E2D61" w14:textId="77777777" w:rsidR="00202B8F" w:rsidRDefault="00202B8F" w:rsidP="00CF0B96">
            <w:pPr>
              <w:pStyle w:val="Tablebodytext"/>
              <w:jc w:val="right"/>
            </w:pPr>
            <w:r>
              <w:t>7,916</w:t>
            </w:r>
          </w:p>
        </w:tc>
        <w:tc>
          <w:tcPr>
            <w:tcW w:w="1127" w:type="pct"/>
          </w:tcPr>
          <w:p w14:paraId="209E2D62" w14:textId="77777777" w:rsidR="00202B8F" w:rsidRDefault="00202B8F" w:rsidP="00CF0B96">
            <w:pPr>
              <w:pStyle w:val="Tablebodytext"/>
              <w:jc w:val="right"/>
            </w:pPr>
            <w:r>
              <w:t>1774(22.4%)</w:t>
            </w:r>
          </w:p>
        </w:tc>
      </w:tr>
      <w:tr w:rsidR="00202B8F" w14:paraId="209E2D6B" w14:textId="77777777" w:rsidTr="00C109E5">
        <w:trPr>
          <w:cnfStyle w:val="000000100000" w:firstRow="0" w:lastRow="0" w:firstColumn="0" w:lastColumn="0" w:oddVBand="0" w:evenVBand="0" w:oddHBand="1" w:evenHBand="0" w:firstRowFirstColumn="0" w:firstRowLastColumn="0" w:lastRowFirstColumn="0" w:lastRowLastColumn="0"/>
        </w:trPr>
        <w:tc>
          <w:tcPr>
            <w:tcW w:w="558" w:type="pct"/>
          </w:tcPr>
          <w:p w14:paraId="209E2D64" w14:textId="77777777" w:rsidR="00202B8F" w:rsidRDefault="00202B8F" w:rsidP="00F91239">
            <w:pPr>
              <w:pStyle w:val="Tablebodytext"/>
              <w:jc w:val="center"/>
            </w:pPr>
            <w:r>
              <w:t>2008</w:t>
            </w:r>
          </w:p>
        </w:tc>
        <w:tc>
          <w:tcPr>
            <w:tcW w:w="812" w:type="pct"/>
          </w:tcPr>
          <w:p w14:paraId="209E2D65" w14:textId="77777777" w:rsidR="00202B8F" w:rsidRDefault="00202B8F" w:rsidP="00CF0B96">
            <w:pPr>
              <w:pStyle w:val="Tablebodytext"/>
              <w:jc w:val="right"/>
            </w:pPr>
            <w:r>
              <w:t>8,917</w:t>
            </w:r>
          </w:p>
        </w:tc>
        <w:tc>
          <w:tcPr>
            <w:tcW w:w="603" w:type="pct"/>
          </w:tcPr>
          <w:p w14:paraId="209E2D66" w14:textId="77777777" w:rsidR="00202B8F" w:rsidRDefault="00202B8F" w:rsidP="00CF0B96">
            <w:pPr>
              <w:pStyle w:val="Tablebodytext"/>
              <w:jc w:val="right"/>
            </w:pPr>
            <w:r>
              <w:t>2,062</w:t>
            </w:r>
          </w:p>
        </w:tc>
        <w:tc>
          <w:tcPr>
            <w:tcW w:w="1096" w:type="pct"/>
          </w:tcPr>
          <w:p w14:paraId="209E2D67" w14:textId="77777777" w:rsidR="00202B8F" w:rsidRDefault="00202B8F" w:rsidP="00CF0B96">
            <w:pPr>
              <w:pStyle w:val="Tablebodytext"/>
              <w:jc w:val="right"/>
            </w:pPr>
            <w:r>
              <w:t>841(40.8%)</w:t>
            </w:r>
          </w:p>
        </w:tc>
        <w:tc>
          <w:tcPr>
            <w:tcW w:w="201" w:type="pct"/>
          </w:tcPr>
          <w:p w14:paraId="209E2D68" w14:textId="77777777" w:rsidR="00202B8F" w:rsidRDefault="00202B8F" w:rsidP="00CF0B96">
            <w:pPr>
              <w:pStyle w:val="Tablebodytext"/>
              <w:jc w:val="right"/>
            </w:pPr>
          </w:p>
        </w:tc>
        <w:tc>
          <w:tcPr>
            <w:tcW w:w="603" w:type="pct"/>
          </w:tcPr>
          <w:p w14:paraId="209E2D69" w14:textId="77777777" w:rsidR="00202B8F" w:rsidRDefault="00202B8F" w:rsidP="00CF0B96">
            <w:pPr>
              <w:pStyle w:val="Tablebodytext"/>
              <w:jc w:val="right"/>
            </w:pPr>
            <w:r>
              <w:t>6,855</w:t>
            </w:r>
          </w:p>
        </w:tc>
        <w:tc>
          <w:tcPr>
            <w:tcW w:w="1127" w:type="pct"/>
          </w:tcPr>
          <w:p w14:paraId="209E2D6A" w14:textId="77777777" w:rsidR="00202B8F" w:rsidRDefault="00202B8F" w:rsidP="00CF0B96">
            <w:pPr>
              <w:pStyle w:val="Tablebodytext"/>
              <w:jc w:val="right"/>
            </w:pPr>
            <w:r>
              <w:t>1656(24.2%)</w:t>
            </w:r>
          </w:p>
        </w:tc>
      </w:tr>
      <w:tr w:rsidR="00202B8F" w14:paraId="209E2D73" w14:textId="77777777" w:rsidTr="00C109E5">
        <w:trPr>
          <w:cnfStyle w:val="000000010000" w:firstRow="0" w:lastRow="0" w:firstColumn="0" w:lastColumn="0" w:oddVBand="0" w:evenVBand="0" w:oddHBand="0" w:evenHBand="1" w:firstRowFirstColumn="0" w:firstRowLastColumn="0" w:lastRowFirstColumn="0" w:lastRowLastColumn="0"/>
        </w:trPr>
        <w:tc>
          <w:tcPr>
            <w:tcW w:w="558" w:type="pct"/>
          </w:tcPr>
          <w:p w14:paraId="209E2D6C" w14:textId="77777777" w:rsidR="00202B8F" w:rsidRDefault="00202B8F" w:rsidP="00F91239">
            <w:pPr>
              <w:pStyle w:val="Tablebodytext"/>
              <w:jc w:val="center"/>
            </w:pPr>
            <w:r>
              <w:t>2009</w:t>
            </w:r>
          </w:p>
        </w:tc>
        <w:tc>
          <w:tcPr>
            <w:tcW w:w="812" w:type="pct"/>
          </w:tcPr>
          <w:p w14:paraId="209E2D6D" w14:textId="77777777" w:rsidR="00202B8F" w:rsidRDefault="00202B8F" w:rsidP="00CF0B96">
            <w:pPr>
              <w:pStyle w:val="Tablebodytext"/>
              <w:jc w:val="right"/>
            </w:pPr>
            <w:r>
              <w:t>10,080</w:t>
            </w:r>
          </w:p>
        </w:tc>
        <w:tc>
          <w:tcPr>
            <w:tcW w:w="603" w:type="pct"/>
          </w:tcPr>
          <w:p w14:paraId="209E2D6E" w14:textId="77777777" w:rsidR="00202B8F" w:rsidRDefault="00202B8F" w:rsidP="00CF0B96">
            <w:pPr>
              <w:pStyle w:val="Tablebodytext"/>
              <w:jc w:val="right"/>
            </w:pPr>
            <w:r>
              <w:t>2,276</w:t>
            </w:r>
          </w:p>
        </w:tc>
        <w:tc>
          <w:tcPr>
            <w:tcW w:w="1096" w:type="pct"/>
          </w:tcPr>
          <w:p w14:paraId="209E2D6F" w14:textId="77777777" w:rsidR="00202B8F" w:rsidRDefault="00202B8F" w:rsidP="00CF0B96">
            <w:pPr>
              <w:pStyle w:val="Tablebodytext"/>
              <w:jc w:val="right"/>
            </w:pPr>
            <w:r>
              <w:t>913(40.1%)</w:t>
            </w:r>
          </w:p>
        </w:tc>
        <w:tc>
          <w:tcPr>
            <w:tcW w:w="201" w:type="pct"/>
          </w:tcPr>
          <w:p w14:paraId="209E2D70" w14:textId="77777777" w:rsidR="00202B8F" w:rsidRDefault="00202B8F" w:rsidP="00CF0B96">
            <w:pPr>
              <w:pStyle w:val="Tablebodytext"/>
              <w:jc w:val="right"/>
            </w:pPr>
          </w:p>
        </w:tc>
        <w:tc>
          <w:tcPr>
            <w:tcW w:w="603" w:type="pct"/>
          </w:tcPr>
          <w:p w14:paraId="209E2D71" w14:textId="77777777" w:rsidR="00202B8F" w:rsidRDefault="00202B8F" w:rsidP="00CF0B96">
            <w:pPr>
              <w:pStyle w:val="Tablebodytext"/>
              <w:jc w:val="right"/>
            </w:pPr>
            <w:r>
              <w:t>7,804</w:t>
            </w:r>
          </w:p>
        </w:tc>
        <w:tc>
          <w:tcPr>
            <w:tcW w:w="1127" w:type="pct"/>
          </w:tcPr>
          <w:p w14:paraId="209E2D72" w14:textId="77777777" w:rsidR="00202B8F" w:rsidRDefault="00202B8F" w:rsidP="00CF0B96">
            <w:pPr>
              <w:pStyle w:val="Tablebodytext"/>
              <w:jc w:val="right"/>
            </w:pPr>
            <w:r>
              <w:t>1821(23.3%)</w:t>
            </w:r>
          </w:p>
        </w:tc>
      </w:tr>
      <w:tr w:rsidR="00202B8F" w14:paraId="209E2D7B" w14:textId="77777777" w:rsidTr="00C109E5">
        <w:trPr>
          <w:cnfStyle w:val="000000100000" w:firstRow="0" w:lastRow="0" w:firstColumn="0" w:lastColumn="0" w:oddVBand="0" w:evenVBand="0" w:oddHBand="1" w:evenHBand="0" w:firstRowFirstColumn="0" w:firstRowLastColumn="0" w:lastRowFirstColumn="0" w:lastRowLastColumn="0"/>
        </w:trPr>
        <w:tc>
          <w:tcPr>
            <w:tcW w:w="558" w:type="pct"/>
          </w:tcPr>
          <w:p w14:paraId="209E2D74" w14:textId="77777777" w:rsidR="00202B8F" w:rsidRDefault="00202B8F" w:rsidP="00F91239">
            <w:pPr>
              <w:pStyle w:val="Tablebodytext"/>
              <w:jc w:val="center"/>
            </w:pPr>
            <w:r>
              <w:t>2010</w:t>
            </w:r>
          </w:p>
        </w:tc>
        <w:tc>
          <w:tcPr>
            <w:tcW w:w="812" w:type="pct"/>
          </w:tcPr>
          <w:p w14:paraId="209E2D75" w14:textId="77777777" w:rsidR="00202B8F" w:rsidRDefault="00202B8F" w:rsidP="00CF0B96">
            <w:pPr>
              <w:pStyle w:val="Tablebodytext"/>
              <w:jc w:val="right"/>
            </w:pPr>
            <w:r>
              <w:t>8,516</w:t>
            </w:r>
          </w:p>
        </w:tc>
        <w:tc>
          <w:tcPr>
            <w:tcW w:w="603" w:type="pct"/>
          </w:tcPr>
          <w:p w14:paraId="209E2D76" w14:textId="77777777" w:rsidR="00202B8F" w:rsidRDefault="00202B8F" w:rsidP="00CF0B96">
            <w:pPr>
              <w:pStyle w:val="Tablebodytext"/>
              <w:jc w:val="right"/>
            </w:pPr>
            <w:r>
              <w:t>1,924</w:t>
            </w:r>
          </w:p>
        </w:tc>
        <w:tc>
          <w:tcPr>
            <w:tcW w:w="1096" w:type="pct"/>
          </w:tcPr>
          <w:p w14:paraId="209E2D77" w14:textId="77777777" w:rsidR="00202B8F" w:rsidRDefault="00202B8F" w:rsidP="00CF0B96">
            <w:pPr>
              <w:pStyle w:val="Tablebodytext"/>
              <w:jc w:val="right"/>
            </w:pPr>
            <w:r>
              <w:t>803(41.7%)</w:t>
            </w:r>
          </w:p>
        </w:tc>
        <w:tc>
          <w:tcPr>
            <w:tcW w:w="201" w:type="pct"/>
          </w:tcPr>
          <w:p w14:paraId="209E2D78" w14:textId="77777777" w:rsidR="00202B8F" w:rsidRDefault="00202B8F" w:rsidP="00CF0B96">
            <w:pPr>
              <w:pStyle w:val="Tablebodytext"/>
              <w:jc w:val="right"/>
            </w:pPr>
          </w:p>
        </w:tc>
        <w:tc>
          <w:tcPr>
            <w:tcW w:w="603" w:type="pct"/>
          </w:tcPr>
          <w:p w14:paraId="209E2D79" w14:textId="77777777" w:rsidR="00202B8F" w:rsidRDefault="00202B8F" w:rsidP="00CF0B96">
            <w:pPr>
              <w:pStyle w:val="Tablebodytext"/>
              <w:jc w:val="right"/>
            </w:pPr>
            <w:r>
              <w:t>6,592</w:t>
            </w:r>
          </w:p>
        </w:tc>
        <w:tc>
          <w:tcPr>
            <w:tcW w:w="1127" w:type="pct"/>
          </w:tcPr>
          <w:p w14:paraId="209E2D7A" w14:textId="77777777" w:rsidR="00202B8F" w:rsidRDefault="00202B8F" w:rsidP="00CF0B96">
            <w:pPr>
              <w:pStyle w:val="Tablebodytext"/>
              <w:jc w:val="right"/>
            </w:pPr>
            <w:r>
              <w:t>1582(24.0%)</w:t>
            </w:r>
          </w:p>
        </w:tc>
      </w:tr>
      <w:tr w:rsidR="00202B8F" w14:paraId="209E2D83" w14:textId="77777777" w:rsidTr="00C109E5">
        <w:trPr>
          <w:cnfStyle w:val="000000010000" w:firstRow="0" w:lastRow="0" w:firstColumn="0" w:lastColumn="0" w:oddVBand="0" w:evenVBand="0" w:oddHBand="0" w:evenHBand="1" w:firstRowFirstColumn="0" w:firstRowLastColumn="0" w:lastRowFirstColumn="0" w:lastRowLastColumn="0"/>
        </w:trPr>
        <w:tc>
          <w:tcPr>
            <w:tcW w:w="558" w:type="pct"/>
          </w:tcPr>
          <w:p w14:paraId="209E2D7C" w14:textId="77777777" w:rsidR="00202B8F" w:rsidRDefault="00202B8F" w:rsidP="00F91239">
            <w:pPr>
              <w:pStyle w:val="Tablebodytext"/>
              <w:jc w:val="center"/>
            </w:pPr>
            <w:r>
              <w:t>2011</w:t>
            </w:r>
          </w:p>
        </w:tc>
        <w:tc>
          <w:tcPr>
            <w:tcW w:w="812" w:type="pct"/>
          </w:tcPr>
          <w:p w14:paraId="209E2D7D" w14:textId="77777777" w:rsidR="00202B8F" w:rsidRDefault="00202B8F" w:rsidP="00CF0B96">
            <w:pPr>
              <w:pStyle w:val="Tablebodytext"/>
              <w:jc w:val="right"/>
            </w:pPr>
            <w:r>
              <w:t>7,571</w:t>
            </w:r>
          </w:p>
        </w:tc>
        <w:tc>
          <w:tcPr>
            <w:tcW w:w="603" w:type="pct"/>
          </w:tcPr>
          <w:p w14:paraId="209E2D7E" w14:textId="77777777" w:rsidR="00202B8F" w:rsidRDefault="00202B8F" w:rsidP="00CF0B96">
            <w:pPr>
              <w:pStyle w:val="Tablebodytext"/>
              <w:jc w:val="right"/>
            </w:pPr>
            <w:r>
              <w:t>1,783</w:t>
            </w:r>
          </w:p>
        </w:tc>
        <w:tc>
          <w:tcPr>
            <w:tcW w:w="1096" w:type="pct"/>
          </w:tcPr>
          <w:p w14:paraId="209E2D7F" w14:textId="77777777" w:rsidR="00202B8F" w:rsidRDefault="00202B8F" w:rsidP="00CF0B96">
            <w:pPr>
              <w:pStyle w:val="Tablebodytext"/>
              <w:jc w:val="right"/>
            </w:pPr>
            <w:r>
              <w:t>765(42.9%)</w:t>
            </w:r>
          </w:p>
        </w:tc>
        <w:tc>
          <w:tcPr>
            <w:tcW w:w="201" w:type="pct"/>
          </w:tcPr>
          <w:p w14:paraId="209E2D80" w14:textId="77777777" w:rsidR="00202B8F" w:rsidRDefault="00202B8F" w:rsidP="00CF0B96">
            <w:pPr>
              <w:pStyle w:val="Tablebodytext"/>
              <w:jc w:val="right"/>
            </w:pPr>
          </w:p>
        </w:tc>
        <w:tc>
          <w:tcPr>
            <w:tcW w:w="603" w:type="pct"/>
          </w:tcPr>
          <w:p w14:paraId="209E2D81" w14:textId="77777777" w:rsidR="00202B8F" w:rsidRDefault="00202B8F" w:rsidP="00CF0B96">
            <w:pPr>
              <w:pStyle w:val="Tablebodytext"/>
              <w:jc w:val="right"/>
            </w:pPr>
            <w:r>
              <w:t>5,788</w:t>
            </w:r>
          </w:p>
        </w:tc>
        <w:tc>
          <w:tcPr>
            <w:tcW w:w="1127" w:type="pct"/>
          </w:tcPr>
          <w:p w14:paraId="209E2D82" w14:textId="77777777" w:rsidR="00202B8F" w:rsidRDefault="00202B8F" w:rsidP="00CF0B96">
            <w:pPr>
              <w:pStyle w:val="Tablebodytext"/>
              <w:jc w:val="right"/>
            </w:pPr>
            <w:r>
              <w:t>1440(24.9%)</w:t>
            </w:r>
          </w:p>
        </w:tc>
      </w:tr>
      <w:tr w:rsidR="00202B8F" w14:paraId="209E2D8B" w14:textId="77777777" w:rsidTr="00C109E5">
        <w:trPr>
          <w:cnfStyle w:val="000000100000" w:firstRow="0" w:lastRow="0" w:firstColumn="0" w:lastColumn="0" w:oddVBand="0" w:evenVBand="0" w:oddHBand="1" w:evenHBand="0" w:firstRowFirstColumn="0" w:firstRowLastColumn="0" w:lastRowFirstColumn="0" w:lastRowLastColumn="0"/>
        </w:trPr>
        <w:tc>
          <w:tcPr>
            <w:tcW w:w="558" w:type="pct"/>
          </w:tcPr>
          <w:p w14:paraId="209E2D84" w14:textId="77777777" w:rsidR="00202B8F" w:rsidRDefault="00202B8F" w:rsidP="00F91239">
            <w:pPr>
              <w:pStyle w:val="Tablebodytext"/>
              <w:jc w:val="center"/>
            </w:pPr>
            <w:r>
              <w:t>2012</w:t>
            </w:r>
          </w:p>
        </w:tc>
        <w:tc>
          <w:tcPr>
            <w:tcW w:w="812" w:type="pct"/>
          </w:tcPr>
          <w:p w14:paraId="209E2D85" w14:textId="77777777" w:rsidR="00202B8F" w:rsidRDefault="00202B8F" w:rsidP="00CF0B96">
            <w:pPr>
              <w:pStyle w:val="Tablebodytext"/>
              <w:jc w:val="right"/>
            </w:pPr>
            <w:r>
              <w:t>9,332</w:t>
            </w:r>
          </w:p>
        </w:tc>
        <w:tc>
          <w:tcPr>
            <w:tcW w:w="603" w:type="pct"/>
          </w:tcPr>
          <w:p w14:paraId="209E2D86" w14:textId="77777777" w:rsidR="00202B8F" w:rsidRDefault="00202B8F" w:rsidP="00CF0B96">
            <w:pPr>
              <w:pStyle w:val="Tablebodytext"/>
              <w:jc w:val="right"/>
            </w:pPr>
            <w:r>
              <w:t>2,044</w:t>
            </w:r>
          </w:p>
        </w:tc>
        <w:tc>
          <w:tcPr>
            <w:tcW w:w="1096" w:type="pct"/>
          </w:tcPr>
          <w:p w14:paraId="209E2D87" w14:textId="77777777" w:rsidR="00202B8F" w:rsidRDefault="00202B8F" w:rsidP="00CF0B96">
            <w:pPr>
              <w:pStyle w:val="Tablebodytext"/>
              <w:jc w:val="right"/>
            </w:pPr>
            <w:r>
              <w:t>849(41.5%)</w:t>
            </w:r>
          </w:p>
        </w:tc>
        <w:tc>
          <w:tcPr>
            <w:tcW w:w="201" w:type="pct"/>
          </w:tcPr>
          <w:p w14:paraId="209E2D88" w14:textId="77777777" w:rsidR="00202B8F" w:rsidRDefault="00202B8F" w:rsidP="00CF0B96">
            <w:pPr>
              <w:pStyle w:val="Tablebodytext"/>
              <w:jc w:val="right"/>
            </w:pPr>
          </w:p>
        </w:tc>
        <w:tc>
          <w:tcPr>
            <w:tcW w:w="603" w:type="pct"/>
          </w:tcPr>
          <w:p w14:paraId="209E2D89" w14:textId="77777777" w:rsidR="00202B8F" w:rsidRDefault="00202B8F" w:rsidP="00CF0B96">
            <w:pPr>
              <w:pStyle w:val="Tablebodytext"/>
              <w:jc w:val="right"/>
            </w:pPr>
            <w:r>
              <w:t>7,288</w:t>
            </w:r>
          </w:p>
        </w:tc>
        <w:tc>
          <w:tcPr>
            <w:tcW w:w="1127" w:type="pct"/>
          </w:tcPr>
          <w:p w14:paraId="209E2D8A" w14:textId="77777777" w:rsidR="00202B8F" w:rsidRDefault="00202B8F" w:rsidP="00CF0B96">
            <w:pPr>
              <w:pStyle w:val="Tablebodytext"/>
              <w:jc w:val="right"/>
            </w:pPr>
            <w:r>
              <w:t>1706(23.4%)</w:t>
            </w:r>
          </w:p>
        </w:tc>
      </w:tr>
      <w:tr w:rsidR="006B206C" w14:paraId="209E2D93" w14:textId="77777777" w:rsidTr="00C109E5">
        <w:trPr>
          <w:cnfStyle w:val="000000010000" w:firstRow="0" w:lastRow="0" w:firstColumn="0" w:lastColumn="0" w:oddVBand="0" w:evenVBand="0" w:oddHBand="0" w:evenHBand="1" w:firstRowFirstColumn="0" w:firstRowLastColumn="0" w:lastRowFirstColumn="0" w:lastRowLastColumn="0"/>
        </w:trPr>
        <w:tc>
          <w:tcPr>
            <w:tcW w:w="558" w:type="pct"/>
          </w:tcPr>
          <w:p w14:paraId="209E2D8C" w14:textId="77777777" w:rsidR="006B206C" w:rsidRDefault="006B206C" w:rsidP="00F91239">
            <w:pPr>
              <w:pStyle w:val="Tablebodytext"/>
              <w:jc w:val="center"/>
            </w:pPr>
            <w:r>
              <w:t>2013</w:t>
            </w:r>
          </w:p>
        </w:tc>
        <w:tc>
          <w:tcPr>
            <w:tcW w:w="812" w:type="pct"/>
          </w:tcPr>
          <w:p w14:paraId="209E2D8D" w14:textId="77777777" w:rsidR="006B206C" w:rsidRDefault="006B206C" w:rsidP="00CF0B96">
            <w:pPr>
              <w:pStyle w:val="Tablebodytext"/>
              <w:jc w:val="right"/>
            </w:pPr>
            <w:r>
              <w:t>8,864</w:t>
            </w:r>
          </w:p>
        </w:tc>
        <w:tc>
          <w:tcPr>
            <w:tcW w:w="603" w:type="pct"/>
          </w:tcPr>
          <w:p w14:paraId="209E2D8E" w14:textId="77777777" w:rsidR="006B206C" w:rsidRDefault="006B206C" w:rsidP="00CF0B96">
            <w:pPr>
              <w:pStyle w:val="Tablebodytext"/>
              <w:jc w:val="right"/>
            </w:pPr>
            <w:r>
              <w:t>1,949</w:t>
            </w:r>
          </w:p>
        </w:tc>
        <w:tc>
          <w:tcPr>
            <w:tcW w:w="1096" w:type="pct"/>
          </w:tcPr>
          <w:p w14:paraId="209E2D8F" w14:textId="77777777" w:rsidR="006B206C" w:rsidRDefault="006B206C" w:rsidP="00CF0B96">
            <w:pPr>
              <w:pStyle w:val="Tablebodytext"/>
              <w:jc w:val="right"/>
            </w:pPr>
            <w:r>
              <w:t>775(39.8%)</w:t>
            </w:r>
          </w:p>
        </w:tc>
        <w:tc>
          <w:tcPr>
            <w:tcW w:w="201" w:type="pct"/>
          </w:tcPr>
          <w:p w14:paraId="209E2D90" w14:textId="77777777" w:rsidR="006B206C" w:rsidRDefault="006B206C" w:rsidP="00CF0B96">
            <w:pPr>
              <w:pStyle w:val="Tablebodytext"/>
              <w:jc w:val="right"/>
            </w:pPr>
          </w:p>
        </w:tc>
        <w:tc>
          <w:tcPr>
            <w:tcW w:w="603" w:type="pct"/>
          </w:tcPr>
          <w:p w14:paraId="209E2D91" w14:textId="77777777" w:rsidR="006B206C" w:rsidRDefault="006B206C" w:rsidP="00CF0B96">
            <w:pPr>
              <w:pStyle w:val="Tablebodytext"/>
              <w:jc w:val="right"/>
            </w:pPr>
            <w:r>
              <w:t>6,915</w:t>
            </w:r>
          </w:p>
        </w:tc>
        <w:tc>
          <w:tcPr>
            <w:tcW w:w="1127" w:type="pct"/>
          </w:tcPr>
          <w:p w14:paraId="209E2D92" w14:textId="77777777" w:rsidR="006B206C" w:rsidRDefault="006B206C" w:rsidP="00CF0B96">
            <w:pPr>
              <w:pStyle w:val="Tablebodytext"/>
              <w:jc w:val="right"/>
            </w:pPr>
            <w:r>
              <w:t>1,603(23.2%)</w:t>
            </w:r>
          </w:p>
        </w:tc>
      </w:tr>
      <w:tr w:rsidR="006B206C" w14:paraId="209E2D9B" w14:textId="77777777" w:rsidTr="00C109E5">
        <w:trPr>
          <w:cnfStyle w:val="000000100000" w:firstRow="0" w:lastRow="0" w:firstColumn="0" w:lastColumn="0" w:oddVBand="0" w:evenVBand="0" w:oddHBand="1" w:evenHBand="0" w:firstRowFirstColumn="0" w:firstRowLastColumn="0" w:lastRowFirstColumn="0" w:lastRowLastColumn="0"/>
        </w:trPr>
        <w:tc>
          <w:tcPr>
            <w:tcW w:w="558" w:type="pct"/>
          </w:tcPr>
          <w:p w14:paraId="209E2D94" w14:textId="77777777" w:rsidR="006B206C" w:rsidRDefault="006B206C" w:rsidP="00F91239">
            <w:pPr>
              <w:pStyle w:val="Tablebodytext"/>
              <w:jc w:val="center"/>
            </w:pPr>
            <w:r>
              <w:t>All</w:t>
            </w:r>
          </w:p>
        </w:tc>
        <w:tc>
          <w:tcPr>
            <w:tcW w:w="812" w:type="pct"/>
          </w:tcPr>
          <w:p w14:paraId="209E2D95" w14:textId="77777777" w:rsidR="006B206C" w:rsidRDefault="006B206C" w:rsidP="00CF0B96">
            <w:pPr>
              <w:pStyle w:val="Tablebodytext"/>
              <w:jc w:val="right"/>
            </w:pPr>
            <w:r>
              <w:t>70,962</w:t>
            </w:r>
          </w:p>
        </w:tc>
        <w:tc>
          <w:tcPr>
            <w:tcW w:w="603" w:type="pct"/>
          </w:tcPr>
          <w:p w14:paraId="209E2D96" w14:textId="77777777" w:rsidR="006B206C" w:rsidRDefault="006B206C" w:rsidP="00CF0B96">
            <w:pPr>
              <w:pStyle w:val="Tablebodytext"/>
              <w:jc w:val="right"/>
            </w:pPr>
            <w:r>
              <w:t>16,378</w:t>
            </w:r>
          </w:p>
        </w:tc>
        <w:tc>
          <w:tcPr>
            <w:tcW w:w="1096" w:type="pct"/>
          </w:tcPr>
          <w:p w14:paraId="209E2D97" w14:textId="77777777" w:rsidR="006B206C" w:rsidRDefault="006B206C" w:rsidP="00CF0B96">
            <w:pPr>
              <w:pStyle w:val="Tablebodytext"/>
              <w:jc w:val="right"/>
            </w:pPr>
            <w:r>
              <w:t>6,575(40.1%)</w:t>
            </w:r>
          </w:p>
        </w:tc>
        <w:tc>
          <w:tcPr>
            <w:tcW w:w="201" w:type="pct"/>
          </w:tcPr>
          <w:p w14:paraId="209E2D98" w14:textId="77777777" w:rsidR="006B206C" w:rsidRDefault="006B206C" w:rsidP="00CF0B96">
            <w:pPr>
              <w:pStyle w:val="Tablebodytext"/>
              <w:jc w:val="right"/>
            </w:pPr>
          </w:p>
        </w:tc>
        <w:tc>
          <w:tcPr>
            <w:tcW w:w="603" w:type="pct"/>
          </w:tcPr>
          <w:p w14:paraId="209E2D99" w14:textId="77777777" w:rsidR="006B206C" w:rsidRDefault="006B206C" w:rsidP="00CF0B96">
            <w:pPr>
              <w:pStyle w:val="Tablebodytext"/>
              <w:jc w:val="right"/>
            </w:pPr>
            <w:r>
              <w:t>54,584</w:t>
            </w:r>
          </w:p>
        </w:tc>
        <w:tc>
          <w:tcPr>
            <w:tcW w:w="1127" w:type="pct"/>
          </w:tcPr>
          <w:p w14:paraId="209E2D9A" w14:textId="77777777" w:rsidR="006B206C" w:rsidRDefault="006B206C" w:rsidP="00CF0B96">
            <w:pPr>
              <w:pStyle w:val="Tablebodytext"/>
              <w:jc w:val="right"/>
            </w:pPr>
            <w:r>
              <w:t>12,813(23.5%)</w:t>
            </w:r>
          </w:p>
        </w:tc>
      </w:tr>
    </w:tbl>
    <w:p w14:paraId="209E2D9C" w14:textId="77777777" w:rsidR="00202B8F" w:rsidRDefault="00202B8F" w:rsidP="00FD5C18">
      <w:pPr>
        <w:pStyle w:val="Source"/>
      </w:pPr>
      <w:r>
        <w:t>Source:</w:t>
      </w:r>
      <w:r w:rsidR="00E07E66">
        <w:t xml:space="preserve"> ABS</w:t>
      </w:r>
      <w:r>
        <w:t xml:space="preserve"> Business Characteristics Survey</w:t>
      </w:r>
      <w:r w:rsidR="00FB61D7">
        <w:t xml:space="preserve"> 2005‒2014</w:t>
      </w:r>
    </w:p>
    <w:p w14:paraId="209E2D9D" w14:textId="77777777" w:rsidR="003E559F" w:rsidRDefault="003E559F" w:rsidP="003E559F">
      <w:pPr>
        <w:pStyle w:val="BodyText"/>
      </w:pPr>
      <w:r>
        <w:t>Putting all panels in the BCS together provides an average of 9,000 firms per year for the analysis. Only a portion of all these firms seek financing or have received government assistance. Of all the observations, about 23 per cent indicate they are seeking financing. On average, close to 40 per cent of observations seeking financing have also received government assistance the prior year. Of the observations not seeking financing, only 23.5 per cent of them indicate having received government assistance the prior year.</w:t>
      </w:r>
    </w:p>
    <w:p w14:paraId="209E2D9E" w14:textId="77777777" w:rsidR="003E559F" w:rsidRDefault="003E559F" w:rsidP="003E559F">
      <w:pPr>
        <w:pStyle w:val="BodyText"/>
      </w:pPr>
      <w:r>
        <w:t>Firms that seek external financing additionally report the status of their financing application as either obtained, in progress,</w:t>
      </w:r>
      <w:r w:rsidR="00BF281B">
        <w:t xml:space="preserve"> or rejected. </w:t>
      </w:r>
      <w:r w:rsidR="00BF281B">
        <w:fldChar w:fldCharType="begin"/>
      </w:r>
      <w:r w:rsidR="00BF281B">
        <w:instrText xml:space="preserve"> REF _Ref519600859 \h </w:instrText>
      </w:r>
      <w:r w:rsidR="00BF281B">
        <w:fldChar w:fldCharType="separate"/>
      </w:r>
      <w:r w:rsidR="00851CD1" w:rsidRPr="000618FB">
        <w:t xml:space="preserve">Table </w:t>
      </w:r>
      <w:r w:rsidR="00851CD1">
        <w:rPr>
          <w:noProof/>
        </w:rPr>
        <w:t>4</w:t>
      </w:r>
      <w:r w:rsidR="00851CD1" w:rsidRPr="000618FB">
        <w:t>.</w:t>
      </w:r>
      <w:r w:rsidR="00851CD1">
        <w:rPr>
          <w:noProof/>
        </w:rPr>
        <w:t>2</w:t>
      </w:r>
      <w:r w:rsidR="00BF281B">
        <w:fldChar w:fldCharType="end"/>
      </w:r>
      <w:r>
        <w:t xml:space="preserve"> shows the percentage of firms by outcome separately for those having received government assistance the prior year and those who have not.</w:t>
      </w:r>
    </w:p>
    <w:p w14:paraId="209E2D9F" w14:textId="45CB9D90" w:rsidR="00215EFE" w:rsidRDefault="00215EFE" w:rsidP="00FD5C18">
      <w:pPr>
        <w:pStyle w:val="Caption"/>
      </w:pPr>
      <w:bookmarkStart w:id="1" w:name="_Ref519600859"/>
      <w:r w:rsidRPr="000618FB">
        <w:lastRenderedPageBreak/>
        <w:t xml:space="preserve">Table </w:t>
      </w:r>
      <w:r>
        <w:rPr>
          <w:noProof/>
        </w:rPr>
        <w:fldChar w:fldCharType="begin"/>
      </w:r>
      <w:r>
        <w:rPr>
          <w:noProof/>
        </w:rPr>
        <w:instrText xml:space="preserve"> STYLEREF 1 \s </w:instrText>
      </w:r>
      <w:r>
        <w:rPr>
          <w:noProof/>
        </w:rPr>
        <w:fldChar w:fldCharType="separate"/>
      </w:r>
      <w:r w:rsidR="00851CD1">
        <w:rPr>
          <w:noProof/>
        </w:rPr>
        <w:t>4</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851CD1">
        <w:rPr>
          <w:noProof/>
        </w:rPr>
        <w:t>2</w:t>
      </w:r>
      <w:r>
        <w:rPr>
          <w:noProof/>
        </w:rPr>
        <w:fldChar w:fldCharType="end"/>
      </w:r>
      <w:bookmarkEnd w:id="1"/>
      <w:r w:rsidRPr="000618FB">
        <w:t xml:space="preserve">: </w:t>
      </w:r>
      <w:r w:rsidR="001D5304">
        <w:t>S</w:t>
      </w:r>
      <w:r>
        <w:t>tatus of financing request</w:t>
      </w:r>
      <w:r w:rsidR="007F026B">
        <w:t xml:space="preserve"> in </w:t>
      </w:r>
      <w:r w:rsidR="007F026B">
        <w:rPr>
          <w:i/>
        </w:rPr>
        <w:t>t</w:t>
      </w:r>
      <w:r w:rsidR="007F026B" w:rsidRPr="007F026B">
        <w:t>+1</w:t>
      </w:r>
      <w:r>
        <w:t xml:space="preserve"> by the type of firm</w:t>
      </w:r>
    </w:p>
    <w:tbl>
      <w:tblPr>
        <w:tblStyle w:val="OCETable"/>
        <w:tblW w:w="5449" w:type="pct"/>
        <w:tblLayout w:type="fixed"/>
        <w:tblLook w:val="04A0" w:firstRow="1" w:lastRow="0" w:firstColumn="1" w:lastColumn="0" w:noHBand="0" w:noVBand="1"/>
        <w:tblCaption w:val="Result of seeking financing"/>
        <w:tblDescription w:val="Of those assisted by government about 94 per cent obtain it and about 1.7 per cent are rejetced. Of those not assisted, about 90 per cent obtain financing and more than 4 per cent are rejected. Some firms report their financing application to be in progress."/>
      </w:tblPr>
      <w:tblGrid>
        <w:gridCol w:w="616"/>
        <w:gridCol w:w="87"/>
        <w:gridCol w:w="998"/>
        <w:gridCol w:w="1276"/>
        <w:gridCol w:w="661"/>
        <w:gridCol w:w="334"/>
        <w:gridCol w:w="281"/>
        <w:gridCol w:w="1134"/>
        <w:gridCol w:w="1134"/>
        <w:gridCol w:w="992"/>
      </w:tblGrid>
      <w:tr w:rsidR="00A4763A" w14:paraId="4962E5F3" w14:textId="77777777" w:rsidTr="006933A3">
        <w:trPr>
          <w:cnfStyle w:val="100000000000" w:firstRow="1" w:lastRow="0" w:firstColumn="0" w:lastColumn="0" w:oddVBand="0" w:evenVBand="0" w:oddHBand="0" w:evenHBand="0" w:firstRowFirstColumn="0" w:firstRowLastColumn="0" w:lastRowFirstColumn="0" w:lastRowLastColumn="0"/>
          <w:tblHeader/>
        </w:trPr>
        <w:tc>
          <w:tcPr>
            <w:tcW w:w="410" w:type="pct"/>
            <w:shd w:val="clear" w:color="auto" w:fill="005CAF" w:themeFill="accent1"/>
          </w:tcPr>
          <w:p w14:paraId="482FD272" w14:textId="77777777" w:rsidR="007F026B" w:rsidRDefault="007F026B" w:rsidP="00F4635C">
            <w:pPr>
              <w:pStyle w:val="Tableheadertext"/>
              <w:jc w:val="center"/>
            </w:pPr>
          </w:p>
        </w:tc>
        <w:tc>
          <w:tcPr>
            <w:tcW w:w="2011" w:type="pct"/>
            <w:gridSpan w:val="4"/>
            <w:shd w:val="clear" w:color="auto" w:fill="005CAF" w:themeFill="accent1"/>
          </w:tcPr>
          <w:p w14:paraId="0907B00F" w14:textId="6463CACC" w:rsidR="007F026B" w:rsidRPr="007F026B" w:rsidRDefault="007F026B" w:rsidP="000424AD">
            <w:pPr>
              <w:pStyle w:val="Tableheadertext"/>
              <w:jc w:val="right"/>
            </w:pPr>
            <w:r>
              <w:t>Government Assisted (</w:t>
            </w:r>
            <w:r>
              <w:rPr>
                <w:i/>
              </w:rPr>
              <w:t>t</w:t>
            </w:r>
            <w:r>
              <w:t>)</w:t>
            </w:r>
          </w:p>
        </w:tc>
        <w:tc>
          <w:tcPr>
            <w:tcW w:w="222" w:type="pct"/>
            <w:shd w:val="clear" w:color="auto" w:fill="005CAF" w:themeFill="accent1"/>
          </w:tcPr>
          <w:p w14:paraId="06F9F3F0" w14:textId="77777777" w:rsidR="007F026B" w:rsidRDefault="007F026B" w:rsidP="000424AD">
            <w:pPr>
              <w:pStyle w:val="Tableheadertext"/>
              <w:jc w:val="right"/>
            </w:pPr>
          </w:p>
        </w:tc>
        <w:tc>
          <w:tcPr>
            <w:tcW w:w="2357" w:type="pct"/>
            <w:gridSpan w:val="4"/>
            <w:shd w:val="clear" w:color="auto" w:fill="005CAF" w:themeFill="accent1"/>
          </w:tcPr>
          <w:p w14:paraId="4459F042" w14:textId="6CF0CA3F" w:rsidR="007F026B" w:rsidRDefault="007F026B" w:rsidP="000424AD">
            <w:pPr>
              <w:pStyle w:val="Tableheadertext"/>
              <w:jc w:val="right"/>
            </w:pPr>
            <w:r>
              <w:t>Not Government Assisted (</w:t>
            </w:r>
            <w:r>
              <w:rPr>
                <w:i/>
              </w:rPr>
              <w:t>t</w:t>
            </w:r>
            <w:r>
              <w:t>)</w:t>
            </w:r>
          </w:p>
        </w:tc>
      </w:tr>
      <w:tr w:rsidR="00A4763A" w14:paraId="209E2DA8" w14:textId="77777777" w:rsidTr="000424AD">
        <w:trPr>
          <w:cnfStyle w:val="000000100000" w:firstRow="0" w:lastRow="0" w:firstColumn="0" w:lastColumn="0" w:oddVBand="0" w:evenVBand="0" w:oddHBand="1" w:evenHBand="0" w:firstRowFirstColumn="0" w:firstRowLastColumn="0" w:lastRowFirstColumn="0" w:lastRowLastColumn="0"/>
        </w:trPr>
        <w:tc>
          <w:tcPr>
            <w:tcW w:w="468" w:type="pct"/>
            <w:gridSpan w:val="2"/>
            <w:shd w:val="clear" w:color="auto" w:fill="005CAF" w:themeFill="accent1"/>
          </w:tcPr>
          <w:p w14:paraId="209E2DA0" w14:textId="77777777" w:rsidR="003E559F" w:rsidRPr="000424AD" w:rsidRDefault="003E559F" w:rsidP="00A4763A">
            <w:pPr>
              <w:pStyle w:val="Tableheadertext"/>
              <w:rPr>
                <w:sz w:val="16"/>
                <w:szCs w:val="16"/>
              </w:rPr>
            </w:pPr>
            <w:r w:rsidRPr="000424AD">
              <w:rPr>
                <w:sz w:val="16"/>
                <w:szCs w:val="16"/>
              </w:rPr>
              <w:t>Year</w:t>
            </w:r>
          </w:p>
        </w:tc>
        <w:tc>
          <w:tcPr>
            <w:tcW w:w="664" w:type="pct"/>
            <w:shd w:val="clear" w:color="auto" w:fill="005CAF" w:themeFill="accent1"/>
          </w:tcPr>
          <w:p w14:paraId="209E2DA1" w14:textId="77777777" w:rsidR="003E559F" w:rsidRPr="000424AD" w:rsidRDefault="003E559F" w:rsidP="000424AD">
            <w:pPr>
              <w:pStyle w:val="Tableheadertext"/>
              <w:jc w:val="right"/>
              <w:rPr>
                <w:sz w:val="16"/>
                <w:szCs w:val="16"/>
              </w:rPr>
            </w:pPr>
            <w:r w:rsidRPr="000424AD">
              <w:rPr>
                <w:sz w:val="16"/>
                <w:szCs w:val="16"/>
              </w:rPr>
              <w:t>Obtained</w:t>
            </w:r>
          </w:p>
        </w:tc>
        <w:tc>
          <w:tcPr>
            <w:tcW w:w="849" w:type="pct"/>
            <w:shd w:val="clear" w:color="auto" w:fill="005CAF" w:themeFill="accent1"/>
          </w:tcPr>
          <w:p w14:paraId="209E2DA2" w14:textId="77777777" w:rsidR="003E559F" w:rsidRPr="000424AD" w:rsidRDefault="003E559F" w:rsidP="000424AD">
            <w:pPr>
              <w:pStyle w:val="Tableheadertext"/>
              <w:jc w:val="right"/>
              <w:rPr>
                <w:sz w:val="16"/>
                <w:szCs w:val="16"/>
              </w:rPr>
            </w:pPr>
            <w:r w:rsidRPr="000424AD">
              <w:rPr>
                <w:sz w:val="16"/>
                <w:szCs w:val="16"/>
              </w:rPr>
              <w:t>In Progress</w:t>
            </w:r>
          </w:p>
        </w:tc>
        <w:tc>
          <w:tcPr>
            <w:tcW w:w="662" w:type="pct"/>
            <w:gridSpan w:val="2"/>
            <w:shd w:val="clear" w:color="auto" w:fill="005CAF" w:themeFill="accent1"/>
          </w:tcPr>
          <w:p w14:paraId="209E2DA3" w14:textId="77777777" w:rsidR="003E559F" w:rsidRPr="000424AD" w:rsidRDefault="003E559F" w:rsidP="000424AD">
            <w:pPr>
              <w:pStyle w:val="Tableheadertext"/>
              <w:jc w:val="right"/>
              <w:rPr>
                <w:sz w:val="16"/>
                <w:szCs w:val="16"/>
              </w:rPr>
            </w:pPr>
            <w:r w:rsidRPr="000424AD">
              <w:rPr>
                <w:sz w:val="16"/>
                <w:szCs w:val="16"/>
              </w:rPr>
              <w:t>Rejected</w:t>
            </w:r>
          </w:p>
        </w:tc>
        <w:tc>
          <w:tcPr>
            <w:tcW w:w="187" w:type="pct"/>
            <w:shd w:val="clear" w:color="auto" w:fill="005CAF" w:themeFill="accent1"/>
          </w:tcPr>
          <w:p w14:paraId="209E2DA4" w14:textId="77777777" w:rsidR="003E559F" w:rsidRPr="000424AD" w:rsidRDefault="003E559F" w:rsidP="000424AD">
            <w:pPr>
              <w:pStyle w:val="Tableheadertext"/>
              <w:jc w:val="right"/>
              <w:rPr>
                <w:sz w:val="16"/>
                <w:szCs w:val="16"/>
              </w:rPr>
            </w:pPr>
          </w:p>
        </w:tc>
        <w:tc>
          <w:tcPr>
            <w:tcW w:w="755" w:type="pct"/>
            <w:shd w:val="clear" w:color="auto" w:fill="005CAF" w:themeFill="accent1"/>
          </w:tcPr>
          <w:p w14:paraId="209E2DA5" w14:textId="77777777" w:rsidR="003E559F" w:rsidRPr="000424AD" w:rsidRDefault="003E559F" w:rsidP="000424AD">
            <w:pPr>
              <w:pStyle w:val="Tableheadertext"/>
              <w:jc w:val="right"/>
              <w:rPr>
                <w:sz w:val="16"/>
                <w:szCs w:val="16"/>
              </w:rPr>
            </w:pPr>
            <w:r w:rsidRPr="000424AD">
              <w:rPr>
                <w:sz w:val="16"/>
                <w:szCs w:val="16"/>
              </w:rPr>
              <w:t>Obtained</w:t>
            </w:r>
          </w:p>
        </w:tc>
        <w:tc>
          <w:tcPr>
            <w:tcW w:w="755" w:type="pct"/>
            <w:shd w:val="clear" w:color="auto" w:fill="005CAF" w:themeFill="accent1"/>
          </w:tcPr>
          <w:p w14:paraId="209E2DA6" w14:textId="77777777" w:rsidR="003E559F" w:rsidRPr="000424AD" w:rsidRDefault="003E559F" w:rsidP="000424AD">
            <w:pPr>
              <w:pStyle w:val="Tableheadertext"/>
              <w:jc w:val="right"/>
              <w:rPr>
                <w:sz w:val="16"/>
                <w:szCs w:val="16"/>
              </w:rPr>
            </w:pPr>
            <w:r w:rsidRPr="000424AD">
              <w:rPr>
                <w:sz w:val="16"/>
                <w:szCs w:val="16"/>
              </w:rPr>
              <w:t>In Progress</w:t>
            </w:r>
          </w:p>
        </w:tc>
        <w:tc>
          <w:tcPr>
            <w:tcW w:w="660" w:type="pct"/>
            <w:shd w:val="clear" w:color="auto" w:fill="005CAF" w:themeFill="accent1"/>
          </w:tcPr>
          <w:p w14:paraId="209E2DA7" w14:textId="77777777" w:rsidR="003E559F" w:rsidRPr="000424AD" w:rsidRDefault="003E559F" w:rsidP="000424AD">
            <w:pPr>
              <w:pStyle w:val="Tableheadertext"/>
              <w:jc w:val="right"/>
              <w:rPr>
                <w:sz w:val="16"/>
                <w:szCs w:val="16"/>
              </w:rPr>
            </w:pPr>
            <w:r w:rsidRPr="000424AD">
              <w:rPr>
                <w:sz w:val="16"/>
                <w:szCs w:val="16"/>
              </w:rPr>
              <w:t>Rejected</w:t>
            </w:r>
          </w:p>
        </w:tc>
      </w:tr>
      <w:tr w:rsidR="00A4763A" w14:paraId="209E2DB1" w14:textId="77777777" w:rsidTr="000424AD">
        <w:trPr>
          <w:cnfStyle w:val="000000010000" w:firstRow="0" w:lastRow="0" w:firstColumn="0" w:lastColumn="0" w:oddVBand="0" w:evenVBand="0" w:oddHBand="0" w:evenHBand="1" w:firstRowFirstColumn="0" w:firstRowLastColumn="0" w:lastRowFirstColumn="0" w:lastRowLastColumn="0"/>
        </w:trPr>
        <w:tc>
          <w:tcPr>
            <w:tcW w:w="468" w:type="pct"/>
            <w:gridSpan w:val="2"/>
          </w:tcPr>
          <w:p w14:paraId="209E2DA9" w14:textId="77777777" w:rsidR="003E559F" w:rsidRDefault="003E559F" w:rsidP="00A4763A">
            <w:pPr>
              <w:pStyle w:val="Tablebodytext"/>
            </w:pPr>
            <w:r>
              <w:t>2006</w:t>
            </w:r>
          </w:p>
        </w:tc>
        <w:tc>
          <w:tcPr>
            <w:tcW w:w="664" w:type="pct"/>
          </w:tcPr>
          <w:p w14:paraId="209E2DAA" w14:textId="77777777" w:rsidR="003E559F" w:rsidRDefault="003E559F" w:rsidP="000424AD">
            <w:pPr>
              <w:pStyle w:val="Tablebodytext"/>
              <w:jc w:val="right"/>
            </w:pPr>
            <w:r>
              <w:t>94.5%</w:t>
            </w:r>
          </w:p>
        </w:tc>
        <w:tc>
          <w:tcPr>
            <w:tcW w:w="849" w:type="pct"/>
          </w:tcPr>
          <w:p w14:paraId="209E2DAB" w14:textId="77777777" w:rsidR="003E559F" w:rsidRDefault="003E559F" w:rsidP="000424AD">
            <w:pPr>
              <w:pStyle w:val="Tablebodytext"/>
              <w:jc w:val="right"/>
            </w:pPr>
            <w:r>
              <w:t>3.8%</w:t>
            </w:r>
          </w:p>
        </w:tc>
        <w:tc>
          <w:tcPr>
            <w:tcW w:w="662" w:type="pct"/>
            <w:gridSpan w:val="2"/>
          </w:tcPr>
          <w:p w14:paraId="209E2DAC" w14:textId="77777777" w:rsidR="003E559F" w:rsidRDefault="003E559F" w:rsidP="000424AD">
            <w:pPr>
              <w:pStyle w:val="Tablebodytext"/>
              <w:jc w:val="right"/>
            </w:pPr>
            <w:r>
              <w:t>1.7%</w:t>
            </w:r>
          </w:p>
        </w:tc>
        <w:tc>
          <w:tcPr>
            <w:tcW w:w="187" w:type="pct"/>
          </w:tcPr>
          <w:p w14:paraId="209E2DAD" w14:textId="77777777" w:rsidR="003E559F" w:rsidRDefault="003E559F" w:rsidP="000424AD">
            <w:pPr>
              <w:pStyle w:val="Tablebodytext"/>
              <w:jc w:val="right"/>
            </w:pPr>
          </w:p>
        </w:tc>
        <w:tc>
          <w:tcPr>
            <w:tcW w:w="755" w:type="pct"/>
          </w:tcPr>
          <w:p w14:paraId="209E2DAE" w14:textId="77777777" w:rsidR="003E559F" w:rsidRDefault="003E559F" w:rsidP="000424AD">
            <w:pPr>
              <w:pStyle w:val="Tablebodytext"/>
              <w:jc w:val="right"/>
            </w:pPr>
            <w:r>
              <w:t>92.9%</w:t>
            </w:r>
          </w:p>
        </w:tc>
        <w:tc>
          <w:tcPr>
            <w:tcW w:w="755" w:type="pct"/>
          </w:tcPr>
          <w:p w14:paraId="209E2DAF" w14:textId="77777777" w:rsidR="003E559F" w:rsidRDefault="003E559F" w:rsidP="000424AD">
            <w:pPr>
              <w:pStyle w:val="Tablebodytext"/>
              <w:jc w:val="right"/>
            </w:pPr>
            <w:r>
              <w:t>2.7%</w:t>
            </w:r>
          </w:p>
        </w:tc>
        <w:tc>
          <w:tcPr>
            <w:tcW w:w="660" w:type="pct"/>
          </w:tcPr>
          <w:p w14:paraId="209E2DB0" w14:textId="77777777" w:rsidR="003E559F" w:rsidRDefault="003E559F" w:rsidP="000424AD">
            <w:pPr>
              <w:pStyle w:val="Tablebodytext"/>
              <w:jc w:val="right"/>
            </w:pPr>
            <w:r>
              <w:t>4.4%</w:t>
            </w:r>
          </w:p>
        </w:tc>
      </w:tr>
      <w:tr w:rsidR="00A4763A" w14:paraId="209E2DBA" w14:textId="77777777" w:rsidTr="000424AD">
        <w:trPr>
          <w:cnfStyle w:val="000000100000" w:firstRow="0" w:lastRow="0" w:firstColumn="0" w:lastColumn="0" w:oddVBand="0" w:evenVBand="0" w:oddHBand="1" w:evenHBand="0" w:firstRowFirstColumn="0" w:firstRowLastColumn="0" w:lastRowFirstColumn="0" w:lastRowLastColumn="0"/>
        </w:trPr>
        <w:tc>
          <w:tcPr>
            <w:tcW w:w="468" w:type="pct"/>
            <w:gridSpan w:val="2"/>
          </w:tcPr>
          <w:p w14:paraId="209E2DB2" w14:textId="77777777" w:rsidR="003E559F" w:rsidRDefault="003E559F" w:rsidP="00A4763A">
            <w:pPr>
              <w:pStyle w:val="Tablebodytext"/>
            </w:pPr>
            <w:r>
              <w:t>2007</w:t>
            </w:r>
          </w:p>
        </w:tc>
        <w:tc>
          <w:tcPr>
            <w:tcW w:w="664" w:type="pct"/>
          </w:tcPr>
          <w:p w14:paraId="209E2DB3" w14:textId="77777777" w:rsidR="003E559F" w:rsidRDefault="003E559F" w:rsidP="000424AD">
            <w:pPr>
              <w:pStyle w:val="Tablebodytext"/>
              <w:jc w:val="right"/>
            </w:pPr>
            <w:r>
              <w:t>96.5%</w:t>
            </w:r>
          </w:p>
        </w:tc>
        <w:tc>
          <w:tcPr>
            <w:tcW w:w="849" w:type="pct"/>
          </w:tcPr>
          <w:p w14:paraId="209E2DB4" w14:textId="77777777" w:rsidR="003E559F" w:rsidRDefault="003E559F" w:rsidP="000424AD">
            <w:pPr>
              <w:pStyle w:val="Tablebodytext"/>
              <w:jc w:val="right"/>
            </w:pPr>
            <w:r>
              <w:t>2.7%</w:t>
            </w:r>
          </w:p>
        </w:tc>
        <w:tc>
          <w:tcPr>
            <w:tcW w:w="662" w:type="pct"/>
            <w:gridSpan w:val="2"/>
          </w:tcPr>
          <w:p w14:paraId="209E2DB5" w14:textId="77777777" w:rsidR="003E559F" w:rsidRDefault="003E559F" w:rsidP="000424AD">
            <w:pPr>
              <w:pStyle w:val="Tablebodytext"/>
              <w:jc w:val="right"/>
            </w:pPr>
            <w:r>
              <w:t>0.9%</w:t>
            </w:r>
          </w:p>
        </w:tc>
        <w:tc>
          <w:tcPr>
            <w:tcW w:w="187" w:type="pct"/>
          </w:tcPr>
          <w:p w14:paraId="209E2DB6" w14:textId="77777777" w:rsidR="003E559F" w:rsidRDefault="003E559F" w:rsidP="000424AD">
            <w:pPr>
              <w:pStyle w:val="Tablebodytext"/>
              <w:jc w:val="right"/>
            </w:pPr>
          </w:p>
        </w:tc>
        <w:tc>
          <w:tcPr>
            <w:tcW w:w="755" w:type="pct"/>
          </w:tcPr>
          <w:p w14:paraId="209E2DB7" w14:textId="77777777" w:rsidR="003E559F" w:rsidRDefault="003E559F" w:rsidP="000424AD">
            <w:pPr>
              <w:pStyle w:val="Tablebodytext"/>
              <w:jc w:val="right"/>
            </w:pPr>
            <w:r>
              <w:t>92.0%</w:t>
            </w:r>
          </w:p>
        </w:tc>
        <w:tc>
          <w:tcPr>
            <w:tcW w:w="755" w:type="pct"/>
          </w:tcPr>
          <w:p w14:paraId="209E2DB8" w14:textId="77777777" w:rsidR="003E559F" w:rsidRDefault="003E559F" w:rsidP="000424AD">
            <w:pPr>
              <w:pStyle w:val="Tablebodytext"/>
              <w:jc w:val="right"/>
            </w:pPr>
            <w:r>
              <w:t>4.9%</w:t>
            </w:r>
          </w:p>
        </w:tc>
        <w:tc>
          <w:tcPr>
            <w:tcW w:w="660" w:type="pct"/>
          </w:tcPr>
          <w:p w14:paraId="209E2DB9" w14:textId="77777777" w:rsidR="003E559F" w:rsidRDefault="003E559F" w:rsidP="000424AD">
            <w:pPr>
              <w:pStyle w:val="Tablebodytext"/>
              <w:jc w:val="right"/>
            </w:pPr>
            <w:r>
              <w:t>3.1%</w:t>
            </w:r>
          </w:p>
        </w:tc>
      </w:tr>
      <w:tr w:rsidR="00A4763A" w14:paraId="209E2DC3" w14:textId="77777777" w:rsidTr="000424AD">
        <w:trPr>
          <w:cnfStyle w:val="000000010000" w:firstRow="0" w:lastRow="0" w:firstColumn="0" w:lastColumn="0" w:oddVBand="0" w:evenVBand="0" w:oddHBand="0" w:evenHBand="1" w:firstRowFirstColumn="0" w:firstRowLastColumn="0" w:lastRowFirstColumn="0" w:lastRowLastColumn="0"/>
        </w:trPr>
        <w:tc>
          <w:tcPr>
            <w:tcW w:w="468" w:type="pct"/>
            <w:gridSpan w:val="2"/>
          </w:tcPr>
          <w:p w14:paraId="209E2DBB" w14:textId="77777777" w:rsidR="003E559F" w:rsidRDefault="003E559F" w:rsidP="00A4763A">
            <w:pPr>
              <w:pStyle w:val="Tablebodytext"/>
            </w:pPr>
            <w:r>
              <w:t>2008</w:t>
            </w:r>
          </w:p>
        </w:tc>
        <w:tc>
          <w:tcPr>
            <w:tcW w:w="664" w:type="pct"/>
          </w:tcPr>
          <w:p w14:paraId="209E2DBC" w14:textId="77777777" w:rsidR="003E559F" w:rsidRDefault="003E559F" w:rsidP="000424AD">
            <w:pPr>
              <w:pStyle w:val="Tablebodytext"/>
              <w:jc w:val="right"/>
            </w:pPr>
            <w:r>
              <w:t>93.0%</w:t>
            </w:r>
          </w:p>
        </w:tc>
        <w:tc>
          <w:tcPr>
            <w:tcW w:w="849" w:type="pct"/>
          </w:tcPr>
          <w:p w14:paraId="209E2DBD" w14:textId="77777777" w:rsidR="003E559F" w:rsidRDefault="003E559F" w:rsidP="000424AD">
            <w:pPr>
              <w:pStyle w:val="Tablebodytext"/>
              <w:jc w:val="right"/>
            </w:pPr>
            <w:r>
              <w:t>5.1%</w:t>
            </w:r>
          </w:p>
        </w:tc>
        <w:tc>
          <w:tcPr>
            <w:tcW w:w="662" w:type="pct"/>
            <w:gridSpan w:val="2"/>
          </w:tcPr>
          <w:p w14:paraId="209E2DBE" w14:textId="77777777" w:rsidR="003E559F" w:rsidRDefault="003E559F" w:rsidP="000424AD">
            <w:pPr>
              <w:pStyle w:val="Tablebodytext"/>
              <w:jc w:val="right"/>
            </w:pPr>
            <w:r>
              <w:t>1.9%</w:t>
            </w:r>
          </w:p>
        </w:tc>
        <w:tc>
          <w:tcPr>
            <w:tcW w:w="187" w:type="pct"/>
          </w:tcPr>
          <w:p w14:paraId="209E2DBF" w14:textId="77777777" w:rsidR="003E559F" w:rsidRDefault="003E559F" w:rsidP="000424AD">
            <w:pPr>
              <w:pStyle w:val="Tablebodytext"/>
              <w:jc w:val="right"/>
            </w:pPr>
          </w:p>
        </w:tc>
        <w:tc>
          <w:tcPr>
            <w:tcW w:w="755" w:type="pct"/>
          </w:tcPr>
          <w:p w14:paraId="209E2DC0" w14:textId="77777777" w:rsidR="003E559F" w:rsidRDefault="003E559F" w:rsidP="000424AD">
            <w:pPr>
              <w:pStyle w:val="Tablebodytext"/>
              <w:jc w:val="right"/>
            </w:pPr>
            <w:r>
              <w:t>89.0%</w:t>
            </w:r>
          </w:p>
        </w:tc>
        <w:tc>
          <w:tcPr>
            <w:tcW w:w="755" w:type="pct"/>
          </w:tcPr>
          <w:p w14:paraId="209E2DC1" w14:textId="77777777" w:rsidR="003E559F" w:rsidRDefault="003E559F" w:rsidP="000424AD">
            <w:pPr>
              <w:pStyle w:val="Tablebodytext"/>
              <w:jc w:val="right"/>
            </w:pPr>
            <w:r>
              <w:t>6.2%</w:t>
            </w:r>
          </w:p>
        </w:tc>
        <w:tc>
          <w:tcPr>
            <w:tcW w:w="660" w:type="pct"/>
          </w:tcPr>
          <w:p w14:paraId="209E2DC2" w14:textId="77777777" w:rsidR="003E559F" w:rsidRDefault="003E559F" w:rsidP="000424AD">
            <w:pPr>
              <w:pStyle w:val="Tablebodytext"/>
              <w:jc w:val="right"/>
            </w:pPr>
            <w:r>
              <w:t>4.8%</w:t>
            </w:r>
          </w:p>
        </w:tc>
      </w:tr>
      <w:tr w:rsidR="00A4763A" w14:paraId="209E2DCC" w14:textId="77777777" w:rsidTr="000424AD">
        <w:trPr>
          <w:cnfStyle w:val="000000100000" w:firstRow="0" w:lastRow="0" w:firstColumn="0" w:lastColumn="0" w:oddVBand="0" w:evenVBand="0" w:oddHBand="1" w:evenHBand="0" w:firstRowFirstColumn="0" w:firstRowLastColumn="0" w:lastRowFirstColumn="0" w:lastRowLastColumn="0"/>
        </w:trPr>
        <w:tc>
          <w:tcPr>
            <w:tcW w:w="468" w:type="pct"/>
            <w:gridSpan w:val="2"/>
          </w:tcPr>
          <w:p w14:paraId="209E2DC4" w14:textId="77777777" w:rsidR="003E559F" w:rsidRDefault="003E559F" w:rsidP="00A4763A">
            <w:pPr>
              <w:pStyle w:val="Tablebodytext"/>
            </w:pPr>
            <w:r>
              <w:t>2009</w:t>
            </w:r>
          </w:p>
        </w:tc>
        <w:tc>
          <w:tcPr>
            <w:tcW w:w="664" w:type="pct"/>
          </w:tcPr>
          <w:p w14:paraId="209E2DC5" w14:textId="77777777" w:rsidR="003E559F" w:rsidRDefault="003E559F" w:rsidP="000424AD">
            <w:pPr>
              <w:pStyle w:val="Tablebodytext"/>
              <w:jc w:val="right"/>
            </w:pPr>
            <w:r>
              <w:t>93.6%</w:t>
            </w:r>
          </w:p>
        </w:tc>
        <w:tc>
          <w:tcPr>
            <w:tcW w:w="849" w:type="pct"/>
          </w:tcPr>
          <w:p w14:paraId="209E2DC6" w14:textId="77777777" w:rsidR="003E559F" w:rsidRDefault="003E559F" w:rsidP="000424AD">
            <w:pPr>
              <w:pStyle w:val="Tablebodytext"/>
              <w:jc w:val="right"/>
            </w:pPr>
            <w:r>
              <w:t>5.3%</w:t>
            </w:r>
          </w:p>
        </w:tc>
        <w:tc>
          <w:tcPr>
            <w:tcW w:w="662" w:type="pct"/>
            <w:gridSpan w:val="2"/>
          </w:tcPr>
          <w:p w14:paraId="209E2DC7" w14:textId="77777777" w:rsidR="003E559F" w:rsidRDefault="003E559F" w:rsidP="000424AD">
            <w:pPr>
              <w:pStyle w:val="Tablebodytext"/>
              <w:jc w:val="right"/>
            </w:pPr>
            <w:r>
              <w:t>1.1%</w:t>
            </w:r>
          </w:p>
        </w:tc>
        <w:tc>
          <w:tcPr>
            <w:tcW w:w="187" w:type="pct"/>
          </w:tcPr>
          <w:p w14:paraId="209E2DC8" w14:textId="77777777" w:rsidR="003E559F" w:rsidRDefault="003E559F" w:rsidP="000424AD">
            <w:pPr>
              <w:pStyle w:val="Tablebodytext"/>
              <w:jc w:val="right"/>
            </w:pPr>
          </w:p>
        </w:tc>
        <w:tc>
          <w:tcPr>
            <w:tcW w:w="755" w:type="pct"/>
          </w:tcPr>
          <w:p w14:paraId="209E2DC9" w14:textId="77777777" w:rsidR="003E559F" w:rsidRDefault="003E559F" w:rsidP="000424AD">
            <w:pPr>
              <w:pStyle w:val="Tablebodytext"/>
              <w:jc w:val="right"/>
            </w:pPr>
            <w:r>
              <w:t>89.3%</w:t>
            </w:r>
          </w:p>
        </w:tc>
        <w:tc>
          <w:tcPr>
            <w:tcW w:w="755" w:type="pct"/>
          </w:tcPr>
          <w:p w14:paraId="209E2DCA" w14:textId="77777777" w:rsidR="003E559F" w:rsidRDefault="003E559F" w:rsidP="000424AD">
            <w:pPr>
              <w:pStyle w:val="Tablebodytext"/>
              <w:jc w:val="right"/>
            </w:pPr>
            <w:r>
              <w:t>5.8%</w:t>
            </w:r>
          </w:p>
        </w:tc>
        <w:tc>
          <w:tcPr>
            <w:tcW w:w="660" w:type="pct"/>
          </w:tcPr>
          <w:p w14:paraId="209E2DCB" w14:textId="77777777" w:rsidR="003E559F" w:rsidRDefault="003E559F" w:rsidP="000424AD">
            <w:pPr>
              <w:pStyle w:val="Tablebodytext"/>
              <w:jc w:val="right"/>
            </w:pPr>
            <w:r>
              <w:t>4.9%</w:t>
            </w:r>
          </w:p>
        </w:tc>
      </w:tr>
      <w:tr w:rsidR="00A4763A" w14:paraId="209E2DD5" w14:textId="77777777" w:rsidTr="000424AD">
        <w:trPr>
          <w:cnfStyle w:val="000000010000" w:firstRow="0" w:lastRow="0" w:firstColumn="0" w:lastColumn="0" w:oddVBand="0" w:evenVBand="0" w:oddHBand="0" w:evenHBand="1" w:firstRowFirstColumn="0" w:firstRowLastColumn="0" w:lastRowFirstColumn="0" w:lastRowLastColumn="0"/>
        </w:trPr>
        <w:tc>
          <w:tcPr>
            <w:tcW w:w="468" w:type="pct"/>
            <w:gridSpan w:val="2"/>
          </w:tcPr>
          <w:p w14:paraId="209E2DCD" w14:textId="77777777" w:rsidR="003E559F" w:rsidRDefault="003E559F" w:rsidP="00A4763A">
            <w:pPr>
              <w:pStyle w:val="Tablebodytext"/>
            </w:pPr>
            <w:r>
              <w:t>2010</w:t>
            </w:r>
          </w:p>
        </w:tc>
        <w:tc>
          <w:tcPr>
            <w:tcW w:w="664" w:type="pct"/>
          </w:tcPr>
          <w:p w14:paraId="209E2DCE" w14:textId="77777777" w:rsidR="003E559F" w:rsidRDefault="003E559F" w:rsidP="000424AD">
            <w:pPr>
              <w:pStyle w:val="Tablebodytext"/>
              <w:jc w:val="right"/>
            </w:pPr>
            <w:r>
              <w:t>93.3%</w:t>
            </w:r>
          </w:p>
        </w:tc>
        <w:tc>
          <w:tcPr>
            <w:tcW w:w="849" w:type="pct"/>
          </w:tcPr>
          <w:p w14:paraId="209E2DCF" w14:textId="77777777" w:rsidR="003E559F" w:rsidRDefault="003E559F" w:rsidP="000424AD">
            <w:pPr>
              <w:pStyle w:val="Tablebodytext"/>
              <w:jc w:val="right"/>
            </w:pPr>
            <w:r>
              <w:t>5.7%</w:t>
            </w:r>
          </w:p>
        </w:tc>
        <w:tc>
          <w:tcPr>
            <w:tcW w:w="662" w:type="pct"/>
            <w:gridSpan w:val="2"/>
          </w:tcPr>
          <w:p w14:paraId="209E2DD0" w14:textId="77777777" w:rsidR="003E559F" w:rsidRDefault="003E559F" w:rsidP="000424AD">
            <w:pPr>
              <w:pStyle w:val="Tablebodytext"/>
              <w:jc w:val="right"/>
            </w:pPr>
            <w:r>
              <w:t>1.0%</w:t>
            </w:r>
          </w:p>
        </w:tc>
        <w:tc>
          <w:tcPr>
            <w:tcW w:w="187" w:type="pct"/>
          </w:tcPr>
          <w:p w14:paraId="209E2DD1" w14:textId="77777777" w:rsidR="003E559F" w:rsidRDefault="003E559F" w:rsidP="000424AD">
            <w:pPr>
              <w:pStyle w:val="Tablebodytext"/>
              <w:jc w:val="right"/>
            </w:pPr>
          </w:p>
        </w:tc>
        <w:tc>
          <w:tcPr>
            <w:tcW w:w="755" w:type="pct"/>
          </w:tcPr>
          <w:p w14:paraId="209E2DD2" w14:textId="77777777" w:rsidR="003E559F" w:rsidRDefault="003E559F" w:rsidP="000424AD">
            <w:pPr>
              <w:pStyle w:val="Tablebodytext"/>
              <w:jc w:val="right"/>
            </w:pPr>
            <w:r>
              <w:t>89.2%</w:t>
            </w:r>
          </w:p>
        </w:tc>
        <w:tc>
          <w:tcPr>
            <w:tcW w:w="755" w:type="pct"/>
          </w:tcPr>
          <w:p w14:paraId="209E2DD3" w14:textId="77777777" w:rsidR="003E559F" w:rsidRDefault="003E559F" w:rsidP="000424AD">
            <w:pPr>
              <w:pStyle w:val="Tablebodytext"/>
              <w:jc w:val="right"/>
            </w:pPr>
            <w:r>
              <w:t>6.5%</w:t>
            </w:r>
          </w:p>
        </w:tc>
        <w:tc>
          <w:tcPr>
            <w:tcW w:w="660" w:type="pct"/>
          </w:tcPr>
          <w:p w14:paraId="209E2DD4" w14:textId="77777777" w:rsidR="003E559F" w:rsidRDefault="003E559F" w:rsidP="000424AD">
            <w:pPr>
              <w:pStyle w:val="Tablebodytext"/>
              <w:jc w:val="right"/>
            </w:pPr>
            <w:r>
              <w:t>4.3%</w:t>
            </w:r>
          </w:p>
        </w:tc>
      </w:tr>
      <w:tr w:rsidR="00A4763A" w14:paraId="209E2DDE" w14:textId="77777777" w:rsidTr="000424AD">
        <w:trPr>
          <w:cnfStyle w:val="000000100000" w:firstRow="0" w:lastRow="0" w:firstColumn="0" w:lastColumn="0" w:oddVBand="0" w:evenVBand="0" w:oddHBand="1" w:evenHBand="0" w:firstRowFirstColumn="0" w:firstRowLastColumn="0" w:lastRowFirstColumn="0" w:lastRowLastColumn="0"/>
        </w:trPr>
        <w:tc>
          <w:tcPr>
            <w:tcW w:w="468" w:type="pct"/>
            <w:gridSpan w:val="2"/>
          </w:tcPr>
          <w:p w14:paraId="209E2DD6" w14:textId="77777777" w:rsidR="003E559F" w:rsidRDefault="003E559F" w:rsidP="00A4763A">
            <w:pPr>
              <w:pStyle w:val="Tablebodytext"/>
            </w:pPr>
            <w:r>
              <w:t>2011</w:t>
            </w:r>
          </w:p>
        </w:tc>
        <w:tc>
          <w:tcPr>
            <w:tcW w:w="664" w:type="pct"/>
          </w:tcPr>
          <w:p w14:paraId="209E2DD7" w14:textId="77777777" w:rsidR="003E559F" w:rsidRDefault="003E559F" w:rsidP="000424AD">
            <w:pPr>
              <w:pStyle w:val="Tablebodytext"/>
              <w:jc w:val="right"/>
            </w:pPr>
            <w:r>
              <w:t>92.7%</w:t>
            </w:r>
          </w:p>
        </w:tc>
        <w:tc>
          <w:tcPr>
            <w:tcW w:w="849" w:type="pct"/>
          </w:tcPr>
          <w:p w14:paraId="209E2DD8" w14:textId="77777777" w:rsidR="003E559F" w:rsidRDefault="003E559F" w:rsidP="000424AD">
            <w:pPr>
              <w:pStyle w:val="Tablebodytext"/>
              <w:jc w:val="right"/>
            </w:pPr>
            <w:r>
              <w:t>4.7%</w:t>
            </w:r>
          </w:p>
        </w:tc>
        <w:tc>
          <w:tcPr>
            <w:tcW w:w="662" w:type="pct"/>
            <w:gridSpan w:val="2"/>
          </w:tcPr>
          <w:p w14:paraId="209E2DD9" w14:textId="77777777" w:rsidR="003E559F" w:rsidRDefault="003E559F" w:rsidP="000424AD">
            <w:pPr>
              <w:pStyle w:val="Tablebodytext"/>
              <w:jc w:val="right"/>
            </w:pPr>
            <w:r>
              <w:t>2.6%</w:t>
            </w:r>
          </w:p>
        </w:tc>
        <w:tc>
          <w:tcPr>
            <w:tcW w:w="187" w:type="pct"/>
          </w:tcPr>
          <w:p w14:paraId="209E2DDA" w14:textId="77777777" w:rsidR="003E559F" w:rsidRDefault="003E559F" w:rsidP="000424AD">
            <w:pPr>
              <w:pStyle w:val="Tablebodytext"/>
              <w:jc w:val="right"/>
            </w:pPr>
          </w:p>
        </w:tc>
        <w:tc>
          <w:tcPr>
            <w:tcW w:w="755" w:type="pct"/>
          </w:tcPr>
          <w:p w14:paraId="209E2DDB" w14:textId="77777777" w:rsidR="003E559F" w:rsidRDefault="003E559F" w:rsidP="000424AD">
            <w:pPr>
              <w:pStyle w:val="Tablebodytext"/>
              <w:jc w:val="right"/>
            </w:pPr>
            <w:r>
              <w:t>88.2%</w:t>
            </w:r>
          </w:p>
        </w:tc>
        <w:tc>
          <w:tcPr>
            <w:tcW w:w="755" w:type="pct"/>
          </w:tcPr>
          <w:p w14:paraId="209E2DDC" w14:textId="77777777" w:rsidR="003E559F" w:rsidRPr="00A4763A" w:rsidRDefault="003E559F" w:rsidP="000424AD">
            <w:pPr>
              <w:pStyle w:val="Tablebodytext"/>
              <w:jc w:val="right"/>
            </w:pPr>
            <w:r>
              <w:t>6.8%</w:t>
            </w:r>
          </w:p>
        </w:tc>
        <w:tc>
          <w:tcPr>
            <w:tcW w:w="660" w:type="pct"/>
          </w:tcPr>
          <w:p w14:paraId="209E2DDD" w14:textId="77777777" w:rsidR="003E559F" w:rsidRDefault="003E559F" w:rsidP="000424AD">
            <w:pPr>
              <w:pStyle w:val="Tablebodytext"/>
              <w:jc w:val="right"/>
            </w:pPr>
            <w:r>
              <w:t>5.0%</w:t>
            </w:r>
          </w:p>
        </w:tc>
      </w:tr>
      <w:tr w:rsidR="00A4763A" w14:paraId="209E2DE7" w14:textId="77777777" w:rsidTr="000424AD">
        <w:trPr>
          <w:cnfStyle w:val="000000010000" w:firstRow="0" w:lastRow="0" w:firstColumn="0" w:lastColumn="0" w:oddVBand="0" w:evenVBand="0" w:oddHBand="0" w:evenHBand="1" w:firstRowFirstColumn="0" w:firstRowLastColumn="0" w:lastRowFirstColumn="0" w:lastRowLastColumn="0"/>
        </w:trPr>
        <w:tc>
          <w:tcPr>
            <w:tcW w:w="468" w:type="pct"/>
            <w:gridSpan w:val="2"/>
          </w:tcPr>
          <w:p w14:paraId="209E2DDF" w14:textId="77777777" w:rsidR="003E559F" w:rsidRDefault="003E559F" w:rsidP="00A4763A">
            <w:pPr>
              <w:pStyle w:val="Tablebodytext"/>
            </w:pPr>
            <w:r>
              <w:t>2012</w:t>
            </w:r>
          </w:p>
        </w:tc>
        <w:tc>
          <w:tcPr>
            <w:tcW w:w="664" w:type="pct"/>
          </w:tcPr>
          <w:p w14:paraId="209E2DE0" w14:textId="77777777" w:rsidR="003E559F" w:rsidRDefault="003E559F" w:rsidP="000424AD">
            <w:pPr>
              <w:pStyle w:val="Tablebodytext"/>
              <w:jc w:val="right"/>
            </w:pPr>
            <w:r>
              <w:t>93.6%</w:t>
            </w:r>
          </w:p>
        </w:tc>
        <w:tc>
          <w:tcPr>
            <w:tcW w:w="849" w:type="pct"/>
          </w:tcPr>
          <w:p w14:paraId="209E2DE1" w14:textId="77777777" w:rsidR="003E559F" w:rsidRDefault="003E559F" w:rsidP="000424AD">
            <w:pPr>
              <w:pStyle w:val="Tablebodytext"/>
              <w:jc w:val="right"/>
            </w:pPr>
            <w:r>
              <w:t>4.2%</w:t>
            </w:r>
          </w:p>
        </w:tc>
        <w:tc>
          <w:tcPr>
            <w:tcW w:w="662" w:type="pct"/>
            <w:gridSpan w:val="2"/>
          </w:tcPr>
          <w:p w14:paraId="209E2DE2" w14:textId="77777777" w:rsidR="003E559F" w:rsidRDefault="003E559F" w:rsidP="000424AD">
            <w:pPr>
              <w:pStyle w:val="Tablebodytext"/>
              <w:jc w:val="right"/>
            </w:pPr>
            <w:r>
              <w:t>2.1%</w:t>
            </w:r>
          </w:p>
        </w:tc>
        <w:tc>
          <w:tcPr>
            <w:tcW w:w="187" w:type="pct"/>
          </w:tcPr>
          <w:p w14:paraId="209E2DE3" w14:textId="77777777" w:rsidR="003E559F" w:rsidRDefault="003E559F" w:rsidP="000424AD">
            <w:pPr>
              <w:pStyle w:val="Tablebodytext"/>
              <w:jc w:val="right"/>
            </w:pPr>
          </w:p>
        </w:tc>
        <w:tc>
          <w:tcPr>
            <w:tcW w:w="755" w:type="pct"/>
          </w:tcPr>
          <w:p w14:paraId="209E2DE4" w14:textId="77777777" w:rsidR="003E559F" w:rsidRDefault="003E559F" w:rsidP="000424AD">
            <w:pPr>
              <w:pStyle w:val="Tablebodytext"/>
              <w:jc w:val="right"/>
            </w:pPr>
            <w:r>
              <w:t>90.3%</w:t>
            </w:r>
          </w:p>
        </w:tc>
        <w:tc>
          <w:tcPr>
            <w:tcW w:w="755" w:type="pct"/>
          </w:tcPr>
          <w:p w14:paraId="209E2DE5" w14:textId="77777777" w:rsidR="003E559F" w:rsidRDefault="003E559F" w:rsidP="000424AD">
            <w:pPr>
              <w:pStyle w:val="Tablebodytext"/>
              <w:jc w:val="right"/>
            </w:pPr>
            <w:r>
              <w:t>5.1%</w:t>
            </w:r>
          </w:p>
        </w:tc>
        <w:tc>
          <w:tcPr>
            <w:tcW w:w="660" w:type="pct"/>
          </w:tcPr>
          <w:p w14:paraId="209E2DE6" w14:textId="77777777" w:rsidR="003E559F" w:rsidRDefault="003E559F" w:rsidP="000424AD">
            <w:pPr>
              <w:pStyle w:val="Tablebodytext"/>
              <w:jc w:val="right"/>
            </w:pPr>
            <w:r>
              <w:t>4.6%</w:t>
            </w:r>
          </w:p>
        </w:tc>
      </w:tr>
      <w:tr w:rsidR="00A4763A" w14:paraId="209E2DF0" w14:textId="77777777" w:rsidTr="000424AD">
        <w:trPr>
          <w:cnfStyle w:val="000000100000" w:firstRow="0" w:lastRow="0" w:firstColumn="0" w:lastColumn="0" w:oddVBand="0" w:evenVBand="0" w:oddHBand="1" w:evenHBand="0" w:firstRowFirstColumn="0" w:firstRowLastColumn="0" w:lastRowFirstColumn="0" w:lastRowLastColumn="0"/>
        </w:trPr>
        <w:tc>
          <w:tcPr>
            <w:tcW w:w="468" w:type="pct"/>
            <w:gridSpan w:val="2"/>
          </w:tcPr>
          <w:p w14:paraId="209E2DE8" w14:textId="77777777" w:rsidR="003E559F" w:rsidRDefault="003E559F" w:rsidP="00A4763A">
            <w:pPr>
              <w:pStyle w:val="Tablebodytext"/>
            </w:pPr>
            <w:r>
              <w:t>2013</w:t>
            </w:r>
          </w:p>
        </w:tc>
        <w:tc>
          <w:tcPr>
            <w:tcW w:w="664" w:type="pct"/>
          </w:tcPr>
          <w:p w14:paraId="209E2DE9" w14:textId="77777777" w:rsidR="003E559F" w:rsidRDefault="003E559F" w:rsidP="000424AD">
            <w:pPr>
              <w:pStyle w:val="Tablebodytext"/>
              <w:jc w:val="right"/>
            </w:pPr>
            <w:r>
              <w:t>92.3%</w:t>
            </w:r>
          </w:p>
        </w:tc>
        <w:tc>
          <w:tcPr>
            <w:tcW w:w="849" w:type="pct"/>
          </w:tcPr>
          <w:p w14:paraId="209E2DEA" w14:textId="77777777" w:rsidR="003E559F" w:rsidRDefault="003E559F" w:rsidP="000424AD">
            <w:pPr>
              <w:pStyle w:val="Tablebodytext"/>
              <w:jc w:val="right"/>
            </w:pPr>
            <w:r>
              <w:t>5.5%</w:t>
            </w:r>
          </w:p>
        </w:tc>
        <w:tc>
          <w:tcPr>
            <w:tcW w:w="662" w:type="pct"/>
            <w:gridSpan w:val="2"/>
          </w:tcPr>
          <w:p w14:paraId="209E2DEB" w14:textId="77777777" w:rsidR="003E559F" w:rsidRDefault="003E559F" w:rsidP="000424AD">
            <w:pPr>
              <w:pStyle w:val="Tablebodytext"/>
              <w:jc w:val="right"/>
            </w:pPr>
            <w:r>
              <w:t>2.2%</w:t>
            </w:r>
          </w:p>
        </w:tc>
        <w:tc>
          <w:tcPr>
            <w:tcW w:w="187" w:type="pct"/>
          </w:tcPr>
          <w:p w14:paraId="209E2DEC" w14:textId="77777777" w:rsidR="003E559F" w:rsidRDefault="003E559F" w:rsidP="000424AD">
            <w:pPr>
              <w:pStyle w:val="Tablebodytext"/>
              <w:jc w:val="right"/>
            </w:pPr>
          </w:p>
        </w:tc>
        <w:tc>
          <w:tcPr>
            <w:tcW w:w="755" w:type="pct"/>
          </w:tcPr>
          <w:p w14:paraId="209E2DED" w14:textId="77777777" w:rsidR="003E559F" w:rsidRDefault="003E559F" w:rsidP="000424AD">
            <w:pPr>
              <w:pStyle w:val="Tablebodytext"/>
              <w:jc w:val="right"/>
            </w:pPr>
            <w:r>
              <w:t>88.3%</w:t>
            </w:r>
          </w:p>
        </w:tc>
        <w:tc>
          <w:tcPr>
            <w:tcW w:w="755" w:type="pct"/>
          </w:tcPr>
          <w:p w14:paraId="209E2DEE" w14:textId="77777777" w:rsidR="003E559F" w:rsidRDefault="003E559F" w:rsidP="000424AD">
            <w:pPr>
              <w:pStyle w:val="Tablebodytext"/>
              <w:jc w:val="right"/>
            </w:pPr>
            <w:r>
              <w:t>7.1%</w:t>
            </w:r>
          </w:p>
        </w:tc>
        <w:tc>
          <w:tcPr>
            <w:tcW w:w="660" w:type="pct"/>
          </w:tcPr>
          <w:p w14:paraId="209E2DEF" w14:textId="77777777" w:rsidR="003E559F" w:rsidRDefault="003E559F" w:rsidP="000424AD">
            <w:pPr>
              <w:pStyle w:val="Tablebodytext"/>
              <w:jc w:val="right"/>
            </w:pPr>
            <w:r>
              <w:t>4.6%</w:t>
            </w:r>
          </w:p>
        </w:tc>
      </w:tr>
      <w:tr w:rsidR="00A4763A" w14:paraId="209E2DF9" w14:textId="77777777" w:rsidTr="000424AD">
        <w:trPr>
          <w:cnfStyle w:val="000000010000" w:firstRow="0" w:lastRow="0" w:firstColumn="0" w:lastColumn="0" w:oddVBand="0" w:evenVBand="0" w:oddHBand="0" w:evenHBand="1" w:firstRowFirstColumn="0" w:firstRowLastColumn="0" w:lastRowFirstColumn="0" w:lastRowLastColumn="0"/>
        </w:trPr>
        <w:tc>
          <w:tcPr>
            <w:tcW w:w="468" w:type="pct"/>
            <w:gridSpan w:val="2"/>
          </w:tcPr>
          <w:p w14:paraId="209E2DF1" w14:textId="77777777" w:rsidR="003E559F" w:rsidRDefault="003E559F" w:rsidP="00A4763A">
            <w:pPr>
              <w:pStyle w:val="Tablebodytext"/>
            </w:pPr>
            <w:r>
              <w:t>All</w:t>
            </w:r>
          </w:p>
        </w:tc>
        <w:tc>
          <w:tcPr>
            <w:tcW w:w="664" w:type="pct"/>
          </w:tcPr>
          <w:p w14:paraId="209E2DF2" w14:textId="77777777" w:rsidR="003E559F" w:rsidRDefault="003E559F" w:rsidP="000424AD">
            <w:pPr>
              <w:pStyle w:val="Tablebodytext"/>
              <w:jc w:val="right"/>
            </w:pPr>
            <w:r>
              <w:t>93.7%</w:t>
            </w:r>
          </w:p>
        </w:tc>
        <w:tc>
          <w:tcPr>
            <w:tcW w:w="849" w:type="pct"/>
          </w:tcPr>
          <w:p w14:paraId="209E2DF3" w14:textId="77777777" w:rsidR="003E559F" w:rsidRDefault="003E559F" w:rsidP="000424AD">
            <w:pPr>
              <w:pStyle w:val="Tablebodytext"/>
              <w:jc w:val="right"/>
            </w:pPr>
            <w:r>
              <w:t>4.6%</w:t>
            </w:r>
          </w:p>
        </w:tc>
        <w:tc>
          <w:tcPr>
            <w:tcW w:w="662" w:type="pct"/>
            <w:gridSpan w:val="2"/>
          </w:tcPr>
          <w:p w14:paraId="209E2DF4" w14:textId="77777777" w:rsidR="003E559F" w:rsidRDefault="003E559F" w:rsidP="000424AD">
            <w:pPr>
              <w:pStyle w:val="Tablebodytext"/>
              <w:jc w:val="right"/>
            </w:pPr>
            <w:r>
              <w:t>1.7%</w:t>
            </w:r>
          </w:p>
        </w:tc>
        <w:tc>
          <w:tcPr>
            <w:tcW w:w="187" w:type="pct"/>
          </w:tcPr>
          <w:p w14:paraId="209E2DF5" w14:textId="77777777" w:rsidR="003E559F" w:rsidRDefault="003E559F" w:rsidP="000424AD">
            <w:pPr>
              <w:pStyle w:val="Tablebodytext"/>
              <w:jc w:val="right"/>
            </w:pPr>
          </w:p>
        </w:tc>
        <w:tc>
          <w:tcPr>
            <w:tcW w:w="755" w:type="pct"/>
          </w:tcPr>
          <w:p w14:paraId="209E2DF6" w14:textId="77777777" w:rsidR="003E559F" w:rsidRDefault="003E559F" w:rsidP="000424AD">
            <w:pPr>
              <w:pStyle w:val="Tablebodytext"/>
              <w:jc w:val="right"/>
            </w:pPr>
            <w:r>
              <w:t>90.0%</w:t>
            </w:r>
          </w:p>
        </w:tc>
        <w:tc>
          <w:tcPr>
            <w:tcW w:w="755" w:type="pct"/>
          </w:tcPr>
          <w:p w14:paraId="209E2DF7" w14:textId="77777777" w:rsidR="003E559F" w:rsidRDefault="003E559F" w:rsidP="000424AD">
            <w:pPr>
              <w:pStyle w:val="Tablebodytext"/>
              <w:jc w:val="right"/>
            </w:pPr>
            <w:r>
              <w:t>5.6%</w:t>
            </w:r>
          </w:p>
        </w:tc>
        <w:tc>
          <w:tcPr>
            <w:tcW w:w="660" w:type="pct"/>
          </w:tcPr>
          <w:p w14:paraId="209E2DF8" w14:textId="77777777" w:rsidR="003E559F" w:rsidRDefault="003E559F" w:rsidP="000424AD">
            <w:pPr>
              <w:pStyle w:val="Tablebodytext"/>
              <w:jc w:val="right"/>
            </w:pPr>
            <w:r>
              <w:t>4.4%</w:t>
            </w:r>
          </w:p>
        </w:tc>
      </w:tr>
    </w:tbl>
    <w:p w14:paraId="209E2DFA" w14:textId="77777777" w:rsidR="00215EFE" w:rsidRDefault="00215EFE" w:rsidP="00FD5C18">
      <w:pPr>
        <w:pStyle w:val="Source"/>
      </w:pPr>
      <w:r>
        <w:t xml:space="preserve">Source: </w:t>
      </w:r>
      <w:r w:rsidR="001D5304">
        <w:t xml:space="preserve">ABS </w:t>
      </w:r>
      <w:r>
        <w:t>Business Characteristics Survey</w:t>
      </w:r>
      <w:r w:rsidR="00FB61D7">
        <w:t xml:space="preserve"> 2005‒2014</w:t>
      </w:r>
    </w:p>
    <w:p w14:paraId="209E2DFB" w14:textId="77777777" w:rsidR="00BF281B" w:rsidRDefault="00BF281B" w:rsidP="00BF281B">
      <w:pPr>
        <w:pStyle w:val="BodyText"/>
      </w:pPr>
      <w:r>
        <w:t>As the numbers show, the majority of firms seeking financing do obtain it. Among firms that received government assistance, 93.7 per cent report that they obtain financing, whereas among firms with no government assistance the prior year the percentage stands at 90.0 per cent. A larger proportion of firms without government assistance also report their financing request being rejected as opposed to those that received government assistance. On its face, the numbers suggest a positive correlation between having received government assistance and obtaining financing and a negative correlation with financing request being rejected.</w:t>
      </w:r>
    </w:p>
    <w:p w14:paraId="209E2DFC" w14:textId="77777777" w:rsidR="00BF281B" w:rsidRDefault="00BF281B" w:rsidP="00BF281B">
      <w:pPr>
        <w:pStyle w:val="BodyText"/>
      </w:pPr>
      <w:r>
        <w:t>The increased propensity to obtain financing by government assisted firms could be driven by the positive perception of such assistance. Alternatively, if more credit-worthy firms are also more likely to receive government assistance, the difference can be purely a selection effect. Whether firms receiving government assistance are systematically more or less credit-worthy than other firms can be inferred by comparing their overall performance. I use a few different measures of performance that reflect a firm’s capabilities and rep</w:t>
      </w:r>
      <w:r w:rsidR="00CE4D8E">
        <w:t xml:space="preserve">ort those in </w:t>
      </w:r>
      <w:r w:rsidR="00CE4D8E">
        <w:fldChar w:fldCharType="begin"/>
      </w:r>
      <w:r w:rsidR="00CE4D8E">
        <w:instrText xml:space="preserve"> REF _Ref519603675 \h </w:instrText>
      </w:r>
      <w:r w:rsidR="00CE4D8E">
        <w:fldChar w:fldCharType="separate"/>
      </w:r>
      <w:r w:rsidR="00851CD1" w:rsidRPr="000618FB">
        <w:t xml:space="preserve">Table </w:t>
      </w:r>
      <w:r w:rsidR="00851CD1">
        <w:rPr>
          <w:noProof/>
        </w:rPr>
        <w:t>4</w:t>
      </w:r>
      <w:r w:rsidR="00851CD1" w:rsidRPr="000618FB">
        <w:t>.</w:t>
      </w:r>
      <w:r w:rsidR="00851CD1">
        <w:rPr>
          <w:noProof/>
        </w:rPr>
        <w:t>3</w:t>
      </w:r>
      <w:r w:rsidR="00CE4D8E">
        <w:fldChar w:fldCharType="end"/>
      </w:r>
      <w:r>
        <w:t>.</w:t>
      </w:r>
    </w:p>
    <w:p w14:paraId="209E2DFD" w14:textId="77777777" w:rsidR="003D6536" w:rsidRDefault="003D6536" w:rsidP="003D6536">
      <w:pPr>
        <w:pStyle w:val="BodyText"/>
      </w:pPr>
      <w:r>
        <w:t>The numbers in the table make it evident that government assisted firms lag behind other firms in many areas. In the first instance, I look at young firms. For this purpose, and in the remainder, I define young as being two years old or younger and assign them as mature otherwise. Bakhtiari (2017) shows that young firms in Australia start to behave very similar to mature firms by the age of three in terms of job creation and destruction, which serves as the basis for this classification. In the table, mature firms are more likely than young firms to receive government assistance.</w:t>
      </w:r>
    </w:p>
    <w:p w14:paraId="209E2DFE" w14:textId="77777777" w:rsidR="00DD4C1A" w:rsidRDefault="00DD4C1A" w:rsidP="00DD4C1A">
      <w:pPr>
        <w:pStyle w:val="BodyText"/>
      </w:pPr>
      <w:r>
        <w:t>Firms in the BCS report whether they had to abandon some project or process during the year.</w:t>
      </w:r>
      <w:r>
        <w:rPr>
          <w:rStyle w:val="FootnoteReference"/>
        </w:rPr>
        <w:footnoteReference w:id="4"/>
      </w:r>
      <w:r>
        <w:t xml:space="preserve"> I look at these firms in the next part of the table. Again, among </w:t>
      </w:r>
      <w:r>
        <w:lastRenderedPageBreak/>
        <w:t>those firms that had to abandon some project, a larger proportion is receiving government assistance.</w:t>
      </w:r>
    </w:p>
    <w:p w14:paraId="209E2DFF" w14:textId="77777777" w:rsidR="00F4635C" w:rsidRDefault="00F4635C" w:rsidP="00FD5C18">
      <w:pPr>
        <w:pStyle w:val="Caption"/>
      </w:pPr>
      <w:bookmarkStart w:id="2" w:name="_Ref519603675"/>
      <w:r w:rsidRPr="000618FB">
        <w:t xml:space="preserve">Table </w:t>
      </w:r>
      <w:r>
        <w:rPr>
          <w:noProof/>
        </w:rPr>
        <w:fldChar w:fldCharType="begin"/>
      </w:r>
      <w:r>
        <w:rPr>
          <w:noProof/>
        </w:rPr>
        <w:instrText xml:space="preserve"> STYLEREF 1 \s </w:instrText>
      </w:r>
      <w:r>
        <w:rPr>
          <w:noProof/>
        </w:rPr>
        <w:fldChar w:fldCharType="separate"/>
      </w:r>
      <w:r w:rsidR="00851CD1">
        <w:rPr>
          <w:noProof/>
        </w:rPr>
        <w:t>4</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851CD1">
        <w:rPr>
          <w:noProof/>
        </w:rPr>
        <w:t>3</w:t>
      </w:r>
      <w:r>
        <w:rPr>
          <w:noProof/>
        </w:rPr>
        <w:fldChar w:fldCharType="end"/>
      </w:r>
      <w:bookmarkEnd w:id="2"/>
      <w:r w:rsidRPr="000618FB">
        <w:t xml:space="preserve">: </w:t>
      </w:r>
      <w:r>
        <w:t>The performance of government assisted firms compared to other firms using a few measures of performance</w:t>
      </w:r>
    </w:p>
    <w:tbl>
      <w:tblPr>
        <w:tblStyle w:val="OCETable"/>
        <w:tblW w:w="5000" w:type="pct"/>
        <w:tblLook w:val="04A0" w:firstRow="1" w:lastRow="0" w:firstColumn="1" w:lastColumn="0" w:noHBand="0" w:noVBand="1"/>
        <w:tblCaption w:val="Performance of government assisted firms"/>
        <w:tblDescription w:val="Firms assisted by government are generally lower in productivity, larger and olde, and less likely to be exporting. Their business is also more likely to be hampered and they are also more likely to have abandoned some project."/>
      </w:tblPr>
      <w:tblGrid>
        <w:gridCol w:w="3054"/>
        <w:gridCol w:w="1150"/>
        <w:gridCol w:w="1300"/>
        <w:gridCol w:w="1390"/>
      </w:tblGrid>
      <w:tr w:rsidR="00002BFD" w14:paraId="209E2E03" w14:textId="77777777" w:rsidTr="006933A3">
        <w:trPr>
          <w:cnfStyle w:val="100000000000" w:firstRow="1" w:lastRow="0" w:firstColumn="0" w:lastColumn="0" w:oddVBand="0" w:evenVBand="0" w:oddHBand="0" w:evenHBand="0" w:firstRowFirstColumn="0" w:firstRowLastColumn="0" w:lastRowFirstColumn="0" w:lastRowLastColumn="0"/>
          <w:tblHeader/>
        </w:trPr>
        <w:tc>
          <w:tcPr>
            <w:tcW w:w="2215" w:type="pct"/>
            <w:tcBorders>
              <w:bottom w:val="none" w:sz="0" w:space="0" w:color="auto"/>
            </w:tcBorders>
            <w:shd w:val="clear" w:color="auto" w:fill="005CAF" w:themeFill="accent1"/>
          </w:tcPr>
          <w:p w14:paraId="209E2E00" w14:textId="77777777" w:rsidR="00002BFD" w:rsidRDefault="00002BFD" w:rsidP="00A4763A">
            <w:pPr>
              <w:pStyle w:val="Tableheadertext"/>
            </w:pPr>
          </w:p>
        </w:tc>
        <w:tc>
          <w:tcPr>
            <w:tcW w:w="1777" w:type="pct"/>
            <w:gridSpan w:val="2"/>
            <w:tcBorders>
              <w:bottom w:val="none" w:sz="0" w:space="0" w:color="auto"/>
            </w:tcBorders>
            <w:shd w:val="clear" w:color="auto" w:fill="005CAF" w:themeFill="accent1"/>
          </w:tcPr>
          <w:p w14:paraId="209E2E01" w14:textId="77777777" w:rsidR="00002BFD" w:rsidRPr="00002BFD" w:rsidRDefault="00002BFD" w:rsidP="00402D55">
            <w:pPr>
              <w:pStyle w:val="Tableheadertext"/>
              <w:jc w:val="right"/>
              <w:rPr>
                <w:color w:val="FFFFFF" w:themeColor="background1"/>
              </w:rPr>
            </w:pPr>
            <w:r>
              <w:rPr>
                <w:color w:val="FFFFFF" w:themeColor="background1"/>
              </w:rPr>
              <w:t>Government Assisted</w:t>
            </w:r>
          </w:p>
        </w:tc>
        <w:tc>
          <w:tcPr>
            <w:tcW w:w="1008" w:type="pct"/>
            <w:tcBorders>
              <w:bottom w:val="none" w:sz="0" w:space="0" w:color="auto"/>
            </w:tcBorders>
            <w:shd w:val="clear" w:color="auto" w:fill="005CAF" w:themeFill="accent1"/>
          </w:tcPr>
          <w:p w14:paraId="209E2E02" w14:textId="77777777" w:rsidR="00002BFD" w:rsidRDefault="00002BFD" w:rsidP="00402D55">
            <w:pPr>
              <w:pStyle w:val="Tableheadertext"/>
              <w:jc w:val="right"/>
            </w:pPr>
          </w:p>
        </w:tc>
      </w:tr>
      <w:tr w:rsidR="00F4635C" w14:paraId="209E2E08" w14:textId="77777777" w:rsidTr="00A4763A">
        <w:trPr>
          <w:cnfStyle w:val="000000100000" w:firstRow="0" w:lastRow="0" w:firstColumn="0" w:lastColumn="0" w:oddVBand="0" w:evenVBand="0" w:oddHBand="1" w:evenHBand="0" w:firstRowFirstColumn="0" w:firstRowLastColumn="0" w:lastRowFirstColumn="0" w:lastRowLastColumn="0"/>
        </w:trPr>
        <w:tc>
          <w:tcPr>
            <w:tcW w:w="2215" w:type="pct"/>
            <w:shd w:val="clear" w:color="auto" w:fill="005CAF" w:themeFill="accent1"/>
          </w:tcPr>
          <w:p w14:paraId="209E2E04" w14:textId="77777777" w:rsidR="00BF281B" w:rsidRDefault="00BF281B" w:rsidP="00A4763A">
            <w:pPr>
              <w:pStyle w:val="Tableheadertext"/>
            </w:pPr>
          </w:p>
        </w:tc>
        <w:tc>
          <w:tcPr>
            <w:tcW w:w="834" w:type="pct"/>
            <w:shd w:val="clear" w:color="auto" w:fill="005CAF" w:themeFill="accent1"/>
          </w:tcPr>
          <w:p w14:paraId="209E2E05" w14:textId="77777777" w:rsidR="00BF281B" w:rsidRDefault="00BF281B" w:rsidP="00402D55">
            <w:pPr>
              <w:pStyle w:val="Tableheadertext"/>
              <w:jc w:val="right"/>
            </w:pPr>
            <w:r>
              <w:t>Yes</w:t>
            </w:r>
          </w:p>
        </w:tc>
        <w:tc>
          <w:tcPr>
            <w:tcW w:w="943" w:type="pct"/>
            <w:shd w:val="clear" w:color="auto" w:fill="005CAF" w:themeFill="accent1"/>
          </w:tcPr>
          <w:p w14:paraId="209E2E06" w14:textId="77777777" w:rsidR="00BF281B" w:rsidRDefault="00BF281B" w:rsidP="00402D55">
            <w:pPr>
              <w:pStyle w:val="Tableheadertext"/>
              <w:jc w:val="right"/>
            </w:pPr>
            <w:r>
              <w:t>No</w:t>
            </w:r>
          </w:p>
        </w:tc>
        <w:tc>
          <w:tcPr>
            <w:tcW w:w="1008" w:type="pct"/>
            <w:shd w:val="clear" w:color="auto" w:fill="005CAF" w:themeFill="accent1"/>
          </w:tcPr>
          <w:p w14:paraId="209E2E07" w14:textId="77777777" w:rsidR="00BF281B" w:rsidRDefault="00002BFD" w:rsidP="00402D55">
            <w:pPr>
              <w:pStyle w:val="Tableheadertext"/>
              <w:jc w:val="right"/>
            </w:pPr>
            <w:r>
              <w:t>#</w:t>
            </w:r>
            <w:r w:rsidR="00BF281B">
              <w:t>Firms</w:t>
            </w:r>
          </w:p>
        </w:tc>
      </w:tr>
      <w:tr w:rsidR="00F4635C" w14:paraId="209E2E0D" w14:textId="77777777" w:rsidTr="00F4635C">
        <w:trPr>
          <w:cnfStyle w:val="000000010000" w:firstRow="0" w:lastRow="0" w:firstColumn="0" w:lastColumn="0" w:oddVBand="0" w:evenVBand="0" w:oddHBand="0" w:evenHBand="1" w:firstRowFirstColumn="0" w:firstRowLastColumn="0" w:lastRowFirstColumn="0" w:lastRowLastColumn="0"/>
        </w:trPr>
        <w:tc>
          <w:tcPr>
            <w:tcW w:w="2215" w:type="pct"/>
          </w:tcPr>
          <w:p w14:paraId="209E2E09" w14:textId="77777777" w:rsidR="00BF281B" w:rsidRDefault="00BF281B" w:rsidP="00F4635C">
            <w:pPr>
              <w:pStyle w:val="Tablebodytext"/>
            </w:pPr>
            <w:r>
              <w:t>Young</w:t>
            </w:r>
          </w:p>
        </w:tc>
        <w:tc>
          <w:tcPr>
            <w:tcW w:w="834" w:type="pct"/>
          </w:tcPr>
          <w:p w14:paraId="209E2E0A" w14:textId="77777777" w:rsidR="00BF281B" w:rsidRDefault="00BF281B" w:rsidP="00402D55">
            <w:pPr>
              <w:pStyle w:val="Tablebodytext"/>
              <w:jc w:val="right"/>
            </w:pPr>
          </w:p>
        </w:tc>
        <w:tc>
          <w:tcPr>
            <w:tcW w:w="943" w:type="pct"/>
          </w:tcPr>
          <w:p w14:paraId="209E2E0B" w14:textId="77777777" w:rsidR="00BF281B" w:rsidRDefault="00BF281B" w:rsidP="00402D55">
            <w:pPr>
              <w:pStyle w:val="Tablebodytext"/>
              <w:jc w:val="right"/>
            </w:pPr>
          </w:p>
        </w:tc>
        <w:tc>
          <w:tcPr>
            <w:tcW w:w="1008" w:type="pct"/>
          </w:tcPr>
          <w:p w14:paraId="209E2E0C" w14:textId="77777777" w:rsidR="00BF281B" w:rsidRDefault="00BF281B" w:rsidP="00402D55">
            <w:pPr>
              <w:pStyle w:val="Tablebodytext"/>
              <w:jc w:val="right"/>
            </w:pPr>
          </w:p>
        </w:tc>
      </w:tr>
      <w:tr w:rsidR="00F4635C" w14:paraId="209E2E12" w14:textId="77777777" w:rsidTr="00F4635C">
        <w:trPr>
          <w:cnfStyle w:val="000000100000" w:firstRow="0" w:lastRow="0" w:firstColumn="0" w:lastColumn="0" w:oddVBand="0" w:evenVBand="0" w:oddHBand="1" w:evenHBand="0" w:firstRowFirstColumn="0" w:firstRowLastColumn="0" w:lastRowFirstColumn="0" w:lastRowLastColumn="0"/>
        </w:trPr>
        <w:tc>
          <w:tcPr>
            <w:tcW w:w="2215" w:type="pct"/>
          </w:tcPr>
          <w:p w14:paraId="209E2E0E" w14:textId="77777777" w:rsidR="00BF281B" w:rsidRDefault="00BF281B" w:rsidP="00F4635C">
            <w:pPr>
              <w:pStyle w:val="Tablebodytext"/>
            </w:pPr>
            <w:r>
              <w:t>Yes</w:t>
            </w:r>
          </w:p>
        </w:tc>
        <w:tc>
          <w:tcPr>
            <w:tcW w:w="834" w:type="pct"/>
          </w:tcPr>
          <w:p w14:paraId="209E2E0F" w14:textId="77777777" w:rsidR="00BF281B" w:rsidRDefault="00BF281B" w:rsidP="00402D55">
            <w:pPr>
              <w:pStyle w:val="Tablebodytext"/>
              <w:jc w:val="right"/>
            </w:pPr>
            <w:r>
              <w:t>10.2</w:t>
            </w:r>
          </w:p>
        </w:tc>
        <w:tc>
          <w:tcPr>
            <w:tcW w:w="943" w:type="pct"/>
          </w:tcPr>
          <w:p w14:paraId="209E2E10" w14:textId="77777777" w:rsidR="00BF281B" w:rsidRDefault="00BF281B" w:rsidP="00402D55">
            <w:pPr>
              <w:pStyle w:val="Tablebodytext"/>
              <w:jc w:val="right"/>
            </w:pPr>
            <w:r>
              <w:t>89.8</w:t>
            </w:r>
          </w:p>
        </w:tc>
        <w:tc>
          <w:tcPr>
            <w:tcW w:w="1008" w:type="pct"/>
          </w:tcPr>
          <w:p w14:paraId="209E2E11" w14:textId="77777777" w:rsidR="00BF281B" w:rsidRDefault="00BF281B" w:rsidP="00402D55">
            <w:pPr>
              <w:pStyle w:val="Tablebodytext"/>
              <w:jc w:val="right"/>
            </w:pPr>
            <w:r>
              <w:t>7,971</w:t>
            </w:r>
          </w:p>
        </w:tc>
      </w:tr>
      <w:tr w:rsidR="00F4635C" w14:paraId="209E2E17" w14:textId="77777777" w:rsidTr="00856D4D">
        <w:trPr>
          <w:cnfStyle w:val="000000010000" w:firstRow="0" w:lastRow="0" w:firstColumn="0" w:lastColumn="0" w:oddVBand="0" w:evenVBand="0" w:oddHBand="0" w:evenHBand="1" w:firstRowFirstColumn="0" w:firstRowLastColumn="0" w:lastRowFirstColumn="0" w:lastRowLastColumn="0"/>
        </w:trPr>
        <w:tc>
          <w:tcPr>
            <w:tcW w:w="2215" w:type="pct"/>
            <w:tcBorders>
              <w:bottom w:val="single" w:sz="4" w:space="0" w:color="auto"/>
            </w:tcBorders>
          </w:tcPr>
          <w:p w14:paraId="209E2E13" w14:textId="77777777" w:rsidR="00F4635C" w:rsidRDefault="00856D4D" w:rsidP="00F4635C">
            <w:pPr>
              <w:pStyle w:val="Tablebodytext"/>
            </w:pPr>
            <w:r>
              <w:t>No</w:t>
            </w:r>
          </w:p>
        </w:tc>
        <w:tc>
          <w:tcPr>
            <w:tcW w:w="834" w:type="pct"/>
          </w:tcPr>
          <w:p w14:paraId="209E2E14" w14:textId="77777777" w:rsidR="00BF281B" w:rsidRDefault="00BF281B" w:rsidP="00402D55">
            <w:pPr>
              <w:pStyle w:val="Tablebodytext"/>
              <w:jc w:val="right"/>
            </w:pPr>
            <w:r>
              <w:t>20.6</w:t>
            </w:r>
          </w:p>
        </w:tc>
        <w:tc>
          <w:tcPr>
            <w:tcW w:w="943" w:type="pct"/>
          </w:tcPr>
          <w:p w14:paraId="209E2E15" w14:textId="77777777" w:rsidR="00BF281B" w:rsidRDefault="00BF281B" w:rsidP="00402D55">
            <w:pPr>
              <w:pStyle w:val="Tablebodytext"/>
              <w:jc w:val="right"/>
            </w:pPr>
            <w:r>
              <w:t>79.4</w:t>
            </w:r>
          </w:p>
        </w:tc>
        <w:tc>
          <w:tcPr>
            <w:tcW w:w="1008" w:type="pct"/>
          </w:tcPr>
          <w:p w14:paraId="209E2E16" w14:textId="77777777" w:rsidR="00BF281B" w:rsidRDefault="00BF281B" w:rsidP="00402D55">
            <w:pPr>
              <w:pStyle w:val="Tablebodytext"/>
              <w:jc w:val="right"/>
            </w:pPr>
            <w:r>
              <w:t>129,756</w:t>
            </w:r>
          </w:p>
        </w:tc>
      </w:tr>
      <w:tr w:rsidR="00F4635C" w14:paraId="209E2E1C" w14:textId="77777777" w:rsidTr="00856D4D">
        <w:trPr>
          <w:cnfStyle w:val="000000100000" w:firstRow="0" w:lastRow="0" w:firstColumn="0" w:lastColumn="0" w:oddVBand="0" w:evenVBand="0" w:oddHBand="1" w:evenHBand="0" w:firstRowFirstColumn="0" w:firstRowLastColumn="0" w:lastRowFirstColumn="0" w:lastRowLastColumn="0"/>
        </w:trPr>
        <w:tc>
          <w:tcPr>
            <w:tcW w:w="2215" w:type="pct"/>
            <w:tcBorders>
              <w:top w:val="single" w:sz="4" w:space="0" w:color="auto"/>
            </w:tcBorders>
          </w:tcPr>
          <w:p w14:paraId="209E2E18" w14:textId="77777777" w:rsidR="00BF281B" w:rsidRDefault="00BF281B" w:rsidP="00F4635C">
            <w:pPr>
              <w:pStyle w:val="Tablebodytext"/>
            </w:pPr>
            <w:r>
              <w:t>Projects Abandoned</w:t>
            </w:r>
          </w:p>
        </w:tc>
        <w:tc>
          <w:tcPr>
            <w:tcW w:w="834" w:type="pct"/>
          </w:tcPr>
          <w:p w14:paraId="209E2E19" w14:textId="77777777" w:rsidR="00BF281B" w:rsidRDefault="00BF281B" w:rsidP="00402D55">
            <w:pPr>
              <w:pStyle w:val="Tablebodytext"/>
              <w:jc w:val="right"/>
            </w:pPr>
          </w:p>
        </w:tc>
        <w:tc>
          <w:tcPr>
            <w:tcW w:w="943" w:type="pct"/>
          </w:tcPr>
          <w:p w14:paraId="209E2E1A" w14:textId="77777777" w:rsidR="00BF281B" w:rsidRDefault="00BF281B" w:rsidP="00402D55">
            <w:pPr>
              <w:pStyle w:val="Tablebodytext"/>
              <w:jc w:val="right"/>
            </w:pPr>
          </w:p>
        </w:tc>
        <w:tc>
          <w:tcPr>
            <w:tcW w:w="1008" w:type="pct"/>
          </w:tcPr>
          <w:p w14:paraId="209E2E1B" w14:textId="77777777" w:rsidR="00BF281B" w:rsidRDefault="00BF281B" w:rsidP="00402D55">
            <w:pPr>
              <w:pStyle w:val="Tablebodytext"/>
              <w:jc w:val="right"/>
            </w:pPr>
          </w:p>
        </w:tc>
      </w:tr>
      <w:tr w:rsidR="00F4635C" w14:paraId="209E2E21" w14:textId="77777777" w:rsidTr="00F4635C">
        <w:trPr>
          <w:cnfStyle w:val="000000010000" w:firstRow="0" w:lastRow="0" w:firstColumn="0" w:lastColumn="0" w:oddVBand="0" w:evenVBand="0" w:oddHBand="0" w:evenHBand="1" w:firstRowFirstColumn="0" w:firstRowLastColumn="0" w:lastRowFirstColumn="0" w:lastRowLastColumn="0"/>
        </w:trPr>
        <w:tc>
          <w:tcPr>
            <w:tcW w:w="2215" w:type="pct"/>
          </w:tcPr>
          <w:p w14:paraId="209E2E1D" w14:textId="77777777" w:rsidR="00BF281B" w:rsidRDefault="00BF281B" w:rsidP="00F4635C">
            <w:pPr>
              <w:pStyle w:val="Tablebodytext"/>
            </w:pPr>
            <w:r>
              <w:t>Yes</w:t>
            </w:r>
          </w:p>
        </w:tc>
        <w:tc>
          <w:tcPr>
            <w:tcW w:w="834" w:type="pct"/>
          </w:tcPr>
          <w:p w14:paraId="209E2E1E" w14:textId="77777777" w:rsidR="00BF281B" w:rsidRDefault="00BF281B" w:rsidP="00402D55">
            <w:pPr>
              <w:pStyle w:val="Tablebodytext"/>
              <w:jc w:val="right"/>
            </w:pPr>
            <w:r>
              <w:t>29.5</w:t>
            </w:r>
          </w:p>
        </w:tc>
        <w:tc>
          <w:tcPr>
            <w:tcW w:w="943" w:type="pct"/>
          </w:tcPr>
          <w:p w14:paraId="209E2E1F" w14:textId="77777777" w:rsidR="00BF281B" w:rsidRDefault="00BF281B" w:rsidP="00402D55">
            <w:pPr>
              <w:pStyle w:val="Tablebodytext"/>
              <w:jc w:val="right"/>
            </w:pPr>
            <w:r>
              <w:t>70.5</w:t>
            </w:r>
          </w:p>
        </w:tc>
        <w:tc>
          <w:tcPr>
            <w:tcW w:w="1008" w:type="pct"/>
          </w:tcPr>
          <w:p w14:paraId="209E2E20" w14:textId="77777777" w:rsidR="00BF281B" w:rsidRDefault="00BF281B" w:rsidP="00402D55">
            <w:pPr>
              <w:pStyle w:val="Tablebodytext"/>
              <w:jc w:val="right"/>
            </w:pPr>
            <w:r>
              <w:t>8,086</w:t>
            </w:r>
          </w:p>
        </w:tc>
      </w:tr>
      <w:tr w:rsidR="00F4635C" w14:paraId="209E2E26" w14:textId="77777777" w:rsidTr="00856D4D">
        <w:trPr>
          <w:cnfStyle w:val="000000100000" w:firstRow="0" w:lastRow="0" w:firstColumn="0" w:lastColumn="0" w:oddVBand="0" w:evenVBand="0" w:oddHBand="1" w:evenHBand="0" w:firstRowFirstColumn="0" w:firstRowLastColumn="0" w:lastRowFirstColumn="0" w:lastRowLastColumn="0"/>
        </w:trPr>
        <w:tc>
          <w:tcPr>
            <w:tcW w:w="2215" w:type="pct"/>
            <w:tcBorders>
              <w:bottom w:val="single" w:sz="4" w:space="0" w:color="auto"/>
            </w:tcBorders>
          </w:tcPr>
          <w:p w14:paraId="209E2E22" w14:textId="77777777" w:rsidR="00F4635C" w:rsidRDefault="00856D4D" w:rsidP="00F4635C">
            <w:pPr>
              <w:pStyle w:val="Tablebodytext"/>
            </w:pPr>
            <w:r>
              <w:t>No</w:t>
            </w:r>
          </w:p>
        </w:tc>
        <w:tc>
          <w:tcPr>
            <w:tcW w:w="834" w:type="pct"/>
          </w:tcPr>
          <w:p w14:paraId="209E2E23" w14:textId="77777777" w:rsidR="00BF281B" w:rsidRDefault="00BF281B" w:rsidP="00402D55">
            <w:pPr>
              <w:pStyle w:val="Tablebodytext"/>
              <w:jc w:val="right"/>
            </w:pPr>
            <w:r>
              <w:t>19.4</w:t>
            </w:r>
          </w:p>
        </w:tc>
        <w:tc>
          <w:tcPr>
            <w:tcW w:w="943" w:type="pct"/>
          </w:tcPr>
          <w:p w14:paraId="209E2E24" w14:textId="77777777" w:rsidR="00BF281B" w:rsidRDefault="00BF281B" w:rsidP="00402D55">
            <w:pPr>
              <w:pStyle w:val="Tablebodytext"/>
              <w:jc w:val="right"/>
            </w:pPr>
            <w:r>
              <w:t>80.6</w:t>
            </w:r>
          </w:p>
        </w:tc>
        <w:tc>
          <w:tcPr>
            <w:tcW w:w="1008" w:type="pct"/>
          </w:tcPr>
          <w:p w14:paraId="209E2E25" w14:textId="77777777" w:rsidR="00BF281B" w:rsidRDefault="00BF281B" w:rsidP="00402D55">
            <w:pPr>
              <w:pStyle w:val="Tablebodytext"/>
              <w:jc w:val="right"/>
            </w:pPr>
            <w:r>
              <w:t>129,641</w:t>
            </w:r>
          </w:p>
        </w:tc>
      </w:tr>
      <w:tr w:rsidR="00F4635C" w14:paraId="209E2E2B" w14:textId="77777777" w:rsidTr="00856D4D">
        <w:trPr>
          <w:cnfStyle w:val="000000010000" w:firstRow="0" w:lastRow="0" w:firstColumn="0" w:lastColumn="0" w:oddVBand="0" w:evenVBand="0" w:oddHBand="0" w:evenHBand="1" w:firstRowFirstColumn="0" w:firstRowLastColumn="0" w:lastRowFirstColumn="0" w:lastRowLastColumn="0"/>
        </w:trPr>
        <w:tc>
          <w:tcPr>
            <w:tcW w:w="2215" w:type="pct"/>
            <w:tcBorders>
              <w:top w:val="single" w:sz="4" w:space="0" w:color="auto"/>
            </w:tcBorders>
          </w:tcPr>
          <w:p w14:paraId="209E2E27" w14:textId="77777777" w:rsidR="00BF281B" w:rsidRDefault="00BF281B" w:rsidP="00F4635C">
            <w:pPr>
              <w:pStyle w:val="Tablebodytext"/>
            </w:pPr>
            <w:r>
              <w:t>Business Unhampered</w:t>
            </w:r>
          </w:p>
        </w:tc>
        <w:tc>
          <w:tcPr>
            <w:tcW w:w="834" w:type="pct"/>
          </w:tcPr>
          <w:p w14:paraId="209E2E28" w14:textId="77777777" w:rsidR="00BF281B" w:rsidRDefault="00BF281B" w:rsidP="00402D55">
            <w:pPr>
              <w:pStyle w:val="Tablebodytext"/>
              <w:jc w:val="right"/>
            </w:pPr>
          </w:p>
        </w:tc>
        <w:tc>
          <w:tcPr>
            <w:tcW w:w="943" w:type="pct"/>
          </w:tcPr>
          <w:p w14:paraId="209E2E29" w14:textId="77777777" w:rsidR="00BF281B" w:rsidRDefault="00BF281B" w:rsidP="00402D55">
            <w:pPr>
              <w:pStyle w:val="Tablebodytext"/>
              <w:jc w:val="right"/>
            </w:pPr>
          </w:p>
        </w:tc>
        <w:tc>
          <w:tcPr>
            <w:tcW w:w="1008" w:type="pct"/>
          </w:tcPr>
          <w:p w14:paraId="209E2E2A" w14:textId="77777777" w:rsidR="00BF281B" w:rsidRDefault="00BF281B" w:rsidP="00402D55">
            <w:pPr>
              <w:pStyle w:val="Tablebodytext"/>
              <w:jc w:val="right"/>
            </w:pPr>
          </w:p>
        </w:tc>
      </w:tr>
      <w:tr w:rsidR="00F4635C" w14:paraId="209E2E30" w14:textId="77777777" w:rsidTr="00F4635C">
        <w:trPr>
          <w:cnfStyle w:val="000000100000" w:firstRow="0" w:lastRow="0" w:firstColumn="0" w:lastColumn="0" w:oddVBand="0" w:evenVBand="0" w:oddHBand="1" w:evenHBand="0" w:firstRowFirstColumn="0" w:firstRowLastColumn="0" w:lastRowFirstColumn="0" w:lastRowLastColumn="0"/>
        </w:trPr>
        <w:tc>
          <w:tcPr>
            <w:tcW w:w="2215" w:type="pct"/>
          </w:tcPr>
          <w:p w14:paraId="209E2E2C" w14:textId="77777777" w:rsidR="00BF281B" w:rsidRDefault="00BF281B" w:rsidP="00F4635C">
            <w:pPr>
              <w:pStyle w:val="Tablebodytext"/>
            </w:pPr>
            <w:r>
              <w:t>Yes</w:t>
            </w:r>
          </w:p>
        </w:tc>
        <w:tc>
          <w:tcPr>
            <w:tcW w:w="834" w:type="pct"/>
          </w:tcPr>
          <w:p w14:paraId="209E2E2D" w14:textId="77777777" w:rsidR="00BF281B" w:rsidRDefault="00BF281B" w:rsidP="00402D55">
            <w:pPr>
              <w:pStyle w:val="Tablebodytext"/>
              <w:jc w:val="right"/>
            </w:pPr>
            <w:r>
              <w:t>18.9</w:t>
            </w:r>
          </w:p>
        </w:tc>
        <w:tc>
          <w:tcPr>
            <w:tcW w:w="943" w:type="pct"/>
          </w:tcPr>
          <w:p w14:paraId="209E2E2E" w14:textId="77777777" w:rsidR="00BF281B" w:rsidRDefault="00BF281B" w:rsidP="00402D55">
            <w:pPr>
              <w:pStyle w:val="Tablebodytext"/>
              <w:jc w:val="right"/>
            </w:pPr>
            <w:r>
              <w:t>81.1</w:t>
            </w:r>
          </w:p>
        </w:tc>
        <w:tc>
          <w:tcPr>
            <w:tcW w:w="1008" w:type="pct"/>
          </w:tcPr>
          <w:p w14:paraId="209E2E2F" w14:textId="77777777" w:rsidR="00BF281B" w:rsidRDefault="00BF281B" w:rsidP="00402D55">
            <w:pPr>
              <w:pStyle w:val="Tablebodytext"/>
              <w:jc w:val="right"/>
            </w:pPr>
            <w:r>
              <w:t>125,669</w:t>
            </w:r>
          </w:p>
        </w:tc>
      </w:tr>
      <w:tr w:rsidR="00F4635C" w14:paraId="209E2E35" w14:textId="77777777" w:rsidTr="00856D4D">
        <w:trPr>
          <w:cnfStyle w:val="000000010000" w:firstRow="0" w:lastRow="0" w:firstColumn="0" w:lastColumn="0" w:oddVBand="0" w:evenVBand="0" w:oddHBand="0" w:evenHBand="1" w:firstRowFirstColumn="0" w:firstRowLastColumn="0" w:lastRowFirstColumn="0" w:lastRowLastColumn="0"/>
        </w:trPr>
        <w:tc>
          <w:tcPr>
            <w:tcW w:w="2215" w:type="pct"/>
            <w:tcBorders>
              <w:bottom w:val="single" w:sz="4" w:space="0" w:color="auto"/>
            </w:tcBorders>
          </w:tcPr>
          <w:p w14:paraId="209E2E31" w14:textId="77777777" w:rsidR="00F4635C" w:rsidRDefault="00856D4D" w:rsidP="00F4635C">
            <w:pPr>
              <w:pStyle w:val="Tablebodytext"/>
            </w:pPr>
            <w:r>
              <w:t>No</w:t>
            </w:r>
          </w:p>
        </w:tc>
        <w:tc>
          <w:tcPr>
            <w:tcW w:w="834" w:type="pct"/>
          </w:tcPr>
          <w:p w14:paraId="209E2E32" w14:textId="77777777" w:rsidR="00BF281B" w:rsidRDefault="00BF281B" w:rsidP="00402D55">
            <w:pPr>
              <w:pStyle w:val="Tablebodytext"/>
              <w:jc w:val="right"/>
            </w:pPr>
            <w:r>
              <w:t>30.6</w:t>
            </w:r>
          </w:p>
        </w:tc>
        <w:tc>
          <w:tcPr>
            <w:tcW w:w="943" w:type="pct"/>
          </w:tcPr>
          <w:p w14:paraId="209E2E33" w14:textId="77777777" w:rsidR="00BF281B" w:rsidRDefault="00BF281B" w:rsidP="00402D55">
            <w:pPr>
              <w:pStyle w:val="Tablebodytext"/>
              <w:jc w:val="right"/>
            </w:pPr>
            <w:r>
              <w:t>69.4</w:t>
            </w:r>
          </w:p>
        </w:tc>
        <w:tc>
          <w:tcPr>
            <w:tcW w:w="1008" w:type="pct"/>
          </w:tcPr>
          <w:p w14:paraId="209E2E34" w14:textId="77777777" w:rsidR="00BF281B" w:rsidRDefault="00BF281B" w:rsidP="00402D55">
            <w:pPr>
              <w:pStyle w:val="Tablebodytext"/>
              <w:jc w:val="right"/>
            </w:pPr>
            <w:r>
              <w:t>12,058</w:t>
            </w:r>
          </w:p>
        </w:tc>
      </w:tr>
      <w:tr w:rsidR="00F4635C" w14:paraId="209E2E3A" w14:textId="77777777" w:rsidTr="00856D4D">
        <w:trPr>
          <w:cnfStyle w:val="000000100000" w:firstRow="0" w:lastRow="0" w:firstColumn="0" w:lastColumn="0" w:oddVBand="0" w:evenVBand="0" w:oddHBand="1" w:evenHBand="0" w:firstRowFirstColumn="0" w:firstRowLastColumn="0" w:lastRowFirstColumn="0" w:lastRowLastColumn="0"/>
        </w:trPr>
        <w:tc>
          <w:tcPr>
            <w:tcW w:w="2215" w:type="pct"/>
            <w:tcBorders>
              <w:top w:val="single" w:sz="4" w:space="0" w:color="auto"/>
            </w:tcBorders>
          </w:tcPr>
          <w:p w14:paraId="209E2E36" w14:textId="77777777" w:rsidR="00BF281B" w:rsidRDefault="00BF281B" w:rsidP="00F4635C">
            <w:pPr>
              <w:pStyle w:val="Tablebodytext"/>
            </w:pPr>
            <w:r>
              <w:t>Exporting</w:t>
            </w:r>
          </w:p>
        </w:tc>
        <w:tc>
          <w:tcPr>
            <w:tcW w:w="834" w:type="pct"/>
          </w:tcPr>
          <w:p w14:paraId="209E2E37" w14:textId="77777777" w:rsidR="00BF281B" w:rsidRDefault="00BF281B" w:rsidP="00402D55">
            <w:pPr>
              <w:pStyle w:val="Tablebodytext"/>
              <w:jc w:val="right"/>
            </w:pPr>
          </w:p>
        </w:tc>
        <w:tc>
          <w:tcPr>
            <w:tcW w:w="943" w:type="pct"/>
          </w:tcPr>
          <w:p w14:paraId="209E2E38" w14:textId="77777777" w:rsidR="00BF281B" w:rsidRDefault="00BF281B" w:rsidP="00402D55">
            <w:pPr>
              <w:pStyle w:val="Tablebodytext"/>
              <w:jc w:val="right"/>
            </w:pPr>
          </w:p>
        </w:tc>
        <w:tc>
          <w:tcPr>
            <w:tcW w:w="1008" w:type="pct"/>
          </w:tcPr>
          <w:p w14:paraId="209E2E39" w14:textId="77777777" w:rsidR="00BF281B" w:rsidRDefault="00BF281B" w:rsidP="00402D55">
            <w:pPr>
              <w:pStyle w:val="Tablebodytext"/>
              <w:jc w:val="right"/>
            </w:pPr>
          </w:p>
        </w:tc>
      </w:tr>
      <w:tr w:rsidR="00F4635C" w14:paraId="209E2E3F" w14:textId="77777777" w:rsidTr="00F4635C">
        <w:trPr>
          <w:cnfStyle w:val="000000010000" w:firstRow="0" w:lastRow="0" w:firstColumn="0" w:lastColumn="0" w:oddVBand="0" w:evenVBand="0" w:oddHBand="0" w:evenHBand="1" w:firstRowFirstColumn="0" w:firstRowLastColumn="0" w:lastRowFirstColumn="0" w:lastRowLastColumn="0"/>
        </w:trPr>
        <w:tc>
          <w:tcPr>
            <w:tcW w:w="2215" w:type="pct"/>
          </w:tcPr>
          <w:p w14:paraId="209E2E3B" w14:textId="77777777" w:rsidR="00BF281B" w:rsidRDefault="00BF281B" w:rsidP="00F4635C">
            <w:pPr>
              <w:pStyle w:val="Tablebodytext"/>
            </w:pPr>
            <w:r>
              <w:t>Yes</w:t>
            </w:r>
          </w:p>
        </w:tc>
        <w:tc>
          <w:tcPr>
            <w:tcW w:w="834" w:type="pct"/>
          </w:tcPr>
          <w:p w14:paraId="209E2E3C" w14:textId="77777777" w:rsidR="00BF281B" w:rsidRDefault="00BF281B" w:rsidP="00402D55">
            <w:pPr>
              <w:pStyle w:val="Tablebodytext"/>
              <w:jc w:val="right"/>
            </w:pPr>
            <w:r>
              <w:t>16.2</w:t>
            </w:r>
          </w:p>
        </w:tc>
        <w:tc>
          <w:tcPr>
            <w:tcW w:w="943" w:type="pct"/>
          </w:tcPr>
          <w:p w14:paraId="209E2E3D" w14:textId="77777777" w:rsidR="00BF281B" w:rsidRDefault="00BF281B" w:rsidP="00402D55">
            <w:pPr>
              <w:pStyle w:val="Tablebodytext"/>
              <w:jc w:val="right"/>
            </w:pPr>
            <w:r>
              <w:t>83.8</w:t>
            </w:r>
          </w:p>
        </w:tc>
        <w:tc>
          <w:tcPr>
            <w:tcW w:w="1008" w:type="pct"/>
          </w:tcPr>
          <w:p w14:paraId="209E2E3E" w14:textId="77777777" w:rsidR="00BF281B" w:rsidRDefault="00BF281B" w:rsidP="00402D55">
            <w:pPr>
              <w:pStyle w:val="Tablebodytext"/>
              <w:jc w:val="right"/>
            </w:pPr>
            <w:r>
              <w:t>44,336</w:t>
            </w:r>
          </w:p>
        </w:tc>
      </w:tr>
      <w:tr w:rsidR="00F4635C" w14:paraId="209E2E44" w14:textId="77777777" w:rsidTr="00856D4D">
        <w:trPr>
          <w:cnfStyle w:val="000000100000" w:firstRow="0" w:lastRow="0" w:firstColumn="0" w:lastColumn="0" w:oddVBand="0" w:evenVBand="0" w:oddHBand="1" w:evenHBand="0" w:firstRowFirstColumn="0" w:firstRowLastColumn="0" w:lastRowFirstColumn="0" w:lastRowLastColumn="0"/>
        </w:trPr>
        <w:tc>
          <w:tcPr>
            <w:tcW w:w="2215" w:type="pct"/>
            <w:tcBorders>
              <w:bottom w:val="single" w:sz="4" w:space="0" w:color="auto"/>
            </w:tcBorders>
          </w:tcPr>
          <w:p w14:paraId="209E2E40" w14:textId="77777777" w:rsidR="00F4635C" w:rsidRDefault="00BF281B" w:rsidP="00F4635C">
            <w:pPr>
              <w:pStyle w:val="Tablebodytext"/>
            </w:pPr>
            <w:r>
              <w:t>No</w:t>
            </w:r>
          </w:p>
        </w:tc>
        <w:tc>
          <w:tcPr>
            <w:tcW w:w="834" w:type="pct"/>
          </w:tcPr>
          <w:p w14:paraId="209E2E41" w14:textId="77777777" w:rsidR="00BF281B" w:rsidRDefault="00BF281B" w:rsidP="00402D55">
            <w:pPr>
              <w:pStyle w:val="Tablebodytext"/>
              <w:jc w:val="right"/>
            </w:pPr>
            <w:r>
              <w:t>21.7</w:t>
            </w:r>
          </w:p>
        </w:tc>
        <w:tc>
          <w:tcPr>
            <w:tcW w:w="943" w:type="pct"/>
          </w:tcPr>
          <w:p w14:paraId="209E2E42" w14:textId="77777777" w:rsidR="00BF281B" w:rsidRDefault="00BF281B" w:rsidP="00402D55">
            <w:pPr>
              <w:pStyle w:val="Tablebodytext"/>
              <w:jc w:val="right"/>
            </w:pPr>
            <w:r>
              <w:t>78.3</w:t>
            </w:r>
          </w:p>
        </w:tc>
        <w:tc>
          <w:tcPr>
            <w:tcW w:w="1008" w:type="pct"/>
          </w:tcPr>
          <w:p w14:paraId="209E2E43" w14:textId="77777777" w:rsidR="00BF281B" w:rsidRDefault="00BF281B" w:rsidP="00402D55">
            <w:pPr>
              <w:pStyle w:val="Tablebodytext"/>
              <w:jc w:val="right"/>
            </w:pPr>
            <w:r>
              <w:t>93,391</w:t>
            </w:r>
          </w:p>
        </w:tc>
      </w:tr>
      <w:tr w:rsidR="00F4635C" w14:paraId="209E2E49" w14:textId="77777777" w:rsidTr="00856D4D">
        <w:trPr>
          <w:cnfStyle w:val="000000010000" w:firstRow="0" w:lastRow="0" w:firstColumn="0" w:lastColumn="0" w:oddVBand="0" w:evenVBand="0" w:oddHBand="0" w:evenHBand="1" w:firstRowFirstColumn="0" w:firstRowLastColumn="0" w:lastRowFirstColumn="0" w:lastRowLastColumn="0"/>
        </w:trPr>
        <w:tc>
          <w:tcPr>
            <w:tcW w:w="2215" w:type="pct"/>
            <w:tcBorders>
              <w:top w:val="single" w:sz="4" w:space="0" w:color="auto"/>
              <w:bottom w:val="single" w:sz="4" w:space="0" w:color="auto"/>
            </w:tcBorders>
          </w:tcPr>
          <w:p w14:paraId="209E2E45" w14:textId="77777777" w:rsidR="00BF281B" w:rsidRDefault="00F4635C" w:rsidP="00F4635C">
            <w:pPr>
              <w:pStyle w:val="Tablebodytext"/>
            </w:pPr>
            <w:r>
              <w:t xml:space="preserve">Average Labour </w:t>
            </w:r>
            <w:r w:rsidR="00BF281B">
              <w:t>Productivity</w:t>
            </w:r>
          </w:p>
        </w:tc>
        <w:tc>
          <w:tcPr>
            <w:tcW w:w="834" w:type="pct"/>
          </w:tcPr>
          <w:p w14:paraId="209E2E46" w14:textId="77777777" w:rsidR="00BF281B" w:rsidRDefault="00BF281B" w:rsidP="00402D55">
            <w:pPr>
              <w:pStyle w:val="Tablebodytext"/>
              <w:jc w:val="right"/>
            </w:pPr>
            <w:r>
              <w:t>422.4</w:t>
            </w:r>
          </w:p>
        </w:tc>
        <w:tc>
          <w:tcPr>
            <w:tcW w:w="943" w:type="pct"/>
          </w:tcPr>
          <w:p w14:paraId="209E2E47" w14:textId="77777777" w:rsidR="00BF281B" w:rsidRDefault="00BF281B" w:rsidP="00402D55">
            <w:pPr>
              <w:pStyle w:val="Tablebodytext"/>
              <w:jc w:val="right"/>
            </w:pPr>
            <w:r>
              <w:t>2,297.2</w:t>
            </w:r>
          </w:p>
        </w:tc>
        <w:tc>
          <w:tcPr>
            <w:tcW w:w="1008" w:type="pct"/>
          </w:tcPr>
          <w:p w14:paraId="209E2E48" w14:textId="77777777" w:rsidR="00BF281B" w:rsidRDefault="00BF281B" w:rsidP="00402D55">
            <w:pPr>
              <w:pStyle w:val="Tablebodytext"/>
              <w:jc w:val="right"/>
            </w:pPr>
          </w:p>
        </w:tc>
      </w:tr>
      <w:tr w:rsidR="00F4635C" w14:paraId="209E2E4E" w14:textId="77777777" w:rsidTr="00856D4D">
        <w:trPr>
          <w:cnfStyle w:val="000000100000" w:firstRow="0" w:lastRow="0" w:firstColumn="0" w:lastColumn="0" w:oddVBand="0" w:evenVBand="0" w:oddHBand="1" w:evenHBand="0" w:firstRowFirstColumn="0" w:firstRowLastColumn="0" w:lastRowFirstColumn="0" w:lastRowLastColumn="0"/>
        </w:trPr>
        <w:tc>
          <w:tcPr>
            <w:tcW w:w="2215" w:type="pct"/>
            <w:tcBorders>
              <w:top w:val="single" w:sz="4" w:space="0" w:color="auto"/>
            </w:tcBorders>
          </w:tcPr>
          <w:p w14:paraId="209E2E4A" w14:textId="77777777" w:rsidR="00BF281B" w:rsidRDefault="00BF281B" w:rsidP="00F4635C">
            <w:pPr>
              <w:pStyle w:val="Tablebodytext"/>
            </w:pPr>
            <w:r>
              <w:t>Number of Firms</w:t>
            </w:r>
          </w:p>
        </w:tc>
        <w:tc>
          <w:tcPr>
            <w:tcW w:w="834" w:type="pct"/>
          </w:tcPr>
          <w:p w14:paraId="209E2E4B" w14:textId="77777777" w:rsidR="00BF281B" w:rsidRDefault="00BF281B" w:rsidP="00402D55">
            <w:pPr>
              <w:pStyle w:val="Tablebodytext"/>
              <w:jc w:val="right"/>
            </w:pPr>
            <w:r>
              <w:t>27,499</w:t>
            </w:r>
          </w:p>
        </w:tc>
        <w:tc>
          <w:tcPr>
            <w:tcW w:w="943" w:type="pct"/>
          </w:tcPr>
          <w:p w14:paraId="209E2E4C" w14:textId="77777777" w:rsidR="00BF281B" w:rsidRDefault="00BF281B" w:rsidP="00402D55">
            <w:pPr>
              <w:pStyle w:val="Tablebodytext"/>
              <w:jc w:val="right"/>
            </w:pPr>
            <w:r>
              <w:t>110,228</w:t>
            </w:r>
          </w:p>
        </w:tc>
        <w:tc>
          <w:tcPr>
            <w:tcW w:w="1008" w:type="pct"/>
          </w:tcPr>
          <w:p w14:paraId="209E2E4D" w14:textId="77777777" w:rsidR="00BF281B" w:rsidRDefault="00BF281B" w:rsidP="00402D55">
            <w:pPr>
              <w:pStyle w:val="Tablebodytext"/>
              <w:jc w:val="right"/>
            </w:pPr>
            <w:r>
              <w:t>137,727</w:t>
            </w:r>
          </w:p>
        </w:tc>
      </w:tr>
    </w:tbl>
    <w:p w14:paraId="7A9F06B8" w14:textId="776406E0" w:rsidR="00A00177" w:rsidRDefault="00A00177" w:rsidP="00A00177">
      <w:pPr>
        <w:pStyle w:val="Source"/>
        <w:spacing w:after="0"/>
      </w:pPr>
      <w:r>
        <w:t>Notes: Business Unhampered means that the business does not report its operation being hampered by lack of financing, access to skills, etc.</w:t>
      </w:r>
    </w:p>
    <w:p w14:paraId="209E2E4F" w14:textId="77777777" w:rsidR="00F4635C" w:rsidRDefault="00F4635C" w:rsidP="00FD5C18">
      <w:pPr>
        <w:pStyle w:val="Source"/>
      </w:pPr>
      <w:r>
        <w:t xml:space="preserve">Source: </w:t>
      </w:r>
      <w:r w:rsidR="00AD6004">
        <w:t xml:space="preserve">ABS </w:t>
      </w:r>
      <w:r>
        <w:t>Business Characteristics Survey</w:t>
      </w:r>
      <w:r w:rsidR="00FB61D7">
        <w:t xml:space="preserve"> 2005‒2014</w:t>
      </w:r>
    </w:p>
    <w:p w14:paraId="209E2E50" w14:textId="77777777" w:rsidR="00CE4D8E" w:rsidRDefault="00CE4D8E" w:rsidP="00CE4D8E">
      <w:pPr>
        <w:pStyle w:val="BodyText"/>
      </w:pPr>
      <w:r>
        <w:t>Firms in the BCS also report whether their business is hampered by the lack of funding, skills, low profits, etc. I use this information to build a dummy variable that indicates whether business in the firm is unhampered. Once more, firms whose business is hampered by some factor are more likely to be receiving government assistance.</w:t>
      </w:r>
    </w:p>
    <w:p w14:paraId="209E2E51" w14:textId="77777777" w:rsidR="00CE4D8E" w:rsidRDefault="00CE4D8E" w:rsidP="00CE4D8E">
      <w:pPr>
        <w:pStyle w:val="BodyText"/>
      </w:pPr>
      <w:r>
        <w:t>Existing theoretical and empirical evidence maintains that exporting firms are more productive and better perfo</w:t>
      </w:r>
      <w:r w:rsidR="009D0DF1">
        <w:t>rming than other firms</w:t>
      </w:r>
      <w:r>
        <w:t>. The numbers in the table indicate that exporters are less likely to receive government assistance.</w:t>
      </w:r>
    </w:p>
    <w:p w14:paraId="209E2E52" w14:textId="77777777" w:rsidR="00CE4D8E" w:rsidRDefault="00CE4D8E" w:rsidP="00CE4D8E">
      <w:pPr>
        <w:pStyle w:val="BodyText"/>
      </w:pPr>
      <w:r>
        <w:t>Finally, I compute the labo</w:t>
      </w:r>
      <w:r w:rsidR="00F627B1">
        <w:t>u</w:t>
      </w:r>
      <w:r>
        <w:t>r productivity of firms as the ratio of turnover (deflated by consumer price indexes) over total employment. The averages reported in the table also confirm that firms assisted by the government are less productive.</w:t>
      </w:r>
    </w:p>
    <w:p w14:paraId="209E2E53" w14:textId="77777777" w:rsidR="00CE4D8E" w:rsidRDefault="00CE4D8E" w:rsidP="00CE4D8E">
      <w:pPr>
        <w:pStyle w:val="BodyText"/>
      </w:pPr>
      <w:r>
        <w:t>As a whole, a typical firm receiving financial assistance from the government appears under-performing, hence, somewhat suffering in credibility. Using this evidence, one can rule out that the positive effect of government assistanc</w:t>
      </w:r>
      <w:r w:rsidR="00C105E5">
        <w:t xml:space="preserve">e observed in </w:t>
      </w:r>
      <w:r w:rsidR="00C105E5">
        <w:fldChar w:fldCharType="begin"/>
      </w:r>
      <w:r w:rsidR="00C105E5">
        <w:instrText xml:space="preserve"> REF _Ref519600859 \h </w:instrText>
      </w:r>
      <w:r w:rsidR="00C105E5">
        <w:fldChar w:fldCharType="separate"/>
      </w:r>
      <w:r w:rsidR="00851CD1" w:rsidRPr="000618FB">
        <w:t xml:space="preserve">Table </w:t>
      </w:r>
      <w:r w:rsidR="00851CD1">
        <w:rPr>
          <w:noProof/>
        </w:rPr>
        <w:t>4</w:t>
      </w:r>
      <w:r w:rsidR="00851CD1" w:rsidRPr="000618FB">
        <w:t>.</w:t>
      </w:r>
      <w:r w:rsidR="00851CD1">
        <w:rPr>
          <w:noProof/>
        </w:rPr>
        <w:t>2</w:t>
      </w:r>
      <w:r w:rsidR="00C105E5">
        <w:fldChar w:fldCharType="end"/>
      </w:r>
      <w:r>
        <w:t xml:space="preserve"> is driven by the firms’ creditworthiness. If anything, the effect is in fact being under-estimated owing to the selection towards the less </w:t>
      </w:r>
      <w:r>
        <w:lastRenderedPageBreak/>
        <w:t>credit-worthy firms. In the end, the positive perception of such assistance remains the only force to account for the impact.</w:t>
      </w:r>
    </w:p>
    <w:p w14:paraId="209E2E54" w14:textId="77777777" w:rsidR="00C105E5" w:rsidRDefault="00C105E5" w:rsidP="00C105E5">
      <w:pPr>
        <w:pStyle w:val="Heading1"/>
        <w:rPr>
          <w:lang w:val="en"/>
        </w:rPr>
      </w:pPr>
      <w:r>
        <w:rPr>
          <w:lang w:val="en"/>
        </w:rPr>
        <w:t>Modeling</w:t>
      </w:r>
    </w:p>
    <w:p w14:paraId="209E2E55" w14:textId="77777777" w:rsidR="00C105E5" w:rsidRPr="00BE5D7B" w:rsidRDefault="00C105E5" w:rsidP="009A1F0B">
      <w:pPr>
        <w:pStyle w:val="FirstParagraph"/>
        <w:spacing w:line="270" w:lineRule="exact"/>
        <w:jc w:val="both"/>
        <w:rPr>
          <w:color w:val="373737"/>
          <w:sz w:val="20"/>
          <w:szCs w:val="20"/>
        </w:rPr>
      </w:pPr>
      <w:r w:rsidRPr="00BE5D7B">
        <w:rPr>
          <w:color w:val="373737"/>
          <w:sz w:val="20"/>
          <w:szCs w:val="20"/>
        </w:rPr>
        <w:t>So far, I have been able to establish a positive correlation between receiving government financial assistance and the propensity to apply and obtain financing. In this section, I add more rigor to the argument by estimating a Probit model of the form</w:t>
      </w:r>
    </w:p>
    <w:p w14:paraId="209E2E56" w14:textId="77777777" w:rsidR="00C105E5" w:rsidRPr="00BE5D7B" w:rsidRDefault="00C105E5" w:rsidP="00C105E5">
      <w:pPr>
        <w:pStyle w:val="BodyText"/>
      </w:pPr>
      <m:oMath>
        <m:r>
          <w:rPr>
            <w:rFonts w:ascii="Cambria Math" w:hAnsi="Cambria Math"/>
          </w:rPr>
          <m:t>Prob[Obtai</m:t>
        </m:r>
        <m:sSub>
          <m:sSubPr>
            <m:ctrlPr>
              <w:rPr>
                <w:rFonts w:ascii="Cambria Math" w:hAnsi="Cambria Math"/>
              </w:rPr>
            </m:ctrlPr>
          </m:sSubPr>
          <m:e>
            <m:r>
              <w:rPr>
                <w:rFonts w:ascii="Cambria Math" w:hAnsi="Cambria Math"/>
              </w:rPr>
              <m:t>n</m:t>
            </m:r>
          </m:e>
          <m:sub>
            <m:r>
              <w:rPr>
                <w:rFonts w:ascii="Cambria Math" w:hAnsi="Cambria Math"/>
              </w:rPr>
              <m:t>ji,t+1</m:t>
            </m:r>
          </m:sub>
        </m:sSub>
        <m:r>
          <w:rPr>
            <w:rFonts w:ascii="Cambria Math" w:hAnsi="Cambria Math"/>
          </w:rPr>
          <m:t>=1]=</m:t>
        </m:r>
        <m:r>
          <m:rPr>
            <m:sty m:val="p"/>
          </m:rPr>
          <w:rPr>
            <w:rFonts w:ascii="Cambria Math" w:hAnsi="Cambria Math"/>
          </w:rPr>
          <m:t>Φ</m:t>
        </m:r>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1</m:t>
            </m:r>
          </m:sub>
        </m:sSub>
        <m:r>
          <w:rPr>
            <w:rFonts w:ascii="Cambria Math" w:hAnsi="Cambria Math"/>
          </w:rPr>
          <m:t>Go</m:t>
        </m:r>
        <m:sSub>
          <m:sSubPr>
            <m:ctrlPr>
              <w:rPr>
                <w:rFonts w:ascii="Cambria Math" w:hAnsi="Cambria Math"/>
              </w:rPr>
            </m:ctrlPr>
          </m:sSubPr>
          <m:e>
            <m:r>
              <w:rPr>
                <w:rFonts w:ascii="Cambria Math" w:hAnsi="Cambria Math"/>
              </w:rPr>
              <m:t>v</m:t>
            </m:r>
          </m:e>
          <m:sub>
            <m:r>
              <w:rPr>
                <w:rFonts w:ascii="Cambria Math" w:hAnsi="Cambria Math"/>
              </w:rPr>
              <m:t>jit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jit</m:t>
            </m:r>
          </m:sub>
        </m:sSub>
        <m:r>
          <w:rPr>
            <w:rFonts w:ascii="Cambria Math" w:hAnsi="Cambria Math"/>
          </w:rPr>
          <m:t>β+</m:t>
        </m:r>
        <m:sSub>
          <m:sSubPr>
            <m:ctrlPr>
              <w:rPr>
                <w:rFonts w:ascii="Cambria Math" w:hAnsi="Cambria Math"/>
              </w:rPr>
            </m:ctrlPr>
          </m:sSubPr>
          <m:e>
            <m:r>
              <w:rPr>
                <w:rFonts w:ascii="Cambria Math" w:hAnsi="Cambria Math"/>
              </w:rPr>
              <m:t>ι</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t</m:t>
            </m:r>
          </m:sub>
        </m:sSub>
        <m:r>
          <w:rPr>
            <w:rFonts w:ascii="Cambria Math" w:hAnsi="Cambria Math"/>
          </w:rPr>
          <m:t>).</m:t>
        </m:r>
      </m:oMath>
      <w:r w:rsidR="00117D8A" w:rsidRPr="00BE5D7B">
        <w:rPr>
          <w:rFonts w:eastAsiaTheme="minorEastAsia"/>
        </w:rPr>
        <w:tab/>
      </w:r>
      <w:r w:rsidR="00117D8A" w:rsidRPr="00BE5D7B">
        <w:rPr>
          <w:rFonts w:eastAsiaTheme="minorEastAsia"/>
        </w:rPr>
        <w:tab/>
        <w:t>(1)</w:t>
      </w:r>
    </w:p>
    <w:p w14:paraId="209E2E57" w14:textId="77777777" w:rsidR="00C105E5" w:rsidRPr="00BE5D7B" w:rsidRDefault="00C105E5" w:rsidP="009A1F0B">
      <w:pPr>
        <w:pStyle w:val="FirstParagraph"/>
        <w:spacing w:line="270" w:lineRule="exact"/>
        <w:jc w:val="both"/>
        <w:rPr>
          <w:color w:val="373737"/>
          <w:sz w:val="20"/>
          <w:szCs w:val="20"/>
        </w:rPr>
      </w:pPr>
      <w:r w:rsidRPr="00BE5D7B">
        <w:rPr>
          <w:color w:val="373737"/>
          <w:sz w:val="20"/>
          <w:szCs w:val="20"/>
        </w:rPr>
        <w:t>In this equation,</w:t>
      </w:r>
      <w:r w:rsidRPr="00BE5D7B">
        <w:rPr>
          <w:color w:val="373737"/>
        </w:rPr>
        <w:t xml:space="preserve"> </w:t>
      </w:r>
      <m:oMath>
        <m:r>
          <m:rPr>
            <m:sty m:val="p"/>
          </m:rPr>
          <w:rPr>
            <w:rFonts w:ascii="Cambria Math" w:hAnsi="Cambria Math"/>
            <w:color w:val="373737"/>
          </w:rPr>
          <m:t>Φ</m:t>
        </m:r>
      </m:oMath>
      <w:r w:rsidRPr="00BE5D7B">
        <w:rPr>
          <w:color w:val="373737"/>
        </w:rPr>
        <w:t xml:space="preserve"> </w:t>
      </w:r>
      <w:r w:rsidRPr="00BE5D7B">
        <w:rPr>
          <w:color w:val="373737"/>
          <w:sz w:val="20"/>
          <w:szCs w:val="20"/>
        </w:rPr>
        <w:t xml:space="preserve">is the standard normal cumulative distribution function. </w:t>
      </w:r>
      <m:oMath>
        <m:r>
          <w:rPr>
            <w:rFonts w:ascii="Cambria Math" w:hAnsi="Cambria Math"/>
            <w:color w:val="373737"/>
            <w:sz w:val="20"/>
            <w:szCs w:val="20"/>
          </w:rPr>
          <m:t>Obtain</m:t>
        </m:r>
      </m:oMath>
      <w:r w:rsidRPr="00BE5D7B">
        <w:rPr>
          <w:color w:val="373737"/>
          <w:sz w:val="20"/>
          <w:szCs w:val="20"/>
        </w:rPr>
        <w:t xml:space="preserve"> indicates whether firm </w:t>
      </w:r>
      <m:oMath>
        <m:r>
          <w:rPr>
            <w:rFonts w:ascii="Cambria Math" w:hAnsi="Cambria Math"/>
            <w:color w:val="373737"/>
            <w:sz w:val="20"/>
            <w:szCs w:val="20"/>
          </w:rPr>
          <m:t>j</m:t>
        </m:r>
      </m:oMath>
      <w:r w:rsidRPr="00BE5D7B">
        <w:rPr>
          <w:color w:val="373737"/>
          <w:sz w:val="20"/>
          <w:szCs w:val="20"/>
        </w:rPr>
        <w:t xml:space="preserve"> from industry </w:t>
      </w:r>
      <m:oMath>
        <m:r>
          <w:rPr>
            <w:rFonts w:ascii="Cambria Math" w:hAnsi="Cambria Math"/>
            <w:color w:val="373737"/>
            <w:sz w:val="20"/>
            <w:szCs w:val="20"/>
          </w:rPr>
          <m:t>i</m:t>
        </m:r>
      </m:oMath>
      <w:r w:rsidRPr="00BE5D7B">
        <w:rPr>
          <w:color w:val="373737"/>
          <w:sz w:val="20"/>
          <w:szCs w:val="20"/>
        </w:rPr>
        <w:t xml:space="preserve"> obtains financing in </w:t>
      </w:r>
      <m:oMath>
        <m:r>
          <w:rPr>
            <w:rFonts w:ascii="Cambria Math" w:hAnsi="Cambria Math"/>
            <w:color w:val="373737"/>
            <w:sz w:val="20"/>
            <w:szCs w:val="20"/>
          </w:rPr>
          <m:t>t+1</m:t>
        </m:r>
      </m:oMath>
      <w:r w:rsidRPr="00BE5D7B">
        <w:rPr>
          <w:color w:val="373737"/>
          <w:sz w:val="20"/>
          <w:szCs w:val="20"/>
        </w:rPr>
        <w:t xml:space="preserve">. The main covariate of interest is the dummy </w:t>
      </w:r>
      <m:oMath>
        <m:r>
          <w:rPr>
            <w:rFonts w:ascii="Cambria Math" w:hAnsi="Cambria Math"/>
            <w:color w:val="373737"/>
            <w:sz w:val="20"/>
            <w:szCs w:val="20"/>
          </w:rPr>
          <m:t>Gov</m:t>
        </m:r>
      </m:oMath>
      <w:r w:rsidRPr="00BE5D7B">
        <w:rPr>
          <w:color w:val="373737"/>
          <w:sz w:val="20"/>
          <w:szCs w:val="20"/>
        </w:rPr>
        <w:t>, indicating whether a firm received any form of government assistance.</w:t>
      </w:r>
      <w:r w:rsidRPr="00BE5D7B">
        <w:rPr>
          <w:color w:val="373737"/>
        </w:rPr>
        <w:t xml:space="preserve"> </w:t>
      </w:r>
      <m:oMath>
        <m:r>
          <w:rPr>
            <w:rFonts w:ascii="Cambria Math" w:hAnsi="Cambria Math"/>
            <w:color w:val="373737"/>
          </w:rPr>
          <m:t>ι</m:t>
        </m:r>
      </m:oMath>
      <w:r w:rsidRPr="00BE5D7B">
        <w:rPr>
          <w:color w:val="373737"/>
        </w:rPr>
        <w:t xml:space="preserve"> </w:t>
      </w:r>
      <w:r w:rsidRPr="00BE5D7B">
        <w:rPr>
          <w:color w:val="373737"/>
          <w:sz w:val="20"/>
          <w:szCs w:val="20"/>
        </w:rPr>
        <w:t>and</w:t>
      </w:r>
      <w:r w:rsidRPr="00BE5D7B">
        <w:rPr>
          <w:color w:val="373737"/>
        </w:rPr>
        <w:t xml:space="preserve"> </w:t>
      </w:r>
      <m:oMath>
        <m:r>
          <w:rPr>
            <w:rFonts w:ascii="Cambria Math" w:hAnsi="Cambria Math"/>
            <w:color w:val="373737"/>
          </w:rPr>
          <m:t>τ</m:t>
        </m:r>
      </m:oMath>
      <w:r w:rsidRPr="00BE5D7B">
        <w:rPr>
          <w:color w:val="373737"/>
        </w:rPr>
        <w:t xml:space="preserve"> </w:t>
      </w:r>
      <w:r w:rsidRPr="00BE5D7B">
        <w:rPr>
          <w:color w:val="373737"/>
          <w:sz w:val="20"/>
          <w:szCs w:val="20"/>
        </w:rPr>
        <w:t>are industry and year dummies, respectively, controlling for different levels of risk across industries and macro-economic conditions.</w:t>
      </w:r>
    </w:p>
    <w:p w14:paraId="209E2E58" w14:textId="77777777" w:rsidR="00C105E5" w:rsidRPr="00BE5D7B" w:rsidRDefault="00C105E5" w:rsidP="00C105E5">
      <w:pPr>
        <w:pStyle w:val="BodyText"/>
      </w:pPr>
      <w:r w:rsidRPr="00BE5D7B">
        <w:t>As mentioned earlier, independent variables are lagged by one year relative to the independent variable to strengthen causality. In this way, a firm’s financial leverage, for instance, is not affected by the firm having already obtained the financing.</w:t>
      </w:r>
    </w:p>
    <w:p w14:paraId="209E2E59" w14:textId="77777777" w:rsidR="00C105E5" w:rsidRPr="00BE5D7B" w:rsidRDefault="009F431A" w:rsidP="00C105E5">
      <w:pPr>
        <w:pStyle w:val="BodyText"/>
      </w:pPr>
      <m:oMath>
        <m:sSub>
          <m:sSubPr>
            <m:ctrlPr>
              <w:rPr>
                <w:rFonts w:ascii="Cambria Math" w:hAnsi="Cambria Math"/>
              </w:rPr>
            </m:ctrlPr>
          </m:sSubPr>
          <m:e>
            <m:r>
              <w:rPr>
                <w:rFonts w:ascii="Cambria Math" w:hAnsi="Cambria Math"/>
              </w:rPr>
              <m:t>X</m:t>
            </m:r>
          </m:e>
          <m:sub>
            <m:r>
              <w:rPr>
                <w:rFonts w:ascii="Cambria Math" w:hAnsi="Cambria Math"/>
              </w:rPr>
              <m:t>jit</m:t>
            </m:r>
          </m:sub>
        </m:sSub>
      </m:oMath>
      <w:r w:rsidR="00C105E5" w:rsidRPr="00BE5D7B">
        <w:t xml:space="preserve"> is a series of control variables that also affect a firm’s credit-worthiness. One is the firm size measured in log of total assets. The firm’s level of liquidity (</w:t>
      </w:r>
      <m:oMath>
        <m:r>
          <w:rPr>
            <w:rFonts w:ascii="Cambria Math" w:hAnsi="Cambria Math"/>
          </w:rPr>
          <m:t>Liquidity</m:t>
        </m:r>
      </m:oMath>
      <w:r w:rsidR="00C105E5" w:rsidRPr="00BE5D7B">
        <w:t>), constructed as the ratio of current over total assets, is another and measures a firm’s cash flows and its ability to repay short-term obligations. The other control variable is leverage, which is constructed as</w:t>
      </w:r>
    </w:p>
    <w:p w14:paraId="209E2E5A" w14:textId="26EEBEBB" w:rsidR="00C105E5" w:rsidRPr="00BE5D7B" w:rsidRDefault="00C105E5" w:rsidP="00117D8A">
      <w:pPr>
        <w:pStyle w:val="BodyText"/>
        <w:spacing w:line="360" w:lineRule="exact"/>
        <w:jc w:val="center"/>
      </w:pPr>
      <m:oMath>
        <m:r>
          <w:rPr>
            <w:rFonts w:ascii="Cambria Math" w:hAnsi="Cambria Math"/>
          </w:rPr>
          <m:t>Leverag</m:t>
        </m:r>
        <m:sSub>
          <m:sSubPr>
            <m:ctrlPr>
              <w:rPr>
                <w:rFonts w:ascii="Cambria Math" w:hAnsi="Cambria Math"/>
              </w:rPr>
            </m:ctrlPr>
          </m:sSubPr>
          <m:e>
            <m:r>
              <w:rPr>
                <w:rFonts w:ascii="Cambria Math" w:hAnsi="Cambria Math"/>
              </w:rPr>
              <m:t>e</m:t>
            </m:r>
          </m:e>
          <m:sub>
            <m:r>
              <w:rPr>
                <w:rFonts w:ascii="Cambria Math" w:hAnsi="Cambria Math"/>
              </w:rPr>
              <m:t>jit</m:t>
            </m:r>
          </m:sub>
        </m:sSub>
        <m:r>
          <w:rPr>
            <w:rFonts w:ascii="Cambria Math" w:hAnsi="Cambria Math"/>
          </w:rPr>
          <m:t>=</m:t>
        </m:r>
        <m:r>
          <m:rPr>
            <m:sty m:val="p"/>
          </m:rPr>
          <w:rPr>
            <w:rFonts w:ascii="Cambria Math" w:hAnsi="Cambria Math"/>
          </w:rPr>
          <m:t>log</m:t>
        </m:r>
        <m:d>
          <m:dPr>
            <m:ctrlPr>
              <w:rPr>
                <w:rFonts w:ascii="Cambria Math" w:hAnsi="Cambria Math"/>
              </w:rPr>
            </m:ctrlPr>
          </m:dPr>
          <m:e>
            <m:r>
              <w:rPr>
                <w:rFonts w:ascii="Cambria Math" w:hAnsi="Cambria Math"/>
              </w:rPr>
              <m:t>1+</m:t>
            </m:r>
            <m:f>
              <m:fPr>
                <m:ctrlPr>
                  <w:rPr>
                    <w:rFonts w:ascii="Cambria Math" w:hAnsi="Cambria Math"/>
                  </w:rPr>
                </m:ctrlPr>
              </m:fPr>
              <m:num>
                <m:r>
                  <w:rPr>
                    <w:rFonts w:ascii="Cambria Math" w:hAnsi="Cambria Math"/>
                  </w:rPr>
                  <m:t>Liabilitie</m:t>
                </m:r>
                <m:sSub>
                  <m:sSubPr>
                    <m:ctrlPr>
                      <w:rPr>
                        <w:rFonts w:ascii="Cambria Math" w:hAnsi="Cambria Math"/>
                      </w:rPr>
                    </m:ctrlPr>
                  </m:sSubPr>
                  <m:e>
                    <m:r>
                      <w:rPr>
                        <w:rFonts w:ascii="Cambria Math" w:hAnsi="Cambria Math"/>
                      </w:rPr>
                      <m:t>s</m:t>
                    </m:r>
                  </m:e>
                  <m:sub>
                    <m:r>
                      <w:rPr>
                        <w:rFonts w:ascii="Cambria Math" w:hAnsi="Cambria Math"/>
                      </w:rPr>
                      <m:t>jit</m:t>
                    </m:r>
                  </m:sub>
                </m:sSub>
              </m:num>
              <m:den>
                <m:r>
                  <w:rPr>
                    <w:rFonts w:ascii="Cambria Math" w:hAnsi="Cambria Math"/>
                  </w:rPr>
                  <m:t>Asset</m:t>
                </m:r>
                <m:sSub>
                  <m:sSubPr>
                    <m:ctrlPr>
                      <w:rPr>
                        <w:rFonts w:ascii="Cambria Math" w:hAnsi="Cambria Math"/>
                      </w:rPr>
                    </m:ctrlPr>
                  </m:sSubPr>
                  <m:e>
                    <m:r>
                      <w:rPr>
                        <w:rFonts w:ascii="Cambria Math" w:hAnsi="Cambria Math"/>
                      </w:rPr>
                      <m:t>s</m:t>
                    </m:r>
                  </m:e>
                  <m:sub>
                    <m:r>
                      <w:rPr>
                        <w:rFonts w:ascii="Cambria Math" w:hAnsi="Cambria Math"/>
                      </w:rPr>
                      <m:t>jit</m:t>
                    </m:r>
                  </m:sub>
                </m:sSub>
              </m:den>
            </m:f>
          </m:e>
        </m:d>
        <m:r>
          <w:rPr>
            <w:rFonts w:ascii="Cambria Math" w:hAnsi="Cambria Math"/>
          </w:rPr>
          <m:t>.</m:t>
        </m:r>
      </m:oMath>
      <w:r w:rsidR="001F6276">
        <w:rPr>
          <w:rFonts w:eastAsiaTheme="minorEastAsia"/>
        </w:rPr>
        <w:tab/>
      </w:r>
      <w:r w:rsidR="001F6276">
        <w:rPr>
          <w:rFonts w:eastAsiaTheme="minorEastAsia"/>
        </w:rPr>
        <w:tab/>
      </w:r>
      <w:r w:rsidR="001F6276">
        <w:rPr>
          <w:rFonts w:eastAsiaTheme="minorEastAsia"/>
        </w:rPr>
        <w:tab/>
      </w:r>
      <w:r w:rsidR="001F6276">
        <w:rPr>
          <w:rFonts w:eastAsiaTheme="minorEastAsia"/>
        </w:rPr>
        <w:tab/>
      </w:r>
      <w:r w:rsidR="001F6276">
        <w:rPr>
          <w:rFonts w:eastAsiaTheme="minorEastAsia"/>
        </w:rPr>
        <w:tab/>
      </w:r>
      <w:r w:rsidR="00117D8A" w:rsidRPr="00BE5D7B">
        <w:rPr>
          <w:rFonts w:eastAsiaTheme="minorEastAsia"/>
        </w:rPr>
        <w:t>(2)</w:t>
      </w:r>
    </w:p>
    <w:p w14:paraId="209E2E5B" w14:textId="77777777" w:rsidR="00C105E5" w:rsidRPr="00BE5D7B" w:rsidRDefault="00C105E5" w:rsidP="00A62806">
      <w:pPr>
        <w:pStyle w:val="FirstParagraph"/>
        <w:spacing w:line="270" w:lineRule="exact"/>
        <w:rPr>
          <w:color w:val="373737"/>
          <w:sz w:val="20"/>
          <w:szCs w:val="20"/>
        </w:rPr>
      </w:pPr>
      <w:r w:rsidRPr="00BE5D7B">
        <w:rPr>
          <w:color w:val="373737"/>
          <w:sz w:val="20"/>
          <w:szCs w:val="20"/>
        </w:rPr>
        <w:t xml:space="preserve">Finally, I include the dummy variable, </w:t>
      </w:r>
      <m:oMath>
        <m:r>
          <w:rPr>
            <w:rFonts w:ascii="Cambria Math" w:hAnsi="Cambria Math"/>
            <w:color w:val="373737"/>
            <w:sz w:val="20"/>
            <w:szCs w:val="20"/>
          </w:rPr>
          <m:t>Young</m:t>
        </m:r>
      </m:oMath>
      <w:r w:rsidRPr="00BE5D7B">
        <w:rPr>
          <w:color w:val="373737"/>
          <w:sz w:val="20"/>
          <w:szCs w:val="20"/>
        </w:rPr>
        <w:t>, from the previous section which indicates whether the firm is two years old or younger. Young firms are often discriminated against for being too risky, and this last variable controls for the risk.</w:t>
      </w:r>
    </w:p>
    <w:p w14:paraId="209E2E5C" w14:textId="77777777" w:rsidR="00C105E5" w:rsidRPr="00BE5D7B" w:rsidRDefault="00C105E5" w:rsidP="00C105E5">
      <w:pPr>
        <w:pStyle w:val="BodyText"/>
      </w:pPr>
      <w:r w:rsidRPr="00BE5D7B">
        <w:t xml:space="preserve">There are two issues with the </w:t>
      </w:r>
      <w:r w:rsidR="00117D8A" w:rsidRPr="00BE5D7B">
        <w:t>modelling</w:t>
      </w:r>
      <w:r w:rsidRPr="00BE5D7B">
        <w:t xml:space="preserve"> in </w:t>
      </w:r>
      <w:r w:rsidR="0009411D" w:rsidRPr="00BE5D7B">
        <w:t>(1)</w:t>
      </w:r>
      <w:r w:rsidRPr="00BE5D7B">
        <w:t>. First, only a fraction of firms se</w:t>
      </w:r>
      <w:r w:rsidR="00117D8A" w:rsidRPr="00BE5D7B">
        <w:t>ek financing (</w:t>
      </w:r>
      <w:r w:rsidR="00117D8A" w:rsidRPr="00BE5D7B">
        <w:fldChar w:fldCharType="begin"/>
      </w:r>
      <w:r w:rsidR="00117D8A" w:rsidRPr="00BE5D7B">
        <w:instrText xml:space="preserve"> REF _Ref519600576 \h </w:instrText>
      </w:r>
      <w:r w:rsidR="00117D8A" w:rsidRPr="00BE5D7B">
        <w:fldChar w:fldCharType="separate"/>
      </w:r>
      <w:r w:rsidR="00851CD1" w:rsidRPr="00BE5D7B">
        <w:t xml:space="preserve">Table </w:t>
      </w:r>
      <w:r w:rsidR="00851CD1" w:rsidRPr="00BE5D7B">
        <w:rPr>
          <w:noProof/>
        </w:rPr>
        <w:t>4</w:t>
      </w:r>
      <w:r w:rsidR="00851CD1" w:rsidRPr="00BE5D7B">
        <w:t>.</w:t>
      </w:r>
      <w:r w:rsidR="00851CD1" w:rsidRPr="00BE5D7B">
        <w:rPr>
          <w:noProof/>
        </w:rPr>
        <w:t>1</w:t>
      </w:r>
      <w:r w:rsidR="00117D8A" w:rsidRPr="00BE5D7B">
        <w:fldChar w:fldCharType="end"/>
      </w:r>
      <w:r w:rsidRPr="00BE5D7B">
        <w:t xml:space="preserve">). One would expect firms that seek financing to be systematically more credit-worthy than other firms. The bias introduced as a result of this selection causes the effect of government assistance to be under-estimated. To remedy this problem, I rely on the selection model of </w:t>
      </w:r>
      <w:r w:rsidR="0037216C" w:rsidRPr="00BE5D7B">
        <w:t>Van De Ven &amp; Van Praag (1981)</w:t>
      </w:r>
      <w:r w:rsidRPr="00BE5D7B">
        <w:t>. This approach estimates equation and a selection model simultaneously using maximum likelihood.</w:t>
      </w:r>
    </w:p>
    <w:p w14:paraId="209E2E5D" w14:textId="77777777" w:rsidR="00C105E5" w:rsidRPr="00BE5D7B" w:rsidRDefault="00C105E5" w:rsidP="00C105E5">
      <w:pPr>
        <w:pStyle w:val="BodyText"/>
      </w:pPr>
      <w:r w:rsidRPr="00BE5D7B">
        <w:t>The selection model in this case is the probability that a firm applies for financing as a Probit function of all the right-hand side variables in and an extra variable for exclusion restriction. I use the firm’s report of whether the development of any project is abandoned (</w:t>
      </w:r>
      <m:oMath>
        <m:r>
          <w:rPr>
            <w:rFonts w:ascii="Cambria Math" w:hAnsi="Cambria Math"/>
          </w:rPr>
          <m:t>Abandon</m:t>
        </m:r>
      </m:oMath>
      <w:r w:rsidRPr="00BE5D7B">
        <w:t>) as the exclusion restriction. A firm having abandoned a project is more likely to apply for financing to start over. However, this information is invisible to banks, hence, cannot be internalized in the decision for financing.</w:t>
      </w:r>
    </w:p>
    <w:p w14:paraId="209E2E5E" w14:textId="77777777" w:rsidR="00C105E5" w:rsidRPr="00BE5D7B" w:rsidRDefault="00C105E5" w:rsidP="00C105E5">
      <w:pPr>
        <w:pStyle w:val="BodyText"/>
      </w:pPr>
      <w:r w:rsidRPr="00BE5D7B">
        <w:lastRenderedPageBreak/>
        <w:t>Apart from compensating for selection biases, the selection model also serves as a test for the behavio</w:t>
      </w:r>
      <w:r w:rsidR="00117D8A" w:rsidRPr="00BE5D7B">
        <w:t>u</w:t>
      </w:r>
      <w:r w:rsidRPr="00BE5D7B">
        <w:t>ral additionality on the part of firms. This additionality occurs when government assistance increases the propensity to seek financing.</w:t>
      </w:r>
    </w:p>
    <w:p w14:paraId="209E2E5F" w14:textId="77777777" w:rsidR="00C105E5" w:rsidRPr="00BE5D7B" w:rsidRDefault="00C105E5" w:rsidP="00C105E5">
      <w:pPr>
        <w:pStyle w:val="BodyText"/>
      </w:pPr>
      <w:r w:rsidRPr="00BE5D7B">
        <w:t>Second, the selection of firms into receiving government as</w:t>
      </w:r>
      <w:r w:rsidR="0037216C" w:rsidRPr="00BE5D7B">
        <w:t xml:space="preserve">sistance is not random. </w:t>
      </w:r>
      <w:r w:rsidR="0037216C" w:rsidRPr="00BE5D7B">
        <w:fldChar w:fldCharType="begin"/>
      </w:r>
      <w:r w:rsidR="0037216C" w:rsidRPr="00BE5D7B">
        <w:instrText xml:space="preserve"> REF _Ref519603675 \h </w:instrText>
      </w:r>
      <w:r w:rsidR="0037216C" w:rsidRPr="00BE5D7B">
        <w:fldChar w:fldCharType="separate"/>
      </w:r>
      <w:r w:rsidR="00851CD1" w:rsidRPr="00BE5D7B">
        <w:t xml:space="preserve">Table </w:t>
      </w:r>
      <w:r w:rsidR="00851CD1" w:rsidRPr="00BE5D7B">
        <w:rPr>
          <w:noProof/>
        </w:rPr>
        <w:t>4</w:t>
      </w:r>
      <w:r w:rsidR="00851CD1" w:rsidRPr="00BE5D7B">
        <w:t>.</w:t>
      </w:r>
      <w:r w:rsidR="00851CD1" w:rsidRPr="00BE5D7B">
        <w:rPr>
          <w:noProof/>
        </w:rPr>
        <w:t>3</w:t>
      </w:r>
      <w:r w:rsidR="0037216C" w:rsidRPr="00BE5D7B">
        <w:fldChar w:fldCharType="end"/>
      </w:r>
      <w:r w:rsidRPr="00BE5D7B">
        <w:t xml:space="preserve"> has already shown that a larger proportion of firms receiving government assistance are below the average credit-worthiness. Such self-selection introduces a negative bias into the estimates relative to a situation where firms with government assistance are randomly selected.</w:t>
      </w:r>
    </w:p>
    <w:p w14:paraId="209E2E60" w14:textId="77777777" w:rsidR="00C105E5" w:rsidRPr="00BE5D7B" w:rsidRDefault="00C105E5" w:rsidP="00C105E5">
      <w:pPr>
        <w:pStyle w:val="BodyText"/>
      </w:pPr>
      <w:r w:rsidRPr="00BE5D7B">
        <w:t xml:space="preserve">Following </w:t>
      </w:r>
      <w:r w:rsidR="003B59CF" w:rsidRPr="00BE5D7B">
        <w:t>Hirano, Imbens, and Ridder (2003)</w:t>
      </w:r>
      <w:r w:rsidRPr="00BE5D7B">
        <w:t>, I address this last issue by using inverse propensity weighting to reduce the selection bias. For this purpose, I estimate a Probit of the form</w:t>
      </w:r>
    </w:p>
    <w:p w14:paraId="657ADE8A" w14:textId="77777777" w:rsidR="006933A3" w:rsidRDefault="00C105E5" w:rsidP="006933A3">
      <w:pPr>
        <w:pStyle w:val="BodyText"/>
        <w:spacing w:after="0"/>
        <w:rPr>
          <w:rFonts w:eastAsiaTheme="minorEastAsia"/>
        </w:rPr>
      </w:pPr>
      <m:oMathPara>
        <m:oMath>
          <m:r>
            <w:rPr>
              <w:rFonts w:ascii="Cambria Math" w:hAnsi="Cambria Math"/>
            </w:rPr>
            <m:t>Prob[Go</m:t>
          </m:r>
          <m:sSub>
            <m:sSubPr>
              <m:ctrlPr>
                <w:rPr>
                  <w:rFonts w:ascii="Cambria Math" w:hAnsi="Cambria Math"/>
                </w:rPr>
              </m:ctrlPr>
            </m:sSubPr>
            <m:e>
              <m:r>
                <w:rPr>
                  <w:rFonts w:ascii="Cambria Math" w:hAnsi="Cambria Math"/>
                </w:rPr>
                <m:t>v</m:t>
              </m:r>
            </m:e>
            <m:sub>
              <m:r>
                <w:rPr>
                  <w:rFonts w:ascii="Cambria Math" w:hAnsi="Cambria Math"/>
                </w:rPr>
                <m:t>jit</m:t>
              </m:r>
            </m:sub>
          </m:sSub>
          <m:r>
            <w:rPr>
              <w:rFonts w:ascii="Cambria Math" w:hAnsi="Cambria Math"/>
            </w:rPr>
            <m:t>=1]=Φ(</m:t>
          </m:r>
          <m:sSub>
            <m:sSubPr>
              <m:ctrlPr>
                <w:rPr>
                  <w:rFonts w:ascii="Cambria Math" w:hAnsi="Cambria Math"/>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1</m:t>
              </m:r>
            </m:sub>
          </m:sSub>
          <m:r>
            <w:rPr>
              <w:rFonts w:ascii="Cambria Math" w:hAnsi="Cambria Math"/>
            </w:rPr>
            <m:t>Hampe</m:t>
          </m:r>
          <m:sSub>
            <m:sSubPr>
              <m:ctrlPr>
                <w:rPr>
                  <w:rFonts w:ascii="Cambria Math" w:hAnsi="Cambria Math"/>
                </w:rPr>
              </m:ctrlPr>
            </m:sSubPr>
            <m:e>
              <m:r>
                <w:rPr>
                  <w:rFonts w:ascii="Cambria Math" w:hAnsi="Cambria Math"/>
                </w:rPr>
                <m:t>r</m:t>
              </m:r>
            </m:e>
            <m:sub>
              <m:r>
                <w:rPr>
                  <w:rFonts w:ascii="Cambria Math" w:hAnsi="Cambria Math"/>
                </w:rPr>
                <m:t>jit</m:t>
              </m:r>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2</m:t>
              </m:r>
            </m:sub>
          </m:sSub>
          <m:r>
            <w:rPr>
              <w:rFonts w:ascii="Cambria Math" w:hAnsi="Cambria Math"/>
            </w:rPr>
            <m:t>Expor</m:t>
          </m:r>
          <m:sSub>
            <m:sSubPr>
              <m:ctrlPr>
                <w:rPr>
                  <w:rFonts w:ascii="Cambria Math" w:hAnsi="Cambria Math"/>
                </w:rPr>
              </m:ctrlPr>
            </m:sSubPr>
            <m:e>
              <m:r>
                <w:rPr>
                  <w:rFonts w:ascii="Cambria Math" w:hAnsi="Cambria Math"/>
                </w:rPr>
                <m:t>t</m:t>
              </m:r>
            </m:e>
            <m:sub>
              <m:r>
                <w:rPr>
                  <w:rFonts w:ascii="Cambria Math" w:hAnsi="Cambria Math"/>
                </w:rPr>
                <m:t>jit</m:t>
              </m:r>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3</m:t>
              </m:r>
            </m:sub>
          </m:sSub>
          <m:r>
            <w:rPr>
              <w:rFonts w:ascii="Cambria Math" w:hAnsi="Cambria Math"/>
            </w:rPr>
            <m:t>Youn</m:t>
          </m:r>
          <m:sSub>
            <m:sSubPr>
              <m:ctrlPr>
                <w:rPr>
                  <w:rFonts w:ascii="Cambria Math" w:hAnsi="Cambria Math"/>
                </w:rPr>
              </m:ctrlPr>
            </m:sSubPr>
            <m:e>
              <m:r>
                <w:rPr>
                  <w:rFonts w:ascii="Cambria Math" w:hAnsi="Cambria Math"/>
                </w:rPr>
                <m:t>g</m:t>
              </m:r>
            </m:e>
            <m:sub>
              <m:r>
                <w:rPr>
                  <w:rFonts w:ascii="Cambria Math" w:hAnsi="Cambria Math"/>
                </w:rPr>
                <m:t>jit</m:t>
              </m:r>
            </m:sub>
          </m:sSub>
          <m:r>
            <w:rPr>
              <w:rFonts w:ascii="Cambria Math" w:hAnsi="Cambria Math"/>
            </w:rPr>
            <m:t>+</m:t>
          </m:r>
          <m:sSub>
            <m:sSubPr>
              <m:ctrlPr>
                <w:rPr>
                  <w:rFonts w:ascii="Cambria Math" w:hAnsi="Cambria Math"/>
                </w:rPr>
              </m:ctrlPr>
            </m:sSubPr>
            <m:e>
              <m:r>
                <w:rPr>
                  <w:rFonts w:ascii="Cambria Math" w:hAnsi="Cambria Math"/>
                </w:rPr>
                <m:t>ι</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t</m:t>
              </m:r>
            </m:sub>
          </m:sSub>
          <m:r>
            <w:rPr>
              <w:rFonts w:ascii="Cambria Math" w:hAnsi="Cambria Math"/>
            </w:rPr>
            <m:t>).</m:t>
          </m:r>
        </m:oMath>
      </m:oMathPara>
    </w:p>
    <w:p w14:paraId="209E2E61" w14:textId="35B8335E" w:rsidR="00C105E5" w:rsidRPr="00BE5D7B" w:rsidRDefault="00270534" w:rsidP="006933A3">
      <w:pPr>
        <w:pStyle w:val="BodyText"/>
        <w:jc w:val="right"/>
      </w:pPr>
      <w:r w:rsidRPr="00BE5D7B">
        <w:rPr>
          <w:rFonts w:eastAsiaTheme="minorEastAsia"/>
        </w:rPr>
        <w:t>(3)</w:t>
      </w:r>
    </w:p>
    <w:p w14:paraId="209E2E62" w14:textId="77777777" w:rsidR="00C105E5" w:rsidRPr="00BE5D7B" w:rsidRDefault="00C105E5" w:rsidP="00D81B55">
      <w:pPr>
        <w:pStyle w:val="FirstParagraph"/>
        <w:spacing w:line="270" w:lineRule="exact"/>
        <w:jc w:val="both"/>
        <w:rPr>
          <w:color w:val="373737"/>
          <w:sz w:val="20"/>
          <w:szCs w:val="20"/>
        </w:rPr>
      </w:pPr>
      <w:r w:rsidRPr="00BE5D7B">
        <w:rPr>
          <w:color w:val="373737"/>
          <w:sz w:val="20"/>
          <w:szCs w:val="20"/>
        </w:rPr>
        <w:t xml:space="preserve">In this specification, </w:t>
      </w:r>
      <m:oMath>
        <m:r>
          <w:rPr>
            <w:rFonts w:ascii="Cambria Math" w:hAnsi="Cambria Math"/>
            <w:color w:val="373737"/>
            <w:sz w:val="20"/>
            <w:szCs w:val="20"/>
          </w:rPr>
          <m:t>Hamper</m:t>
        </m:r>
      </m:oMath>
      <w:r w:rsidRPr="00BE5D7B">
        <w:rPr>
          <w:color w:val="373737"/>
          <w:sz w:val="20"/>
          <w:szCs w:val="20"/>
        </w:rPr>
        <w:t xml:space="preserve"> indicates whether the firm’s operation is hampered by any factor, </w:t>
      </w:r>
      <m:oMath>
        <m:r>
          <w:rPr>
            <w:rFonts w:ascii="Cambria Math" w:hAnsi="Cambria Math"/>
            <w:color w:val="373737"/>
            <w:sz w:val="20"/>
            <w:szCs w:val="20"/>
          </w:rPr>
          <m:t>Export</m:t>
        </m:r>
      </m:oMath>
      <w:r w:rsidRPr="00BE5D7B">
        <w:rPr>
          <w:color w:val="373737"/>
          <w:sz w:val="20"/>
          <w:szCs w:val="20"/>
        </w:rPr>
        <w:t xml:space="preserve"> indicates whether the firm is exporting. Set of industry and time dummies are indicated by </w:t>
      </w:r>
      <m:oMath>
        <m:r>
          <w:rPr>
            <w:rFonts w:ascii="Cambria Math" w:hAnsi="Cambria Math"/>
            <w:color w:val="373737"/>
            <w:sz w:val="20"/>
            <w:szCs w:val="20"/>
          </w:rPr>
          <m:t>ι</m:t>
        </m:r>
      </m:oMath>
      <w:r w:rsidRPr="00BE5D7B">
        <w:rPr>
          <w:color w:val="373737"/>
          <w:sz w:val="20"/>
          <w:szCs w:val="20"/>
        </w:rPr>
        <w:t xml:space="preserve"> and </w:t>
      </w:r>
      <m:oMath>
        <m:r>
          <w:rPr>
            <w:rFonts w:ascii="Cambria Math" w:hAnsi="Cambria Math"/>
            <w:color w:val="373737"/>
            <w:sz w:val="20"/>
            <w:szCs w:val="20"/>
          </w:rPr>
          <m:t>τ</m:t>
        </m:r>
      </m:oMath>
      <w:r w:rsidRPr="00BE5D7B">
        <w:rPr>
          <w:color w:val="373737"/>
          <w:sz w:val="20"/>
          <w:szCs w:val="20"/>
        </w:rPr>
        <w:t xml:space="preserve">. I am not using an explicit indicator of productivity, since labor productivity is not fully comparable across industries. However, productivity is implicit in this model, as more productive firms tend to be exporters </w:t>
      </w:r>
      <w:r w:rsidR="00586915" w:rsidRPr="00BE5D7B">
        <w:rPr>
          <w:color w:val="373737"/>
          <w:sz w:val="20"/>
          <w:szCs w:val="20"/>
        </w:rPr>
        <w:t>(Melitz, 2003)</w:t>
      </w:r>
      <w:r w:rsidRPr="00BE5D7B">
        <w:rPr>
          <w:color w:val="373737"/>
          <w:sz w:val="20"/>
          <w:szCs w:val="20"/>
        </w:rPr>
        <w:t>.</w:t>
      </w:r>
    </w:p>
    <w:p w14:paraId="209E2E63" w14:textId="77777777" w:rsidR="00C105E5" w:rsidRPr="00BE5D7B" w:rsidRDefault="00C105E5" w:rsidP="00C105E5">
      <w:pPr>
        <w:pStyle w:val="BodyText"/>
      </w:pPr>
      <w:r w:rsidRPr="00BE5D7B">
        <w:t xml:space="preserve">Observations receiving government assistance are weighted by the inverse of the predicted probability from </w:t>
      </w:r>
      <w:r w:rsidR="00270534" w:rsidRPr="00BE5D7B">
        <w:t>(3)</w:t>
      </w:r>
      <w:r w:rsidRPr="00BE5D7B">
        <w:t>, whereas the rest are weighted by the inverse of the complement probability.</w:t>
      </w:r>
      <w:r w:rsidRPr="00BE5D7B">
        <w:rPr>
          <w:rStyle w:val="FootnoteReference"/>
        </w:rPr>
        <w:footnoteReference w:id="5"/>
      </w:r>
    </w:p>
    <w:p w14:paraId="209E2E64" w14:textId="77777777" w:rsidR="00C105E5" w:rsidRPr="00BE5D7B" w:rsidRDefault="00C105E5" w:rsidP="00C105E5">
      <w:pPr>
        <w:pStyle w:val="BodyText"/>
      </w:pPr>
      <w:r w:rsidRPr="00BE5D7B">
        <w:t xml:space="preserve">The sample I will use for the estimation of </w:t>
      </w:r>
      <w:r w:rsidR="00922AF8" w:rsidRPr="00BE5D7B">
        <w:t xml:space="preserve">(1) </w:t>
      </w:r>
      <w:r w:rsidRPr="00BE5D7B">
        <w:t>excludes all firm–years seeking financing that report their application for financing to be in pro</w:t>
      </w:r>
      <w:r w:rsidR="0054197B" w:rsidRPr="00BE5D7B">
        <w:t>gress. Only firms with a finalis</w:t>
      </w:r>
      <w:r w:rsidRPr="00BE5D7B">
        <w:t>ed decision – either accepted or rejected – are included along with all observations not seeking financing.</w:t>
      </w:r>
    </w:p>
    <w:p w14:paraId="209E2E65" w14:textId="77777777" w:rsidR="00A11D17" w:rsidRPr="00BE5D7B" w:rsidRDefault="00A11D17" w:rsidP="00A11D17">
      <w:pPr>
        <w:pStyle w:val="BodyText"/>
      </w:pPr>
      <w:r w:rsidRPr="00BE5D7B">
        <w:t>The descriptive statistics for the control variables used in the modelling are l</w:t>
      </w:r>
      <w:r w:rsidR="00420059" w:rsidRPr="00BE5D7B">
        <w:t xml:space="preserve">isted in </w:t>
      </w:r>
      <w:r w:rsidR="00420059" w:rsidRPr="00BE5D7B">
        <w:fldChar w:fldCharType="begin"/>
      </w:r>
      <w:r w:rsidR="00420059" w:rsidRPr="00BE5D7B">
        <w:instrText xml:space="preserve"> REF _Ref519604630 \h </w:instrText>
      </w:r>
      <w:r w:rsidR="00420059" w:rsidRPr="00BE5D7B">
        <w:fldChar w:fldCharType="separate"/>
      </w:r>
      <w:r w:rsidR="00851CD1" w:rsidRPr="00BE5D7B">
        <w:t xml:space="preserve">Table </w:t>
      </w:r>
      <w:r w:rsidR="00851CD1" w:rsidRPr="00BE5D7B">
        <w:rPr>
          <w:noProof/>
        </w:rPr>
        <w:t>5</w:t>
      </w:r>
      <w:r w:rsidR="00851CD1" w:rsidRPr="00BE5D7B">
        <w:t>.</w:t>
      </w:r>
      <w:r w:rsidR="00851CD1" w:rsidRPr="00BE5D7B">
        <w:rPr>
          <w:noProof/>
        </w:rPr>
        <w:t>1</w:t>
      </w:r>
      <w:r w:rsidR="00420059" w:rsidRPr="00BE5D7B">
        <w:fldChar w:fldCharType="end"/>
      </w:r>
      <w:r w:rsidRPr="00BE5D7B">
        <w:t>. The statistics show that firms in the data are quite dispersed in their size and financial standing.</w:t>
      </w:r>
    </w:p>
    <w:p w14:paraId="209E2E66" w14:textId="77777777" w:rsidR="00D81B55" w:rsidRPr="00BE5D7B" w:rsidRDefault="00D81B55" w:rsidP="00D81B55">
      <w:pPr>
        <w:pStyle w:val="BodyText"/>
      </w:pPr>
      <w:r w:rsidRPr="00BE5D7B">
        <w:t xml:space="preserve">The correlation coefficients between the main covariates in the model are reported in </w:t>
      </w:r>
      <w:r w:rsidRPr="00BE5D7B">
        <w:fldChar w:fldCharType="begin"/>
      </w:r>
      <w:r w:rsidRPr="00BE5D7B">
        <w:instrText xml:space="preserve"> REF _Ref519604892 \h </w:instrText>
      </w:r>
      <w:r w:rsidRPr="00BE5D7B">
        <w:fldChar w:fldCharType="separate"/>
      </w:r>
      <w:r w:rsidR="00851CD1" w:rsidRPr="00BE5D7B">
        <w:t xml:space="preserve">Table </w:t>
      </w:r>
      <w:r w:rsidR="00851CD1" w:rsidRPr="00BE5D7B">
        <w:rPr>
          <w:noProof/>
        </w:rPr>
        <w:t>5</w:t>
      </w:r>
      <w:r w:rsidR="00851CD1" w:rsidRPr="00BE5D7B">
        <w:t>.</w:t>
      </w:r>
      <w:r w:rsidR="00851CD1" w:rsidRPr="00BE5D7B">
        <w:rPr>
          <w:noProof/>
        </w:rPr>
        <w:t>2</w:t>
      </w:r>
      <w:r w:rsidRPr="00BE5D7B">
        <w:fldChar w:fldCharType="end"/>
      </w:r>
      <w:r w:rsidRPr="00BE5D7B">
        <w:t xml:space="preserve">. The correlations mostly confirm the prior observations in </w:t>
      </w:r>
      <w:r w:rsidRPr="00BE5D7B">
        <w:fldChar w:fldCharType="begin"/>
      </w:r>
      <w:r w:rsidRPr="00BE5D7B">
        <w:instrText xml:space="preserve"> REF _Ref519603675 \h </w:instrText>
      </w:r>
      <w:r w:rsidRPr="00BE5D7B">
        <w:fldChar w:fldCharType="separate"/>
      </w:r>
      <w:r w:rsidR="00851CD1" w:rsidRPr="00BE5D7B">
        <w:t xml:space="preserve">Table </w:t>
      </w:r>
      <w:r w:rsidR="00851CD1" w:rsidRPr="00BE5D7B">
        <w:rPr>
          <w:noProof/>
        </w:rPr>
        <w:t>4</w:t>
      </w:r>
      <w:r w:rsidR="00851CD1" w:rsidRPr="00BE5D7B">
        <w:t>.</w:t>
      </w:r>
      <w:r w:rsidR="00851CD1" w:rsidRPr="00BE5D7B">
        <w:rPr>
          <w:noProof/>
        </w:rPr>
        <w:t>3</w:t>
      </w:r>
      <w:r w:rsidRPr="00BE5D7B">
        <w:fldChar w:fldCharType="end"/>
      </w:r>
      <w:r w:rsidRPr="00BE5D7B">
        <w:t xml:space="preserve"> that most firms receiving assistance are mature, large and with little liquidity. The only highlight is that these firms are not over-leveraged. However, as the correlation between size and leverage is negative, the former observation could be simply because the firms receiving government assistance are larger on average.</w:t>
      </w:r>
    </w:p>
    <w:p w14:paraId="209E2E67" w14:textId="77777777" w:rsidR="007F5BB5" w:rsidRPr="00BE5D7B" w:rsidRDefault="007F5BB5" w:rsidP="007F5BB5">
      <w:pPr>
        <w:pStyle w:val="BodyText"/>
      </w:pPr>
      <w:r w:rsidRPr="00BE5D7B">
        <w:lastRenderedPageBreak/>
        <w:t>Other correlation coefficients show a bit of inter-dependence between the covariates. However, none of the correlation coefficients is large enough to raise collinearity concerns.</w:t>
      </w:r>
    </w:p>
    <w:p w14:paraId="209E2E69" w14:textId="77777777" w:rsidR="00A11D17" w:rsidRDefault="00A11D17" w:rsidP="00FD5C18">
      <w:pPr>
        <w:pStyle w:val="Caption"/>
      </w:pPr>
      <w:bookmarkStart w:id="3" w:name="_Ref519604630"/>
      <w:r w:rsidRPr="000618FB">
        <w:t xml:space="preserve">Table </w:t>
      </w:r>
      <w:r>
        <w:rPr>
          <w:noProof/>
        </w:rPr>
        <w:fldChar w:fldCharType="begin"/>
      </w:r>
      <w:r>
        <w:rPr>
          <w:noProof/>
        </w:rPr>
        <w:instrText xml:space="preserve"> STYLEREF 1 \s </w:instrText>
      </w:r>
      <w:r>
        <w:rPr>
          <w:noProof/>
        </w:rPr>
        <w:fldChar w:fldCharType="separate"/>
      </w:r>
      <w:r w:rsidR="00851CD1">
        <w:rPr>
          <w:noProof/>
        </w:rPr>
        <w:t>5</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851CD1">
        <w:rPr>
          <w:noProof/>
        </w:rPr>
        <w:t>1</w:t>
      </w:r>
      <w:r>
        <w:rPr>
          <w:noProof/>
        </w:rPr>
        <w:fldChar w:fldCharType="end"/>
      </w:r>
      <w:bookmarkEnd w:id="3"/>
      <w:r w:rsidRPr="000618FB">
        <w:t xml:space="preserve">: </w:t>
      </w:r>
      <w:r>
        <w:t>Descriptive statistics for the key variables</w:t>
      </w:r>
    </w:p>
    <w:tbl>
      <w:tblPr>
        <w:tblStyle w:val="OCETable"/>
        <w:tblW w:w="5000" w:type="pct"/>
        <w:tblLook w:val="04A0" w:firstRow="1" w:lastRow="0" w:firstColumn="1" w:lastColumn="0" w:noHBand="0" w:noVBand="1"/>
        <w:tblCaption w:val="Decsriptive statistics for key variables"/>
        <w:tblDescription w:val="Median of log of assets is 13.75 and close to its mean value. Firms on average have 50 per cent liquidity which is again simialr to the median. The log of leverage is also 0.6 and close to the mean value."/>
      </w:tblPr>
      <w:tblGrid>
        <w:gridCol w:w="1652"/>
        <w:gridCol w:w="1926"/>
        <w:gridCol w:w="1645"/>
        <w:gridCol w:w="1671"/>
      </w:tblGrid>
      <w:tr w:rsidR="00A11D17" w14:paraId="209E2E6E" w14:textId="77777777" w:rsidTr="00DC6A46">
        <w:trPr>
          <w:cnfStyle w:val="100000000000" w:firstRow="1" w:lastRow="0" w:firstColumn="0" w:lastColumn="0" w:oddVBand="0" w:evenVBand="0" w:oddHBand="0" w:evenHBand="0" w:firstRowFirstColumn="0" w:firstRowLastColumn="0" w:lastRowFirstColumn="0" w:lastRowLastColumn="0"/>
          <w:tblHeader/>
        </w:trPr>
        <w:tc>
          <w:tcPr>
            <w:tcW w:w="1198" w:type="pct"/>
          </w:tcPr>
          <w:p w14:paraId="209E2E6A" w14:textId="77777777" w:rsidR="00A11D17" w:rsidRDefault="00A11D17" w:rsidP="00A11D17">
            <w:pPr>
              <w:pStyle w:val="Tableheadertext"/>
              <w:jc w:val="both"/>
            </w:pPr>
            <w:r>
              <w:t>Statistic</w:t>
            </w:r>
          </w:p>
        </w:tc>
        <w:tc>
          <w:tcPr>
            <w:tcW w:w="1397" w:type="pct"/>
          </w:tcPr>
          <w:p w14:paraId="209E2E6B" w14:textId="5552697F" w:rsidR="00A11D17" w:rsidRPr="0057657B" w:rsidRDefault="0057657B" w:rsidP="0057657B">
            <w:pPr>
              <w:pStyle w:val="Tableheadertext"/>
            </w:pPr>
            <m:oMathPara>
              <m:oMath>
                <m:r>
                  <m:rPr>
                    <m:sty m:val="b"/>
                  </m:rPr>
                  <w:rPr>
                    <w:rFonts w:ascii="Cambria Math" w:hAnsi="Cambria Math"/>
                  </w:rPr>
                  <m:t>log(</m:t>
                </m:r>
                <m:r>
                  <m:rPr>
                    <m:sty m:val="bi"/>
                  </m:rPr>
                  <w:rPr>
                    <w:rFonts w:ascii="Cambria Math" w:hAnsi="Cambria Math"/>
                  </w:rPr>
                  <m:t>Assets</m:t>
                </m:r>
                <m:r>
                  <m:rPr>
                    <m:sty m:val="b"/>
                  </m:rPr>
                  <w:rPr>
                    <w:rFonts w:ascii="Cambria Math" w:hAnsi="Cambria Math"/>
                  </w:rPr>
                  <m:t>)</m:t>
                </m:r>
              </m:oMath>
            </m:oMathPara>
          </w:p>
        </w:tc>
        <w:tc>
          <w:tcPr>
            <w:tcW w:w="1193" w:type="pct"/>
          </w:tcPr>
          <w:p w14:paraId="209E2E6C" w14:textId="5D97544B" w:rsidR="00A11D17" w:rsidRPr="0057657B" w:rsidRDefault="0057657B" w:rsidP="0057657B">
            <w:pPr>
              <w:pStyle w:val="Tableheadertext"/>
              <w:rPr>
                <w:rFonts w:asciiTheme="majorHAnsi" w:hAnsiTheme="majorHAnsi" w:cstheme="majorHAnsi"/>
              </w:rPr>
            </w:pPr>
            <m:oMathPara>
              <m:oMath>
                <m:r>
                  <m:rPr>
                    <m:sty m:val="bi"/>
                  </m:rPr>
                  <w:rPr>
                    <w:rFonts w:ascii="Cambria Math" w:hAnsi="Cambria Math" w:cstheme="majorHAnsi"/>
                  </w:rPr>
                  <m:t>Liquidity</m:t>
                </m:r>
              </m:oMath>
            </m:oMathPara>
          </w:p>
        </w:tc>
        <w:tc>
          <w:tcPr>
            <w:tcW w:w="1212" w:type="pct"/>
          </w:tcPr>
          <w:p w14:paraId="209E2E6D" w14:textId="67FE01EE" w:rsidR="00A11D17" w:rsidRPr="0057657B" w:rsidRDefault="0057657B" w:rsidP="0057657B">
            <w:pPr>
              <w:pStyle w:val="Tableheadertext"/>
            </w:pPr>
            <m:oMathPara>
              <m:oMath>
                <m:r>
                  <m:rPr>
                    <m:sty m:val="bi"/>
                  </m:rPr>
                  <w:rPr>
                    <w:rFonts w:ascii="Cambria Math" w:hAnsi="Cambria Math"/>
                  </w:rPr>
                  <m:t>Leverage</m:t>
                </m:r>
              </m:oMath>
            </m:oMathPara>
          </w:p>
        </w:tc>
      </w:tr>
      <w:tr w:rsidR="00A11D17" w14:paraId="209E2E73" w14:textId="77777777" w:rsidTr="00A11D17">
        <w:trPr>
          <w:cnfStyle w:val="000000100000" w:firstRow="0" w:lastRow="0" w:firstColumn="0" w:lastColumn="0" w:oddVBand="0" w:evenVBand="0" w:oddHBand="1" w:evenHBand="0" w:firstRowFirstColumn="0" w:firstRowLastColumn="0" w:lastRowFirstColumn="0" w:lastRowLastColumn="0"/>
        </w:trPr>
        <w:tc>
          <w:tcPr>
            <w:tcW w:w="1198" w:type="pct"/>
          </w:tcPr>
          <w:p w14:paraId="209E2E6F" w14:textId="77777777" w:rsidR="00A11D17" w:rsidRDefault="00A11D17" w:rsidP="00A11D17">
            <w:pPr>
              <w:pStyle w:val="Tablebodytext"/>
              <w:jc w:val="both"/>
            </w:pPr>
            <w:r>
              <w:t>Mean</w:t>
            </w:r>
          </w:p>
        </w:tc>
        <w:tc>
          <w:tcPr>
            <w:tcW w:w="1397" w:type="pct"/>
          </w:tcPr>
          <w:p w14:paraId="209E2E70" w14:textId="77777777" w:rsidR="00A11D17" w:rsidRDefault="00A11D17" w:rsidP="00B64AE8">
            <w:pPr>
              <w:pStyle w:val="Tablebodytext"/>
              <w:jc w:val="right"/>
            </w:pPr>
            <w:r>
              <w:t>14.17</w:t>
            </w:r>
          </w:p>
        </w:tc>
        <w:tc>
          <w:tcPr>
            <w:tcW w:w="1193" w:type="pct"/>
          </w:tcPr>
          <w:p w14:paraId="209E2E71" w14:textId="77777777" w:rsidR="00A11D17" w:rsidRDefault="00A11D17" w:rsidP="00B64AE8">
            <w:pPr>
              <w:pStyle w:val="Tablebodytext"/>
              <w:jc w:val="right"/>
            </w:pPr>
            <w:r>
              <w:t>0.503</w:t>
            </w:r>
          </w:p>
        </w:tc>
        <w:tc>
          <w:tcPr>
            <w:tcW w:w="1212" w:type="pct"/>
          </w:tcPr>
          <w:p w14:paraId="209E2E72" w14:textId="77777777" w:rsidR="00A11D17" w:rsidRDefault="00A11D17" w:rsidP="00B64AE8">
            <w:pPr>
              <w:pStyle w:val="Tablebodytext"/>
              <w:jc w:val="right"/>
            </w:pPr>
            <w:r>
              <w:t>0.595</w:t>
            </w:r>
          </w:p>
        </w:tc>
      </w:tr>
      <w:tr w:rsidR="00A11D17" w14:paraId="209E2E78" w14:textId="77777777" w:rsidTr="00A11D17">
        <w:trPr>
          <w:cnfStyle w:val="000000010000" w:firstRow="0" w:lastRow="0" w:firstColumn="0" w:lastColumn="0" w:oddVBand="0" w:evenVBand="0" w:oddHBand="0" w:evenHBand="1" w:firstRowFirstColumn="0" w:firstRowLastColumn="0" w:lastRowFirstColumn="0" w:lastRowLastColumn="0"/>
        </w:trPr>
        <w:tc>
          <w:tcPr>
            <w:tcW w:w="1198" w:type="pct"/>
          </w:tcPr>
          <w:p w14:paraId="209E2E74" w14:textId="77777777" w:rsidR="00A11D17" w:rsidRDefault="00A11D17" w:rsidP="00A11D17">
            <w:pPr>
              <w:pStyle w:val="Tablebodytext"/>
              <w:jc w:val="both"/>
            </w:pPr>
            <w:r>
              <w:t>Std.Dev.</w:t>
            </w:r>
          </w:p>
        </w:tc>
        <w:tc>
          <w:tcPr>
            <w:tcW w:w="1397" w:type="pct"/>
          </w:tcPr>
          <w:p w14:paraId="209E2E75" w14:textId="77777777" w:rsidR="00A11D17" w:rsidRDefault="00A11D17" w:rsidP="00B64AE8">
            <w:pPr>
              <w:pStyle w:val="Tablebodytext"/>
              <w:jc w:val="right"/>
            </w:pPr>
            <w:r>
              <w:t>3.344</w:t>
            </w:r>
          </w:p>
        </w:tc>
        <w:tc>
          <w:tcPr>
            <w:tcW w:w="1193" w:type="pct"/>
          </w:tcPr>
          <w:p w14:paraId="209E2E76" w14:textId="77777777" w:rsidR="00A11D17" w:rsidRDefault="00A11D17" w:rsidP="00B64AE8">
            <w:pPr>
              <w:pStyle w:val="Tablebodytext"/>
              <w:jc w:val="right"/>
            </w:pPr>
            <w:r>
              <w:t>0.328</w:t>
            </w:r>
          </w:p>
        </w:tc>
        <w:tc>
          <w:tcPr>
            <w:tcW w:w="1212" w:type="pct"/>
          </w:tcPr>
          <w:p w14:paraId="209E2E77" w14:textId="77777777" w:rsidR="00A11D17" w:rsidRDefault="00A11D17" w:rsidP="00B64AE8">
            <w:pPr>
              <w:pStyle w:val="Tablebodytext"/>
              <w:jc w:val="right"/>
            </w:pPr>
            <w:r>
              <w:t>0.550</w:t>
            </w:r>
          </w:p>
        </w:tc>
      </w:tr>
      <w:tr w:rsidR="00A11D17" w14:paraId="209E2E7D" w14:textId="77777777" w:rsidTr="00A11D17">
        <w:trPr>
          <w:cnfStyle w:val="000000100000" w:firstRow="0" w:lastRow="0" w:firstColumn="0" w:lastColumn="0" w:oddVBand="0" w:evenVBand="0" w:oddHBand="1" w:evenHBand="0" w:firstRowFirstColumn="0" w:firstRowLastColumn="0" w:lastRowFirstColumn="0" w:lastRowLastColumn="0"/>
        </w:trPr>
        <w:tc>
          <w:tcPr>
            <w:tcW w:w="1198" w:type="pct"/>
          </w:tcPr>
          <w:p w14:paraId="209E2E79" w14:textId="77777777" w:rsidR="00A11D17" w:rsidRDefault="00A11D17" w:rsidP="00A11D17">
            <w:pPr>
              <w:pStyle w:val="Tablebodytext"/>
              <w:jc w:val="both"/>
            </w:pPr>
            <w:r>
              <w:t>1st Pctl.</w:t>
            </w:r>
          </w:p>
        </w:tc>
        <w:tc>
          <w:tcPr>
            <w:tcW w:w="1397" w:type="pct"/>
          </w:tcPr>
          <w:p w14:paraId="209E2E7A" w14:textId="77777777" w:rsidR="00A11D17" w:rsidRDefault="00A11D17" w:rsidP="00B64AE8">
            <w:pPr>
              <w:pStyle w:val="Tablebodytext"/>
              <w:jc w:val="right"/>
            </w:pPr>
            <w:r>
              <w:t>6.413</w:t>
            </w:r>
          </w:p>
        </w:tc>
        <w:tc>
          <w:tcPr>
            <w:tcW w:w="1193" w:type="pct"/>
          </w:tcPr>
          <w:p w14:paraId="209E2E7B" w14:textId="77777777" w:rsidR="00A11D17" w:rsidRDefault="00A11D17" w:rsidP="00B64AE8">
            <w:pPr>
              <w:pStyle w:val="Tablebodytext"/>
              <w:jc w:val="right"/>
            </w:pPr>
            <w:r>
              <w:t>0</w:t>
            </w:r>
          </w:p>
        </w:tc>
        <w:tc>
          <w:tcPr>
            <w:tcW w:w="1212" w:type="pct"/>
          </w:tcPr>
          <w:p w14:paraId="209E2E7C" w14:textId="77777777" w:rsidR="00A11D17" w:rsidRDefault="00A11D17" w:rsidP="00B64AE8">
            <w:pPr>
              <w:pStyle w:val="Tablebodytext"/>
              <w:jc w:val="right"/>
            </w:pPr>
            <w:r>
              <w:t>0</w:t>
            </w:r>
          </w:p>
        </w:tc>
      </w:tr>
      <w:tr w:rsidR="00A11D17" w14:paraId="209E2E82" w14:textId="77777777" w:rsidTr="00A11D17">
        <w:trPr>
          <w:cnfStyle w:val="000000010000" w:firstRow="0" w:lastRow="0" w:firstColumn="0" w:lastColumn="0" w:oddVBand="0" w:evenVBand="0" w:oddHBand="0" w:evenHBand="1" w:firstRowFirstColumn="0" w:firstRowLastColumn="0" w:lastRowFirstColumn="0" w:lastRowLastColumn="0"/>
        </w:trPr>
        <w:tc>
          <w:tcPr>
            <w:tcW w:w="1198" w:type="pct"/>
          </w:tcPr>
          <w:p w14:paraId="209E2E7E" w14:textId="77777777" w:rsidR="00A11D17" w:rsidRDefault="00A11D17" w:rsidP="00A11D17">
            <w:pPr>
              <w:pStyle w:val="Tablebodytext"/>
              <w:jc w:val="both"/>
            </w:pPr>
            <w:r>
              <w:t>25th Pctl.</w:t>
            </w:r>
          </w:p>
        </w:tc>
        <w:tc>
          <w:tcPr>
            <w:tcW w:w="1397" w:type="pct"/>
          </w:tcPr>
          <w:p w14:paraId="209E2E7F" w14:textId="77777777" w:rsidR="00A11D17" w:rsidRDefault="00A11D17" w:rsidP="00B64AE8">
            <w:pPr>
              <w:pStyle w:val="Tablebodytext"/>
              <w:jc w:val="right"/>
            </w:pPr>
            <w:r>
              <w:t>12.08</w:t>
            </w:r>
          </w:p>
        </w:tc>
        <w:tc>
          <w:tcPr>
            <w:tcW w:w="1193" w:type="pct"/>
          </w:tcPr>
          <w:p w14:paraId="209E2E80" w14:textId="77777777" w:rsidR="00A11D17" w:rsidRDefault="00A11D17" w:rsidP="00B64AE8">
            <w:pPr>
              <w:pStyle w:val="Tablebodytext"/>
              <w:jc w:val="right"/>
            </w:pPr>
            <w:r>
              <w:t>0.204</w:t>
            </w:r>
          </w:p>
        </w:tc>
        <w:tc>
          <w:tcPr>
            <w:tcW w:w="1212" w:type="pct"/>
          </w:tcPr>
          <w:p w14:paraId="209E2E81" w14:textId="77777777" w:rsidR="00A11D17" w:rsidRDefault="00A11D17" w:rsidP="00B64AE8">
            <w:pPr>
              <w:pStyle w:val="Tablebodytext"/>
              <w:jc w:val="right"/>
            </w:pPr>
            <w:r>
              <w:t>0.360</w:t>
            </w:r>
          </w:p>
        </w:tc>
      </w:tr>
      <w:tr w:rsidR="00A11D17" w14:paraId="209E2E87" w14:textId="77777777" w:rsidTr="00A11D17">
        <w:trPr>
          <w:cnfStyle w:val="000000100000" w:firstRow="0" w:lastRow="0" w:firstColumn="0" w:lastColumn="0" w:oddVBand="0" w:evenVBand="0" w:oddHBand="1" w:evenHBand="0" w:firstRowFirstColumn="0" w:firstRowLastColumn="0" w:lastRowFirstColumn="0" w:lastRowLastColumn="0"/>
        </w:trPr>
        <w:tc>
          <w:tcPr>
            <w:tcW w:w="1198" w:type="pct"/>
          </w:tcPr>
          <w:p w14:paraId="209E2E83" w14:textId="77777777" w:rsidR="00A11D17" w:rsidRDefault="00A11D17" w:rsidP="00A11D17">
            <w:pPr>
              <w:pStyle w:val="Tablebodytext"/>
              <w:jc w:val="both"/>
            </w:pPr>
            <w:r>
              <w:t>50th Pctl.</w:t>
            </w:r>
          </w:p>
        </w:tc>
        <w:tc>
          <w:tcPr>
            <w:tcW w:w="1397" w:type="pct"/>
          </w:tcPr>
          <w:p w14:paraId="209E2E84" w14:textId="77777777" w:rsidR="00A11D17" w:rsidRDefault="00A11D17" w:rsidP="00B64AE8">
            <w:pPr>
              <w:pStyle w:val="Tablebodytext"/>
              <w:jc w:val="right"/>
            </w:pPr>
            <w:r>
              <w:t>13.75</w:t>
            </w:r>
          </w:p>
        </w:tc>
        <w:tc>
          <w:tcPr>
            <w:tcW w:w="1193" w:type="pct"/>
          </w:tcPr>
          <w:p w14:paraId="209E2E85" w14:textId="77777777" w:rsidR="00A11D17" w:rsidRDefault="00A11D17" w:rsidP="00B64AE8">
            <w:pPr>
              <w:pStyle w:val="Tablebodytext"/>
              <w:jc w:val="right"/>
            </w:pPr>
            <w:r>
              <w:t>0.488</w:t>
            </w:r>
          </w:p>
        </w:tc>
        <w:tc>
          <w:tcPr>
            <w:tcW w:w="1212" w:type="pct"/>
          </w:tcPr>
          <w:p w14:paraId="209E2E86" w14:textId="77777777" w:rsidR="00A11D17" w:rsidRDefault="00A11D17" w:rsidP="00B64AE8">
            <w:pPr>
              <w:pStyle w:val="Tablebodytext"/>
              <w:jc w:val="right"/>
            </w:pPr>
            <w:r>
              <w:t>0.562</w:t>
            </w:r>
          </w:p>
        </w:tc>
      </w:tr>
      <w:tr w:rsidR="00A11D17" w14:paraId="209E2E8C" w14:textId="77777777" w:rsidTr="00A11D17">
        <w:trPr>
          <w:cnfStyle w:val="000000010000" w:firstRow="0" w:lastRow="0" w:firstColumn="0" w:lastColumn="0" w:oddVBand="0" w:evenVBand="0" w:oddHBand="0" w:evenHBand="1" w:firstRowFirstColumn="0" w:firstRowLastColumn="0" w:lastRowFirstColumn="0" w:lastRowLastColumn="0"/>
        </w:trPr>
        <w:tc>
          <w:tcPr>
            <w:tcW w:w="1198" w:type="pct"/>
          </w:tcPr>
          <w:p w14:paraId="209E2E88" w14:textId="77777777" w:rsidR="00A11D17" w:rsidRDefault="00A11D17" w:rsidP="00A11D17">
            <w:pPr>
              <w:pStyle w:val="Tablebodytext"/>
              <w:jc w:val="both"/>
            </w:pPr>
            <w:r>
              <w:t>75th Pctl.</w:t>
            </w:r>
          </w:p>
        </w:tc>
        <w:tc>
          <w:tcPr>
            <w:tcW w:w="1397" w:type="pct"/>
          </w:tcPr>
          <w:p w14:paraId="209E2E89" w14:textId="77777777" w:rsidR="00A11D17" w:rsidRDefault="00A11D17" w:rsidP="00B64AE8">
            <w:pPr>
              <w:pStyle w:val="Tablebodytext"/>
              <w:jc w:val="right"/>
            </w:pPr>
            <w:r>
              <w:t>16.03</w:t>
            </w:r>
          </w:p>
        </w:tc>
        <w:tc>
          <w:tcPr>
            <w:tcW w:w="1193" w:type="pct"/>
          </w:tcPr>
          <w:p w14:paraId="209E2E8A" w14:textId="77777777" w:rsidR="00A11D17" w:rsidRDefault="00A11D17" w:rsidP="00B64AE8">
            <w:pPr>
              <w:pStyle w:val="Tablebodytext"/>
              <w:jc w:val="right"/>
            </w:pPr>
            <w:r>
              <w:t>0.809</w:t>
            </w:r>
          </w:p>
        </w:tc>
        <w:tc>
          <w:tcPr>
            <w:tcW w:w="1212" w:type="pct"/>
          </w:tcPr>
          <w:p w14:paraId="209E2E8B" w14:textId="77777777" w:rsidR="00A11D17" w:rsidRDefault="00A11D17" w:rsidP="00B64AE8">
            <w:pPr>
              <w:pStyle w:val="Tablebodytext"/>
              <w:jc w:val="right"/>
            </w:pPr>
            <w:r>
              <w:t>0.693</w:t>
            </w:r>
          </w:p>
        </w:tc>
      </w:tr>
      <w:tr w:rsidR="00A11D17" w14:paraId="209E2E91" w14:textId="77777777" w:rsidTr="00A11D17">
        <w:trPr>
          <w:cnfStyle w:val="000000100000" w:firstRow="0" w:lastRow="0" w:firstColumn="0" w:lastColumn="0" w:oddVBand="0" w:evenVBand="0" w:oddHBand="1" w:evenHBand="0" w:firstRowFirstColumn="0" w:firstRowLastColumn="0" w:lastRowFirstColumn="0" w:lastRowLastColumn="0"/>
        </w:trPr>
        <w:tc>
          <w:tcPr>
            <w:tcW w:w="1198" w:type="pct"/>
          </w:tcPr>
          <w:p w14:paraId="209E2E8D" w14:textId="77777777" w:rsidR="00A11D17" w:rsidRDefault="00A11D17" w:rsidP="00A11D17">
            <w:pPr>
              <w:pStyle w:val="Tablebodytext"/>
              <w:jc w:val="both"/>
            </w:pPr>
            <w:r>
              <w:t>99th Pctl.</w:t>
            </w:r>
          </w:p>
        </w:tc>
        <w:tc>
          <w:tcPr>
            <w:tcW w:w="1397" w:type="pct"/>
          </w:tcPr>
          <w:p w14:paraId="209E2E8E" w14:textId="77777777" w:rsidR="00A11D17" w:rsidRDefault="00A11D17" w:rsidP="00B64AE8">
            <w:pPr>
              <w:pStyle w:val="Tablebodytext"/>
              <w:jc w:val="right"/>
            </w:pPr>
            <w:r>
              <w:t>22.39</w:t>
            </w:r>
          </w:p>
        </w:tc>
        <w:tc>
          <w:tcPr>
            <w:tcW w:w="1193" w:type="pct"/>
          </w:tcPr>
          <w:p w14:paraId="209E2E8F" w14:textId="77777777" w:rsidR="00A11D17" w:rsidRDefault="00A11D17" w:rsidP="00B64AE8">
            <w:pPr>
              <w:pStyle w:val="Tablebodytext"/>
              <w:jc w:val="right"/>
            </w:pPr>
            <w:r>
              <w:t>1</w:t>
            </w:r>
          </w:p>
        </w:tc>
        <w:tc>
          <w:tcPr>
            <w:tcW w:w="1212" w:type="pct"/>
          </w:tcPr>
          <w:p w14:paraId="209E2E90" w14:textId="77777777" w:rsidR="00A11D17" w:rsidRDefault="00A11D17" w:rsidP="00B64AE8">
            <w:pPr>
              <w:pStyle w:val="Tablebodytext"/>
              <w:jc w:val="right"/>
            </w:pPr>
            <w:r>
              <w:t>2.629</w:t>
            </w:r>
          </w:p>
        </w:tc>
      </w:tr>
      <w:tr w:rsidR="00A11D17" w14:paraId="209E2E94" w14:textId="77777777" w:rsidTr="00A11D17">
        <w:trPr>
          <w:cnfStyle w:val="000000010000" w:firstRow="0" w:lastRow="0" w:firstColumn="0" w:lastColumn="0" w:oddVBand="0" w:evenVBand="0" w:oddHBand="0" w:evenHBand="1" w:firstRowFirstColumn="0" w:firstRowLastColumn="0" w:lastRowFirstColumn="0" w:lastRowLastColumn="0"/>
        </w:trPr>
        <w:tc>
          <w:tcPr>
            <w:tcW w:w="1198" w:type="pct"/>
          </w:tcPr>
          <w:p w14:paraId="209E2E92" w14:textId="77777777" w:rsidR="00A11D17" w:rsidRPr="00A11D17" w:rsidRDefault="00A11D17" w:rsidP="00A11D17">
            <w:pPr>
              <w:pStyle w:val="Tablebodytext"/>
              <w:jc w:val="both"/>
              <w:rPr>
                <w:i/>
              </w:rPr>
            </w:pPr>
            <w:r>
              <w:rPr>
                <w:i/>
              </w:rPr>
              <w:t>N</w:t>
            </w:r>
          </w:p>
        </w:tc>
        <w:tc>
          <w:tcPr>
            <w:tcW w:w="3802" w:type="pct"/>
            <w:gridSpan w:val="3"/>
          </w:tcPr>
          <w:p w14:paraId="209E2E93" w14:textId="77777777" w:rsidR="00A11D17" w:rsidRDefault="00A11D17" w:rsidP="00B64AE8">
            <w:pPr>
              <w:pStyle w:val="Tablebodytext"/>
              <w:jc w:val="right"/>
            </w:pPr>
            <w:r>
              <w:t>83,949</w:t>
            </w:r>
          </w:p>
        </w:tc>
      </w:tr>
    </w:tbl>
    <w:p w14:paraId="209E2E95" w14:textId="77777777" w:rsidR="00A11D17" w:rsidRDefault="00A11D17" w:rsidP="00FD5C18">
      <w:pPr>
        <w:pStyle w:val="Source"/>
      </w:pPr>
      <w:r>
        <w:t>Source: ABS BLADE</w:t>
      </w:r>
      <w:r w:rsidR="00FB61D7">
        <w:t xml:space="preserve"> 2005‒2014</w:t>
      </w:r>
    </w:p>
    <w:p w14:paraId="209E2E96" w14:textId="77777777" w:rsidR="006D7DF4" w:rsidRDefault="006D7DF4" w:rsidP="00FD5C18">
      <w:pPr>
        <w:pStyle w:val="Caption"/>
      </w:pPr>
      <w:bookmarkStart w:id="4" w:name="_Ref519604892"/>
      <w:r w:rsidRPr="000618FB">
        <w:t xml:space="preserve">Table </w:t>
      </w:r>
      <w:r>
        <w:rPr>
          <w:noProof/>
        </w:rPr>
        <w:fldChar w:fldCharType="begin"/>
      </w:r>
      <w:r>
        <w:rPr>
          <w:noProof/>
        </w:rPr>
        <w:instrText xml:space="preserve"> STYLEREF 1 \s </w:instrText>
      </w:r>
      <w:r>
        <w:rPr>
          <w:noProof/>
        </w:rPr>
        <w:fldChar w:fldCharType="separate"/>
      </w:r>
      <w:r w:rsidR="00851CD1">
        <w:rPr>
          <w:noProof/>
        </w:rPr>
        <w:t>5</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851CD1">
        <w:rPr>
          <w:noProof/>
        </w:rPr>
        <w:t>2</w:t>
      </w:r>
      <w:r>
        <w:rPr>
          <w:noProof/>
        </w:rPr>
        <w:fldChar w:fldCharType="end"/>
      </w:r>
      <w:bookmarkEnd w:id="4"/>
      <w:r w:rsidRPr="000618FB">
        <w:t xml:space="preserve">: </w:t>
      </w:r>
      <w:r>
        <w:t>The correlation table of key variables</w:t>
      </w:r>
    </w:p>
    <w:tbl>
      <w:tblPr>
        <w:tblStyle w:val="OCETable"/>
        <w:tblW w:w="5000" w:type="pct"/>
        <w:tblLook w:val="04A0" w:firstRow="1" w:lastRow="0" w:firstColumn="1" w:lastColumn="0" w:noHBand="0" w:noVBand="1"/>
        <w:tblCaption w:val="table of correlation coefficients"/>
        <w:tblDescription w:val="Government assistance has positive correlation with asset size and age but negative correlation with liquidity, leverage. Also large firms have less liquidity and leverage.  The magnitude of the largest correlation is 0.3."/>
      </w:tblPr>
      <w:tblGrid>
        <w:gridCol w:w="1360"/>
        <w:gridCol w:w="904"/>
        <w:gridCol w:w="1297"/>
        <w:gridCol w:w="1197"/>
        <w:gridCol w:w="1215"/>
        <w:gridCol w:w="921"/>
      </w:tblGrid>
      <w:tr w:rsidR="006D7DF4" w14:paraId="209E2E9D" w14:textId="77777777" w:rsidTr="00DC6A46">
        <w:trPr>
          <w:cnfStyle w:val="100000000000" w:firstRow="1" w:lastRow="0" w:firstColumn="0" w:lastColumn="0" w:oddVBand="0" w:evenVBand="0" w:oddHBand="0" w:evenHBand="0" w:firstRowFirstColumn="0" w:firstRowLastColumn="0" w:lastRowFirstColumn="0" w:lastRowLastColumn="0"/>
          <w:tblHeader/>
        </w:trPr>
        <w:tc>
          <w:tcPr>
            <w:tcW w:w="986" w:type="pct"/>
          </w:tcPr>
          <w:p w14:paraId="209E2E97" w14:textId="77777777" w:rsidR="006D7DF4" w:rsidRDefault="006D7DF4" w:rsidP="006D7DF4">
            <w:pPr>
              <w:pStyle w:val="Tableheadertext"/>
            </w:pPr>
            <w:r>
              <w:t>Variables</w:t>
            </w:r>
          </w:p>
        </w:tc>
        <w:tc>
          <w:tcPr>
            <w:tcW w:w="656" w:type="pct"/>
          </w:tcPr>
          <w:p w14:paraId="209E2E98" w14:textId="77777777" w:rsidR="006D7DF4" w:rsidRDefault="006D7DF4" w:rsidP="00B64AE8">
            <w:pPr>
              <w:pStyle w:val="Tableheadertext"/>
              <w:jc w:val="right"/>
            </w:pPr>
            <m:oMathPara>
              <m:oMath>
                <m:r>
                  <m:rPr>
                    <m:sty m:val="bi"/>
                  </m:rPr>
                  <w:rPr>
                    <w:rFonts w:ascii="Cambria Math" w:hAnsi="Cambria Math"/>
                  </w:rPr>
                  <m:t>Gov</m:t>
                </m:r>
              </m:oMath>
            </m:oMathPara>
          </w:p>
        </w:tc>
        <w:tc>
          <w:tcPr>
            <w:tcW w:w="941" w:type="pct"/>
          </w:tcPr>
          <w:p w14:paraId="209E2E99" w14:textId="77777777" w:rsidR="006D7DF4" w:rsidRDefault="006D7DF4" w:rsidP="00B64AE8">
            <w:pPr>
              <w:pStyle w:val="Tableheadertext"/>
              <w:jc w:val="right"/>
            </w:pPr>
            <m:oMathPara>
              <m:oMath>
                <m:r>
                  <m:rPr>
                    <m:sty m:val="b"/>
                  </m:rPr>
                  <w:rPr>
                    <w:rFonts w:ascii="Cambria Math" w:hAnsi="Cambria Math"/>
                  </w:rPr>
                  <m:t>log</m:t>
                </m:r>
                <m:r>
                  <m:rPr>
                    <m:sty m:val="bi"/>
                  </m:rPr>
                  <w:rPr>
                    <w:rFonts w:ascii="Cambria Math" w:hAnsi="Cambria Math"/>
                  </w:rPr>
                  <m:t>(Asset)</m:t>
                </m:r>
              </m:oMath>
            </m:oMathPara>
          </w:p>
        </w:tc>
        <w:tc>
          <w:tcPr>
            <w:tcW w:w="868" w:type="pct"/>
          </w:tcPr>
          <w:p w14:paraId="209E2E9A" w14:textId="77777777" w:rsidR="006D7DF4" w:rsidRDefault="006D7DF4" w:rsidP="00B64AE8">
            <w:pPr>
              <w:pStyle w:val="Tableheadertext"/>
              <w:jc w:val="right"/>
            </w:pPr>
            <m:oMathPara>
              <m:oMath>
                <m:r>
                  <m:rPr>
                    <m:sty m:val="bi"/>
                  </m:rPr>
                  <w:rPr>
                    <w:rFonts w:ascii="Cambria Math" w:hAnsi="Cambria Math"/>
                  </w:rPr>
                  <m:t>Liquidity</m:t>
                </m:r>
              </m:oMath>
            </m:oMathPara>
          </w:p>
        </w:tc>
        <w:tc>
          <w:tcPr>
            <w:tcW w:w="881" w:type="pct"/>
          </w:tcPr>
          <w:p w14:paraId="209E2E9B" w14:textId="77777777" w:rsidR="006D7DF4" w:rsidRDefault="006D7DF4" w:rsidP="00B64AE8">
            <w:pPr>
              <w:pStyle w:val="Tableheadertext"/>
              <w:jc w:val="right"/>
            </w:pPr>
            <m:oMathPara>
              <m:oMath>
                <m:r>
                  <m:rPr>
                    <m:sty m:val="bi"/>
                  </m:rPr>
                  <w:rPr>
                    <w:rFonts w:ascii="Cambria Math" w:hAnsi="Cambria Math"/>
                  </w:rPr>
                  <m:t>Leverage</m:t>
                </m:r>
              </m:oMath>
            </m:oMathPara>
          </w:p>
        </w:tc>
        <w:tc>
          <w:tcPr>
            <w:tcW w:w="668" w:type="pct"/>
          </w:tcPr>
          <w:p w14:paraId="209E2E9C" w14:textId="77777777" w:rsidR="006D7DF4" w:rsidRDefault="006D7DF4" w:rsidP="00B64AE8">
            <w:pPr>
              <w:pStyle w:val="Tableheadertext"/>
              <w:jc w:val="right"/>
            </w:pPr>
            <m:oMathPara>
              <m:oMath>
                <m:r>
                  <m:rPr>
                    <m:sty m:val="bi"/>
                  </m:rPr>
                  <w:rPr>
                    <w:rFonts w:ascii="Cambria Math" w:hAnsi="Cambria Math"/>
                  </w:rPr>
                  <m:t>Young</m:t>
                </m:r>
              </m:oMath>
            </m:oMathPara>
          </w:p>
        </w:tc>
      </w:tr>
      <w:tr w:rsidR="006D7DF4" w14:paraId="209E2EA4" w14:textId="77777777" w:rsidTr="006D7DF4">
        <w:trPr>
          <w:cnfStyle w:val="000000100000" w:firstRow="0" w:lastRow="0" w:firstColumn="0" w:lastColumn="0" w:oddVBand="0" w:evenVBand="0" w:oddHBand="1" w:evenHBand="0" w:firstRowFirstColumn="0" w:firstRowLastColumn="0" w:lastRowFirstColumn="0" w:lastRowLastColumn="0"/>
        </w:trPr>
        <w:tc>
          <w:tcPr>
            <w:tcW w:w="986" w:type="pct"/>
          </w:tcPr>
          <w:p w14:paraId="209E2E9E" w14:textId="77777777" w:rsidR="006D7DF4" w:rsidRPr="006D7DF4" w:rsidRDefault="006D7DF4" w:rsidP="0057657B">
            <w:pPr>
              <w:pStyle w:val="Tabletext"/>
            </w:pPr>
            <w:r w:rsidRPr="006D7DF4">
              <w:t>log(</w:t>
            </w:r>
            <w:r w:rsidRPr="006D7DF4">
              <w:rPr>
                <w:i/>
              </w:rPr>
              <w:t>Asset</w:t>
            </w:r>
            <w:r w:rsidRPr="006D7DF4">
              <w:t>)</w:t>
            </w:r>
          </w:p>
        </w:tc>
        <w:tc>
          <w:tcPr>
            <w:tcW w:w="656" w:type="pct"/>
          </w:tcPr>
          <w:p w14:paraId="209E2E9F" w14:textId="77777777" w:rsidR="006D7DF4" w:rsidRDefault="006D7DF4" w:rsidP="000D3692">
            <w:pPr>
              <w:pStyle w:val="Tabletext"/>
              <w:jc w:val="right"/>
            </w:pPr>
            <w:r>
              <w:t>0.316</w:t>
            </w:r>
          </w:p>
        </w:tc>
        <w:tc>
          <w:tcPr>
            <w:tcW w:w="941" w:type="pct"/>
          </w:tcPr>
          <w:p w14:paraId="209E2EA0" w14:textId="77777777" w:rsidR="006D7DF4" w:rsidRDefault="006D7DF4" w:rsidP="000D3692">
            <w:pPr>
              <w:pStyle w:val="Tabletext"/>
              <w:jc w:val="right"/>
            </w:pPr>
          </w:p>
        </w:tc>
        <w:tc>
          <w:tcPr>
            <w:tcW w:w="868" w:type="pct"/>
          </w:tcPr>
          <w:p w14:paraId="209E2EA1" w14:textId="77777777" w:rsidR="006D7DF4" w:rsidRDefault="006D7DF4" w:rsidP="000D3692">
            <w:pPr>
              <w:pStyle w:val="Tabletext"/>
              <w:jc w:val="right"/>
            </w:pPr>
          </w:p>
        </w:tc>
        <w:tc>
          <w:tcPr>
            <w:tcW w:w="881" w:type="pct"/>
          </w:tcPr>
          <w:p w14:paraId="209E2EA2" w14:textId="77777777" w:rsidR="006D7DF4" w:rsidRDefault="006D7DF4" w:rsidP="000D3692">
            <w:pPr>
              <w:pStyle w:val="Tabletext"/>
              <w:jc w:val="right"/>
            </w:pPr>
          </w:p>
        </w:tc>
        <w:tc>
          <w:tcPr>
            <w:tcW w:w="668" w:type="pct"/>
          </w:tcPr>
          <w:p w14:paraId="209E2EA3" w14:textId="77777777" w:rsidR="006D7DF4" w:rsidRDefault="006D7DF4" w:rsidP="000D3692">
            <w:pPr>
              <w:pStyle w:val="Tabletext"/>
              <w:jc w:val="right"/>
            </w:pPr>
          </w:p>
        </w:tc>
      </w:tr>
      <w:tr w:rsidR="006D7DF4" w14:paraId="209E2EAB" w14:textId="77777777" w:rsidTr="006D7DF4">
        <w:trPr>
          <w:cnfStyle w:val="000000010000" w:firstRow="0" w:lastRow="0" w:firstColumn="0" w:lastColumn="0" w:oddVBand="0" w:evenVBand="0" w:oddHBand="0" w:evenHBand="1" w:firstRowFirstColumn="0" w:firstRowLastColumn="0" w:lastRowFirstColumn="0" w:lastRowLastColumn="0"/>
        </w:trPr>
        <w:tc>
          <w:tcPr>
            <w:tcW w:w="986" w:type="pct"/>
          </w:tcPr>
          <w:p w14:paraId="209E2EA5" w14:textId="77777777" w:rsidR="006D7DF4" w:rsidRPr="006D7DF4" w:rsidRDefault="006D7DF4" w:rsidP="0057657B">
            <w:pPr>
              <w:pStyle w:val="Tabletext"/>
              <w:rPr>
                <w:i/>
              </w:rPr>
            </w:pPr>
            <w:r w:rsidRPr="006D7DF4">
              <w:rPr>
                <w:i/>
              </w:rPr>
              <w:t>Liquidity</w:t>
            </w:r>
          </w:p>
        </w:tc>
        <w:tc>
          <w:tcPr>
            <w:tcW w:w="656" w:type="pct"/>
          </w:tcPr>
          <w:p w14:paraId="209E2EA6" w14:textId="77777777" w:rsidR="006D7DF4" w:rsidRDefault="006D7DF4" w:rsidP="000D3692">
            <w:pPr>
              <w:pStyle w:val="Tabletext"/>
              <w:jc w:val="right"/>
            </w:pPr>
            <w:r>
              <w:t>-0.081</w:t>
            </w:r>
          </w:p>
        </w:tc>
        <w:tc>
          <w:tcPr>
            <w:tcW w:w="941" w:type="pct"/>
          </w:tcPr>
          <w:p w14:paraId="209E2EA7" w14:textId="77777777" w:rsidR="006D7DF4" w:rsidRDefault="006D7DF4" w:rsidP="000D3692">
            <w:pPr>
              <w:pStyle w:val="Tabletext"/>
              <w:jc w:val="right"/>
            </w:pPr>
            <w:r>
              <w:t>-0.148</w:t>
            </w:r>
          </w:p>
        </w:tc>
        <w:tc>
          <w:tcPr>
            <w:tcW w:w="868" w:type="pct"/>
          </w:tcPr>
          <w:p w14:paraId="209E2EA8" w14:textId="77777777" w:rsidR="006D7DF4" w:rsidRDefault="006D7DF4" w:rsidP="000D3692">
            <w:pPr>
              <w:pStyle w:val="Tabletext"/>
              <w:jc w:val="right"/>
            </w:pPr>
          </w:p>
        </w:tc>
        <w:tc>
          <w:tcPr>
            <w:tcW w:w="881" w:type="pct"/>
          </w:tcPr>
          <w:p w14:paraId="209E2EA9" w14:textId="77777777" w:rsidR="006D7DF4" w:rsidRDefault="006D7DF4" w:rsidP="000D3692">
            <w:pPr>
              <w:pStyle w:val="Tabletext"/>
              <w:jc w:val="right"/>
            </w:pPr>
          </w:p>
        </w:tc>
        <w:tc>
          <w:tcPr>
            <w:tcW w:w="668" w:type="pct"/>
          </w:tcPr>
          <w:p w14:paraId="209E2EAA" w14:textId="77777777" w:rsidR="006D7DF4" w:rsidRDefault="006D7DF4" w:rsidP="000D3692">
            <w:pPr>
              <w:pStyle w:val="Tabletext"/>
              <w:jc w:val="right"/>
            </w:pPr>
          </w:p>
        </w:tc>
      </w:tr>
      <w:tr w:rsidR="006D7DF4" w14:paraId="209E2EB2" w14:textId="77777777" w:rsidTr="006D7DF4">
        <w:trPr>
          <w:cnfStyle w:val="000000100000" w:firstRow="0" w:lastRow="0" w:firstColumn="0" w:lastColumn="0" w:oddVBand="0" w:evenVBand="0" w:oddHBand="1" w:evenHBand="0" w:firstRowFirstColumn="0" w:firstRowLastColumn="0" w:lastRowFirstColumn="0" w:lastRowLastColumn="0"/>
        </w:trPr>
        <w:tc>
          <w:tcPr>
            <w:tcW w:w="986" w:type="pct"/>
          </w:tcPr>
          <w:p w14:paraId="209E2EAC" w14:textId="77777777" w:rsidR="006D7DF4" w:rsidRPr="006D7DF4" w:rsidRDefault="006D7DF4" w:rsidP="0057657B">
            <w:pPr>
              <w:pStyle w:val="Tabletext"/>
              <w:rPr>
                <w:i/>
              </w:rPr>
            </w:pPr>
            <w:r w:rsidRPr="006D7DF4">
              <w:rPr>
                <w:i/>
              </w:rPr>
              <w:t>Leverage</w:t>
            </w:r>
          </w:p>
        </w:tc>
        <w:tc>
          <w:tcPr>
            <w:tcW w:w="656" w:type="pct"/>
          </w:tcPr>
          <w:p w14:paraId="209E2EAD" w14:textId="77777777" w:rsidR="006D7DF4" w:rsidRDefault="006D7DF4" w:rsidP="000D3692">
            <w:pPr>
              <w:pStyle w:val="Tabletext"/>
              <w:jc w:val="right"/>
            </w:pPr>
            <w:r>
              <w:t>-0.049</w:t>
            </w:r>
          </w:p>
        </w:tc>
        <w:tc>
          <w:tcPr>
            <w:tcW w:w="941" w:type="pct"/>
          </w:tcPr>
          <w:p w14:paraId="209E2EAE" w14:textId="77777777" w:rsidR="006D7DF4" w:rsidRDefault="006D7DF4" w:rsidP="000D3692">
            <w:pPr>
              <w:pStyle w:val="Tabletext"/>
              <w:jc w:val="right"/>
            </w:pPr>
            <w:r>
              <w:t>-0.296</w:t>
            </w:r>
          </w:p>
        </w:tc>
        <w:tc>
          <w:tcPr>
            <w:tcW w:w="868" w:type="pct"/>
          </w:tcPr>
          <w:p w14:paraId="209E2EAF" w14:textId="77777777" w:rsidR="006D7DF4" w:rsidRDefault="006D7DF4" w:rsidP="000D3692">
            <w:pPr>
              <w:pStyle w:val="Tabletext"/>
              <w:jc w:val="right"/>
            </w:pPr>
            <w:r>
              <w:t>0.046</w:t>
            </w:r>
          </w:p>
        </w:tc>
        <w:tc>
          <w:tcPr>
            <w:tcW w:w="881" w:type="pct"/>
          </w:tcPr>
          <w:p w14:paraId="209E2EB0" w14:textId="77777777" w:rsidR="006D7DF4" w:rsidRDefault="006D7DF4" w:rsidP="000D3692">
            <w:pPr>
              <w:pStyle w:val="Tabletext"/>
              <w:jc w:val="right"/>
            </w:pPr>
          </w:p>
        </w:tc>
        <w:tc>
          <w:tcPr>
            <w:tcW w:w="668" w:type="pct"/>
          </w:tcPr>
          <w:p w14:paraId="209E2EB1" w14:textId="77777777" w:rsidR="006D7DF4" w:rsidRDefault="006D7DF4" w:rsidP="000D3692">
            <w:pPr>
              <w:pStyle w:val="Tabletext"/>
              <w:jc w:val="right"/>
            </w:pPr>
          </w:p>
        </w:tc>
      </w:tr>
      <w:tr w:rsidR="006D7DF4" w14:paraId="209E2EB9" w14:textId="77777777" w:rsidTr="006D7DF4">
        <w:trPr>
          <w:cnfStyle w:val="000000010000" w:firstRow="0" w:lastRow="0" w:firstColumn="0" w:lastColumn="0" w:oddVBand="0" w:evenVBand="0" w:oddHBand="0" w:evenHBand="1" w:firstRowFirstColumn="0" w:firstRowLastColumn="0" w:lastRowFirstColumn="0" w:lastRowLastColumn="0"/>
        </w:trPr>
        <w:tc>
          <w:tcPr>
            <w:tcW w:w="986" w:type="pct"/>
          </w:tcPr>
          <w:p w14:paraId="209E2EB3" w14:textId="77777777" w:rsidR="006D7DF4" w:rsidRPr="006D7DF4" w:rsidRDefault="006D7DF4" w:rsidP="0057657B">
            <w:pPr>
              <w:pStyle w:val="Tabletext"/>
              <w:rPr>
                <w:i/>
              </w:rPr>
            </w:pPr>
            <w:r w:rsidRPr="006D7DF4">
              <w:rPr>
                <w:i/>
              </w:rPr>
              <w:t>Young</w:t>
            </w:r>
          </w:p>
        </w:tc>
        <w:tc>
          <w:tcPr>
            <w:tcW w:w="656" w:type="pct"/>
          </w:tcPr>
          <w:p w14:paraId="209E2EB4" w14:textId="77777777" w:rsidR="006D7DF4" w:rsidRDefault="006D7DF4" w:rsidP="000D3692">
            <w:pPr>
              <w:pStyle w:val="Tabletext"/>
              <w:jc w:val="right"/>
            </w:pPr>
            <w:r>
              <w:t>-0.069</w:t>
            </w:r>
          </w:p>
        </w:tc>
        <w:tc>
          <w:tcPr>
            <w:tcW w:w="941" w:type="pct"/>
          </w:tcPr>
          <w:p w14:paraId="209E2EB5" w14:textId="77777777" w:rsidR="006D7DF4" w:rsidRDefault="006D7DF4" w:rsidP="000D3692">
            <w:pPr>
              <w:pStyle w:val="Tabletext"/>
              <w:jc w:val="right"/>
            </w:pPr>
            <w:r>
              <w:t>-0.165</w:t>
            </w:r>
          </w:p>
        </w:tc>
        <w:tc>
          <w:tcPr>
            <w:tcW w:w="868" w:type="pct"/>
          </w:tcPr>
          <w:p w14:paraId="209E2EB6" w14:textId="77777777" w:rsidR="006D7DF4" w:rsidRDefault="006D7DF4" w:rsidP="000D3692">
            <w:pPr>
              <w:pStyle w:val="Tabletext"/>
              <w:jc w:val="right"/>
            </w:pPr>
            <w:r>
              <w:t>0.032</w:t>
            </w:r>
          </w:p>
        </w:tc>
        <w:tc>
          <w:tcPr>
            <w:tcW w:w="881" w:type="pct"/>
          </w:tcPr>
          <w:p w14:paraId="209E2EB7" w14:textId="77777777" w:rsidR="006D7DF4" w:rsidRDefault="006D7DF4" w:rsidP="000D3692">
            <w:pPr>
              <w:pStyle w:val="Tabletext"/>
              <w:jc w:val="right"/>
            </w:pPr>
            <w:r>
              <w:t>0.062</w:t>
            </w:r>
          </w:p>
        </w:tc>
        <w:tc>
          <w:tcPr>
            <w:tcW w:w="668" w:type="pct"/>
          </w:tcPr>
          <w:p w14:paraId="209E2EB8" w14:textId="77777777" w:rsidR="006D7DF4" w:rsidRDefault="006D7DF4" w:rsidP="000D3692">
            <w:pPr>
              <w:pStyle w:val="Tabletext"/>
              <w:jc w:val="right"/>
            </w:pPr>
          </w:p>
        </w:tc>
      </w:tr>
      <w:tr w:rsidR="006D7DF4" w14:paraId="209E2EC0" w14:textId="77777777" w:rsidTr="006D7DF4">
        <w:trPr>
          <w:cnfStyle w:val="000000100000" w:firstRow="0" w:lastRow="0" w:firstColumn="0" w:lastColumn="0" w:oddVBand="0" w:evenVBand="0" w:oddHBand="1" w:evenHBand="0" w:firstRowFirstColumn="0" w:firstRowLastColumn="0" w:lastRowFirstColumn="0" w:lastRowLastColumn="0"/>
        </w:trPr>
        <w:tc>
          <w:tcPr>
            <w:tcW w:w="986" w:type="pct"/>
          </w:tcPr>
          <w:p w14:paraId="209E2EBA" w14:textId="77777777" w:rsidR="006D7DF4" w:rsidRPr="006D7DF4" w:rsidRDefault="006D7DF4" w:rsidP="0057657B">
            <w:pPr>
              <w:pStyle w:val="Tabletext"/>
              <w:rPr>
                <w:i/>
              </w:rPr>
            </w:pPr>
            <w:r w:rsidRPr="006D7DF4">
              <w:t xml:space="preserve"> </w:t>
            </w:r>
            <w:r w:rsidRPr="006D7DF4">
              <w:rPr>
                <w:i/>
              </w:rPr>
              <w:t>Abandon</w:t>
            </w:r>
          </w:p>
        </w:tc>
        <w:tc>
          <w:tcPr>
            <w:tcW w:w="656" w:type="pct"/>
          </w:tcPr>
          <w:p w14:paraId="209E2EBB" w14:textId="77777777" w:rsidR="006D7DF4" w:rsidRDefault="006D7DF4" w:rsidP="000D3692">
            <w:pPr>
              <w:pStyle w:val="Tabletext"/>
              <w:jc w:val="right"/>
            </w:pPr>
            <w:r>
              <w:t>0.047</w:t>
            </w:r>
          </w:p>
        </w:tc>
        <w:tc>
          <w:tcPr>
            <w:tcW w:w="941" w:type="pct"/>
          </w:tcPr>
          <w:p w14:paraId="209E2EBC" w14:textId="77777777" w:rsidR="006D7DF4" w:rsidRDefault="006D7DF4" w:rsidP="000D3692">
            <w:pPr>
              <w:pStyle w:val="Tabletext"/>
              <w:jc w:val="right"/>
            </w:pPr>
            <w:r>
              <w:t>0.024</w:t>
            </w:r>
          </w:p>
        </w:tc>
        <w:tc>
          <w:tcPr>
            <w:tcW w:w="868" w:type="pct"/>
          </w:tcPr>
          <w:p w14:paraId="209E2EBD" w14:textId="77777777" w:rsidR="006D7DF4" w:rsidRDefault="006D7DF4" w:rsidP="000D3692">
            <w:pPr>
              <w:pStyle w:val="Tabletext"/>
              <w:jc w:val="right"/>
            </w:pPr>
            <w:r>
              <w:t>0.009</w:t>
            </w:r>
          </w:p>
        </w:tc>
        <w:tc>
          <w:tcPr>
            <w:tcW w:w="881" w:type="pct"/>
          </w:tcPr>
          <w:p w14:paraId="209E2EBE" w14:textId="77777777" w:rsidR="006D7DF4" w:rsidRDefault="006D7DF4" w:rsidP="000D3692">
            <w:pPr>
              <w:pStyle w:val="Tabletext"/>
              <w:jc w:val="right"/>
            </w:pPr>
            <w:r>
              <w:t>0.010</w:t>
            </w:r>
          </w:p>
        </w:tc>
        <w:tc>
          <w:tcPr>
            <w:tcW w:w="668" w:type="pct"/>
          </w:tcPr>
          <w:p w14:paraId="209E2EBF" w14:textId="77777777" w:rsidR="006D7DF4" w:rsidRDefault="006D7DF4" w:rsidP="000D3692">
            <w:pPr>
              <w:pStyle w:val="Tabletext"/>
              <w:jc w:val="right"/>
            </w:pPr>
            <w:r>
              <w:t>0.001</w:t>
            </w:r>
          </w:p>
        </w:tc>
      </w:tr>
    </w:tbl>
    <w:p w14:paraId="209E2EC1" w14:textId="77777777" w:rsidR="006D7DF4" w:rsidRDefault="006D7DF4" w:rsidP="00FD5C18">
      <w:pPr>
        <w:pStyle w:val="Source"/>
      </w:pPr>
      <w:r>
        <w:t>Source: ABS BLADE</w:t>
      </w:r>
      <w:r w:rsidR="00FB61D7">
        <w:t xml:space="preserve"> 2005‒2014</w:t>
      </w:r>
    </w:p>
    <w:p w14:paraId="209E2EC3" w14:textId="77777777" w:rsidR="00FD5C18" w:rsidRDefault="00FD5C18" w:rsidP="00FD5C18">
      <w:pPr>
        <w:pStyle w:val="Heading1"/>
        <w:rPr>
          <w:lang w:val="en"/>
        </w:rPr>
      </w:pPr>
      <w:r>
        <w:rPr>
          <w:lang w:val="en"/>
        </w:rPr>
        <w:t>Empirical findings</w:t>
      </w:r>
    </w:p>
    <w:p w14:paraId="209E2EC4" w14:textId="77777777" w:rsidR="00FD5C18" w:rsidRDefault="00FD5C18" w:rsidP="00FD5C18">
      <w:pPr>
        <w:pStyle w:val="Heading2"/>
        <w:rPr>
          <w:lang w:val="en"/>
        </w:rPr>
      </w:pPr>
      <w:r>
        <w:rPr>
          <w:lang w:val="en"/>
        </w:rPr>
        <w:t>Main results</w:t>
      </w:r>
    </w:p>
    <w:p w14:paraId="209E2EC5" w14:textId="77777777" w:rsidR="00FD5C18" w:rsidRPr="001A0DEB" w:rsidRDefault="00FD5C18" w:rsidP="009A1F0B">
      <w:pPr>
        <w:pStyle w:val="FirstParagraph"/>
        <w:spacing w:line="270" w:lineRule="exact"/>
        <w:jc w:val="both"/>
        <w:rPr>
          <w:color w:val="373737"/>
          <w:sz w:val="20"/>
          <w:szCs w:val="20"/>
        </w:rPr>
      </w:pPr>
      <w:r w:rsidRPr="001A0DEB">
        <w:rPr>
          <w:color w:val="373737"/>
          <w:sz w:val="20"/>
          <w:szCs w:val="20"/>
        </w:rPr>
        <w:t>I estimate model (1) first as a Probit for benchmarking and then as a selection Probit with and without weighting. The average marginal effects for each model ar</w:t>
      </w:r>
      <w:r w:rsidR="00647C33" w:rsidRPr="001A0DEB">
        <w:rPr>
          <w:color w:val="373737"/>
          <w:sz w:val="20"/>
          <w:szCs w:val="20"/>
        </w:rPr>
        <w:t xml:space="preserve">e reported in </w:t>
      </w:r>
      <w:r w:rsidR="00647C33" w:rsidRPr="001A0DEB">
        <w:rPr>
          <w:color w:val="373737"/>
          <w:sz w:val="20"/>
          <w:szCs w:val="20"/>
        </w:rPr>
        <w:fldChar w:fldCharType="begin"/>
      </w:r>
      <w:r w:rsidR="00647C33" w:rsidRPr="001A0DEB">
        <w:rPr>
          <w:color w:val="373737"/>
          <w:sz w:val="20"/>
          <w:szCs w:val="20"/>
        </w:rPr>
        <w:instrText xml:space="preserve"> REF _Ref519605901 \h  \* MERGEFORMAT </w:instrText>
      </w:r>
      <w:r w:rsidR="00647C33" w:rsidRPr="001A0DEB">
        <w:rPr>
          <w:color w:val="373737"/>
          <w:sz w:val="20"/>
          <w:szCs w:val="20"/>
        </w:rPr>
      </w:r>
      <w:r w:rsidR="00647C33" w:rsidRPr="001A0DEB">
        <w:rPr>
          <w:color w:val="373737"/>
          <w:sz w:val="20"/>
          <w:szCs w:val="20"/>
        </w:rPr>
        <w:fldChar w:fldCharType="separate"/>
      </w:r>
      <w:r w:rsidR="00851CD1" w:rsidRPr="001A0DEB">
        <w:rPr>
          <w:color w:val="373737"/>
          <w:sz w:val="20"/>
          <w:szCs w:val="20"/>
        </w:rPr>
        <w:t xml:space="preserve">Table </w:t>
      </w:r>
      <w:r w:rsidR="00851CD1" w:rsidRPr="001A0DEB">
        <w:rPr>
          <w:noProof/>
          <w:color w:val="373737"/>
          <w:sz w:val="20"/>
          <w:szCs w:val="20"/>
        </w:rPr>
        <w:t>6.1</w:t>
      </w:r>
      <w:r w:rsidR="00647C33" w:rsidRPr="001A0DEB">
        <w:rPr>
          <w:color w:val="373737"/>
          <w:sz w:val="20"/>
          <w:szCs w:val="20"/>
        </w:rPr>
        <w:fldChar w:fldCharType="end"/>
      </w:r>
      <w:r w:rsidRPr="001A0DEB">
        <w:rPr>
          <w:color w:val="373737"/>
          <w:sz w:val="20"/>
          <w:szCs w:val="20"/>
        </w:rPr>
        <w:t>. The conditional propensities in the table account for the probability that financing is obtained conditional on having been sought. The selection propensities indicate the probability of seeking financing in the first place.</w:t>
      </w:r>
    </w:p>
    <w:p w14:paraId="209E2EC6" w14:textId="77777777" w:rsidR="00647C33" w:rsidRPr="001A0DEB" w:rsidRDefault="00647C33" w:rsidP="00647C33">
      <w:pPr>
        <w:pStyle w:val="BodyText"/>
      </w:pPr>
      <w:r w:rsidRPr="001A0DEB">
        <w:t>The Probit estimates in column (1) show a positive effect from government financial assistance. In these estimates, firms receiving financial assistance from government in the prior year are 1.5 percentage points more likely to obtain debt or equity financing. Once accounting for the selection bias in column (2), the effect is even larger and leads to a 2.0 percentage point increase in the propensity to obtain financing.</w:t>
      </w:r>
    </w:p>
    <w:p w14:paraId="209E2EC7" w14:textId="77777777" w:rsidR="00647C33" w:rsidRPr="001A0DEB" w:rsidRDefault="00647C33" w:rsidP="00647C33">
      <w:pPr>
        <w:pStyle w:val="BodyText"/>
      </w:pPr>
      <w:r w:rsidRPr="001A0DEB">
        <w:lastRenderedPageBreak/>
        <w:t>Column (3) adds the inverse propensity weights. In this model, receiving government assistance results in a 2.1 percentage point increase in the propensity to receive financing conditional on having sought financing, which is slightly higher than the previous estimate.</w:t>
      </w:r>
    </w:p>
    <w:p w14:paraId="209E2EC8" w14:textId="77777777" w:rsidR="00647C33" w:rsidRPr="001A0DEB" w:rsidRDefault="00647C33" w:rsidP="00647C33">
      <w:pPr>
        <w:pStyle w:val="BodyText"/>
      </w:pPr>
      <w:r w:rsidRPr="001A0DEB">
        <w:t>At the same time, the selection propensities point to an additional effect from government assistance. From column (3), firms receiving government assistance in the prior year are 8.2 percentage points more likely to go ahead and seek financing in the first place.</w:t>
      </w:r>
    </w:p>
    <w:p w14:paraId="209E2EC9" w14:textId="77777777" w:rsidR="00647C33" w:rsidRPr="001A0DEB" w:rsidRDefault="00647C33" w:rsidP="00647C33">
      <w:pPr>
        <w:pStyle w:val="BodyText"/>
      </w:pPr>
      <w:r w:rsidRPr="001A0DEB">
        <w:t>Together, the results suggest that government assistance acts through two additionality channels. First, it increases a firm’s tendency to seek financing. Second, it makes it easier for firms to obtain financing. The former effect is the dominant one.</w:t>
      </w:r>
    </w:p>
    <w:p w14:paraId="209E2ECA" w14:textId="77777777" w:rsidR="00647C33" w:rsidRPr="001A0DEB" w:rsidRDefault="00647C33" w:rsidP="00647C33">
      <w:pPr>
        <w:pStyle w:val="BodyText"/>
      </w:pPr>
      <w:r w:rsidRPr="001A0DEB">
        <w:t xml:space="preserve">The Wald </w:t>
      </w:r>
      <m:oMath>
        <m:sSup>
          <m:sSupPr>
            <m:ctrlPr>
              <w:rPr>
                <w:rFonts w:ascii="Cambria Math" w:hAnsi="Cambria Math"/>
              </w:rPr>
            </m:ctrlPr>
          </m:sSupPr>
          <m:e>
            <m:r>
              <w:rPr>
                <w:rFonts w:ascii="Cambria Math" w:hAnsi="Cambria Math"/>
              </w:rPr>
              <m:t>χ</m:t>
            </m:r>
          </m:e>
          <m:sup>
            <m:r>
              <w:rPr>
                <w:rFonts w:ascii="Cambria Math" w:hAnsi="Cambria Math"/>
              </w:rPr>
              <m:t>2</m:t>
            </m:r>
          </m:sup>
        </m:sSup>
      </m:oMath>
      <w:r w:rsidRPr="001A0DEB">
        <w:t xml:space="preserve"> statistic for the selection models tests whether the noise terms in conditional and selection models are uncorrelated. The statistics reject the hypothesis and further justify the use of the selection Probit.</w:t>
      </w:r>
    </w:p>
    <w:p w14:paraId="209E2ECB" w14:textId="5B8DF7EE" w:rsidR="00647C33" w:rsidRPr="001A0DEB" w:rsidRDefault="00647C33" w:rsidP="00647C33">
      <w:pPr>
        <w:pStyle w:val="BodyText"/>
      </w:pPr>
      <w:r w:rsidRPr="001A0DEB">
        <w:t xml:space="preserve">Finally, in column (4) I re-estimate the selection model by augmenting it with interaction terms between government assistance and size and age. The </w:t>
      </w:r>
      <w:r w:rsidR="00265645">
        <w:t xml:space="preserve">interaction </w:t>
      </w:r>
      <w:r w:rsidRPr="001A0DEB">
        <w:t>terms test for the possibility that government assistance is more effective for, say, small firms or young firms. I also apply inverse propensity weights in this estimation and henceforth.</w:t>
      </w:r>
    </w:p>
    <w:p w14:paraId="209E2ECC" w14:textId="77777777" w:rsidR="00647C33" w:rsidRPr="001A0DEB" w:rsidRDefault="00647C33" w:rsidP="00647C33">
      <w:pPr>
        <w:pStyle w:val="BodyText"/>
      </w:pPr>
      <w:r w:rsidRPr="001A0DEB">
        <w:t>Only the size interaction has a statistically significant effect and only within the selection model. It implies that the additionality effect is the largest for small firms, in terms of asset size, and mostly works through encouraging them to apply. The additionality diminishes as the size of assets increases. Young firms receiving government assistance do not show any extra additionality apart from that pertaining to their small size.</w:t>
      </w:r>
    </w:p>
    <w:p w14:paraId="209E2ECD" w14:textId="553FCC3D" w:rsidR="00A371FD" w:rsidRPr="001A0DEB" w:rsidRDefault="00A371FD" w:rsidP="00A371FD">
      <w:pPr>
        <w:pStyle w:val="BodyText"/>
      </w:pPr>
      <w:r w:rsidRPr="001A0DEB">
        <w:t>Among the other covariates included in the estimation, the size of firm measured in the log of its</w:t>
      </w:r>
      <w:r w:rsidR="009F2F2F">
        <w:t xml:space="preserve"> total assets and leverage have</w:t>
      </w:r>
      <w:r w:rsidRPr="001A0DEB">
        <w:t xml:space="preserve"> statistically significant effect</w:t>
      </w:r>
      <w:r w:rsidR="009F2F2F">
        <w:t>s</w:t>
      </w:r>
      <w:r w:rsidRPr="001A0DEB">
        <w:t xml:space="preserve"> on the propensity to obtain financing. Larger firms are more likely to secure financing. A higher leverage, on the other hand, has an adverse effect on the likelihood.</w:t>
      </w:r>
    </w:p>
    <w:p w14:paraId="209E2ECE" w14:textId="77777777" w:rsidR="00A371FD" w:rsidRPr="001A0DEB" w:rsidRDefault="00A371FD" w:rsidP="00A371FD">
      <w:pPr>
        <w:pStyle w:val="BodyText"/>
      </w:pPr>
      <w:r w:rsidRPr="001A0DEB">
        <w:t>The other covariates only have a statistically significant effect in the selection models. The pattern suggests either a banking practice with insufficient screening or – since the selection effects are very strong – a very strict self-selection of firms prior to financing application.</w:t>
      </w:r>
    </w:p>
    <w:p w14:paraId="209E2ECF" w14:textId="77777777" w:rsidR="00A371FD" w:rsidRPr="001A0DEB" w:rsidRDefault="00A371FD" w:rsidP="00A371FD">
      <w:pPr>
        <w:pStyle w:val="BodyText"/>
      </w:pPr>
      <w:r w:rsidRPr="001A0DEB">
        <w:t>The first theory can be refuted based on the evidence from Rodgers (2015, Figure 9). He shows that the current loss ratio – the overall current losses as a share of total loans – on business loans has been between 0.1 and 0.75 per cent over the same period, with the peak happening in the wake of the global financial crisis. These losses hardly signal reckless banking practices. Instead, firms in Australia seem to apply a strict self screening before proceeding with a financing application. The fact that more than 90 per cent of firms that seek financing do obtain financing is also indicative of the strict self screening (</w:t>
      </w:r>
      <w:r w:rsidRPr="001A0DEB">
        <w:fldChar w:fldCharType="begin"/>
      </w:r>
      <w:r w:rsidRPr="001A0DEB">
        <w:instrText xml:space="preserve"> REF _Ref519600859 \h </w:instrText>
      </w:r>
      <w:r w:rsidRPr="001A0DEB">
        <w:fldChar w:fldCharType="separate"/>
      </w:r>
      <w:r w:rsidR="00851CD1" w:rsidRPr="001A0DEB">
        <w:t xml:space="preserve">Table </w:t>
      </w:r>
      <w:r w:rsidR="00851CD1" w:rsidRPr="001A0DEB">
        <w:rPr>
          <w:noProof/>
        </w:rPr>
        <w:t>4</w:t>
      </w:r>
      <w:r w:rsidR="00851CD1" w:rsidRPr="001A0DEB">
        <w:t>.</w:t>
      </w:r>
      <w:r w:rsidR="00851CD1" w:rsidRPr="001A0DEB">
        <w:rPr>
          <w:noProof/>
        </w:rPr>
        <w:t>2</w:t>
      </w:r>
      <w:r w:rsidRPr="001A0DEB">
        <w:fldChar w:fldCharType="end"/>
      </w:r>
      <w:r w:rsidRPr="001A0DEB">
        <w:t>).</w:t>
      </w:r>
    </w:p>
    <w:p w14:paraId="209E2ED0" w14:textId="77777777" w:rsidR="00A371FD" w:rsidRDefault="00A371FD" w:rsidP="00A371FD">
      <w:pPr>
        <w:pStyle w:val="BodyText"/>
      </w:pPr>
    </w:p>
    <w:p w14:paraId="209E2ED1" w14:textId="77777777" w:rsidR="00A371FD" w:rsidRDefault="00A371FD" w:rsidP="00FD5C18">
      <w:pPr>
        <w:pStyle w:val="BodyText"/>
        <w:rPr>
          <w:lang w:val="en"/>
        </w:rPr>
        <w:sectPr w:rsidR="00A371FD" w:rsidSect="00C821A6">
          <w:footerReference w:type="default" r:id="rId19"/>
          <w:footerReference w:type="first" r:id="rId20"/>
          <w:pgSz w:w="11906" w:h="16838" w:code="9"/>
          <w:pgMar w:top="1440" w:right="1440" w:bottom="1440" w:left="3572" w:header="709" w:footer="709" w:gutter="0"/>
          <w:pgNumType w:start="1"/>
          <w:cols w:space="708"/>
          <w:docGrid w:linePitch="360"/>
        </w:sectPr>
      </w:pPr>
    </w:p>
    <w:tbl>
      <w:tblPr>
        <w:tblStyle w:val="OCETable"/>
        <w:tblpPr w:leftFromText="180" w:rightFromText="180" w:horzAnchor="margin" w:tblpY="330"/>
        <w:tblW w:w="5000" w:type="pct"/>
        <w:tblLook w:val="04A0" w:firstRow="1" w:lastRow="0" w:firstColumn="1" w:lastColumn="0" w:noHBand="0" w:noVBand="1"/>
        <w:tblCaption w:val="Estimated marginal effects from model (1)"/>
        <w:tblDescription w:val="Government assistance has positive marginal effects in all models (conditional or selection). Selection effects are also strong and statistiucally significant."/>
      </w:tblPr>
      <w:tblGrid>
        <w:gridCol w:w="2929"/>
        <w:gridCol w:w="1179"/>
        <w:gridCol w:w="299"/>
        <w:gridCol w:w="1262"/>
        <w:gridCol w:w="1722"/>
        <w:gridCol w:w="299"/>
        <w:gridCol w:w="1239"/>
        <w:gridCol w:w="1745"/>
        <w:gridCol w:w="299"/>
        <w:gridCol w:w="1360"/>
        <w:gridCol w:w="1625"/>
      </w:tblGrid>
      <w:tr w:rsidR="00FD5C18" w14:paraId="209E2EDA" w14:textId="77777777" w:rsidTr="00DC6A46">
        <w:trPr>
          <w:cnfStyle w:val="100000000000" w:firstRow="1" w:lastRow="0" w:firstColumn="0" w:lastColumn="0" w:oddVBand="0" w:evenVBand="0" w:oddHBand="0" w:evenHBand="0" w:firstRowFirstColumn="0" w:firstRowLastColumn="0" w:lastRowFirstColumn="0" w:lastRowLastColumn="0"/>
          <w:tblHeader/>
        </w:trPr>
        <w:tc>
          <w:tcPr>
            <w:tcW w:w="1049" w:type="pct"/>
          </w:tcPr>
          <w:p w14:paraId="209E2ED2" w14:textId="77777777" w:rsidR="00FD5C18" w:rsidRDefault="006948AC" w:rsidP="006948AC">
            <w:pPr>
              <w:pStyle w:val="Tableheadertext"/>
            </w:pPr>
            <w:r>
              <w:lastRenderedPageBreak/>
              <w:t>Variables</w:t>
            </w:r>
          </w:p>
        </w:tc>
        <w:tc>
          <w:tcPr>
            <w:tcW w:w="422" w:type="pct"/>
          </w:tcPr>
          <w:p w14:paraId="209E2ED3" w14:textId="77777777" w:rsidR="00FD5C18" w:rsidRDefault="00FD5C18" w:rsidP="00C85480">
            <w:pPr>
              <w:pStyle w:val="Tableheadertext"/>
              <w:jc w:val="right"/>
            </w:pPr>
            <w:r>
              <w:t>(1)</w:t>
            </w:r>
          </w:p>
        </w:tc>
        <w:tc>
          <w:tcPr>
            <w:tcW w:w="107" w:type="pct"/>
          </w:tcPr>
          <w:p w14:paraId="209E2ED4" w14:textId="77777777" w:rsidR="00FD5C18" w:rsidRDefault="00FD5C18" w:rsidP="00C85480">
            <w:pPr>
              <w:pStyle w:val="Tableheadertext"/>
              <w:jc w:val="right"/>
            </w:pPr>
          </w:p>
        </w:tc>
        <w:tc>
          <w:tcPr>
            <w:tcW w:w="1069" w:type="pct"/>
            <w:gridSpan w:val="2"/>
          </w:tcPr>
          <w:p w14:paraId="209E2ED5" w14:textId="77777777" w:rsidR="00FD5C18" w:rsidRDefault="00FD5C18" w:rsidP="00C85480">
            <w:pPr>
              <w:pStyle w:val="Tableheadertext"/>
              <w:jc w:val="right"/>
            </w:pPr>
            <w:r>
              <w:t>(2)</w:t>
            </w:r>
          </w:p>
        </w:tc>
        <w:tc>
          <w:tcPr>
            <w:tcW w:w="107" w:type="pct"/>
          </w:tcPr>
          <w:p w14:paraId="209E2ED6" w14:textId="77777777" w:rsidR="00FD5C18" w:rsidRDefault="00FD5C18" w:rsidP="00C85480">
            <w:pPr>
              <w:pStyle w:val="Tableheadertext"/>
              <w:jc w:val="right"/>
            </w:pPr>
          </w:p>
        </w:tc>
        <w:tc>
          <w:tcPr>
            <w:tcW w:w="1069" w:type="pct"/>
            <w:gridSpan w:val="2"/>
          </w:tcPr>
          <w:p w14:paraId="209E2ED7" w14:textId="77777777" w:rsidR="00FD5C18" w:rsidRDefault="006948AC" w:rsidP="00C85480">
            <w:pPr>
              <w:pStyle w:val="Tableheadertext"/>
              <w:jc w:val="right"/>
            </w:pPr>
            <w:r>
              <w:t>(3)</w:t>
            </w:r>
          </w:p>
        </w:tc>
        <w:tc>
          <w:tcPr>
            <w:tcW w:w="107" w:type="pct"/>
          </w:tcPr>
          <w:p w14:paraId="209E2ED8" w14:textId="77777777" w:rsidR="00FD5C18" w:rsidRDefault="00FD5C18" w:rsidP="00C85480">
            <w:pPr>
              <w:pStyle w:val="Tableheadertext"/>
              <w:jc w:val="right"/>
            </w:pPr>
          </w:p>
        </w:tc>
        <w:tc>
          <w:tcPr>
            <w:tcW w:w="1069" w:type="pct"/>
            <w:gridSpan w:val="2"/>
          </w:tcPr>
          <w:p w14:paraId="209E2ED9" w14:textId="77777777" w:rsidR="00FD5C18" w:rsidRDefault="006948AC" w:rsidP="00C85480">
            <w:pPr>
              <w:pStyle w:val="Tableheadertext"/>
              <w:jc w:val="right"/>
            </w:pPr>
            <w:r>
              <w:t>(4)</w:t>
            </w:r>
          </w:p>
        </w:tc>
      </w:tr>
      <w:tr w:rsidR="00FD5C18" w14:paraId="209E2EE6" w14:textId="77777777" w:rsidTr="0018083B">
        <w:trPr>
          <w:cnfStyle w:val="000000100000" w:firstRow="0" w:lastRow="0" w:firstColumn="0" w:lastColumn="0" w:oddVBand="0" w:evenVBand="0" w:oddHBand="1" w:evenHBand="0" w:firstRowFirstColumn="0" w:firstRowLastColumn="0" w:lastRowFirstColumn="0" w:lastRowLastColumn="0"/>
        </w:trPr>
        <w:tc>
          <w:tcPr>
            <w:tcW w:w="1049" w:type="pct"/>
          </w:tcPr>
          <w:p w14:paraId="209E2EDB" w14:textId="77777777" w:rsidR="00FD5C18" w:rsidRPr="001A0DEB" w:rsidRDefault="00FD5C18" w:rsidP="006948AC">
            <w:pPr>
              <w:pStyle w:val="Tableheadertext"/>
              <w:rPr>
                <w:color w:val="373737"/>
              </w:rPr>
            </w:pPr>
          </w:p>
        </w:tc>
        <w:tc>
          <w:tcPr>
            <w:tcW w:w="422" w:type="pct"/>
          </w:tcPr>
          <w:p w14:paraId="209E2EDC" w14:textId="77777777" w:rsidR="00FD5C18" w:rsidRPr="001A0DEB" w:rsidRDefault="00FD5C18" w:rsidP="00C85480">
            <w:pPr>
              <w:pStyle w:val="Tableheadertext"/>
              <w:jc w:val="right"/>
              <w:rPr>
                <w:color w:val="373737"/>
              </w:rPr>
            </w:pPr>
            <w:r w:rsidRPr="001A0DEB">
              <w:rPr>
                <w:color w:val="373737"/>
              </w:rPr>
              <w:t>Probit</w:t>
            </w:r>
          </w:p>
        </w:tc>
        <w:tc>
          <w:tcPr>
            <w:tcW w:w="107" w:type="pct"/>
          </w:tcPr>
          <w:p w14:paraId="209E2EDD" w14:textId="77777777" w:rsidR="00FD5C18" w:rsidRPr="001A0DEB" w:rsidRDefault="00FD5C18" w:rsidP="00C85480">
            <w:pPr>
              <w:pStyle w:val="Tableheadertext"/>
              <w:jc w:val="right"/>
              <w:rPr>
                <w:color w:val="373737"/>
              </w:rPr>
            </w:pPr>
          </w:p>
        </w:tc>
        <w:tc>
          <w:tcPr>
            <w:tcW w:w="452" w:type="pct"/>
          </w:tcPr>
          <w:p w14:paraId="209E2EDE" w14:textId="77777777" w:rsidR="00FD5C18" w:rsidRPr="001A0DEB" w:rsidRDefault="00FD5C18" w:rsidP="00C85480">
            <w:pPr>
              <w:pStyle w:val="Tableheadertext"/>
              <w:jc w:val="right"/>
              <w:rPr>
                <w:color w:val="373737"/>
              </w:rPr>
            </w:pPr>
            <w:r w:rsidRPr="001A0DEB">
              <w:rPr>
                <w:color w:val="373737"/>
              </w:rPr>
              <w:t>Conditional</w:t>
            </w:r>
          </w:p>
        </w:tc>
        <w:tc>
          <w:tcPr>
            <w:tcW w:w="617" w:type="pct"/>
          </w:tcPr>
          <w:p w14:paraId="209E2EDF" w14:textId="77777777" w:rsidR="00FD5C18" w:rsidRPr="001A0DEB" w:rsidRDefault="00FD5C18" w:rsidP="00C85480">
            <w:pPr>
              <w:pStyle w:val="Tableheadertext"/>
              <w:jc w:val="right"/>
              <w:rPr>
                <w:color w:val="373737"/>
              </w:rPr>
            </w:pPr>
            <w:r w:rsidRPr="001A0DEB">
              <w:rPr>
                <w:color w:val="373737"/>
              </w:rPr>
              <w:t>Selection</w:t>
            </w:r>
          </w:p>
        </w:tc>
        <w:tc>
          <w:tcPr>
            <w:tcW w:w="107" w:type="pct"/>
          </w:tcPr>
          <w:p w14:paraId="209E2EE0" w14:textId="77777777" w:rsidR="00FD5C18" w:rsidRPr="001A0DEB" w:rsidRDefault="00FD5C18" w:rsidP="00C85480">
            <w:pPr>
              <w:pStyle w:val="Tableheadertext"/>
              <w:jc w:val="right"/>
              <w:rPr>
                <w:color w:val="373737"/>
              </w:rPr>
            </w:pPr>
          </w:p>
        </w:tc>
        <w:tc>
          <w:tcPr>
            <w:tcW w:w="444" w:type="pct"/>
          </w:tcPr>
          <w:p w14:paraId="209E2EE1" w14:textId="77777777" w:rsidR="00FD5C18" w:rsidRPr="001A0DEB" w:rsidRDefault="00FD5C18" w:rsidP="00C85480">
            <w:pPr>
              <w:pStyle w:val="Tableheadertext"/>
              <w:jc w:val="right"/>
              <w:rPr>
                <w:color w:val="373737"/>
              </w:rPr>
            </w:pPr>
            <w:r w:rsidRPr="001A0DEB">
              <w:rPr>
                <w:color w:val="373737"/>
              </w:rPr>
              <w:t>Conditional</w:t>
            </w:r>
          </w:p>
        </w:tc>
        <w:tc>
          <w:tcPr>
            <w:tcW w:w="625" w:type="pct"/>
          </w:tcPr>
          <w:p w14:paraId="209E2EE2" w14:textId="77777777" w:rsidR="00FD5C18" w:rsidRPr="001A0DEB" w:rsidRDefault="00FD5C18" w:rsidP="00C85480">
            <w:pPr>
              <w:pStyle w:val="Tableheadertext"/>
              <w:jc w:val="right"/>
              <w:rPr>
                <w:color w:val="373737"/>
              </w:rPr>
            </w:pPr>
            <w:r w:rsidRPr="001A0DEB">
              <w:rPr>
                <w:color w:val="373737"/>
              </w:rPr>
              <w:t>Selection</w:t>
            </w:r>
          </w:p>
        </w:tc>
        <w:tc>
          <w:tcPr>
            <w:tcW w:w="107" w:type="pct"/>
          </w:tcPr>
          <w:p w14:paraId="209E2EE3" w14:textId="77777777" w:rsidR="00FD5C18" w:rsidRPr="001A0DEB" w:rsidRDefault="00FD5C18" w:rsidP="00C85480">
            <w:pPr>
              <w:pStyle w:val="Tableheadertext"/>
              <w:jc w:val="right"/>
              <w:rPr>
                <w:color w:val="373737"/>
              </w:rPr>
            </w:pPr>
          </w:p>
        </w:tc>
        <w:tc>
          <w:tcPr>
            <w:tcW w:w="487" w:type="pct"/>
          </w:tcPr>
          <w:p w14:paraId="209E2EE4" w14:textId="77777777" w:rsidR="00FD5C18" w:rsidRPr="001A0DEB" w:rsidRDefault="00FD5C18" w:rsidP="00C85480">
            <w:pPr>
              <w:pStyle w:val="Tableheadertext"/>
              <w:jc w:val="right"/>
              <w:rPr>
                <w:color w:val="373737"/>
              </w:rPr>
            </w:pPr>
            <w:r w:rsidRPr="001A0DEB">
              <w:rPr>
                <w:color w:val="373737"/>
              </w:rPr>
              <w:t>Conditional</w:t>
            </w:r>
          </w:p>
        </w:tc>
        <w:tc>
          <w:tcPr>
            <w:tcW w:w="582" w:type="pct"/>
          </w:tcPr>
          <w:p w14:paraId="209E2EE5" w14:textId="77777777" w:rsidR="00FD5C18" w:rsidRPr="001A0DEB" w:rsidRDefault="00FD5C18" w:rsidP="00C85480">
            <w:pPr>
              <w:pStyle w:val="Tableheadertext"/>
              <w:jc w:val="right"/>
              <w:rPr>
                <w:color w:val="373737"/>
              </w:rPr>
            </w:pPr>
            <w:r w:rsidRPr="001A0DEB">
              <w:rPr>
                <w:color w:val="373737"/>
              </w:rPr>
              <w:t>Selection</w:t>
            </w:r>
          </w:p>
        </w:tc>
      </w:tr>
      <w:tr w:rsidR="00FD5C18" w14:paraId="209E2EF2" w14:textId="77777777" w:rsidTr="0018083B">
        <w:trPr>
          <w:cnfStyle w:val="000000010000" w:firstRow="0" w:lastRow="0" w:firstColumn="0" w:lastColumn="0" w:oddVBand="0" w:evenVBand="0" w:oddHBand="0" w:evenHBand="1" w:firstRowFirstColumn="0" w:firstRowLastColumn="0" w:lastRowFirstColumn="0" w:lastRowLastColumn="0"/>
          <w:trHeight w:hRule="exact" w:val="261"/>
        </w:trPr>
        <w:tc>
          <w:tcPr>
            <w:tcW w:w="1049" w:type="pct"/>
          </w:tcPr>
          <w:p w14:paraId="209E2EE7" w14:textId="77777777" w:rsidR="00FD5C18" w:rsidRPr="001A0DEB" w:rsidRDefault="00FD5C18" w:rsidP="006948AC">
            <w:pPr>
              <w:pStyle w:val="Tablebodytext"/>
            </w:pPr>
            <w:r w:rsidRPr="001A0DEB">
              <w:t xml:space="preserve"> </w:t>
            </w:r>
            <m:oMath>
              <m:r>
                <w:rPr>
                  <w:rFonts w:ascii="Cambria Math" w:hAnsi="Cambria Math"/>
                </w:rPr>
                <m:t>Go</m:t>
              </m:r>
              <m:sSub>
                <m:sSubPr>
                  <m:ctrlPr>
                    <w:rPr>
                      <w:rFonts w:ascii="Cambria Math" w:hAnsi="Cambria Math"/>
                    </w:rPr>
                  </m:ctrlPr>
                </m:sSubPr>
                <m:e>
                  <m:r>
                    <w:rPr>
                      <w:rFonts w:ascii="Cambria Math" w:hAnsi="Cambria Math"/>
                    </w:rPr>
                    <m:t>v</m:t>
                  </m:r>
                </m:e>
                <m:sub>
                  <m:r>
                    <w:rPr>
                      <w:rFonts w:ascii="Cambria Math" w:hAnsi="Cambria Math"/>
                    </w:rPr>
                    <m:t>t</m:t>
                  </m:r>
                </m:sub>
              </m:sSub>
            </m:oMath>
          </w:p>
        </w:tc>
        <w:tc>
          <w:tcPr>
            <w:tcW w:w="422" w:type="pct"/>
          </w:tcPr>
          <w:p w14:paraId="209E2EE8" w14:textId="77777777" w:rsidR="00FD5C18" w:rsidRPr="001A0DEB" w:rsidRDefault="00FD5C18" w:rsidP="0057657B">
            <w:pPr>
              <w:pStyle w:val="Tabletext"/>
              <w:jc w:val="right"/>
            </w:pPr>
            <w:r w:rsidRPr="001A0DEB">
              <w:t>0.015***</w:t>
            </w:r>
          </w:p>
        </w:tc>
        <w:tc>
          <w:tcPr>
            <w:tcW w:w="107" w:type="pct"/>
          </w:tcPr>
          <w:p w14:paraId="209E2EE9" w14:textId="77777777" w:rsidR="00FD5C18" w:rsidRPr="001A0DEB" w:rsidRDefault="00FD5C18" w:rsidP="0057657B">
            <w:pPr>
              <w:pStyle w:val="Tabletext"/>
              <w:jc w:val="right"/>
            </w:pPr>
          </w:p>
        </w:tc>
        <w:tc>
          <w:tcPr>
            <w:tcW w:w="452" w:type="pct"/>
          </w:tcPr>
          <w:p w14:paraId="209E2EEA" w14:textId="77777777" w:rsidR="00FD5C18" w:rsidRPr="001A0DEB" w:rsidRDefault="00FD5C18" w:rsidP="0057657B">
            <w:pPr>
              <w:pStyle w:val="Tabletext"/>
              <w:jc w:val="right"/>
            </w:pPr>
            <w:r w:rsidRPr="001A0DEB">
              <w:t>0.020***</w:t>
            </w:r>
          </w:p>
        </w:tc>
        <w:tc>
          <w:tcPr>
            <w:tcW w:w="617" w:type="pct"/>
          </w:tcPr>
          <w:p w14:paraId="209E2EEB" w14:textId="77777777" w:rsidR="00FD5C18" w:rsidRPr="001A0DEB" w:rsidRDefault="00FD5C18" w:rsidP="0057657B">
            <w:pPr>
              <w:pStyle w:val="Tabletext"/>
              <w:jc w:val="right"/>
            </w:pPr>
            <w:r w:rsidRPr="001A0DEB">
              <w:t>0.069***</w:t>
            </w:r>
          </w:p>
        </w:tc>
        <w:tc>
          <w:tcPr>
            <w:tcW w:w="107" w:type="pct"/>
          </w:tcPr>
          <w:p w14:paraId="209E2EEC" w14:textId="77777777" w:rsidR="00FD5C18" w:rsidRPr="001A0DEB" w:rsidRDefault="00FD5C18" w:rsidP="0057657B">
            <w:pPr>
              <w:pStyle w:val="Tabletext"/>
              <w:jc w:val="right"/>
            </w:pPr>
          </w:p>
        </w:tc>
        <w:tc>
          <w:tcPr>
            <w:tcW w:w="444" w:type="pct"/>
          </w:tcPr>
          <w:p w14:paraId="209E2EED" w14:textId="77777777" w:rsidR="00FD5C18" w:rsidRPr="001A0DEB" w:rsidRDefault="00FD5C18" w:rsidP="0057657B">
            <w:pPr>
              <w:pStyle w:val="Tabletext"/>
              <w:jc w:val="right"/>
            </w:pPr>
            <w:r w:rsidRPr="001A0DEB">
              <w:t>0.021***</w:t>
            </w:r>
          </w:p>
        </w:tc>
        <w:tc>
          <w:tcPr>
            <w:tcW w:w="625" w:type="pct"/>
          </w:tcPr>
          <w:p w14:paraId="209E2EEE" w14:textId="77777777" w:rsidR="00FD5C18" w:rsidRPr="001A0DEB" w:rsidRDefault="00FD5C18" w:rsidP="0057657B">
            <w:pPr>
              <w:pStyle w:val="Tabletext"/>
              <w:jc w:val="right"/>
            </w:pPr>
            <w:r w:rsidRPr="001A0DEB">
              <w:t>0.082***</w:t>
            </w:r>
          </w:p>
        </w:tc>
        <w:tc>
          <w:tcPr>
            <w:tcW w:w="107" w:type="pct"/>
          </w:tcPr>
          <w:p w14:paraId="209E2EEF" w14:textId="77777777" w:rsidR="00FD5C18" w:rsidRPr="001A0DEB" w:rsidRDefault="00FD5C18" w:rsidP="0057657B">
            <w:pPr>
              <w:pStyle w:val="Tabletext"/>
              <w:jc w:val="right"/>
            </w:pPr>
          </w:p>
        </w:tc>
        <w:tc>
          <w:tcPr>
            <w:tcW w:w="487" w:type="pct"/>
          </w:tcPr>
          <w:p w14:paraId="209E2EF0" w14:textId="77777777" w:rsidR="00FD5C18" w:rsidRPr="001A0DEB" w:rsidRDefault="00FD5C18" w:rsidP="0057657B">
            <w:pPr>
              <w:pStyle w:val="Tabletext"/>
              <w:jc w:val="right"/>
            </w:pPr>
            <w:r w:rsidRPr="001A0DEB">
              <w:t>0.013</w:t>
            </w:r>
          </w:p>
        </w:tc>
        <w:tc>
          <w:tcPr>
            <w:tcW w:w="582" w:type="pct"/>
          </w:tcPr>
          <w:p w14:paraId="209E2EF1" w14:textId="77777777" w:rsidR="00FD5C18" w:rsidRPr="001A0DEB" w:rsidRDefault="00FD5C18" w:rsidP="0057657B">
            <w:pPr>
              <w:pStyle w:val="Tabletext"/>
              <w:jc w:val="right"/>
            </w:pPr>
            <w:r w:rsidRPr="001A0DEB">
              <w:t>0.234***</w:t>
            </w:r>
          </w:p>
        </w:tc>
      </w:tr>
      <w:tr w:rsidR="00FD5C18" w14:paraId="209E2EFE" w14:textId="77777777" w:rsidTr="0018083B">
        <w:trPr>
          <w:cnfStyle w:val="000000100000" w:firstRow="0" w:lastRow="0" w:firstColumn="0" w:lastColumn="0" w:oddVBand="0" w:evenVBand="0" w:oddHBand="1" w:evenHBand="0" w:firstRowFirstColumn="0" w:firstRowLastColumn="0" w:lastRowFirstColumn="0" w:lastRowLastColumn="0"/>
          <w:trHeight w:hRule="exact" w:val="261"/>
        </w:trPr>
        <w:tc>
          <w:tcPr>
            <w:tcW w:w="1049" w:type="pct"/>
          </w:tcPr>
          <w:p w14:paraId="209E2EF3" w14:textId="77777777" w:rsidR="00FD5C18" w:rsidRPr="001A0DEB" w:rsidRDefault="00FD5C18" w:rsidP="006948AC">
            <w:pPr>
              <w:pStyle w:val="Tablebodytext"/>
            </w:pPr>
          </w:p>
        </w:tc>
        <w:tc>
          <w:tcPr>
            <w:tcW w:w="422" w:type="pct"/>
          </w:tcPr>
          <w:p w14:paraId="209E2EF4" w14:textId="77777777" w:rsidR="00FD5C18" w:rsidRPr="001A0DEB" w:rsidRDefault="00FD5C18" w:rsidP="0057657B">
            <w:pPr>
              <w:pStyle w:val="Tabletext"/>
              <w:jc w:val="right"/>
            </w:pPr>
            <w:r w:rsidRPr="001A0DEB">
              <w:t>(0.004)</w:t>
            </w:r>
          </w:p>
        </w:tc>
        <w:tc>
          <w:tcPr>
            <w:tcW w:w="107" w:type="pct"/>
          </w:tcPr>
          <w:p w14:paraId="209E2EF5" w14:textId="77777777" w:rsidR="00FD5C18" w:rsidRPr="001A0DEB" w:rsidRDefault="00FD5C18" w:rsidP="0057657B">
            <w:pPr>
              <w:pStyle w:val="Tabletext"/>
              <w:jc w:val="right"/>
            </w:pPr>
          </w:p>
        </w:tc>
        <w:tc>
          <w:tcPr>
            <w:tcW w:w="452" w:type="pct"/>
          </w:tcPr>
          <w:p w14:paraId="209E2EF6" w14:textId="77777777" w:rsidR="00FD5C18" w:rsidRPr="001A0DEB" w:rsidRDefault="00FD5C18" w:rsidP="0057657B">
            <w:pPr>
              <w:pStyle w:val="Tabletext"/>
              <w:jc w:val="right"/>
            </w:pPr>
            <w:r w:rsidRPr="001A0DEB">
              <w:t>(0.005)</w:t>
            </w:r>
          </w:p>
        </w:tc>
        <w:tc>
          <w:tcPr>
            <w:tcW w:w="617" w:type="pct"/>
          </w:tcPr>
          <w:p w14:paraId="209E2EF7" w14:textId="77777777" w:rsidR="00FD5C18" w:rsidRPr="001A0DEB" w:rsidRDefault="00FD5C18" w:rsidP="0057657B">
            <w:pPr>
              <w:pStyle w:val="Tabletext"/>
              <w:jc w:val="right"/>
            </w:pPr>
            <w:r w:rsidRPr="001A0DEB">
              <w:t>(0.004)</w:t>
            </w:r>
          </w:p>
        </w:tc>
        <w:tc>
          <w:tcPr>
            <w:tcW w:w="107" w:type="pct"/>
          </w:tcPr>
          <w:p w14:paraId="209E2EF8" w14:textId="77777777" w:rsidR="00FD5C18" w:rsidRPr="001A0DEB" w:rsidRDefault="00FD5C18" w:rsidP="0057657B">
            <w:pPr>
              <w:pStyle w:val="Tabletext"/>
              <w:jc w:val="right"/>
            </w:pPr>
          </w:p>
        </w:tc>
        <w:tc>
          <w:tcPr>
            <w:tcW w:w="444" w:type="pct"/>
          </w:tcPr>
          <w:p w14:paraId="209E2EF9" w14:textId="77777777" w:rsidR="00FD5C18" w:rsidRPr="001A0DEB" w:rsidRDefault="00FD5C18" w:rsidP="0057657B">
            <w:pPr>
              <w:pStyle w:val="Tabletext"/>
              <w:jc w:val="right"/>
            </w:pPr>
            <w:r w:rsidRPr="001A0DEB">
              <w:t>(0.004)</w:t>
            </w:r>
          </w:p>
        </w:tc>
        <w:tc>
          <w:tcPr>
            <w:tcW w:w="625" w:type="pct"/>
          </w:tcPr>
          <w:p w14:paraId="209E2EFA" w14:textId="77777777" w:rsidR="00FD5C18" w:rsidRPr="001A0DEB" w:rsidRDefault="00FD5C18" w:rsidP="0057657B">
            <w:pPr>
              <w:pStyle w:val="Tabletext"/>
              <w:jc w:val="right"/>
            </w:pPr>
            <w:r w:rsidRPr="001A0DEB">
              <w:t>(0.007)</w:t>
            </w:r>
          </w:p>
        </w:tc>
        <w:tc>
          <w:tcPr>
            <w:tcW w:w="107" w:type="pct"/>
          </w:tcPr>
          <w:p w14:paraId="209E2EFB" w14:textId="77777777" w:rsidR="00FD5C18" w:rsidRPr="001A0DEB" w:rsidRDefault="00FD5C18" w:rsidP="0057657B">
            <w:pPr>
              <w:pStyle w:val="Tabletext"/>
              <w:jc w:val="right"/>
            </w:pPr>
          </w:p>
        </w:tc>
        <w:tc>
          <w:tcPr>
            <w:tcW w:w="487" w:type="pct"/>
          </w:tcPr>
          <w:p w14:paraId="209E2EFC" w14:textId="77777777" w:rsidR="00FD5C18" w:rsidRPr="001A0DEB" w:rsidRDefault="00FD5C18" w:rsidP="0057657B">
            <w:pPr>
              <w:pStyle w:val="Tabletext"/>
              <w:jc w:val="right"/>
            </w:pPr>
            <w:r w:rsidRPr="001A0DEB">
              <w:t>(0.025)</w:t>
            </w:r>
          </w:p>
        </w:tc>
        <w:tc>
          <w:tcPr>
            <w:tcW w:w="582" w:type="pct"/>
          </w:tcPr>
          <w:p w14:paraId="209E2EFD" w14:textId="77777777" w:rsidR="00FD5C18" w:rsidRPr="001A0DEB" w:rsidRDefault="00FD5C18" w:rsidP="0057657B">
            <w:pPr>
              <w:pStyle w:val="Tabletext"/>
              <w:jc w:val="right"/>
            </w:pPr>
            <w:r w:rsidRPr="001A0DEB">
              <w:t>(0.081)</w:t>
            </w:r>
          </w:p>
        </w:tc>
      </w:tr>
      <w:tr w:rsidR="00FD5C18" w14:paraId="209E2F0A" w14:textId="77777777" w:rsidTr="0018083B">
        <w:trPr>
          <w:cnfStyle w:val="000000010000" w:firstRow="0" w:lastRow="0" w:firstColumn="0" w:lastColumn="0" w:oddVBand="0" w:evenVBand="0" w:oddHBand="0" w:evenHBand="1" w:firstRowFirstColumn="0" w:firstRowLastColumn="0" w:lastRowFirstColumn="0" w:lastRowLastColumn="0"/>
          <w:trHeight w:hRule="exact" w:val="261"/>
        </w:trPr>
        <w:tc>
          <w:tcPr>
            <w:tcW w:w="1049" w:type="pct"/>
          </w:tcPr>
          <w:p w14:paraId="209E2EFF" w14:textId="77777777" w:rsidR="00FD5C18" w:rsidRPr="001A0DEB" w:rsidRDefault="00FD5C18" w:rsidP="006948AC">
            <w:pPr>
              <w:pStyle w:val="Tablebodytext"/>
            </w:pPr>
            <w:r w:rsidRPr="001A0DEB">
              <w:t xml:space="preserve"> </w:t>
            </w:r>
            <m:oMath>
              <m:r>
                <w:rPr>
                  <w:rFonts w:ascii="Cambria Math" w:hAnsi="Cambria Math"/>
                </w:rPr>
                <m:t>Go</m:t>
              </m:r>
              <m:sSub>
                <m:sSubPr>
                  <m:ctrlPr>
                    <w:rPr>
                      <w:rFonts w:ascii="Cambria Math" w:hAnsi="Cambria Math"/>
                    </w:rPr>
                  </m:ctrlPr>
                </m:sSubPr>
                <m:e>
                  <m:r>
                    <w:rPr>
                      <w:rFonts w:ascii="Cambria Math" w:hAnsi="Cambria Math"/>
                    </w:rPr>
                    <m:t>v</m:t>
                  </m:r>
                </m:e>
                <m:sub>
                  <m:r>
                    <w:rPr>
                      <w:rFonts w:ascii="Cambria Math" w:hAnsi="Cambria Math"/>
                    </w:rPr>
                    <m:t>t</m:t>
                  </m:r>
                </m:sub>
              </m:sSub>
              <m:r>
                <w:rPr>
                  <w:rFonts w:ascii="Cambria Math" w:hAnsi="Cambria Math"/>
                </w:rPr>
                <m:t>×</m:t>
              </m:r>
              <m:r>
                <m:rPr>
                  <m:sty m:val="p"/>
                </m:rPr>
                <w:rPr>
                  <w:rFonts w:ascii="Cambria Math" w:hAnsi="Cambria Math"/>
                </w:rPr>
                <m:t>log</m:t>
              </m:r>
              <m:r>
                <w:rPr>
                  <w:rFonts w:ascii="Cambria Math" w:hAnsi="Cambria Math"/>
                </w:rPr>
                <m:t>(Asset</m:t>
              </m:r>
              <m:sSub>
                <m:sSubPr>
                  <m:ctrlPr>
                    <w:rPr>
                      <w:rFonts w:ascii="Cambria Math" w:hAnsi="Cambria Math"/>
                    </w:rPr>
                  </m:ctrlPr>
                </m:sSubPr>
                <m:e>
                  <m:r>
                    <w:rPr>
                      <w:rFonts w:ascii="Cambria Math" w:hAnsi="Cambria Math"/>
                    </w:rPr>
                    <m:t>s</m:t>
                  </m:r>
                </m:e>
                <m:sub>
                  <m:r>
                    <w:rPr>
                      <w:rFonts w:ascii="Cambria Math" w:hAnsi="Cambria Math"/>
                    </w:rPr>
                    <m:t>t</m:t>
                  </m:r>
                </m:sub>
              </m:sSub>
              <m:r>
                <w:rPr>
                  <w:rFonts w:ascii="Cambria Math" w:hAnsi="Cambria Math"/>
                </w:rPr>
                <m:t>)</m:t>
              </m:r>
            </m:oMath>
          </w:p>
        </w:tc>
        <w:tc>
          <w:tcPr>
            <w:tcW w:w="422" w:type="pct"/>
          </w:tcPr>
          <w:p w14:paraId="209E2F00" w14:textId="77777777" w:rsidR="00FD5C18" w:rsidRPr="001A0DEB" w:rsidRDefault="00FD5C18" w:rsidP="0057657B">
            <w:pPr>
              <w:pStyle w:val="Tabletext"/>
              <w:jc w:val="right"/>
            </w:pPr>
          </w:p>
        </w:tc>
        <w:tc>
          <w:tcPr>
            <w:tcW w:w="107" w:type="pct"/>
          </w:tcPr>
          <w:p w14:paraId="209E2F01" w14:textId="77777777" w:rsidR="00FD5C18" w:rsidRPr="001A0DEB" w:rsidRDefault="00FD5C18" w:rsidP="0057657B">
            <w:pPr>
              <w:pStyle w:val="Tabletext"/>
              <w:jc w:val="right"/>
            </w:pPr>
          </w:p>
        </w:tc>
        <w:tc>
          <w:tcPr>
            <w:tcW w:w="452" w:type="pct"/>
          </w:tcPr>
          <w:p w14:paraId="209E2F02" w14:textId="77777777" w:rsidR="00FD5C18" w:rsidRPr="001A0DEB" w:rsidRDefault="00FD5C18" w:rsidP="0057657B">
            <w:pPr>
              <w:pStyle w:val="Tabletext"/>
              <w:jc w:val="right"/>
            </w:pPr>
          </w:p>
        </w:tc>
        <w:tc>
          <w:tcPr>
            <w:tcW w:w="617" w:type="pct"/>
          </w:tcPr>
          <w:p w14:paraId="209E2F03" w14:textId="77777777" w:rsidR="00FD5C18" w:rsidRPr="001A0DEB" w:rsidRDefault="00FD5C18" w:rsidP="0057657B">
            <w:pPr>
              <w:pStyle w:val="Tabletext"/>
              <w:jc w:val="right"/>
            </w:pPr>
          </w:p>
        </w:tc>
        <w:tc>
          <w:tcPr>
            <w:tcW w:w="107" w:type="pct"/>
          </w:tcPr>
          <w:p w14:paraId="209E2F04" w14:textId="77777777" w:rsidR="00FD5C18" w:rsidRPr="001A0DEB" w:rsidRDefault="00FD5C18" w:rsidP="0057657B">
            <w:pPr>
              <w:pStyle w:val="Tabletext"/>
              <w:jc w:val="right"/>
            </w:pPr>
          </w:p>
        </w:tc>
        <w:tc>
          <w:tcPr>
            <w:tcW w:w="444" w:type="pct"/>
          </w:tcPr>
          <w:p w14:paraId="209E2F05" w14:textId="77777777" w:rsidR="00FD5C18" w:rsidRPr="001A0DEB" w:rsidRDefault="00FD5C18" w:rsidP="0057657B">
            <w:pPr>
              <w:pStyle w:val="Tabletext"/>
              <w:jc w:val="right"/>
            </w:pPr>
          </w:p>
        </w:tc>
        <w:tc>
          <w:tcPr>
            <w:tcW w:w="625" w:type="pct"/>
          </w:tcPr>
          <w:p w14:paraId="209E2F06" w14:textId="77777777" w:rsidR="00FD5C18" w:rsidRPr="001A0DEB" w:rsidRDefault="00FD5C18" w:rsidP="0057657B">
            <w:pPr>
              <w:pStyle w:val="Tabletext"/>
              <w:jc w:val="right"/>
            </w:pPr>
          </w:p>
        </w:tc>
        <w:tc>
          <w:tcPr>
            <w:tcW w:w="107" w:type="pct"/>
          </w:tcPr>
          <w:p w14:paraId="209E2F07" w14:textId="77777777" w:rsidR="00FD5C18" w:rsidRPr="001A0DEB" w:rsidRDefault="00FD5C18" w:rsidP="0057657B">
            <w:pPr>
              <w:pStyle w:val="Tabletext"/>
              <w:jc w:val="right"/>
            </w:pPr>
          </w:p>
        </w:tc>
        <w:tc>
          <w:tcPr>
            <w:tcW w:w="487" w:type="pct"/>
          </w:tcPr>
          <w:p w14:paraId="209E2F08" w14:textId="77777777" w:rsidR="00FD5C18" w:rsidRPr="001A0DEB" w:rsidRDefault="00FD5C18" w:rsidP="0057657B">
            <w:pPr>
              <w:pStyle w:val="Tabletext"/>
              <w:jc w:val="right"/>
            </w:pPr>
            <w:r w:rsidRPr="001A0DEB">
              <w:t>0.001</w:t>
            </w:r>
          </w:p>
        </w:tc>
        <w:tc>
          <w:tcPr>
            <w:tcW w:w="582" w:type="pct"/>
          </w:tcPr>
          <w:p w14:paraId="209E2F09" w14:textId="77777777" w:rsidR="00FD5C18" w:rsidRPr="001A0DEB" w:rsidRDefault="00FD5C18" w:rsidP="0057657B">
            <w:pPr>
              <w:pStyle w:val="Tabletext"/>
              <w:jc w:val="right"/>
            </w:pPr>
            <w:r w:rsidRPr="001A0DEB">
              <w:t>-0.010**</w:t>
            </w:r>
          </w:p>
        </w:tc>
      </w:tr>
      <w:tr w:rsidR="00FD5C18" w14:paraId="209E2F16" w14:textId="77777777" w:rsidTr="0018083B">
        <w:trPr>
          <w:cnfStyle w:val="000000100000" w:firstRow="0" w:lastRow="0" w:firstColumn="0" w:lastColumn="0" w:oddVBand="0" w:evenVBand="0" w:oddHBand="1" w:evenHBand="0" w:firstRowFirstColumn="0" w:firstRowLastColumn="0" w:lastRowFirstColumn="0" w:lastRowLastColumn="0"/>
          <w:trHeight w:hRule="exact" w:val="261"/>
        </w:trPr>
        <w:tc>
          <w:tcPr>
            <w:tcW w:w="1049" w:type="pct"/>
          </w:tcPr>
          <w:p w14:paraId="209E2F0B" w14:textId="77777777" w:rsidR="00FD5C18" w:rsidRPr="001A0DEB" w:rsidRDefault="00FD5C18" w:rsidP="006948AC">
            <w:pPr>
              <w:pStyle w:val="Tablebodytext"/>
            </w:pPr>
          </w:p>
        </w:tc>
        <w:tc>
          <w:tcPr>
            <w:tcW w:w="422" w:type="pct"/>
          </w:tcPr>
          <w:p w14:paraId="209E2F0C" w14:textId="77777777" w:rsidR="00FD5C18" w:rsidRPr="001A0DEB" w:rsidRDefault="00FD5C18" w:rsidP="0057657B">
            <w:pPr>
              <w:pStyle w:val="Tabletext"/>
              <w:jc w:val="right"/>
            </w:pPr>
          </w:p>
        </w:tc>
        <w:tc>
          <w:tcPr>
            <w:tcW w:w="107" w:type="pct"/>
          </w:tcPr>
          <w:p w14:paraId="209E2F0D" w14:textId="77777777" w:rsidR="00FD5C18" w:rsidRPr="001A0DEB" w:rsidRDefault="00FD5C18" w:rsidP="0057657B">
            <w:pPr>
              <w:pStyle w:val="Tabletext"/>
              <w:jc w:val="right"/>
            </w:pPr>
          </w:p>
        </w:tc>
        <w:tc>
          <w:tcPr>
            <w:tcW w:w="452" w:type="pct"/>
          </w:tcPr>
          <w:p w14:paraId="209E2F0E" w14:textId="77777777" w:rsidR="00FD5C18" w:rsidRPr="001A0DEB" w:rsidRDefault="00FD5C18" w:rsidP="0057657B">
            <w:pPr>
              <w:pStyle w:val="Tabletext"/>
              <w:jc w:val="right"/>
            </w:pPr>
          </w:p>
        </w:tc>
        <w:tc>
          <w:tcPr>
            <w:tcW w:w="617" w:type="pct"/>
          </w:tcPr>
          <w:p w14:paraId="209E2F0F" w14:textId="77777777" w:rsidR="00FD5C18" w:rsidRPr="001A0DEB" w:rsidRDefault="00FD5C18" w:rsidP="0057657B">
            <w:pPr>
              <w:pStyle w:val="Tabletext"/>
              <w:jc w:val="right"/>
            </w:pPr>
          </w:p>
        </w:tc>
        <w:tc>
          <w:tcPr>
            <w:tcW w:w="107" w:type="pct"/>
          </w:tcPr>
          <w:p w14:paraId="209E2F10" w14:textId="77777777" w:rsidR="00FD5C18" w:rsidRPr="001A0DEB" w:rsidRDefault="00FD5C18" w:rsidP="0057657B">
            <w:pPr>
              <w:pStyle w:val="Tabletext"/>
              <w:jc w:val="right"/>
            </w:pPr>
          </w:p>
        </w:tc>
        <w:tc>
          <w:tcPr>
            <w:tcW w:w="444" w:type="pct"/>
          </w:tcPr>
          <w:p w14:paraId="209E2F11" w14:textId="77777777" w:rsidR="00FD5C18" w:rsidRPr="001A0DEB" w:rsidRDefault="00FD5C18" w:rsidP="0057657B">
            <w:pPr>
              <w:pStyle w:val="Tabletext"/>
              <w:jc w:val="right"/>
            </w:pPr>
          </w:p>
        </w:tc>
        <w:tc>
          <w:tcPr>
            <w:tcW w:w="625" w:type="pct"/>
          </w:tcPr>
          <w:p w14:paraId="209E2F12" w14:textId="77777777" w:rsidR="00FD5C18" w:rsidRPr="001A0DEB" w:rsidRDefault="00FD5C18" w:rsidP="0057657B">
            <w:pPr>
              <w:pStyle w:val="Tabletext"/>
              <w:jc w:val="right"/>
            </w:pPr>
          </w:p>
        </w:tc>
        <w:tc>
          <w:tcPr>
            <w:tcW w:w="107" w:type="pct"/>
          </w:tcPr>
          <w:p w14:paraId="209E2F13" w14:textId="77777777" w:rsidR="00FD5C18" w:rsidRPr="001A0DEB" w:rsidRDefault="00FD5C18" w:rsidP="0057657B">
            <w:pPr>
              <w:pStyle w:val="Tabletext"/>
              <w:jc w:val="right"/>
            </w:pPr>
          </w:p>
        </w:tc>
        <w:tc>
          <w:tcPr>
            <w:tcW w:w="487" w:type="pct"/>
          </w:tcPr>
          <w:p w14:paraId="209E2F14" w14:textId="77777777" w:rsidR="00FD5C18" w:rsidRPr="001A0DEB" w:rsidRDefault="00FD5C18" w:rsidP="0057657B">
            <w:pPr>
              <w:pStyle w:val="Tabletext"/>
              <w:jc w:val="right"/>
            </w:pPr>
            <w:r w:rsidRPr="001A0DEB">
              <w:t>(0.002)</w:t>
            </w:r>
          </w:p>
        </w:tc>
        <w:tc>
          <w:tcPr>
            <w:tcW w:w="582" w:type="pct"/>
          </w:tcPr>
          <w:p w14:paraId="209E2F15" w14:textId="77777777" w:rsidR="00FD5C18" w:rsidRPr="001A0DEB" w:rsidRDefault="00FD5C18" w:rsidP="0057657B">
            <w:pPr>
              <w:pStyle w:val="Tabletext"/>
              <w:jc w:val="right"/>
            </w:pPr>
            <w:r w:rsidRPr="001A0DEB">
              <w:t>(0.005)</w:t>
            </w:r>
          </w:p>
        </w:tc>
      </w:tr>
      <w:tr w:rsidR="00FD5C18" w14:paraId="209E2F22" w14:textId="77777777" w:rsidTr="0018083B">
        <w:trPr>
          <w:cnfStyle w:val="000000010000" w:firstRow="0" w:lastRow="0" w:firstColumn="0" w:lastColumn="0" w:oddVBand="0" w:evenVBand="0" w:oddHBand="0" w:evenHBand="1" w:firstRowFirstColumn="0" w:firstRowLastColumn="0" w:lastRowFirstColumn="0" w:lastRowLastColumn="0"/>
          <w:trHeight w:hRule="exact" w:val="261"/>
        </w:trPr>
        <w:tc>
          <w:tcPr>
            <w:tcW w:w="1049" w:type="pct"/>
          </w:tcPr>
          <w:p w14:paraId="209E2F17" w14:textId="77777777" w:rsidR="00FD5C18" w:rsidRPr="001A0DEB" w:rsidRDefault="00FD5C18" w:rsidP="006948AC">
            <w:pPr>
              <w:pStyle w:val="Tablebodytext"/>
            </w:pPr>
            <w:r w:rsidRPr="001A0DEB">
              <w:t xml:space="preserve"> </w:t>
            </w:r>
            <m:oMath>
              <m:r>
                <w:rPr>
                  <w:rFonts w:ascii="Cambria Math" w:hAnsi="Cambria Math"/>
                </w:rPr>
                <m:t>Go</m:t>
              </m:r>
              <m:sSub>
                <m:sSubPr>
                  <m:ctrlPr>
                    <w:rPr>
                      <w:rFonts w:ascii="Cambria Math" w:hAnsi="Cambria Math"/>
                    </w:rPr>
                  </m:ctrlPr>
                </m:sSubPr>
                <m:e>
                  <m:r>
                    <w:rPr>
                      <w:rFonts w:ascii="Cambria Math" w:hAnsi="Cambria Math"/>
                    </w:rPr>
                    <m:t>v</m:t>
                  </m:r>
                </m:e>
                <m:sub>
                  <m:r>
                    <w:rPr>
                      <w:rFonts w:ascii="Cambria Math" w:hAnsi="Cambria Math"/>
                    </w:rPr>
                    <m:t>t</m:t>
                  </m:r>
                </m:sub>
              </m:sSub>
              <m:r>
                <w:rPr>
                  <w:rFonts w:ascii="Cambria Math" w:hAnsi="Cambria Math"/>
                </w:rPr>
                <m:t>×Youn</m:t>
              </m:r>
              <m:sSub>
                <m:sSubPr>
                  <m:ctrlPr>
                    <w:rPr>
                      <w:rFonts w:ascii="Cambria Math" w:hAnsi="Cambria Math"/>
                    </w:rPr>
                  </m:ctrlPr>
                </m:sSubPr>
                <m:e>
                  <m:r>
                    <w:rPr>
                      <w:rFonts w:ascii="Cambria Math" w:hAnsi="Cambria Math"/>
                    </w:rPr>
                    <m:t>g</m:t>
                  </m:r>
                </m:e>
                <m:sub>
                  <m:r>
                    <w:rPr>
                      <w:rFonts w:ascii="Cambria Math" w:hAnsi="Cambria Math"/>
                    </w:rPr>
                    <m:t>t</m:t>
                  </m:r>
                </m:sub>
              </m:sSub>
            </m:oMath>
          </w:p>
        </w:tc>
        <w:tc>
          <w:tcPr>
            <w:tcW w:w="422" w:type="pct"/>
          </w:tcPr>
          <w:p w14:paraId="209E2F18" w14:textId="77777777" w:rsidR="00FD5C18" w:rsidRPr="001A0DEB" w:rsidRDefault="00FD5C18" w:rsidP="0057657B">
            <w:pPr>
              <w:pStyle w:val="Tabletext"/>
              <w:jc w:val="right"/>
            </w:pPr>
          </w:p>
        </w:tc>
        <w:tc>
          <w:tcPr>
            <w:tcW w:w="107" w:type="pct"/>
          </w:tcPr>
          <w:p w14:paraId="209E2F19" w14:textId="77777777" w:rsidR="00FD5C18" w:rsidRPr="001A0DEB" w:rsidRDefault="00FD5C18" w:rsidP="0057657B">
            <w:pPr>
              <w:pStyle w:val="Tabletext"/>
              <w:jc w:val="right"/>
            </w:pPr>
          </w:p>
        </w:tc>
        <w:tc>
          <w:tcPr>
            <w:tcW w:w="452" w:type="pct"/>
          </w:tcPr>
          <w:p w14:paraId="209E2F1A" w14:textId="77777777" w:rsidR="00FD5C18" w:rsidRPr="001A0DEB" w:rsidRDefault="00FD5C18" w:rsidP="0057657B">
            <w:pPr>
              <w:pStyle w:val="Tabletext"/>
              <w:jc w:val="right"/>
            </w:pPr>
          </w:p>
        </w:tc>
        <w:tc>
          <w:tcPr>
            <w:tcW w:w="617" w:type="pct"/>
          </w:tcPr>
          <w:p w14:paraId="209E2F1B" w14:textId="77777777" w:rsidR="00FD5C18" w:rsidRPr="001A0DEB" w:rsidRDefault="00FD5C18" w:rsidP="0057657B">
            <w:pPr>
              <w:pStyle w:val="Tabletext"/>
              <w:jc w:val="right"/>
            </w:pPr>
          </w:p>
        </w:tc>
        <w:tc>
          <w:tcPr>
            <w:tcW w:w="107" w:type="pct"/>
          </w:tcPr>
          <w:p w14:paraId="209E2F1C" w14:textId="77777777" w:rsidR="00FD5C18" w:rsidRPr="001A0DEB" w:rsidRDefault="00FD5C18" w:rsidP="0057657B">
            <w:pPr>
              <w:pStyle w:val="Tabletext"/>
              <w:jc w:val="right"/>
            </w:pPr>
          </w:p>
        </w:tc>
        <w:tc>
          <w:tcPr>
            <w:tcW w:w="444" w:type="pct"/>
          </w:tcPr>
          <w:p w14:paraId="209E2F1D" w14:textId="77777777" w:rsidR="00FD5C18" w:rsidRPr="001A0DEB" w:rsidRDefault="00FD5C18" w:rsidP="0057657B">
            <w:pPr>
              <w:pStyle w:val="Tabletext"/>
              <w:jc w:val="right"/>
            </w:pPr>
          </w:p>
        </w:tc>
        <w:tc>
          <w:tcPr>
            <w:tcW w:w="625" w:type="pct"/>
          </w:tcPr>
          <w:p w14:paraId="209E2F1E" w14:textId="77777777" w:rsidR="00FD5C18" w:rsidRPr="001A0DEB" w:rsidRDefault="00FD5C18" w:rsidP="0057657B">
            <w:pPr>
              <w:pStyle w:val="Tabletext"/>
              <w:jc w:val="right"/>
            </w:pPr>
          </w:p>
        </w:tc>
        <w:tc>
          <w:tcPr>
            <w:tcW w:w="107" w:type="pct"/>
          </w:tcPr>
          <w:p w14:paraId="209E2F1F" w14:textId="77777777" w:rsidR="00FD5C18" w:rsidRPr="001A0DEB" w:rsidRDefault="00FD5C18" w:rsidP="0057657B">
            <w:pPr>
              <w:pStyle w:val="Tabletext"/>
              <w:jc w:val="right"/>
            </w:pPr>
          </w:p>
        </w:tc>
        <w:tc>
          <w:tcPr>
            <w:tcW w:w="487" w:type="pct"/>
          </w:tcPr>
          <w:p w14:paraId="209E2F20" w14:textId="77777777" w:rsidR="00FD5C18" w:rsidRPr="001A0DEB" w:rsidRDefault="00FD5C18" w:rsidP="0057657B">
            <w:pPr>
              <w:pStyle w:val="Tabletext"/>
              <w:jc w:val="right"/>
            </w:pPr>
            <w:r w:rsidRPr="001A0DEB">
              <w:t>-0.009</w:t>
            </w:r>
          </w:p>
        </w:tc>
        <w:tc>
          <w:tcPr>
            <w:tcW w:w="582" w:type="pct"/>
          </w:tcPr>
          <w:p w14:paraId="209E2F21" w14:textId="77777777" w:rsidR="00FD5C18" w:rsidRPr="001A0DEB" w:rsidRDefault="00FD5C18" w:rsidP="0057657B">
            <w:pPr>
              <w:pStyle w:val="Tabletext"/>
              <w:jc w:val="right"/>
            </w:pPr>
            <w:r w:rsidRPr="001A0DEB">
              <w:t>-0.018</w:t>
            </w:r>
          </w:p>
        </w:tc>
      </w:tr>
      <w:tr w:rsidR="00FD5C18" w14:paraId="209E2F2E" w14:textId="77777777" w:rsidTr="0018083B">
        <w:trPr>
          <w:cnfStyle w:val="000000100000" w:firstRow="0" w:lastRow="0" w:firstColumn="0" w:lastColumn="0" w:oddVBand="0" w:evenVBand="0" w:oddHBand="1" w:evenHBand="0" w:firstRowFirstColumn="0" w:firstRowLastColumn="0" w:lastRowFirstColumn="0" w:lastRowLastColumn="0"/>
          <w:trHeight w:hRule="exact" w:val="261"/>
        </w:trPr>
        <w:tc>
          <w:tcPr>
            <w:tcW w:w="1049" w:type="pct"/>
          </w:tcPr>
          <w:p w14:paraId="209E2F23" w14:textId="77777777" w:rsidR="00FD5C18" w:rsidRPr="001A0DEB" w:rsidRDefault="00FD5C18" w:rsidP="006948AC">
            <w:pPr>
              <w:pStyle w:val="Tablebodytext"/>
            </w:pPr>
          </w:p>
        </w:tc>
        <w:tc>
          <w:tcPr>
            <w:tcW w:w="422" w:type="pct"/>
          </w:tcPr>
          <w:p w14:paraId="209E2F24" w14:textId="77777777" w:rsidR="00FD5C18" w:rsidRPr="001A0DEB" w:rsidRDefault="00FD5C18" w:rsidP="0057657B">
            <w:pPr>
              <w:pStyle w:val="Tabletext"/>
              <w:jc w:val="right"/>
            </w:pPr>
          </w:p>
        </w:tc>
        <w:tc>
          <w:tcPr>
            <w:tcW w:w="107" w:type="pct"/>
          </w:tcPr>
          <w:p w14:paraId="209E2F25" w14:textId="77777777" w:rsidR="00FD5C18" w:rsidRPr="001A0DEB" w:rsidRDefault="00FD5C18" w:rsidP="0057657B">
            <w:pPr>
              <w:pStyle w:val="Tabletext"/>
              <w:jc w:val="right"/>
            </w:pPr>
          </w:p>
        </w:tc>
        <w:tc>
          <w:tcPr>
            <w:tcW w:w="452" w:type="pct"/>
          </w:tcPr>
          <w:p w14:paraId="209E2F26" w14:textId="77777777" w:rsidR="00FD5C18" w:rsidRPr="001A0DEB" w:rsidRDefault="00FD5C18" w:rsidP="0057657B">
            <w:pPr>
              <w:pStyle w:val="Tabletext"/>
              <w:jc w:val="right"/>
            </w:pPr>
          </w:p>
        </w:tc>
        <w:tc>
          <w:tcPr>
            <w:tcW w:w="617" w:type="pct"/>
          </w:tcPr>
          <w:p w14:paraId="209E2F27" w14:textId="77777777" w:rsidR="00FD5C18" w:rsidRPr="001A0DEB" w:rsidRDefault="00FD5C18" w:rsidP="0057657B">
            <w:pPr>
              <w:pStyle w:val="Tabletext"/>
              <w:jc w:val="right"/>
            </w:pPr>
          </w:p>
        </w:tc>
        <w:tc>
          <w:tcPr>
            <w:tcW w:w="107" w:type="pct"/>
          </w:tcPr>
          <w:p w14:paraId="209E2F28" w14:textId="77777777" w:rsidR="00FD5C18" w:rsidRPr="001A0DEB" w:rsidRDefault="00FD5C18" w:rsidP="0057657B">
            <w:pPr>
              <w:pStyle w:val="Tabletext"/>
              <w:jc w:val="right"/>
            </w:pPr>
          </w:p>
        </w:tc>
        <w:tc>
          <w:tcPr>
            <w:tcW w:w="444" w:type="pct"/>
          </w:tcPr>
          <w:p w14:paraId="209E2F29" w14:textId="77777777" w:rsidR="00FD5C18" w:rsidRPr="001A0DEB" w:rsidRDefault="00FD5C18" w:rsidP="0057657B">
            <w:pPr>
              <w:pStyle w:val="Tabletext"/>
              <w:jc w:val="right"/>
            </w:pPr>
          </w:p>
        </w:tc>
        <w:tc>
          <w:tcPr>
            <w:tcW w:w="625" w:type="pct"/>
          </w:tcPr>
          <w:p w14:paraId="209E2F2A" w14:textId="77777777" w:rsidR="00FD5C18" w:rsidRPr="001A0DEB" w:rsidRDefault="00FD5C18" w:rsidP="0057657B">
            <w:pPr>
              <w:pStyle w:val="Tabletext"/>
              <w:jc w:val="right"/>
            </w:pPr>
          </w:p>
        </w:tc>
        <w:tc>
          <w:tcPr>
            <w:tcW w:w="107" w:type="pct"/>
          </w:tcPr>
          <w:p w14:paraId="209E2F2B" w14:textId="77777777" w:rsidR="00FD5C18" w:rsidRPr="001A0DEB" w:rsidRDefault="00FD5C18" w:rsidP="0057657B">
            <w:pPr>
              <w:pStyle w:val="Tabletext"/>
              <w:jc w:val="right"/>
            </w:pPr>
          </w:p>
        </w:tc>
        <w:tc>
          <w:tcPr>
            <w:tcW w:w="487" w:type="pct"/>
          </w:tcPr>
          <w:p w14:paraId="209E2F2C" w14:textId="77777777" w:rsidR="00FD5C18" w:rsidRPr="001A0DEB" w:rsidRDefault="00FD5C18" w:rsidP="0057657B">
            <w:pPr>
              <w:pStyle w:val="Tabletext"/>
              <w:jc w:val="right"/>
            </w:pPr>
            <w:r w:rsidRPr="001A0DEB">
              <w:t>(0.030)</w:t>
            </w:r>
          </w:p>
        </w:tc>
        <w:tc>
          <w:tcPr>
            <w:tcW w:w="582" w:type="pct"/>
          </w:tcPr>
          <w:p w14:paraId="209E2F2D" w14:textId="77777777" w:rsidR="00FD5C18" w:rsidRPr="001A0DEB" w:rsidRDefault="00FD5C18" w:rsidP="0057657B">
            <w:pPr>
              <w:pStyle w:val="Tabletext"/>
              <w:jc w:val="right"/>
            </w:pPr>
            <w:r w:rsidRPr="001A0DEB">
              <w:t>(0.038)</w:t>
            </w:r>
          </w:p>
        </w:tc>
      </w:tr>
      <w:tr w:rsidR="00FD5C18" w14:paraId="209E2F3A" w14:textId="77777777" w:rsidTr="0018083B">
        <w:trPr>
          <w:cnfStyle w:val="000000010000" w:firstRow="0" w:lastRow="0" w:firstColumn="0" w:lastColumn="0" w:oddVBand="0" w:evenVBand="0" w:oddHBand="0" w:evenHBand="1" w:firstRowFirstColumn="0" w:firstRowLastColumn="0" w:lastRowFirstColumn="0" w:lastRowLastColumn="0"/>
          <w:trHeight w:hRule="exact" w:val="261"/>
        </w:trPr>
        <w:tc>
          <w:tcPr>
            <w:tcW w:w="1049" w:type="pct"/>
          </w:tcPr>
          <w:p w14:paraId="209E2F2F" w14:textId="77777777" w:rsidR="00FD5C18" w:rsidRPr="001A0DEB" w:rsidRDefault="00FD5C18" w:rsidP="006948AC">
            <w:pPr>
              <w:pStyle w:val="Tablebodytext"/>
            </w:pPr>
            <w:r w:rsidRPr="001A0DEB">
              <w:t xml:space="preserve"> </w:t>
            </w:r>
            <m:oMath>
              <m:r>
                <m:rPr>
                  <m:sty m:val="p"/>
                </m:rPr>
                <w:rPr>
                  <w:rFonts w:ascii="Cambria Math" w:hAnsi="Cambria Math"/>
                </w:rPr>
                <m:t>log</m:t>
              </m:r>
              <m:r>
                <w:rPr>
                  <w:rFonts w:ascii="Cambria Math" w:hAnsi="Cambria Math"/>
                </w:rPr>
                <m:t>(Asset</m:t>
              </m:r>
              <m:sSub>
                <m:sSubPr>
                  <m:ctrlPr>
                    <w:rPr>
                      <w:rFonts w:ascii="Cambria Math" w:hAnsi="Cambria Math"/>
                    </w:rPr>
                  </m:ctrlPr>
                </m:sSubPr>
                <m:e>
                  <m:r>
                    <w:rPr>
                      <w:rFonts w:ascii="Cambria Math" w:hAnsi="Cambria Math"/>
                    </w:rPr>
                    <m:t>s</m:t>
                  </m:r>
                </m:e>
                <m:sub>
                  <m:r>
                    <w:rPr>
                      <w:rFonts w:ascii="Cambria Math" w:hAnsi="Cambria Math"/>
                    </w:rPr>
                    <m:t>t</m:t>
                  </m:r>
                </m:sub>
              </m:sSub>
              <m:r>
                <w:rPr>
                  <w:rFonts w:ascii="Cambria Math" w:hAnsi="Cambria Math"/>
                </w:rPr>
                <m:t>)</m:t>
              </m:r>
            </m:oMath>
          </w:p>
        </w:tc>
        <w:tc>
          <w:tcPr>
            <w:tcW w:w="422" w:type="pct"/>
          </w:tcPr>
          <w:p w14:paraId="209E2F30" w14:textId="77777777" w:rsidR="00FD5C18" w:rsidRPr="001A0DEB" w:rsidRDefault="00FD5C18" w:rsidP="0057657B">
            <w:pPr>
              <w:pStyle w:val="Tabletext"/>
              <w:jc w:val="right"/>
            </w:pPr>
            <w:r w:rsidRPr="001A0DEB">
              <w:t>0.005***</w:t>
            </w:r>
          </w:p>
        </w:tc>
        <w:tc>
          <w:tcPr>
            <w:tcW w:w="107" w:type="pct"/>
          </w:tcPr>
          <w:p w14:paraId="209E2F31" w14:textId="77777777" w:rsidR="00FD5C18" w:rsidRPr="001A0DEB" w:rsidRDefault="00FD5C18" w:rsidP="0057657B">
            <w:pPr>
              <w:pStyle w:val="Tabletext"/>
              <w:jc w:val="right"/>
            </w:pPr>
          </w:p>
        </w:tc>
        <w:tc>
          <w:tcPr>
            <w:tcW w:w="452" w:type="pct"/>
          </w:tcPr>
          <w:p w14:paraId="209E2F32" w14:textId="77777777" w:rsidR="00FD5C18" w:rsidRPr="001A0DEB" w:rsidRDefault="00FD5C18" w:rsidP="0057657B">
            <w:pPr>
              <w:pStyle w:val="Tabletext"/>
              <w:jc w:val="right"/>
            </w:pPr>
            <w:r w:rsidRPr="001A0DEB">
              <w:t>0.007***</w:t>
            </w:r>
          </w:p>
        </w:tc>
        <w:tc>
          <w:tcPr>
            <w:tcW w:w="617" w:type="pct"/>
          </w:tcPr>
          <w:p w14:paraId="209E2F33" w14:textId="77777777" w:rsidR="00FD5C18" w:rsidRPr="001A0DEB" w:rsidRDefault="00FD5C18" w:rsidP="0057657B">
            <w:pPr>
              <w:pStyle w:val="Tabletext"/>
              <w:jc w:val="right"/>
            </w:pPr>
            <w:r w:rsidRPr="001A0DEB">
              <w:t>0.028***</w:t>
            </w:r>
          </w:p>
        </w:tc>
        <w:tc>
          <w:tcPr>
            <w:tcW w:w="107" w:type="pct"/>
          </w:tcPr>
          <w:p w14:paraId="209E2F34" w14:textId="77777777" w:rsidR="00FD5C18" w:rsidRPr="001A0DEB" w:rsidRDefault="00FD5C18" w:rsidP="0057657B">
            <w:pPr>
              <w:pStyle w:val="Tabletext"/>
              <w:jc w:val="right"/>
            </w:pPr>
          </w:p>
        </w:tc>
        <w:tc>
          <w:tcPr>
            <w:tcW w:w="444" w:type="pct"/>
          </w:tcPr>
          <w:p w14:paraId="209E2F35" w14:textId="77777777" w:rsidR="00FD5C18" w:rsidRPr="001A0DEB" w:rsidRDefault="00FD5C18" w:rsidP="0057657B">
            <w:pPr>
              <w:pStyle w:val="Tabletext"/>
              <w:jc w:val="right"/>
            </w:pPr>
            <w:r w:rsidRPr="001A0DEB">
              <w:t>0.005***</w:t>
            </w:r>
          </w:p>
        </w:tc>
        <w:tc>
          <w:tcPr>
            <w:tcW w:w="625" w:type="pct"/>
          </w:tcPr>
          <w:p w14:paraId="209E2F36" w14:textId="77777777" w:rsidR="00FD5C18" w:rsidRPr="001A0DEB" w:rsidRDefault="00FD5C18" w:rsidP="0057657B">
            <w:pPr>
              <w:pStyle w:val="Tabletext"/>
              <w:jc w:val="right"/>
            </w:pPr>
            <w:r w:rsidRPr="001A0DEB">
              <w:t>0.023***</w:t>
            </w:r>
          </w:p>
        </w:tc>
        <w:tc>
          <w:tcPr>
            <w:tcW w:w="107" w:type="pct"/>
          </w:tcPr>
          <w:p w14:paraId="209E2F37" w14:textId="77777777" w:rsidR="00FD5C18" w:rsidRPr="001A0DEB" w:rsidRDefault="00FD5C18" w:rsidP="0057657B">
            <w:pPr>
              <w:pStyle w:val="Tabletext"/>
              <w:jc w:val="right"/>
            </w:pPr>
          </w:p>
        </w:tc>
        <w:tc>
          <w:tcPr>
            <w:tcW w:w="487" w:type="pct"/>
          </w:tcPr>
          <w:p w14:paraId="209E2F38" w14:textId="77777777" w:rsidR="00FD5C18" w:rsidRPr="001A0DEB" w:rsidRDefault="00FD5C18" w:rsidP="0057657B">
            <w:pPr>
              <w:pStyle w:val="Tabletext"/>
              <w:jc w:val="right"/>
            </w:pPr>
            <w:r w:rsidRPr="001A0DEB">
              <w:t>0.004***</w:t>
            </w:r>
          </w:p>
        </w:tc>
        <w:tc>
          <w:tcPr>
            <w:tcW w:w="582" w:type="pct"/>
          </w:tcPr>
          <w:p w14:paraId="209E2F39" w14:textId="77777777" w:rsidR="00FD5C18" w:rsidRPr="001A0DEB" w:rsidRDefault="00FD5C18" w:rsidP="0057657B">
            <w:pPr>
              <w:pStyle w:val="Tabletext"/>
              <w:jc w:val="right"/>
            </w:pPr>
            <w:r w:rsidRPr="001A0DEB">
              <w:t>0.028***</w:t>
            </w:r>
          </w:p>
        </w:tc>
      </w:tr>
      <w:tr w:rsidR="00FD5C18" w14:paraId="209E2F46" w14:textId="77777777" w:rsidTr="0018083B">
        <w:trPr>
          <w:cnfStyle w:val="000000100000" w:firstRow="0" w:lastRow="0" w:firstColumn="0" w:lastColumn="0" w:oddVBand="0" w:evenVBand="0" w:oddHBand="1" w:evenHBand="0" w:firstRowFirstColumn="0" w:firstRowLastColumn="0" w:lastRowFirstColumn="0" w:lastRowLastColumn="0"/>
          <w:trHeight w:hRule="exact" w:val="261"/>
        </w:trPr>
        <w:tc>
          <w:tcPr>
            <w:tcW w:w="1049" w:type="pct"/>
          </w:tcPr>
          <w:p w14:paraId="209E2F3B" w14:textId="77777777" w:rsidR="00FD5C18" w:rsidRPr="001A0DEB" w:rsidRDefault="00FD5C18" w:rsidP="006948AC">
            <w:pPr>
              <w:pStyle w:val="Tablebodytext"/>
            </w:pPr>
          </w:p>
        </w:tc>
        <w:tc>
          <w:tcPr>
            <w:tcW w:w="422" w:type="pct"/>
          </w:tcPr>
          <w:p w14:paraId="209E2F3C" w14:textId="77777777" w:rsidR="00FD5C18" w:rsidRPr="001A0DEB" w:rsidRDefault="00FD5C18" w:rsidP="0057657B">
            <w:pPr>
              <w:pStyle w:val="Tabletext"/>
              <w:jc w:val="right"/>
            </w:pPr>
            <w:r w:rsidRPr="001A0DEB">
              <w:t>(0.001)</w:t>
            </w:r>
          </w:p>
        </w:tc>
        <w:tc>
          <w:tcPr>
            <w:tcW w:w="107" w:type="pct"/>
          </w:tcPr>
          <w:p w14:paraId="209E2F3D" w14:textId="77777777" w:rsidR="00FD5C18" w:rsidRPr="001A0DEB" w:rsidRDefault="00FD5C18" w:rsidP="0057657B">
            <w:pPr>
              <w:pStyle w:val="Tabletext"/>
              <w:jc w:val="right"/>
            </w:pPr>
          </w:p>
        </w:tc>
        <w:tc>
          <w:tcPr>
            <w:tcW w:w="452" w:type="pct"/>
          </w:tcPr>
          <w:p w14:paraId="209E2F3E" w14:textId="77777777" w:rsidR="00FD5C18" w:rsidRPr="001A0DEB" w:rsidRDefault="00FD5C18" w:rsidP="0057657B">
            <w:pPr>
              <w:pStyle w:val="Tabletext"/>
              <w:jc w:val="right"/>
            </w:pPr>
            <w:r w:rsidRPr="001A0DEB">
              <w:t>(0.001)</w:t>
            </w:r>
          </w:p>
        </w:tc>
        <w:tc>
          <w:tcPr>
            <w:tcW w:w="617" w:type="pct"/>
          </w:tcPr>
          <w:p w14:paraId="209E2F3F" w14:textId="77777777" w:rsidR="00FD5C18" w:rsidRPr="001A0DEB" w:rsidRDefault="00FD5C18" w:rsidP="0057657B">
            <w:pPr>
              <w:pStyle w:val="Tabletext"/>
              <w:jc w:val="right"/>
            </w:pPr>
            <w:r w:rsidRPr="001A0DEB">
              <w:t>(0.001)</w:t>
            </w:r>
          </w:p>
        </w:tc>
        <w:tc>
          <w:tcPr>
            <w:tcW w:w="107" w:type="pct"/>
          </w:tcPr>
          <w:p w14:paraId="209E2F40" w14:textId="77777777" w:rsidR="00FD5C18" w:rsidRPr="001A0DEB" w:rsidRDefault="00FD5C18" w:rsidP="0057657B">
            <w:pPr>
              <w:pStyle w:val="Tabletext"/>
              <w:jc w:val="right"/>
            </w:pPr>
          </w:p>
        </w:tc>
        <w:tc>
          <w:tcPr>
            <w:tcW w:w="444" w:type="pct"/>
          </w:tcPr>
          <w:p w14:paraId="209E2F41" w14:textId="77777777" w:rsidR="00FD5C18" w:rsidRPr="001A0DEB" w:rsidRDefault="00FD5C18" w:rsidP="0057657B">
            <w:pPr>
              <w:pStyle w:val="Tabletext"/>
              <w:jc w:val="right"/>
            </w:pPr>
            <w:r w:rsidRPr="001A0DEB">
              <w:t>(0.001)</w:t>
            </w:r>
          </w:p>
        </w:tc>
        <w:tc>
          <w:tcPr>
            <w:tcW w:w="625" w:type="pct"/>
          </w:tcPr>
          <w:p w14:paraId="209E2F42" w14:textId="77777777" w:rsidR="00FD5C18" w:rsidRPr="001A0DEB" w:rsidRDefault="00FD5C18" w:rsidP="0057657B">
            <w:pPr>
              <w:pStyle w:val="Tabletext"/>
              <w:jc w:val="right"/>
            </w:pPr>
            <w:r w:rsidRPr="001A0DEB">
              <w:t>(0.003)</w:t>
            </w:r>
          </w:p>
        </w:tc>
        <w:tc>
          <w:tcPr>
            <w:tcW w:w="107" w:type="pct"/>
          </w:tcPr>
          <w:p w14:paraId="209E2F43" w14:textId="77777777" w:rsidR="00FD5C18" w:rsidRPr="001A0DEB" w:rsidRDefault="00FD5C18" w:rsidP="0057657B">
            <w:pPr>
              <w:pStyle w:val="Tabletext"/>
              <w:jc w:val="right"/>
            </w:pPr>
          </w:p>
        </w:tc>
        <w:tc>
          <w:tcPr>
            <w:tcW w:w="487" w:type="pct"/>
          </w:tcPr>
          <w:p w14:paraId="209E2F44" w14:textId="77777777" w:rsidR="00FD5C18" w:rsidRPr="001A0DEB" w:rsidRDefault="00FD5C18" w:rsidP="0057657B">
            <w:pPr>
              <w:pStyle w:val="Tabletext"/>
              <w:jc w:val="right"/>
            </w:pPr>
            <w:r w:rsidRPr="001A0DEB">
              <w:t>(0.001)</w:t>
            </w:r>
          </w:p>
        </w:tc>
        <w:tc>
          <w:tcPr>
            <w:tcW w:w="582" w:type="pct"/>
          </w:tcPr>
          <w:p w14:paraId="209E2F45" w14:textId="77777777" w:rsidR="00FD5C18" w:rsidRPr="001A0DEB" w:rsidRDefault="00FD5C18" w:rsidP="0057657B">
            <w:pPr>
              <w:pStyle w:val="Tabletext"/>
              <w:jc w:val="right"/>
            </w:pPr>
            <w:r w:rsidRPr="001A0DEB">
              <w:t>(0.001)</w:t>
            </w:r>
          </w:p>
        </w:tc>
      </w:tr>
      <w:tr w:rsidR="00FD5C18" w14:paraId="209E2F52" w14:textId="77777777" w:rsidTr="0018083B">
        <w:trPr>
          <w:cnfStyle w:val="000000010000" w:firstRow="0" w:lastRow="0" w:firstColumn="0" w:lastColumn="0" w:oddVBand="0" w:evenVBand="0" w:oddHBand="0" w:evenHBand="1" w:firstRowFirstColumn="0" w:firstRowLastColumn="0" w:lastRowFirstColumn="0" w:lastRowLastColumn="0"/>
          <w:trHeight w:hRule="exact" w:val="261"/>
        </w:trPr>
        <w:tc>
          <w:tcPr>
            <w:tcW w:w="1049" w:type="pct"/>
          </w:tcPr>
          <w:p w14:paraId="209E2F47" w14:textId="77777777" w:rsidR="00FD5C18" w:rsidRPr="001A0DEB" w:rsidRDefault="00FD5C18" w:rsidP="006948AC">
            <w:pPr>
              <w:pStyle w:val="Tablebodytext"/>
            </w:pPr>
            <w:r w:rsidRPr="001A0DEB">
              <w:t xml:space="preserve"> </w:t>
            </w:r>
            <m:oMath>
              <m:r>
                <w:rPr>
                  <w:rFonts w:ascii="Cambria Math" w:hAnsi="Cambria Math"/>
                </w:rPr>
                <m:t>Liquidit</m:t>
              </m:r>
              <m:sSub>
                <m:sSubPr>
                  <m:ctrlPr>
                    <w:rPr>
                      <w:rFonts w:ascii="Cambria Math" w:hAnsi="Cambria Math"/>
                    </w:rPr>
                  </m:ctrlPr>
                </m:sSubPr>
                <m:e>
                  <m:r>
                    <w:rPr>
                      <w:rFonts w:ascii="Cambria Math" w:hAnsi="Cambria Math"/>
                    </w:rPr>
                    <m:t>y</m:t>
                  </m:r>
                </m:e>
                <m:sub>
                  <m:r>
                    <w:rPr>
                      <w:rFonts w:ascii="Cambria Math" w:hAnsi="Cambria Math"/>
                    </w:rPr>
                    <m:t>t</m:t>
                  </m:r>
                </m:sub>
              </m:sSub>
            </m:oMath>
          </w:p>
        </w:tc>
        <w:tc>
          <w:tcPr>
            <w:tcW w:w="422" w:type="pct"/>
          </w:tcPr>
          <w:p w14:paraId="209E2F48" w14:textId="01C65336" w:rsidR="00FD5C18" w:rsidRPr="001A0DEB" w:rsidRDefault="00950C9A" w:rsidP="0057657B">
            <w:pPr>
              <w:pStyle w:val="Tabletext"/>
              <w:jc w:val="right"/>
            </w:pPr>
            <w:r>
              <w:t>–</w:t>
            </w:r>
            <w:r w:rsidR="00FD5C18" w:rsidRPr="001A0DEB">
              <w:t>0.001</w:t>
            </w:r>
          </w:p>
        </w:tc>
        <w:tc>
          <w:tcPr>
            <w:tcW w:w="107" w:type="pct"/>
          </w:tcPr>
          <w:p w14:paraId="209E2F49" w14:textId="77777777" w:rsidR="00FD5C18" w:rsidRPr="001A0DEB" w:rsidRDefault="00FD5C18" w:rsidP="0057657B">
            <w:pPr>
              <w:pStyle w:val="Tabletext"/>
              <w:jc w:val="right"/>
            </w:pPr>
          </w:p>
        </w:tc>
        <w:tc>
          <w:tcPr>
            <w:tcW w:w="452" w:type="pct"/>
          </w:tcPr>
          <w:p w14:paraId="209E2F4A" w14:textId="29EC38E9" w:rsidR="00FD5C18" w:rsidRPr="001A0DEB" w:rsidRDefault="00950C9A" w:rsidP="0057657B">
            <w:pPr>
              <w:pStyle w:val="Tabletext"/>
              <w:jc w:val="right"/>
            </w:pPr>
            <w:r>
              <w:t>–</w:t>
            </w:r>
            <w:r w:rsidR="00FD5C18" w:rsidRPr="001A0DEB">
              <w:t>0.001</w:t>
            </w:r>
          </w:p>
        </w:tc>
        <w:tc>
          <w:tcPr>
            <w:tcW w:w="617" w:type="pct"/>
          </w:tcPr>
          <w:p w14:paraId="209E2F4B" w14:textId="6201F791" w:rsidR="00FD5C18" w:rsidRPr="001A0DEB" w:rsidRDefault="00950C9A" w:rsidP="0057657B">
            <w:pPr>
              <w:pStyle w:val="Tabletext"/>
              <w:jc w:val="right"/>
            </w:pPr>
            <w:r>
              <w:t>–</w:t>
            </w:r>
            <w:r w:rsidR="00FD5C18" w:rsidRPr="001A0DEB">
              <w:t>0.048***</w:t>
            </w:r>
          </w:p>
        </w:tc>
        <w:tc>
          <w:tcPr>
            <w:tcW w:w="107" w:type="pct"/>
          </w:tcPr>
          <w:p w14:paraId="209E2F4C" w14:textId="77777777" w:rsidR="00FD5C18" w:rsidRPr="001A0DEB" w:rsidRDefault="00FD5C18" w:rsidP="0057657B">
            <w:pPr>
              <w:pStyle w:val="Tabletext"/>
              <w:jc w:val="right"/>
            </w:pPr>
          </w:p>
        </w:tc>
        <w:tc>
          <w:tcPr>
            <w:tcW w:w="444" w:type="pct"/>
          </w:tcPr>
          <w:p w14:paraId="209E2F4D" w14:textId="53C19BF7" w:rsidR="00FD5C18" w:rsidRPr="001A0DEB" w:rsidRDefault="00950C9A" w:rsidP="0057657B">
            <w:pPr>
              <w:pStyle w:val="Tabletext"/>
              <w:jc w:val="right"/>
            </w:pPr>
            <w:r>
              <w:t>–</w:t>
            </w:r>
            <w:r w:rsidR="00FD5C18" w:rsidRPr="001A0DEB">
              <w:t>0.001</w:t>
            </w:r>
          </w:p>
        </w:tc>
        <w:tc>
          <w:tcPr>
            <w:tcW w:w="625" w:type="pct"/>
          </w:tcPr>
          <w:p w14:paraId="209E2F4E" w14:textId="111EDDC1" w:rsidR="00FD5C18" w:rsidRPr="001A0DEB" w:rsidRDefault="00950C9A" w:rsidP="0057657B">
            <w:pPr>
              <w:pStyle w:val="Tabletext"/>
              <w:jc w:val="right"/>
            </w:pPr>
            <w:r>
              <w:t>–</w:t>
            </w:r>
            <w:r w:rsidR="00FD5C18" w:rsidRPr="001A0DEB">
              <w:t>0.046***</w:t>
            </w:r>
          </w:p>
        </w:tc>
        <w:tc>
          <w:tcPr>
            <w:tcW w:w="107" w:type="pct"/>
          </w:tcPr>
          <w:p w14:paraId="209E2F4F" w14:textId="77777777" w:rsidR="00FD5C18" w:rsidRPr="001A0DEB" w:rsidRDefault="00FD5C18" w:rsidP="0057657B">
            <w:pPr>
              <w:pStyle w:val="Tabletext"/>
              <w:jc w:val="right"/>
            </w:pPr>
          </w:p>
        </w:tc>
        <w:tc>
          <w:tcPr>
            <w:tcW w:w="487" w:type="pct"/>
          </w:tcPr>
          <w:p w14:paraId="209E2F50" w14:textId="77777777" w:rsidR="00FD5C18" w:rsidRPr="001A0DEB" w:rsidRDefault="00FD5C18" w:rsidP="0057657B">
            <w:pPr>
              <w:pStyle w:val="Tabletext"/>
              <w:jc w:val="right"/>
            </w:pPr>
            <w:r w:rsidRPr="001A0DEB">
              <w:t>-0.001</w:t>
            </w:r>
          </w:p>
        </w:tc>
        <w:tc>
          <w:tcPr>
            <w:tcW w:w="582" w:type="pct"/>
          </w:tcPr>
          <w:p w14:paraId="209E2F51" w14:textId="77777777" w:rsidR="00FD5C18" w:rsidRPr="001A0DEB" w:rsidRDefault="00FD5C18" w:rsidP="0057657B">
            <w:pPr>
              <w:pStyle w:val="Tabletext"/>
              <w:jc w:val="right"/>
            </w:pPr>
            <w:r w:rsidRPr="001A0DEB">
              <w:t>-0.050***</w:t>
            </w:r>
          </w:p>
        </w:tc>
      </w:tr>
      <w:tr w:rsidR="00FD5C18" w14:paraId="209E2F5E" w14:textId="77777777" w:rsidTr="0018083B">
        <w:trPr>
          <w:cnfStyle w:val="000000100000" w:firstRow="0" w:lastRow="0" w:firstColumn="0" w:lastColumn="0" w:oddVBand="0" w:evenVBand="0" w:oddHBand="1" w:evenHBand="0" w:firstRowFirstColumn="0" w:firstRowLastColumn="0" w:lastRowFirstColumn="0" w:lastRowLastColumn="0"/>
          <w:trHeight w:hRule="exact" w:val="261"/>
        </w:trPr>
        <w:tc>
          <w:tcPr>
            <w:tcW w:w="1049" w:type="pct"/>
          </w:tcPr>
          <w:p w14:paraId="209E2F53" w14:textId="77777777" w:rsidR="00FD5C18" w:rsidRPr="001A0DEB" w:rsidRDefault="00FD5C18" w:rsidP="006948AC">
            <w:pPr>
              <w:pStyle w:val="Tablebodytext"/>
            </w:pPr>
          </w:p>
        </w:tc>
        <w:tc>
          <w:tcPr>
            <w:tcW w:w="422" w:type="pct"/>
          </w:tcPr>
          <w:p w14:paraId="209E2F54" w14:textId="77777777" w:rsidR="00FD5C18" w:rsidRPr="001A0DEB" w:rsidRDefault="00FD5C18" w:rsidP="0057657B">
            <w:pPr>
              <w:pStyle w:val="Tabletext"/>
              <w:jc w:val="right"/>
            </w:pPr>
            <w:r w:rsidRPr="001A0DEB">
              <w:t>(0.005)</w:t>
            </w:r>
          </w:p>
        </w:tc>
        <w:tc>
          <w:tcPr>
            <w:tcW w:w="107" w:type="pct"/>
          </w:tcPr>
          <w:p w14:paraId="209E2F55" w14:textId="77777777" w:rsidR="00FD5C18" w:rsidRPr="001A0DEB" w:rsidRDefault="00FD5C18" w:rsidP="0057657B">
            <w:pPr>
              <w:pStyle w:val="Tabletext"/>
              <w:jc w:val="right"/>
            </w:pPr>
          </w:p>
        </w:tc>
        <w:tc>
          <w:tcPr>
            <w:tcW w:w="452" w:type="pct"/>
          </w:tcPr>
          <w:p w14:paraId="209E2F56" w14:textId="77777777" w:rsidR="00FD5C18" w:rsidRPr="001A0DEB" w:rsidRDefault="00FD5C18" w:rsidP="0057657B">
            <w:pPr>
              <w:pStyle w:val="Tabletext"/>
              <w:jc w:val="right"/>
            </w:pPr>
            <w:r w:rsidRPr="001A0DEB">
              <w:t>(0.007)</w:t>
            </w:r>
          </w:p>
        </w:tc>
        <w:tc>
          <w:tcPr>
            <w:tcW w:w="617" w:type="pct"/>
          </w:tcPr>
          <w:p w14:paraId="209E2F57" w14:textId="77777777" w:rsidR="00FD5C18" w:rsidRPr="001A0DEB" w:rsidRDefault="00FD5C18" w:rsidP="0057657B">
            <w:pPr>
              <w:pStyle w:val="Tabletext"/>
              <w:jc w:val="right"/>
            </w:pPr>
            <w:r w:rsidRPr="001A0DEB">
              <w:t>(0.006)</w:t>
            </w:r>
          </w:p>
        </w:tc>
        <w:tc>
          <w:tcPr>
            <w:tcW w:w="107" w:type="pct"/>
          </w:tcPr>
          <w:p w14:paraId="209E2F58" w14:textId="77777777" w:rsidR="00FD5C18" w:rsidRPr="001A0DEB" w:rsidRDefault="00FD5C18" w:rsidP="0057657B">
            <w:pPr>
              <w:pStyle w:val="Tabletext"/>
              <w:jc w:val="right"/>
            </w:pPr>
          </w:p>
        </w:tc>
        <w:tc>
          <w:tcPr>
            <w:tcW w:w="444" w:type="pct"/>
          </w:tcPr>
          <w:p w14:paraId="209E2F59" w14:textId="77777777" w:rsidR="00FD5C18" w:rsidRPr="001A0DEB" w:rsidRDefault="00FD5C18" w:rsidP="0057657B">
            <w:pPr>
              <w:pStyle w:val="Tabletext"/>
              <w:jc w:val="right"/>
            </w:pPr>
            <w:r w:rsidRPr="001A0DEB">
              <w:t>(0.009)</w:t>
            </w:r>
          </w:p>
        </w:tc>
        <w:tc>
          <w:tcPr>
            <w:tcW w:w="625" w:type="pct"/>
          </w:tcPr>
          <w:p w14:paraId="209E2F5A" w14:textId="77777777" w:rsidR="00FD5C18" w:rsidRPr="001A0DEB" w:rsidRDefault="00FD5C18" w:rsidP="0057657B">
            <w:pPr>
              <w:pStyle w:val="Tabletext"/>
              <w:jc w:val="right"/>
            </w:pPr>
            <w:r w:rsidRPr="001A0DEB">
              <w:t>(0.014)</w:t>
            </w:r>
          </w:p>
        </w:tc>
        <w:tc>
          <w:tcPr>
            <w:tcW w:w="107" w:type="pct"/>
          </w:tcPr>
          <w:p w14:paraId="209E2F5B" w14:textId="77777777" w:rsidR="00FD5C18" w:rsidRPr="001A0DEB" w:rsidRDefault="00FD5C18" w:rsidP="0057657B">
            <w:pPr>
              <w:pStyle w:val="Tabletext"/>
              <w:jc w:val="right"/>
            </w:pPr>
          </w:p>
        </w:tc>
        <w:tc>
          <w:tcPr>
            <w:tcW w:w="487" w:type="pct"/>
          </w:tcPr>
          <w:p w14:paraId="209E2F5C" w14:textId="77777777" w:rsidR="00FD5C18" w:rsidRPr="001A0DEB" w:rsidRDefault="00FD5C18" w:rsidP="0057657B">
            <w:pPr>
              <w:pStyle w:val="Tabletext"/>
              <w:jc w:val="right"/>
            </w:pPr>
            <w:r w:rsidRPr="001A0DEB">
              <w:t>(0.009)</w:t>
            </w:r>
          </w:p>
        </w:tc>
        <w:tc>
          <w:tcPr>
            <w:tcW w:w="582" w:type="pct"/>
          </w:tcPr>
          <w:p w14:paraId="209E2F5D" w14:textId="77777777" w:rsidR="00FD5C18" w:rsidRPr="001A0DEB" w:rsidRDefault="00FD5C18" w:rsidP="0057657B">
            <w:pPr>
              <w:pStyle w:val="Tabletext"/>
              <w:jc w:val="right"/>
            </w:pPr>
            <w:r w:rsidRPr="001A0DEB">
              <w:t>(0.013)</w:t>
            </w:r>
          </w:p>
        </w:tc>
      </w:tr>
      <w:tr w:rsidR="00FD5C18" w14:paraId="209E2F6A" w14:textId="77777777" w:rsidTr="0018083B">
        <w:trPr>
          <w:cnfStyle w:val="000000010000" w:firstRow="0" w:lastRow="0" w:firstColumn="0" w:lastColumn="0" w:oddVBand="0" w:evenVBand="0" w:oddHBand="0" w:evenHBand="1" w:firstRowFirstColumn="0" w:firstRowLastColumn="0" w:lastRowFirstColumn="0" w:lastRowLastColumn="0"/>
          <w:trHeight w:hRule="exact" w:val="261"/>
        </w:trPr>
        <w:tc>
          <w:tcPr>
            <w:tcW w:w="1049" w:type="pct"/>
          </w:tcPr>
          <w:p w14:paraId="209E2F5F" w14:textId="77777777" w:rsidR="00FD5C18" w:rsidRPr="001A0DEB" w:rsidRDefault="00FD5C18" w:rsidP="006948AC">
            <w:pPr>
              <w:pStyle w:val="Tablebodytext"/>
            </w:pPr>
            <w:r w:rsidRPr="001A0DEB">
              <w:t xml:space="preserve"> </w:t>
            </w:r>
            <m:oMath>
              <m:r>
                <w:rPr>
                  <w:rFonts w:ascii="Cambria Math" w:hAnsi="Cambria Math"/>
                </w:rPr>
                <m:t>Leverag</m:t>
              </m:r>
              <m:sSub>
                <m:sSubPr>
                  <m:ctrlPr>
                    <w:rPr>
                      <w:rFonts w:ascii="Cambria Math" w:hAnsi="Cambria Math"/>
                    </w:rPr>
                  </m:ctrlPr>
                </m:sSubPr>
                <m:e>
                  <m:r>
                    <w:rPr>
                      <w:rFonts w:ascii="Cambria Math" w:hAnsi="Cambria Math"/>
                    </w:rPr>
                    <m:t>e</m:t>
                  </m:r>
                </m:e>
                <m:sub>
                  <m:r>
                    <w:rPr>
                      <w:rFonts w:ascii="Cambria Math" w:hAnsi="Cambria Math"/>
                    </w:rPr>
                    <m:t>t</m:t>
                  </m:r>
                </m:sub>
              </m:sSub>
            </m:oMath>
          </w:p>
        </w:tc>
        <w:tc>
          <w:tcPr>
            <w:tcW w:w="422" w:type="pct"/>
          </w:tcPr>
          <w:p w14:paraId="209E2F60" w14:textId="71C490F7" w:rsidR="00FD5C18" w:rsidRPr="001A0DEB" w:rsidRDefault="00950C9A" w:rsidP="0057657B">
            <w:pPr>
              <w:pStyle w:val="Tabletext"/>
              <w:jc w:val="right"/>
            </w:pPr>
            <w:r>
              <w:t>–</w:t>
            </w:r>
            <w:r w:rsidR="00FD5C18" w:rsidRPr="001A0DEB">
              <w:t>0.001</w:t>
            </w:r>
          </w:p>
        </w:tc>
        <w:tc>
          <w:tcPr>
            <w:tcW w:w="107" w:type="pct"/>
          </w:tcPr>
          <w:p w14:paraId="209E2F61" w14:textId="77777777" w:rsidR="00FD5C18" w:rsidRPr="001A0DEB" w:rsidRDefault="00FD5C18" w:rsidP="0057657B">
            <w:pPr>
              <w:pStyle w:val="Tabletext"/>
              <w:jc w:val="right"/>
            </w:pPr>
          </w:p>
        </w:tc>
        <w:tc>
          <w:tcPr>
            <w:tcW w:w="452" w:type="pct"/>
          </w:tcPr>
          <w:p w14:paraId="209E2F62" w14:textId="0C7BDA3E" w:rsidR="00FD5C18" w:rsidRPr="001A0DEB" w:rsidRDefault="00950C9A" w:rsidP="0057657B">
            <w:pPr>
              <w:pStyle w:val="Tabletext"/>
              <w:jc w:val="right"/>
            </w:pPr>
            <w:r>
              <w:t>–</w:t>
            </w:r>
            <w:r w:rsidR="00FD5C18" w:rsidRPr="001A0DEB">
              <w:t>0.003</w:t>
            </w:r>
          </w:p>
        </w:tc>
        <w:tc>
          <w:tcPr>
            <w:tcW w:w="617" w:type="pct"/>
          </w:tcPr>
          <w:p w14:paraId="209E2F63" w14:textId="77777777" w:rsidR="00FD5C18" w:rsidRPr="001A0DEB" w:rsidRDefault="00FD5C18" w:rsidP="0057657B">
            <w:pPr>
              <w:pStyle w:val="Tabletext"/>
              <w:jc w:val="right"/>
            </w:pPr>
            <w:r w:rsidRPr="001A0DEB">
              <w:t>0.081***</w:t>
            </w:r>
          </w:p>
        </w:tc>
        <w:tc>
          <w:tcPr>
            <w:tcW w:w="107" w:type="pct"/>
          </w:tcPr>
          <w:p w14:paraId="209E2F64" w14:textId="77777777" w:rsidR="00FD5C18" w:rsidRPr="001A0DEB" w:rsidRDefault="00FD5C18" w:rsidP="0057657B">
            <w:pPr>
              <w:pStyle w:val="Tabletext"/>
              <w:jc w:val="right"/>
            </w:pPr>
          </w:p>
        </w:tc>
        <w:tc>
          <w:tcPr>
            <w:tcW w:w="444" w:type="pct"/>
          </w:tcPr>
          <w:p w14:paraId="209E2F65" w14:textId="038882C1" w:rsidR="00FD5C18" w:rsidRPr="001A0DEB" w:rsidRDefault="00950C9A" w:rsidP="0057657B">
            <w:pPr>
              <w:pStyle w:val="Tabletext"/>
              <w:jc w:val="right"/>
            </w:pPr>
            <w:r>
              <w:t>–</w:t>
            </w:r>
            <w:r w:rsidR="00FD5C18" w:rsidRPr="001A0DEB">
              <w:t>0.026***</w:t>
            </w:r>
          </w:p>
        </w:tc>
        <w:tc>
          <w:tcPr>
            <w:tcW w:w="625" w:type="pct"/>
          </w:tcPr>
          <w:p w14:paraId="209E2F66" w14:textId="77777777" w:rsidR="00FD5C18" w:rsidRPr="001A0DEB" w:rsidRDefault="00FD5C18" w:rsidP="0057657B">
            <w:pPr>
              <w:pStyle w:val="Tabletext"/>
              <w:jc w:val="right"/>
            </w:pPr>
            <w:r w:rsidRPr="001A0DEB">
              <w:t>0.012</w:t>
            </w:r>
          </w:p>
        </w:tc>
        <w:tc>
          <w:tcPr>
            <w:tcW w:w="107" w:type="pct"/>
          </w:tcPr>
          <w:p w14:paraId="209E2F67" w14:textId="77777777" w:rsidR="00FD5C18" w:rsidRPr="001A0DEB" w:rsidRDefault="00FD5C18" w:rsidP="0057657B">
            <w:pPr>
              <w:pStyle w:val="Tabletext"/>
              <w:jc w:val="right"/>
            </w:pPr>
          </w:p>
        </w:tc>
        <w:tc>
          <w:tcPr>
            <w:tcW w:w="487" w:type="pct"/>
          </w:tcPr>
          <w:p w14:paraId="209E2F68" w14:textId="77777777" w:rsidR="00FD5C18" w:rsidRPr="001A0DEB" w:rsidRDefault="00FD5C18" w:rsidP="0057657B">
            <w:pPr>
              <w:pStyle w:val="Tabletext"/>
              <w:jc w:val="right"/>
            </w:pPr>
            <w:r w:rsidRPr="001A0DEB">
              <w:t>-0.025***</w:t>
            </w:r>
          </w:p>
        </w:tc>
        <w:tc>
          <w:tcPr>
            <w:tcW w:w="582" w:type="pct"/>
          </w:tcPr>
          <w:p w14:paraId="209E2F69" w14:textId="77777777" w:rsidR="00FD5C18" w:rsidRPr="001A0DEB" w:rsidRDefault="00FD5C18" w:rsidP="0057657B">
            <w:pPr>
              <w:pStyle w:val="Tabletext"/>
              <w:jc w:val="right"/>
            </w:pPr>
            <w:r w:rsidRPr="001A0DEB">
              <w:t>0.006</w:t>
            </w:r>
          </w:p>
        </w:tc>
      </w:tr>
      <w:tr w:rsidR="00FD5C18" w14:paraId="209E2F76" w14:textId="77777777" w:rsidTr="0018083B">
        <w:trPr>
          <w:cnfStyle w:val="000000100000" w:firstRow="0" w:lastRow="0" w:firstColumn="0" w:lastColumn="0" w:oddVBand="0" w:evenVBand="0" w:oddHBand="1" w:evenHBand="0" w:firstRowFirstColumn="0" w:firstRowLastColumn="0" w:lastRowFirstColumn="0" w:lastRowLastColumn="0"/>
          <w:trHeight w:hRule="exact" w:val="261"/>
        </w:trPr>
        <w:tc>
          <w:tcPr>
            <w:tcW w:w="1049" w:type="pct"/>
          </w:tcPr>
          <w:p w14:paraId="209E2F6B" w14:textId="77777777" w:rsidR="00FD5C18" w:rsidRPr="001A0DEB" w:rsidRDefault="00FD5C18" w:rsidP="006948AC">
            <w:pPr>
              <w:pStyle w:val="Tablebodytext"/>
            </w:pPr>
          </w:p>
        </w:tc>
        <w:tc>
          <w:tcPr>
            <w:tcW w:w="422" w:type="pct"/>
          </w:tcPr>
          <w:p w14:paraId="209E2F6C" w14:textId="77777777" w:rsidR="00FD5C18" w:rsidRPr="001A0DEB" w:rsidRDefault="00FD5C18" w:rsidP="0057657B">
            <w:pPr>
              <w:pStyle w:val="Tabletext"/>
              <w:jc w:val="right"/>
            </w:pPr>
            <w:r w:rsidRPr="001A0DEB">
              <w:t>(0.003)</w:t>
            </w:r>
          </w:p>
        </w:tc>
        <w:tc>
          <w:tcPr>
            <w:tcW w:w="107" w:type="pct"/>
          </w:tcPr>
          <w:p w14:paraId="209E2F6D" w14:textId="77777777" w:rsidR="00FD5C18" w:rsidRPr="001A0DEB" w:rsidRDefault="00FD5C18" w:rsidP="0057657B">
            <w:pPr>
              <w:pStyle w:val="Tabletext"/>
              <w:jc w:val="right"/>
            </w:pPr>
          </w:p>
        </w:tc>
        <w:tc>
          <w:tcPr>
            <w:tcW w:w="452" w:type="pct"/>
          </w:tcPr>
          <w:p w14:paraId="209E2F6E" w14:textId="77777777" w:rsidR="00FD5C18" w:rsidRPr="001A0DEB" w:rsidRDefault="00FD5C18" w:rsidP="0057657B">
            <w:pPr>
              <w:pStyle w:val="Tabletext"/>
              <w:jc w:val="right"/>
            </w:pPr>
            <w:r w:rsidRPr="001A0DEB">
              <w:t>(0.005)</w:t>
            </w:r>
          </w:p>
        </w:tc>
        <w:tc>
          <w:tcPr>
            <w:tcW w:w="617" w:type="pct"/>
          </w:tcPr>
          <w:p w14:paraId="209E2F6F" w14:textId="77777777" w:rsidR="00FD5C18" w:rsidRPr="001A0DEB" w:rsidRDefault="00FD5C18" w:rsidP="0057657B">
            <w:pPr>
              <w:pStyle w:val="Tabletext"/>
              <w:jc w:val="right"/>
            </w:pPr>
            <w:r w:rsidRPr="001A0DEB">
              <w:t>(0.004)</w:t>
            </w:r>
          </w:p>
        </w:tc>
        <w:tc>
          <w:tcPr>
            <w:tcW w:w="107" w:type="pct"/>
          </w:tcPr>
          <w:p w14:paraId="209E2F70" w14:textId="77777777" w:rsidR="00FD5C18" w:rsidRPr="001A0DEB" w:rsidRDefault="00FD5C18" w:rsidP="0057657B">
            <w:pPr>
              <w:pStyle w:val="Tabletext"/>
              <w:jc w:val="right"/>
            </w:pPr>
          </w:p>
        </w:tc>
        <w:tc>
          <w:tcPr>
            <w:tcW w:w="444" w:type="pct"/>
          </w:tcPr>
          <w:p w14:paraId="209E2F71" w14:textId="77777777" w:rsidR="00FD5C18" w:rsidRPr="001A0DEB" w:rsidRDefault="00FD5C18" w:rsidP="0057657B">
            <w:pPr>
              <w:pStyle w:val="Tabletext"/>
              <w:jc w:val="right"/>
            </w:pPr>
            <w:r w:rsidRPr="001A0DEB">
              <w:t>(0.004)</w:t>
            </w:r>
          </w:p>
        </w:tc>
        <w:tc>
          <w:tcPr>
            <w:tcW w:w="625" w:type="pct"/>
          </w:tcPr>
          <w:p w14:paraId="209E2F72" w14:textId="77777777" w:rsidR="00FD5C18" w:rsidRPr="001A0DEB" w:rsidRDefault="00FD5C18" w:rsidP="0057657B">
            <w:pPr>
              <w:pStyle w:val="Tabletext"/>
              <w:jc w:val="right"/>
            </w:pPr>
            <w:r w:rsidRPr="001A0DEB">
              <w:t>(0.017)</w:t>
            </w:r>
          </w:p>
        </w:tc>
        <w:tc>
          <w:tcPr>
            <w:tcW w:w="107" w:type="pct"/>
          </w:tcPr>
          <w:p w14:paraId="209E2F73" w14:textId="77777777" w:rsidR="00FD5C18" w:rsidRPr="001A0DEB" w:rsidRDefault="00FD5C18" w:rsidP="0057657B">
            <w:pPr>
              <w:pStyle w:val="Tabletext"/>
              <w:jc w:val="right"/>
            </w:pPr>
          </w:p>
        </w:tc>
        <w:tc>
          <w:tcPr>
            <w:tcW w:w="487" w:type="pct"/>
          </w:tcPr>
          <w:p w14:paraId="209E2F74" w14:textId="77777777" w:rsidR="00FD5C18" w:rsidRPr="001A0DEB" w:rsidRDefault="00FD5C18" w:rsidP="0057657B">
            <w:pPr>
              <w:pStyle w:val="Tabletext"/>
              <w:jc w:val="right"/>
            </w:pPr>
            <w:r w:rsidRPr="001A0DEB">
              <w:t>(0.004)</w:t>
            </w:r>
          </w:p>
        </w:tc>
        <w:tc>
          <w:tcPr>
            <w:tcW w:w="582" w:type="pct"/>
          </w:tcPr>
          <w:p w14:paraId="209E2F75" w14:textId="77777777" w:rsidR="00FD5C18" w:rsidRPr="001A0DEB" w:rsidRDefault="00FD5C18" w:rsidP="0057657B">
            <w:pPr>
              <w:pStyle w:val="Tabletext"/>
              <w:jc w:val="right"/>
            </w:pPr>
            <w:r w:rsidRPr="001A0DEB">
              <w:t>(0.017)</w:t>
            </w:r>
          </w:p>
        </w:tc>
      </w:tr>
      <w:tr w:rsidR="00FD5C18" w14:paraId="209E2F82" w14:textId="77777777" w:rsidTr="0018083B">
        <w:trPr>
          <w:cnfStyle w:val="000000010000" w:firstRow="0" w:lastRow="0" w:firstColumn="0" w:lastColumn="0" w:oddVBand="0" w:evenVBand="0" w:oddHBand="0" w:evenHBand="1" w:firstRowFirstColumn="0" w:firstRowLastColumn="0" w:lastRowFirstColumn="0" w:lastRowLastColumn="0"/>
          <w:trHeight w:hRule="exact" w:val="261"/>
        </w:trPr>
        <w:tc>
          <w:tcPr>
            <w:tcW w:w="1049" w:type="pct"/>
          </w:tcPr>
          <w:p w14:paraId="209E2F77" w14:textId="77777777" w:rsidR="00FD5C18" w:rsidRPr="001A0DEB" w:rsidRDefault="00FD5C18" w:rsidP="006948AC">
            <w:pPr>
              <w:pStyle w:val="Tablebodytext"/>
            </w:pPr>
            <w:r w:rsidRPr="001A0DEB">
              <w:t xml:space="preserve"> </w:t>
            </w:r>
            <m:oMath>
              <m:r>
                <w:rPr>
                  <w:rFonts w:ascii="Cambria Math" w:hAnsi="Cambria Math"/>
                </w:rPr>
                <m:t>Youn</m:t>
              </m:r>
              <m:sSub>
                <m:sSubPr>
                  <m:ctrlPr>
                    <w:rPr>
                      <w:rFonts w:ascii="Cambria Math" w:hAnsi="Cambria Math"/>
                    </w:rPr>
                  </m:ctrlPr>
                </m:sSubPr>
                <m:e>
                  <m:r>
                    <w:rPr>
                      <w:rFonts w:ascii="Cambria Math" w:hAnsi="Cambria Math"/>
                    </w:rPr>
                    <m:t>g</m:t>
                  </m:r>
                </m:e>
                <m:sub>
                  <m:r>
                    <w:rPr>
                      <w:rFonts w:ascii="Cambria Math" w:hAnsi="Cambria Math"/>
                    </w:rPr>
                    <m:t>t</m:t>
                  </m:r>
                </m:sub>
              </m:sSub>
            </m:oMath>
          </w:p>
        </w:tc>
        <w:tc>
          <w:tcPr>
            <w:tcW w:w="422" w:type="pct"/>
          </w:tcPr>
          <w:p w14:paraId="209E2F78" w14:textId="14D544D7" w:rsidR="00FD5C18" w:rsidRPr="001A0DEB" w:rsidRDefault="00950C9A" w:rsidP="0057657B">
            <w:pPr>
              <w:pStyle w:val="Tabletext"/>
              <w:jc w:val="right"/>
            </w:pPr>
            <w:r>
              <w:t>–</w:t>
            </w:r>
            <w:r w:rsidR="00FD5C18" w:rsidRPr="001A0DEB">
              <w:t>0.003</w:t>
            </w:r>
          </w:p>
        </w:tc>
        <w:tc>
          <w:tcPr>
            <w:tcW w:w="107" w:type="pct"/>
          </w:tcPr>
          <w:p w14:paraId="209E2F79" w14:textId="77777777" w:rsidR="00FD5C18" w:rsidRPr="001A0DEB" w:rsidRDefault="00FD5C18" w:rsidP="0057657B">
            <w:pPr>
              <w:pStyle w:val="Tabletext"/>
              <w:jc w:val="right"/>
            </w:pPr>
          </w:p>
        </w:tc>
        <w:tc>
          <w:tcPr>
            <w:tcW w:w="452" w:type="pct"/>
          </w:tcPr>
          <w:p w14:paraId="209E2F7A" w14:textId="7BB012AD" w:rsidR="00FD5C18" w:rsidRPr="001A0DEB" w:rsidRDefault="00950C9A" w:rsidP="0057657B">
            <w:pPr>
              <w:pStyle w:val="Tabletext"/>
              <w:jc w:val="right"/>
            </w:pPr>
            <w:r>
              <w:t>–</w:t>
            </w:r>
            <w:r w:rsidR="00FD5C18" w:rsidRPr="001A0DEB">
              <w:t>0.005</w:t>
            </w:r>
          </w:p>
        </w:tc>
        <w:tc>
          <w:tcPr>
            <w:tcW w:w="617" w:type="pct"/>
          </w:tcPr>
          <w:p w14:paraId="209E2F7B" w14:textId="77777777" w:rsidR="00FD5C18" w:rsidRPr="001A0DEB" w:rsidRDefault="00FD5C18" w:rsidP="0057657B">
            <w:pPr>
              <w:pStyle w:val="Tabletext"/>
              <w:jc w:val="right"/>
            </w:pPr>
            <w:r w:rsidRPr="001A0DEB">
              <w:t>0.023**</w:t>
            </w:r>
          </w:p>
        </w:tc>
        <w:tc>
          <w:tcPr>
            <w:tcW w:w="107" w:type="pct"/>
          </w:tcPr>
          <w:p w14:paraId="209E2F7C" w14:textId="77777777" w:rsidR="00FD5C18" w:rsidRPr="001A0DEB" w:rsidRDefault="00FD5C18" w:rsidP="0057657B">
            <w:pPr>
              <w:pStyle w:val="Tabletext"/>
              <w:jc w:val="right"/>
            </w:pPr>
          </w:p>
        </w:tc>
        <w:tc>
          <w:tcPr>
            <w:tcW w:w="444" w:type="pct"/>
          </w:tcPr>
          <w:p w14:paraId="209E2F7D" w14:textId="6EACE171" w:rsidR="00FD5C18" w:rsidRPr="001A0DEB" w:rsidRDefault="00950C9A" w:rsidP="0057657B">
            <w:pPr>
              <w:pStyle w:val="Tabletext"/>
              <w:jc w:val="right"/>
            </w:pPr>
            <w:r>
              <w:t>–</w:t>
            </w:r>
            <w:r w:rsidR="00FD5C18" w:rsidRPr="001A0DEB">
              <w:t>0.012</w:t>
            </w:r>
          </w:p>
        </w:tc>
        <w:tc>
          <w:tcPr>
            <w:tcW w:w="625" w:type="pct"/>
          </w:tcPr>
          <w:p w14:paraId="209E2F7E" w14:textId="77777777" w:rsidR="00FD5C18" w:rsidRPr="001A0DEB" w:rsidRDefault="00FD5C18" w:rsidP="0057657B">
            <w:pPr>
              <w:pStyle w:val="Tabletext"/>
              <w:jc w:val="right"/>
            </w:pPr>
            <w:r w:rsidRPr="001A0DEB">
              <w:t>0.014</w:t>
            </w:r>
          </w:p>
        </w:tc>
        <w:tc>
          <w:tcPr>
            <w:tcW w:w="107" w:type="pct"/>
          </w:tcPr>
          <w:p w14:paraId="209E2F7F" w14:textId="77777777" w:rsidR="00FD5C18" w:rsidRPr="001A0DEB" w:rsidRDefault="00FD5C18" w:rsidP="0057657B">
            <w:pPr>
              <w:pStyle w:val="Tabletext"/>
              <w:jc w:val="right"/>
            </w:pPr>
          </w:p>
        </w:tc>
        <w:tc>
          <w:tcPr>
            <w:tcW w:w="487" w:type="pct"/>
          </w:tcPr>
          <w:p w14:paraId="209E2F80" w14:textId="77777777" w:rsidR="00FD5C18" w:rsidRPr="001A0DEB" w:rsidRDefault="00FD5C18" w:rsidP="0057657B">
            <w:pPr>
              <w:pStyle w:val="Tabletext"/>
              <w:jc w:val="right"/>
            </w:pPr>
            <w:r w:rsidRPr="001A0DEB">
              <w:t>-0.007</w:t>
            </w:r>
          </w:p>
        </w:tc>
        <w:tc>
          <w:tcPr>
            <w:tcW w:w="582" w:type="pct"/>
          </w:tcPr>
          <w:p w14:paraId="209E2F81" w14:textId="77777777" w:rsidR="00FD5C18" w:rsidRPr="001A0DEB" w:rsidRDefault="00FD5C18" w:rsidP="0057657B">
            <w:pPr>
              <w:pStyle w:val="Tabletext"/>
              <w:jc w:val="right"/>
            </w:pPr>
            <w:r w:rsidRPr="001A0DEB">
              <w:t>0.026**</w:t>
            </w:r>
          </w:p>
        </w:tc>
      </w:tr>
      <w:tr w:rsidR="00FD5C18" w14:paraId="209E2F8E" w14:textId="77777777" w:rsidTr="0018083B">
        <w:trPr>
          <w:cnfStyle w:val="000000100000" w:firstRow="0" w:lastRow="0" w:firstColumn="0" w:lastColumn="0" w:oddVBand="0" w:evenVBand="0" w:oddHBand="1" w:evenHBand="0" w:firstRowFirstColumn="0" w:firstRowLastColumn="0" w:lastRowFirstColumn="0" w:lastRowLastColumn="0"/>
          <w:trHeight w:hRule="exact" w:val="261"/>
        </w:trPr>
        <w:tc>
          <w:tcPr>
            <w:tcW w:w="1049" w:type="pct"/>
          </w:tcPr>
          <w:p w14:paraId="209E2F83" w14:textId="77777777" w:rsidR="00FD5C18" w:rsidRPr="001A0DEB" w:rsidRDefault="00FD5C18" w:rsidP="006948AC">
            <w:pPr>
              <w:pStyle w:val="Tablebodytext"/>
            </w:pPr>
          </w:p>
        </w:tc>
        <w:tc>
          <w:tcPr>
            <w:tcW w:w="422" w:type="pct"/>
          </w:tcPr>
          <w:p w14:paraId="209E2F84" w14:textId="77777777" w:rsidR="00FD5C18" w:rsidRPr="001A0DEB" w:rsidRDefault="00FD5C18" w:rsidP="0057657B">
            <w:pPr>
              <w:pStyle w:val="Tabletext"/>
              <w:jc w:val="right"/>
            </w:pPr>
            <w:r w:rsidRPr="001A0DEB">
              <w:t>(0.007)</w:t>
            </w:r>
          </w:p>
        </w:tc>
        <w:tc>
          <w:tcPr>
            <w:tcW w:w="107" w:type="pct"/>
          </w:tcPr>
          <w:p w14:paraId="209E2F85" w14:textId="77777777" w:rsidR="00FD5C18" w:rsidRPr="001A0DEB" w:rsidRDefault="00FD5C18" w:rsidP="0057657B">
            <w:pPr>
              <w:pStyle w:val="Tabletext"/>
              <w:jc w:val="right"/>
            </w:pPr>
          </w:p>
        </w:tc>
        <w:tc>
          <w:tcPr>
            <w:tcW w:w="452" w:type="pct"/>
          </w:tcPr>
          <w:p w14:paraId="209E2F86" w14:textId="77777777" w:rsidR="00FD5C18" w:rsidRPr="001A0DEB" w:rsidRDefault="00FD5C18" w:rsidP="0057657B">
            <w:pPr>
              <w:pStyle w:val="Tabletext"/>
              <w:jc w:val="right"/>
            </w:pPr>
            <w:r w:rsidRPr="001A0DEB">
              <w:t>(0.009)</w:t>
            </w:r>
          </w:p>
        </w:tc>
        <w:tc>
          <w:tcPr>
            <w:tcW w:w="617" w:type="pct"/>
          </w:tcPr>
          <w:p w14:paraId="209E2F87" w14:textId="77777777" w:rsidR="00FD5C18" w:rsidRPr="001A0DEB" w:rsidRDefault="00FD5C18" w:rsidP="0057657B">
            <w:pPr>
              <w:pStyle w:val="Tabletext"/>
              <w:jc w:val="right"/>
            </w:pPr>
            <w:r w:rsidRPr="001A0DEB">
              <w:t>(0.009)</w:t>
            </w:r>
          </w:p>
        </w:tc>
        <w:tc>
          <w:tcPr>
            <w:tcW w:w="107" w:type="pct"/>
          </w:tcPr>
          <w:p w14:paraId="209E2F88" w14:textId="77777777" w:rsidR="00FD5C18" w:rsidRPr="001A0DEB" w:rsidRDefault="00FD5C18" w:rsidP="0057657B">
            <w:pPr>
              <w:pStyle w:val="Tabletext"/>
              <w:jc w:val="right"/>
            </w:pPr>
          </w:p>
        </w:tc>
        <w:tc>
          <w:tcPr>
            <w:tcW w:w="444" w:type="pct"/>
          </w:tcPr>
          <w:p w14:paraId="209E2F89" w14:textId="77777777" w:rsidR="00FD5C18" w:rsidRPr="001A0DEB" w:rsidRDefault="00FD5C18" w:rsidP="0057657B">
            <w:pPr>
              <w:pStyle w:val="Tabletext"/>
              <w:jc w:val="right"/>
            </w:pPr>
            <w:r w:rsidRPr="001A0DEB">
              <w:t>(0.017)</w:t>
            </w:r>
          </w:p>
        </w:tc>
        <w:tc>
          <w:tcPr>
            <w:tcW w:w="625" w:type="pct"/>
          </w:tcPr>
          <w:p w14:paraId="209E2F8A" w14:textId="77777777" w:rsidR="00FD5C18" w:rsidRPr="001A0DEB" w:rsidRDefault="00FD5C18" w:rsidP="0057657B">
            <w:pPr>
              <w:pStyle w:val="Tabletext"/>
              <w:jc w:val="right"/>
            </w:pPr>
            <w:r w:rsidRPr="001A0DEB">
              <w:t>(0.022)</w:t>
            </w:r>
          </w:p>
        </w:tc>
        <w:tc>
          <w:tcPr>
            <w:tcW w:w="107" w:type="pct"/>
          </w:tcPr>
          <w:p w14:paraId="209E2F8B" w14:textId="77777777" w:rsidR="00FD5C18" w:rsidRPr="001A0DEB" w:rsidRDefault="00FD5C18" w:rsidP="0057657B">
            <w:pPr>
              <w:pStyle w:val="Tabletext"/>
              <w:jc w:val="right"/>
            </w:pPr>
          </w:p>
        </w:tc>
        <w:tc>
          <w:tcPr>
            <w:tcW w:w="487" w:type="pct"/>
          </w:tcPr>
          <w:p w14:paraId="209E2F8C" w14:textId="77777777" w:rsidR="00FD5C18" w:rsidRPr="001A0DEB" w:rsidRDefault="00FD5C18" w:rsidP="0057657B">
            <w:pPr>
              <w:pStyle w:val="Tabletext"/>
              <w:jc w:val="right"/>
            </w:pPr>
            <w:r w:rsidRPr="001A0DEB">
              <w:t>(0.009)</w:t>
            </w:r>
          </w:p>
        </w:tc>
        <w:tc>
          <w:tcPr>
            <w:tcW w:w="582" w:type="pct"/>
          </w:tcPr>
          <w:p w14:paraId="209E2F8D" w14:textId="77777777" w:rsidR="00FD5C18" w:rsidRPr="001A0DEB" w:rsidRDefault="00FD5C18" w:rsidP="0057657B">
            <w:pPr>
              <w:pStyle w:val="Tabletext"/>
              <w:jc w:val="right"/>
            </w:pPr>
            <w:r w:rsidRPr="001A0DEB">
              <w:t>(0.011)</w:t>
            </w:r>
          </w:p>
        </w:tc>
      </w:tr>
      <w:tr w:rsidR="00FD5C18" w14:paraId="209E2F9A" w14:textId="77777777" w:rsidTr="0018083B">
        <w:trPr>
          <w:cnfStyle w:val="000000010000" w:firstRow="0" w:lastRow="0" w:firstColumn="0" w:lastColumn="0" w:oddVBand="0" w:evenVBand="0" w:oddHBand="0" w:evenHBand="1" w:firstRowFirstColumn="0" w:firstRowLastColumn="0" w:lastRowFirstColumn="0" w:lastRowLastColumn="0"/>
          <w:trHeight w:hRule="exact" w:val="261"/>
        </w:trPr>
        <w:tc>
          <w:tcPr>
            <w:tcW w:w="1049" w:type="pct"/>
          </w:tcPr>
          <w:p w14:paraId="209E2F8F" w14:textId="77777777" w:rsidR="00FD5C18" w:rsidRPr="001A0DEB" w:rsidRDefault="00FD5C18" w:rsidP="006948AC">
            <w:pPr>
              <w:pStyle w:val="Tablebodytext"/>
            </w:pPr>
            <w:r w:rsidRPr="001A0DEB">
              <w:t xml:space="preserve"> </w:t>
            </w:r>
            <m:oMath>
              <m:r>
                <w:rPr>
                  <w:rFonts w:ascii="Cambria Math" w:hAnsi="Cambria Math"/>
                </w:rPr>
                <m:t>Abando</m:t>
              </m:r>
              <m:sSub>
                <m:sSubPr>
                  <m:ctrlPr>
                    <w:rPr>
                      <w:rFonts w:ascii="Cambria Math" w:hAnsi="Cambria Math"/>
                    </w:rPr>
                  </m:ctrlPr>
                </m:sSubPr>
                <m:e>
                  <m:r>
                    <w:rPr>
                      <w:rFonts w:ascii="Cambria Math" w:hAnsi="Cambria Math"/>
                    </w:rPr>
                    <m:t>n</m:t>
                  </m:r>
                </m:e>
                <m:sub>
                  <m:r>
                    <w:rPr>
                      <w:rFonts w:ascii="Cambria Math" w:hAnsi="Cambria Math"/>
                    </w:rPr>
                    <m:t>t</m:t>
                  </m:r>
                </m:sub>
              </m:sSub>
            </m:oMath>
          </w:p>
        </w:tc>
        <w:tc>
          <w:tcPr>
            <w:tcW w:w="422" w:type="pct"/>
          </w:tcPr>
          <w:p w14:paraId="209E2F90" w14:textId="77777777" w:rsidR="00FD5C18" w:rsidRPr="001A0DEB" w:rsidRDefault="00FD5C18" w:rsidP="0057657B">
            <w:pPr>
              <w:pStyle w:val="Tabletext"/>
              <w:jc w:val="right"/>
            </w:pPr>
          </w:p>
        </w:tc>
        <w:tc>
          <w:tcPr>
            <w:tcW w:w="107" w:type="pct"/>
          </w:tcPr>
          <w:p w14:paraId="209E2F91" w14:textId="77777777" w:rsidR="00FD5C18" w:rsidRPr="001A0DEB" w:rsidRDefault="00FD5C18" w:rsidP="0057657B">
            <w:pPr>
              <w:pStyle w:val="Tabletext"/>
              <w:jc w:val="right"/>
            </w:pPr>
          </w:p>
        </w:tc>
        <w:tc>
          <w:tcPr>
            <w:tcW w:w="452" w:type="pct"/>
          </w:tcPr>
          <w:p w14:paraId="209E2F92" w14:textId="77777777" w:rsidR="00FD5C18" w:rsidRPr="001A0DEB" w:rsidRDefault="00FD5C18" w:rsidP="0057657B">
            <w:pPr>
              <w:pStyle w:val="Tabletext"/>
              <w:jc w:val="right"/>
            </w:pPr>
          </w:p>
        </w:tc>
        <w:tc>
          <w:tcPr>
            <w:tcW w:w="617" w:type="pct"/>
          </w:tcPr>
          <w:p w14:paraId="209E2F93" w14:textId="77777777" w:rsidR="00FD5C18" w:rsidRPr="001A0DEB" w:rsidRDefault="00FD5C18" w:rsidP="0057657B">
            <w:pPr>
              <w:pStyle w:val="Tabletext"/>
              <w:jc w:val="right"/>
            </w:pPr>
            <w:r w:rsidRPr="001A0DEB">
              <w:t>0.051***</w:t>
            </w:r>
          </w:p>
        </w:tc>
        <w:tc>
          <w:tcPr>
            <w:tcW w:w="107" w:type="pct"/>
          </w:tcPr>
          <w:p w14:paraId="209E2F94" w14:textId="77777777" w:rsidR="00FD5C18" w:rsidRPr="001A0DEB" w:rsidRDefault="00FD5C18" w:rsidP="0057657B">
            <w:pPr>
              <w:pStyle w:val="Tabletext"/>
              <w:jc w:val="right"/>
            </w:pPr>
          </w:p>
        </w:tc>
        <w:tc>
          <w:tcPr>
            <w:tcW w:w="444" w:type="pct"/>
          </w:tcPr>
          <w:p w14:paraId="209E2F95" w14:textId="77777777" w:rsidR="00FD5C18" w:rsidRPr="001A0DEB" w:rsidRDefault="00FD5C18" w:rsidP="0057657B">
            <w:pPr>
              <w:pStyle w:val="Tabletext"/>
              <w:jc w:val="right"/>
            </w:pPr>
          </w:p>
        </w:tc>
        <w:tc>
          <w:tcPr>
            <w:tcW w:w="625" w:type="pct"/>
          </w:tcPr>
          <w:p w14:paraId="209E2F96" w14:textId="77777777" w:rsidR="00FD5C18" w:rsidRPr="001A0DEB" w:rsidRDefault="00FD5C18" w:rsidP="0057657B">
            <w:pPr>
              <w:pStyle w:val="Tabletext"/>
              <w:jc w:val="right"/>
            </w:pPr>
            <w:r w:rsidRPr="001A0DEB">
              <w:t>0.056***</w:t>
            </w:r>
          </w:p>
        </w:tc>
        <w:tc>
          <w:tcPr>
            <w:tcW w:w="107" w:type="pct"/>
          </w:tcPr>
          <w:p w14:paraId="209E2F97" w14:textId="77777777" w:rsidR="00FD5C18" w:rsidRPr="001A0DEB" w:rsidRDefault="00FD5C18" w:rsidP="0057657B">
            <w:pPr>
              <w:pStyle w:val="Tabletext"/>
              <w:jc w:val="right"/>
            </w:pPr>
          </w:p>
        </w:tc>
        <w:tc>
          <w:tcPr>
            <w:tcW w:w="487" w:type="pct"/>
          </w:tcPr>
          <w:p w14:paraId="209E2F98" w14:textId="77777777" w:rsidR="00FD5C18" w:rsidRPr="001A0DEB" w:rsidRDefault="00FD5C18" w:rsidP="0057657B">
            <w:pPr>
              <w:pStyle w:val="Tabletext"/>
              <w:jc w:val="right"/>
            </w:pPr>
          </w:p>
        </w:tc>
        <w:tc>
          <w:tcPr>
            <w:tcW w:w="582" w:type="pct"/>
          </w:tcPr>
          <w:p w14:paraId="209E2F99" w14:textId="77777777" w:rsidR="00FD5C18" w:rsidRPr="001A0DEB" w:rsidRDefault="00FD5C18" w:rsidP="0057657B">
            <w:pPr>
              <w:pStyle w:val="Tabletext"/>
              <w:jc w:val="right"/>
            </w:pPr>
            <w:r w:rsidRPr="001A0DEB">
              <w:t>0.056***</w:t>
            </w:r>
          </w:p>
        </w:tc>
      </w:tr>
      <w:tr w:rsidR="00FD5C18" w14:paraId="209E2FA6" w14:textId="77777777" w:rsidTr="0018083B">
        <w:trPr>
          <w:cnfStyle w:val="000000100000" w:firstRow="0" w:lastRow="0" w:firstColumn="0" w:lastColumn="0" w:oddVBand="0" w:evenVBand="0" w:oddHBand="1" w:evenHBand="0" w:firstRowFirstColumn="0" w:firstRowLastColumn="0" w:lastRowFirstColumn="0" w:lastRowLastColumn="0"/>
          <w:trHeight w:hRule="exact" w:val="261"/>
        </w:trPr>
        <w:tc>
          <w:tcPr>
            <w:tcW w:w="1049" w:type="pct"/>
          </w:tcPr>
          <w:p w14:paraId="209E2F9B" w14:textId="77777777" w:rsidR="00FD5C18" w:rsidRPr="001A0DEB" w:rsidRDefault="00FD5C18" w:rsidP="006948AC">
            <w:pPr>
              <w:pStyle w:val="Tablebodytext"/>
            </w:pPr>
          </w:p>
        </w:tc>
        <w:tc>
          <w:tcPr>
            <w:tcW w:w="422" w:type="pct"/>
          </w:tcPr>
          <w:p w14:paraId="209E2F9C" w14:textId="77777777" w:rsidR="00FD5C18" w:rsidRPr="001A0DEB" w:rsidRDefault="00FD5C18" w:rsidP="0057657B">
            <w:pPr>
              <w:pStyle w:val="Tabletext"/>
              <w:jc w:val="right"/>
            </w:pPr>
          </w:p>
        </w:tc>
        <w:tc>
          <w:tcPr>
            <w:tcW w:w="107" w:type="pct"/>
          </w:tcPr>
          <w:p w14:paraId="209E2F9D" w14:textId="77777777" w:rsidR="00FD5C18" w:rsidRPr="001A0DEB" w:rsidRDefault="00FD5C18" w:rsidP="0057657B">
            <w:pPr>
              <w:pStyle w:val="Tabletext"/>
              <w:jc w:val="right"/>
            </w:pPr>
          </w:p>
        </w:tc>
        <w:tc>
          <w:tcPr>
            <w:tcW w:w="452" w:type="pct"/>
          </w:tcPr>
          <w:p w14:paraId="209E2F9E" w14:textId="77777777" w:rsidR="00FD5C18" w:rsidRPr="001A0DEB" w:rsidRDefault="00FD5C18" w:rsidP="0057657B">
            <w:pPr>
              <w:pStyle w:val="Tabletext"/>
              <w:jc w:val="right"/>
            </w:pPr>
          </w:p>
        </w:tc>
        <w:tc>
          <w:tcPr>
            <w:tcW w:w="617" w:type="pct"/>
          </w:tcPr>
          <w:p w14:paraId="209E2F9F" w14:textId="77777777" w:rsidR="00FD5C18" w:rsidRPr="001A0DEB" w:rsidRDefault="00FD5C18" w:rsidP="0057657B">
            <w:pPr>
              <w:pStyle w:val="Tabletext"/>
              <w:jc w:val="right"/>
            </w:pPr>
            <w:r w:rsidRPr="001A0DEB">
              <w:t>(0.007)</w:t>
            </w:r>
          </w:p>
        </w:tc>
        <w:tc>
          <w:tcPr>
            <w:tcW w:w="107" w:type="pct"/>
          </w:tcPr>
          <w:p w14:paraId="209E2FA0" w14:textId="77777777" w:rsidR="00FD5C18" w:rsidRPr="001A0DEB" w:rsidRDefault="00FD5C18" w:rsidP="0057657B">
            <w:pPr>
              <w:pStyle w:val="Tabletext"/>
              <w:jc w:val="right"/>
            </w:pPr>
          </w:p>
        </w:tc>
        <w:tc>
          <w:tcPr>
            <w:tcW w:w="444" w:type="pct"/>
          </w:tcPr>
          <w:p w14:paraId="209E2FA1" w14:textId="77777777" w:rsidR="00FD5C18" w:rsidRPr="001A0DEB" w:rsidRDefault="00FD5C18" w:rsidP="0057657B">
            <w:pPr>
              <w:pStyle w:val="Tabletext"/>
              <w:jc w:val="right"/>
            </w:pPr>
          </w:p>
        </w:tc>
        <w:tc>
          <w:tcPr>
            <w:tcW w:w="625" w:type="pct"/>
          </w:tcPr>
          <w:p w14:paraId="209E2FA2" w14:textId="77777777" w:rsidR="00FD5C18" w:rsidRPr="001A0DEB" w:rsidRDefault="00FD5C18" w:rsidP="0057657B">
            <w:pPr>
              <w:pStyle w:val="Tabletext"/>
              <w:jc w:val="right"/>
            </w:pPr>
            <w:r w:rsidRPr="001A0DEB">
              <w:t>(0.020)</w:t>
            </w:r>
          </w:p>
        </w:tc>
        <w:tc>
          <w:tcPr>
            <w:tcW w:w="107" w:type="pct"/>
          </w:tcPr>
          <w:p w14:paraId="209E2FA3" w14:textId="77777777" w:rsidR="00FD5C18" w:rsidRPr="001A0DEB" w:rsidRDefault="00FD5C18" w:rsidP="0057657B">
            <w:pPr>
              <w:pStyle w:val="Tabletext"/>
              <w:jc w:val="right"/>
            </w:pPr>
          </w:p>
        </w:tc>
        <w:tc>
          <w:tcPr>
            <w:tcW w:w="487" w:type="pct"/>
          </w:tcPr>
          <w:p w14:paraId="209E2FA4" w14:textId="77777777" w:rsidR="00FD5C18" w:rsidRPr="001A0DEB" w:rsidRDefault="00FD5C18" w:rsidP="0057657B">
            <w:pPr>
              <w:pStyle w:val="Tabletext"/>
              <w:jc w:val="right"/>
            </w:pPr>
          </w:p>
        </w:tc>
        <w:tc>
          <w:tcPr>
            <w:tcW w:w="582" w:type="pct"/>
          </w:tcPr>
          <w:p w14:paraId="209E2FA5" w14:textId="77777777" w:rsidR="00FD5C18" w:rsidRPr="001A0DEB" w:rsidRDefault="00FD5C18" w:rsidP="0057657B">
            <w:pPr>
              <w:pStyle w:val="Tabletext"/>
              <w:jc w:val="right"/>
            </w:pPr>
            <w:r w:rsidRPr="001A0DEB">
              <w:t>(0.020)</w:t>
            </w:r>
          </w:p>
        </w:tc>
      </w:tr>
      <w:tr w:rsidR="00F21453" w14:paraId="209E2FAF" w14:textId="77777777" w:rsidTr="00F21453">
        <w:trPr>
          <w:cnfStyle w:val="000000010000" w:firstRow="0" w:lastRow="0" w:firstColumn="0" w:lastColumn="0" w:oddVBand="0" w:evenVBand="0" w:oddHBand="0" w:evenHBand="1" w:firstRowFirstColumn="0" w:firstRowLastColumn="0" w:lastRowFirstColumn="0" w:lastRowLastColumn="0"/>
        </w:trPr>
        <w:tc>
          <w:tcPr>
            <w:tcW w:w="1049" w:type="pct"/>
          </w:tcPr>
          <w:p w14:paraId="209E2FA7" w14:textId="77777777" w:rsidR="00F21453" w:rsidRPr="001A0DEB" w:rsidRDefault="00F21453" w:rsidP="006948AC">
            <w:pPr>
              <w:pStyle w:val="Tablebodytext"/>
            </w:pPr>
            <w:r w:rsidRPr="001A0DEB">
              <w:t xml:space="preserve"> Weighting</w:t>
            </w:r>
          </w:p>
        </w:tc>
        <w:tc>
          <w:tcPr>
            <w:tcW w:w="422" w:type="pct"/>
          </w:tcPr>
          <w:p w14:paraId="209E2FA8" w14:textId="77777777" w:rsidR="00F21453" w:rsidRPr="001A0DEB" w:rsidRDefault="00F21453" w:rsidP="0057657B">
            <w:pPr>
              <w:pStyle w:val="Tabletext"/>
              <w:jc w:val="right"/>
            </w:pPr>
            <w:r w:rsidRPr="001A0DEB">
              <w:t>No</w:t>
            </w:r>
          </w:p>
        </w:tc>
        <w:tc>
          <w:tcPr>
            <w:tcW w:w="107" w:type="pct"/>
          </w:tcPr>
          <w:p w14:paraId="209E2FA9" w14:textId="77777777" w:rsidR="00F21453" w:rsidRPr="001A0DEB" w:rsidRDefault="00F21453" w:rsidP="0057657B">
            <w:pPr>
              <w:pStyle w:val="Tabletext"/>
              <w:jc w:val="right"/>
            </w:pPr>
          </w:p>
        </w:tc>
        <w:tc>
          <w:tcPr>
            <w:tcW w:w="1069" w:type="pct"/>
            <w:gridSpan w:val="2"/>
          </w:tcPr>
          <w:p w14:paraId="209E2FAA" w14:textId="77777777" w:rsidR="00F21453" w:rsidRPr="001A0DEB" w:rsidRDefault="00F21453" w:rsidP="0057657B">
            <w:pPr>
              <w:pStyle w:val="Tabletext"/>
              <w:jc w:val="right"/>
            </w:pPr>
            <w:r w:rsidRPr="001A0DEB">
              <w:t>No</w:t>
            </w:r>
          </w:p>
        </w:tc>
        <w:tc>
          <w:tcPr>
            <w:tcW w:w="107" w:type="pct"/>
          </w:tcPr>
          <w:p w14:paraId="209E2FAB" w14:textId="77777777" w:rsidR="00F21453" w:rsidRPr="001A0DEB" w:rsidRDefault="00F21453" w:rsidP="0057657B">
            <w:pPr>
              <w:pStyle w:val="Tabletext"/>
              <w:jc w:val="right"/>
            </w:pPr>
          </w:p>
        </w:tc>
        <w:tc>
          <w:tcPr>
            <w:tcW w:w="1069" w:type="pct"/>
            <w:gridSpan w:val="2"/>
          </w:tcPr>
          <w:p w14:paraId="209E2FAC" w14:textId="77777777" w:rsidR="00F21453" w:rsidRPr="001A0DEB" w:rsidRDefault="00F21453" w:rsidP="0057657B">
            <w:pPr>
              <w:pStyle w:val="Tabletext"/>
              <w:jc w:val="right"/>
            </w:pPr>
            <w:r w:rsidRPr="001A0DEB">
              <w:t>Yes</w:t>
            </w:r>
          </w:p>
        </w:tc>
        <w:tc>
          <w:tcPr>
            <w:tcW w:w="107" w:type="pct"/>
          </w:tcPr>
          <w:p w14:paraId="209E2FAD" w14:textId="77777777" w:rsidR="00F21453" w:rsidRPr="001A0DEB" w:rsidRDefault="00F21453" w:rsidP="0057657B">
            <w:pPr>
              <w:pStyle w:val="Tabletext"/>
              <w:jc w:val="right"/>
            </w:pPr>
          </w:p>
        </w:tc>
        <w:tc>
          <w:tcPr>
            <w:tcW w:w="1069" w:type="pct"/>
            <w:gridSpan w:val="2"/>
          </w:tcPr>
          <w:p w14:paraId="209E2FAE" w14:textId="77777777" w:rsidR="00F21453" w:rsidRPr="001A0DEB" w:rsidRDefault="00F21453" w:rsidP="0057657B">
            <w:pPr>
              <w:pStyle w:val="Tabletext"/>
              <w:jc w:val="right"/>
            </w:pPr>
            <w:r w:rsidRPr="001A0DEB">
              <w:t>Yes</w:t>
            </w:r>
          </w:p>
        </w:tc>
      </w:tr>
      <w:tr w:rsidR="00F21453" w14:paraId="209E2FB8" w14:textId="77777777" w:rsidTr="00F21453">
        <w:trPr>
          <w:cnfStyle w:val="000000100000" w:firstRow="0" w:lastRow="0" w:firstColumn="0" w:lastColumn="0" w:oddVBand="0" w:evenVBand="0" w:oddHBand="1" w:evenHBand="0" w:firstRowFirstColumn="0" w:firstRowLastColumn="0" w:lastRowFirstColumn="0" w:lastRowLastColumn="0"/>
        </w:trPr>
        <w:tc>
          <w:tcPr>
            <w:tcW w:w="1049" w:type="pct"/>
          </w:tcPr>
          <w:p w14:paraId="209E2FB0" w14:textId="77777777" w:rsidR="00F21453" w:rsidRPr="001A0DEB" w:rsidRDefault="00F21453" w:rsidP="006948AC">
            <w:pPr>
              <w:pStyle w:val="Tablebodytext"/>
            </w:pPr>
            <w:r w:rsidRPr="001A0DEB">
              <w:t xml:space="preserve"> Log Likelihood</w:t>
            </w:r>
          </w:p>
        </w:tc>
        <w:tc>
          <w:tcPr>
            <w:tcW w:w="422" w:type="pct"/>
          </w:tcPr>
          <w:p w14:paraId="209E2FB1" w14:textId="2FC1C5F9" w:rsidR="00F21453" w:rsidRPr="001A0DEB" w:rsidRDefault="00950C9A" w:rsidP="0057657B">
            <w:pPr>
              <w:pStyle w:val="Tabletext"/>
              <w:jc w:val="right"/>
            </w:pPr>
            <w:r>
              <w:t>–</w:t>
            </w:r>
            <w:r w:rsidR="00F21453" w:rsidRPr="001A0DEB">
              <w:t>1,438.3</w:t>
            </w:r>
          </w:p>
        </w:tc>
        <w:tc>
          <w:tcPr>
            <w:tcW w:w="107" w:type="pct"/>
          </w:tcPr>
          <w:p w14:paraId="209E2FB2" w14:textId="77777777" w:rsidR="00F21453" w:rsidRPr="001A0DEB" w:rsidRDefault="00F21453" w:rsidP="0057657B">
            <w:pPr>
              <w:pStyle w:val="Tabletext"/>
              <w:jc w:val="right"/>
            </w:pPr>
          </w:p>
        </w:tc>
        <w:tc>
          <w:tcPr>
            <w:tcW w:w="1069" w:type="pct"/>
            <w:gridSpan w:val="2"/>
          </w:tcPr>
          <w:p w14:paraId="209E2FB3" w14:textId="696F3A94" w:rsidR="00F21453" w:rsidRPr="001A0DEB" w:rsidRDefault="00950C9A" w:rsidP="0057657B">
            <w:pPr>
              <w:pStyle w:val="Tabletext"/>
              <w:jc w:val="right"/>
            </w:pPr>
            <w:r>
              <w:t>–</w:t>
            </w:r>
            <w:r w:rsidR="00F21453" w:rsidRPr="001A0DEB">
              <w:t>26,625.3</w:t>
            </w:r>
          </w:p>
        </w:tc>
        <w:tc>
          <w:tcPr>
            <w:tcW w:w="107" w:type="pct"/>
          </w:tcPr>
          <w:p w14:paraId="209E2FB4" w14:textId="77777777" w:rsidR="00F21453" w:rsidRPr="001A0DEB" w:rsidRDefault="00F21453" w:rsidP="0057657B">
            <w:pPr>
              <w:pStyle w:val="Tabletext"/>
              <w:jc w:val="right"/>
            </w:pPr>
          </w:p>
        </w:tc>
        <w:tc>
          <w:tcPr>
            <w:tcW w:w="1069" w:type="pct"/>
            <w:gridSpan w:val="2"/>
          </w:tcPr>
          <w:p w14:paraId="209E2FB5" w14:textId="0DB9594F" w:rsidR="00F21453" w:rsidRPr="001A0DEB" w:rsidRDefault="00950C9A" w:rsidP="0057657B">
            <w:pPr>
              <w:pStyle w:val="Tabletext"/>
              <w:jc w:val="right"/>
            </w:pPr>
            <w:r>
              <w:t>–</w:t>
            </w:r>
            <w:r w:rsidR="00F21453" w:rsidRPr="001A0DEB">
              <w:t>57,937.5</w:t>
            </w:r>
          </w:p>
        </w:tc>
        <w:tc>
          <w:tcPr>
            <w:tcW w:w="107" w:type="pct"/>
          </w:tcPr>
          <w:p w14:paraId="209E2FB6" w14:textId="77777777" w:rsidR="00F21453" w:rsidRPr="001A0DEB" w:rsidRDefault="00F21453" w:rsidP="0057657B">
            <w:pPr>
              <w:pStyle w:val="Tabletext"/>
              <w:jc w:val="right"/>
            </w:pPr>
          </w:p>
        </w:tc>
        <w:tc>
          <w:tcPr>
            <w:tcW w:w="1069" w:type="pct"/>
            <w:gridSpan w:val="2"/>
          </w:tcPr>
          <w:p w14:paraId="209E2FB7" w14:textId="1BB02A18" w:rsidR="00F21453" w:rsidRPr="001A0DEB" w:rsidRDefault="00950C9A" w:rsidP="0057657B">
            <w:pPr>
              <w:pStyle w:val="Tabletext"/>
              <w:jc w:val="right"/>
            </w:pPr>
            <w:r>
              <w:t>–</w:t>
            </w:r>
            <w:r w:rsidR="00F21453" w:rsidRPr="001A0DEB">
              <w:t>57,847.7</w:t>
            </w:r>
          </w:p>
        </w:tc>
      </w:tr>
      <w:tr w:rsidR="00F21453" w14:paraId="209E2FC1" w14:textId="77777777" w:rsidTr="00F21453">
        <w:trPr>
          <w:cnfStyle w:val="000000010000" w:firstRow="0" w:lastRow="0" w:firstColumn="0" w:lastColumn="0" w:oddVBand="0" w:evenVBand="0" w:oddHBand="0" w:evenHBand="1" w:firstRowFirstColumn="0" w:firstRowLastColumn="0" w:lastRowFirstColumn="0" w:lastRowLastColumn="0"/>
        </w:trPr>
        <w:tc>
          <w:tcPr>
            <w:tcW w:w="1049" w:type="pct"/>
          </w:tcPr>
          <w:p w14:paraId="209E2FB9" w14:textId="77777777" w:rsidR="00F21453" w:rsidRPr="001A0DEB" w:rsidRDefault="00F21453" w:rsidP="006948AC">
            <w:pPr>
              <w:pStyle w:val="Tablebodytext"/>
            </w:pPr>
            <w:r w:rsidRPr="001A0DEB">
              <w:t xml:space="preserve"> </w:t>
            </w:r>
            <m:oMath>
              <m:sSup>
                <m:sSupPr>
                  <m:ctrlPr>
                    <w:rPr>
                      <w:rFonts w:ascii="Cambria Math" w:hAnsi="Cambria Math"/>
                    </w:rPr>
                  </m:ctrlPr>
                </m:sSupPr>
                <m:e>
                  <m:r>
                    <w:rPr>
                      <w:rFonts w:ascii="Cambria Math" w:hAnsi="Cambria Math"/>
                    </w:rPr>
                    <m:t>χ</m:t>
                  </m:r>
                </m:e>
                <m:sup>
                  <m:r>
                    <w:rPr>
                      <w:rFonts w:ascii="Cambria Math" w:hAnsi="Cambria Math"/>
                    </w:rPr>
                    <m:t>2</m:t>
                  </m:r>
                </m:sup>
              </m:sSup>
            </m:oMath>
          </w:p>
        </w:tc>
        <w:tc>
          <w:tcPr>
            <w:tcW w:w="422" w:type="pct"/>
          </w:tcPr>
          <w:p w14:paraId="209E2FBA" w14:textId="77777777" w:rsidR="00F21453" w:rsidRPr="001A0DEB" w:rsidRDefault="00F21453" w:rsidP="0057657B">
            <w:pPr>
              <w:pStyle w:val="Tabletext"/>
              <w:jc w:val="right"/>
            </w:pPr>
            <w:r w:rsidRPr="001A0DEB">
              <w:t>196.5***</w:t>
            </w:r>
          </w:p>
        </w:tc>
        <w:tc>
          <w:tcPr>
            <w:tcW w:w="107" w:type="pct"/>
          </w:tcPr>
          <w:p w14:paraId="209E2FBB" w14:textId="77777777" w:rsidR="00F21453" w:rsidRPr="001A0DEB" w:rsidRDefault="00F21453" w:rsidP="0057657B">
            <w:pPr>
              <w:pStyle w:val="Tabletext"/>
              <w:jc w:val="right"/>
            </w:pPr>
          </w:p>
        </w:tc>
        <w:tc>
          <w:tcPr>
            <w:tcW w:w="1069" w:type="pct"/>
            <w:gridSpan w:val="2"/>
          </w:tcPr>
          <w:p w14:paraId="209E2FBC" w14:textId="77777777" w:rsidR="00F21453" w:rsidRPr="001A0DEB" w:rsidRDefault="00F21453" w:rsidP="0057657B">
            <w:pPr>
              <w:pStyle w:val="Tabletext"/>
              <w:jc w:val="right"/>
            </w:pPr>
            <w:r w:rsidRPr="001A0DEB">
              <w:t>707.6***</w:t>
            </w:r>
          </w:p>
        </w:tc>
        <w:tc>
          <w:tcPr>
            <w:tcW w:w="107" w:type="pct"/>
          </w:tcPr>
          <w:p w14:paraId="209E2FBD" w14:textId="77777777" w:rsidR="00F21453" w:rsidRPr="001A0DEB" w:rsidRDefault="00F21453" w:rsidP="0057657B">
            <w:pPr>
              <w:pStyle w:val="Tabletext"/>
              <w:jc w:val="right"/>
            </w:pPr>
          </w:p>
        </w:tc>
        <w:tc>
          <w:tcPr>
            <w:tcW w:w="1069" w:type="pct"/>
            <w:gridSpan w:val="2"/>
          </w:tcPr>
          <w:p w14:paraId="209E2FBE" w14:textId="77777777" w:rsidR="00F21453" w:rsidRPr="001A0DEB" w:rsidRDefault="00F21453" w:rsidP="0057657B">
            <w:pPr>
              <w:pStyle w:val="Tabletext"/>
              <w:jc w:val="right"/>
            </w:pPr>
            <w:r w:rsidRPr="001A0DEB">
              <w:t>392.1***</w:t>
            </w:r>
          </w:p>
        </w:tc>
        <w:tc>
          <w:tcPr>
            <w:tcW w:w="107" w:type="pct"/>
          </w:tcPr>
          <w:p w14:paraId="209E2FBF" w14:textId="77777777" w:rsidR="00F21453" w:rsidRPr="001A0DEB" w:rsidRDefault="00F21453" w:rsidP="0057657B">
            <w:pPr>
              <w:pStyle w:val="Tabletext"/>
              <w:jc w:val="right"/>
            </w:pPr>
          </w:p>
        </w:tc>
        <w:tc>
          <w:tcPr>
            <w:tcW w:w="1069" w:type="pct"/>
            <w:gridSpan w:val="2"/>
          </w:tcPr>
          <w:p w14:paraId="209E2FC0" w14:textId="77777777" w:rsidR="00F21453" w:rsidRPr="001A0DEB" w:rsidRDefault="00F21453" w:rsidP="0057657B">
            <w:pPr>
              <w:pStyle w:val="Tabletext"/>
              <w:jc w:val="right"/>
            </w:pPr>
            <w:r w:rsidRPr="001A0DEB">
              <w:t>479.7***</w:t>
            </w:r>
          </w:p>
        </w:tc>
      </w:tr>
      <w:tr w:rsidR="00F21453" w14:paraId="209E2FCA" w14:textId="77777777" w:rsidTr="00F21453">
        <w:trPr>
          <w:cnfStyle w:val="000000100000" w:firstRow="0" w:lastRow="0" w:firstColumn="0" w:lastColumn="0" w:oddVBand="0" w:evenVBand="0" w:oddHBand="1" w:evenHBand="0" w:firstRowFirstColumn="0" w:firstRowLastColumn="0" w:lastRowFirstColumn="0" w:lastRowLastColumn="0"/>
        </w:trPr>
        <w:tc>
          <w:tcPr>
            <w:tcW w:w="1049" w:type="pct"/>
          </w:tcPr>
          <w:p w14:paraId="209E2FC2" w14:textId="77777777" w:rsidR="00F21453" w:rsidRPr="001A0DEB" w:rsidRDefault="00F21453" w:rsidP="006948AC">
            <w:pPr>
              <w:pStyle w:val="Tablebodytext"/>
            </w:pPr>
            <w:r w:rsidRPr="001A0DEB">
              <w:t xml:space="preserve"> </w:t>
            </w:r>
            <m:oMath>
              <m:sSup>
                <m:sSupPr>
                  <m:ctrlPr>
                    <w:rPr>
                      <w:rFonts w:ascii="Cambria Math" w:hAnsi="Cambria Math"/>
                    </w:rPr>
                  </m:ctrlPr>
                </m:sSupPr>
                <m:e>
                  <m:r>
                    <w:rPr>
                      <w:rFonts w:ascii="Cambria Math" w:hAnsi="Cambria Math"/>
                    </w:rPr>
                    <m:t>χ</m:t>
                  </m:r>
                </m:e>
                <m:sup>
                  <m:r>
                    <w:rPr>
                      <w:rFonts w:ascii="Cambria Math" w:hAnsi="Cambria Math"/>
                    </w:rPr>
                    <m:t>2</m:t>
                  </m:r>
                </m:sup>
              </m:sSup>
            </m:oMath>
            <w:r w:rsidRPr="001A0DEB">
              <w:t xml:space="preserve"> Selection</w:t>
            </w:r>
          </w:p>
        </w:tc>
        <w:tc>
          <w:tcPr>
            <w:tcW w:w="422" w:type="pct"/>
          </w:tcPr>
          <w:p w14:paraId="209E2FC3" w14:textId="77777777" w:rsidR="00F21453" w:rsidRPr="001A0DEB" w:rsidRDefault="00F21453" w:rsidP="0057657B">
            <w:pPr>
              <w:pStyle w:val="Tabletext"/>
              <w:jc w:val="right"/>
            </w:pPr>
          </w:p>
        </w:tc>
        <w:tc>
          <w:tcPr>
            <w:tcW w:w="107" w:type="pct"/>
          </w:tcPr>
          <w:p w14:paraId="209E2FC4" w14:textId="77777777" w:rsidR="00F21453" w:rsidRPr="001A0DEB" w:rsidRDefault="00F21453" w:rsidP="0057657B">
            <w:pPr>
              <w:pStyle w:val="Tabletext"/>
              <w:jc w:val="right"/>
            </w:pPr>
          </w:p>
        </w:tc>
        <w:tc>
          <w:tcPr>
            <w:tcW w:w="1069" w:type="pct"/>
            <w:gridSpan w:val="2"/>
          </w:tcPr>
          <w:p w14:paraId="209E2FC5" w14:textId="77777777" w:rsidR="00F21453" w:rsidRPr="001A0DEB" w:rsidRDefault="00F21453" w:rsidP="0057657B">
            <w:pPr>
              <w:pStyle w:val="Tabletext"/>
              <w:jc w:val="right"/>
            </w:pPr>
            <w:r w:rsidRPr="001A0DEB">
              <w:t>15.17***</w:t>
            </w:r>
          </w:p>
        </w:tc>
        <w:tc>
          <w:tcPr>
            <w:tcW w:w="107" w:type="pct"/>
          </w:tcPr>
          <w:p w14:paraId="209E2FC6" w14:textId="77777777" w:rsidR="00F21453" w:rsidRPr="001A0DEB" w:rsidRDefault="00F21453" w:rsidP="0057657B">
            <w:pPr>
              <w:pStyle w:val="Tabletext"/>
              <w:jc w:val="right"/>
            </w:pPr>
          </w:p>
        </w:tc>
        <w:tc>
          <w:tcPr>
            <w:tcW w:w="1069" w:type="pct"/>
            <w:gridSpan w:val="2"/>
          </w:tcPr>
          <w:p w14:paraId="209E2FC7" w14:textId="77777777" w:rsidR="00F21453" w:rsidRPr="001A0DEB" w:rsidRDefault="00F21453" w:rsidP="0057657B">
            <w:pPr>
              <w:pStyle w:val="Tabletext"/>
              <w:jc w:val="right"/>
            </w:pPr>
            <w:r w:rsidRPr="001A0DEB">
              <w:t>5.04**</w:t>
            </w:r>
          </w:p>
        </w:tc>
        <w:tc>
          <w:tcPr>
            <w:tcW w:w="107" w:type="pct"/>
          </w:tcPr>
          <w:p w14:paraId="209E2FC8" w14:textId="77777777" w:rsidR="00F21453" w:rsidRPr="001A0DEB" w:rsidRDefault="00F21453" w:rsidP="0057657B">
            <w:pPr>
              <w:pStyle w:val="Tabletext"/>
              <w:jc w:val="right"/>
            </w:pPr>
          </w:p>
        </w:tc>
        <w:tc>
          <w:tcPr>
            <w:tcW w:w="1069" w:type="pct"/>
            <w:gridSpan w:val="2"/>
          </w:tcPr>
          <w:p w14:paraId="209E2FC9" w14:textId="77777777" w:rsidR="00F21453" w:rsidRPr="001A0DEB" w:rsidRDefault="00F21453" w:rsidP="0057657B">
            <w:pPr>
              <w:pStyle w:val="Tabletext"/>
              <w:jc w:val="right"/>
            </w:pPr>
            <w:r w:rsidRPr="001A0DEB">
              <w:t>4.60**</w:t>
            </w:r>
          </w:p>
        </w:tc>
      </w:tr>
      <w:tr w:rsidR="00F21453" w14:paraId="209E2FD3" w14:textId="77777777" w:rsidTr="00F21453">
        <w:trPr>
          <w:cnfStyle w:val="000000010000" w:firstRow="0" w:lastRow="0" w:firstColumn="0" w:lastColumn="0" w:oddVBand="0" w:evenVBand="0" w:oddHBand="0" w:evenHBand="1" w:firstRowFirstColumn="0" w:firstRowLastColumn="0" w:lastRowFirstColumn="0" w:lastRowLastColumn="0"/>
        </w:trPr>
        <w:tc>
          <w:tcPr>
            <w:tcW w:w="1049" w:type="pct"/>
          </w:tcPr>
          <w:p w14:paraId="209E2FCB" w14:textId="77777777" w:rsidR="00F21453" w:rsidRPr="001A0DEB" w:rsidRDefault="00F21453" w:rsidP="006948AC">
            <w:pPr>
              <w:pStyle w:val="Tablebodytext"/>
            </w:pPr>
            <w:r w:rsidRPr="001A0DEB">
              <w:t xml:space="preserve"> </w:t>
            </w:r>
            <m:oMath>
              <m:r>
                <w:rPr>
                  <w:rFonts w:ascii="Cambria Math" w:hAnsi="Cambria Math"/>
                </w:rPr>
                <m:t>N</m:t>
              </m:r>
            </m:oMath>
          </w:p>
        </w:tc>
        <w:tc>
          <w:tcPr>
            <w:tcW w:w="422" w:type="pct"/>
          </w:tcPr>
          <w:p w14:paraId="209E2FCC" w14:textId="77777777" w:rsidR="00F21453" w:rsidRPr="001A0DEB" w:rsidRDefault="00F21453" w:rsidP="0057657B">
            <w:pPr>
              <w:pStyle w:val="Tabletext"/>
              <w:jc w:val="right"/>
            </w:pPr>
            <w:r w:rsidRPr="001A0DEB">
              <w:t>11,794</w:t>
            </w:r>
          </w:p>
        </w:tc>
        <w:tc>
          <w:tcPr>
            <w:tcW w:w="107" w:type="pct"/>
          </w:tcPr>
          <w:p w14:paraId="209E2FCD" w14:textId="77777777" w:rsidR="00F21453" w:rsidRPr="001A0DEB" w:rsidRDefault="00F21453" w:rsidP="0057657B">
            <w:pPr>
              <w:pStyle w:val="Tabletext"/>
              <w:jc w:val="right"/>
            </w:pPr>
          </w:p>
        </w:tc>
        <w:tc>
          <w:tcPr>
            <w:tcW w:w="1069" w:type="pct"/>
            <w:gridSpan w:val="2"/>
          </w:tcPr>
          <w:p w14:paraId="209E2FCE" w14:textId="77777777" w:rsidR="00F21453" w:rsidRPr="001A0DEB" w:rsidRDefault="00F21453" w:rsidP="0057657B">
            <w:pPr>
              <w:pStyle w:val="Tabletext"/>
              <w:jc w:val="right"/>
            </w:pPr>
            <w:r w:rsidRPr="001A0DEB">
              <w:t>48,960</w:t>
            </w:r>
          </w:p>
        </w:tc>
        <w:tc>
          <w:tcPr>
            <w:tcW w:w="107" w:type="pct"/>
          </w:tcPr>
          <w:p w14:paraId="209E2FCF" w14:textId="77777777" w:rsidR="00F21453" w:rsidRPr="001A0DEB" w:rsidRDefault="00F21453" w:rsidP="0057657B">
            <w:pPr>
              <w:pStyle w:val="Tabletext"/>
              <w:jc w:val="right"/>
            </w:pPr>
          </w:p>
        </w:tc>
        <w:tc>
          <w:tcPr>
            <w:tcW w:w="1069" w:type="pct"/>
            <w:gridSpan w:val="2"/>
          </w:tcPr>
          <w:p w14:paraId="209E2FD0" w14:textId="77777777" w:rsidR="00F21453" w:rsidRPr="001A0DEB" w:rsidRDefault="00ED16EF" w:rsidP="0057657B">
            <w:pPr>
              <w:pStyle w:val="Tabletext"/>
              <w:jc w:val="right"/>
            </w:pPr>
            <w:r w:rsidRPr="001A0DEB">
              <w:t>48,960</w:t>
            </w:r>
          </w:p>
        </w:tc>
        <w:tc>
          <w:tcPr>
            <w:tcW w:w="107" w:type="pct"/>
          </w:tcPr>
          <w:p w14:paraId="209E2FD1" w14:textId="77777777" w:rsidR="00F21453" w:rsidRPr="001A0DEB" w:rsidRDefault="00F21453" w:rsidP="0057657B">
            <w:pPr>
              <w:pStyle w:val="Tabletext"/>
              <w:jc w:val="right"/>
            </w:pPr>
          </w:p>
        </w:tc>
        <w:tc>
          <w:tcPr>
            <w:tcW w:w="1069" w:type="pct"/>
            <w:gridSpan w:val="2"/>
          </w:tcPr>
          <w:p w14:paraId="209E2FD2" w14:textId="77777777" w:rsidR="00F21453" w:rsidRPr="001A0DEB" w:rsidRDefault="00F21453" w:rsidP="0057657B">
            <w:pPr>
              <w:pStyle w:val="Tabletext"/>
              <w:jc w:val="right"/>
            </w:pPr>
            <w:r w:rsidRPr="001A0DEB">
              <w:t>48,960</w:t>
            </w:r>
          </w:p>
        </w:tc>
      </w:tr>
    </w:tbl>
    <w:p w14:paraId="209E2FD4" w14:textId="769C5802" w:rsidR="006948AC" w:rsidRDefault="006948AC" w:rsidP="00C474C2">
      <w:pPr>
        <w:pStyle w:val="Caption"/>
      </w:pPr>
      <w:bookmarkStart w:id="5" w:name="_Ref519605901"/>
      <w:r w:rsidRPr="000618FB">
        <w:t xml:space="preserve">Table </w:t>
      </w:r>
      <w:r>
        <w:rPr>
          <w:noProof/>
        </w:rPr>
        <w:fldChar w:fldCharType="begin"/>
      </w:r>
      <w:r>
        <w:rPr>
          <w:noProof/>
        </w:rPr>
        <w:instrText xml:space="preserve"> STYLEREF 1 \s </w:instrText>
      </w:r>
      <w:r>
        <w:rPr>
          <w:noProof/>
        </w:rPr>
        <w:fldChar w:fldCharType="separate"/>
      </w:r>
      <w:r w:rsidR="00851CD1">
        <w:rPr>
          <w:noProof/>
        </w:rPr>
        <w:t>6</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851CD1">
        <w:rPr>
          <w:noProof/>
        </w:rPr>
        <w:t>1</w:t>
      </w:r>
      <w:r>
        <w:rPr>
          <w:noProof/>
        </w:rPr>
        <w:fldChar w:fldCharType="end"/>
      </w:r>
      <w:bookmarkEnd w:id="5"/>
      <w:r w:rsidRPr="000618FB">
        <w:t xml:space="preserve">: </w:t>
      </w:r>
      <w:r>
        <w:t>The average marginal effects for model (1).</w:t>
      </w:r>
    </w:p>
    <w:p w14:paraId="209E2FD5" w14:textId="77777777" w:rsidR="00FD5C18" w:rsidRDefault="00FD5C18" w:rsidP="00FD5C18">
      <w:pPr>
        <w:pStyle w:val="BodyText"/>
      </w:pPr>
    </w:p>
    <w:p w14:paraId="209E2FD6" w14:textId="77777777" w:rsidR="006948AC" w:rsidRPr="00C62F3A" w:rsidRDefault="006948AC" w:rsidP="00C474C2">
      <w:pPr>
        <w:pStyle w:val="Note"/>
      </w:pPr>
      <w:r>
        <w:t>Notes: Numbers in parentheses are robust standard errors. *** and ** indicate 1 and 5 per cent  significance levels, respectively, Industry and year dummies are also estimated but not reported.</w:t>
      </w:r>
    </w:p>
    <w:p w14:paraId="209E2FD7" w14:textId="77777777" w:rsidR="00FD5C18" w:rsidRDefault="0028768B" w:rsidP="0028768B">
      <w:pPr>
        <w:pStyle w:val="Source"/>
      </w:pPr>
      <w:r>
        <w:t>Source: Dept. of Industry, Innovation and Science (2018)</w:t>
      </w:r>
    </w:p>
    <w:p w14:paraId="209E2FD8" w14:textId="77777777" w:rsidR="00647C33" w:rsidRDefault="00647C33" w:rsidP="00647C33">
      <w:pPr>
        <w:pStyle w:val="BodyText"/>
        <w:rPr>
          <w:lang w:val="en"/>
        </w:rPr>
      </w:pPr>
    </w:p>
    <w:p w14:paraId="209E2FD9" w14:textId="77777777" w:rsidR="00647C33" w:rsidRPr="00647C33" w:rsidRDefault="00647C33" w:rsidP="00647C33">
      <w:pPr>
        <w:pStyle w:val="BodyText"/>
        <w:rPr>
          <w:lang w:val="en"/>
        </w:rPr>
        <w:sectPr w:rsidR="00647C33" w:rsidRPr="00647C33" w:rsidSect="00C821A6">
          <w:headerReference w:type="default" r:id="rId21"/>
          <w:pgSz w:w="16838" w:h="11906" w:orient="landscape" w:code="9"/>
          <w:pgMar w:top="1440" w:right="1440" w:bottom="1440" w:left="1440" w:header="709" w:footer="709" w:gutter="0"/>
          <w:cols w:space="708"/>
          <w:docGrid w:linePitch="360"/>
        </w:sectPr>
      </w:pPr>
    </w:p>
    <w:p w14:paraId="209E2FDA" w14:textId="77777777" w:rsidR="00647C33" w:rsidRPr="001A0DEB" w:rsidRDefault="00DD45B5" w:rsidP="00647C33">
      <w:pPr>
        <w:pStyle w:val="BodyText"/>
      </w:pPr>
      <w:r w:rsidRPr="001A0DEB">
        <w:lastRenderedPageBreak/>
        <w:t xml:space="preserve">In </w:t>
      </w:r>
      <w:r w:rsidRPr="001A0DEB">
        <w:fldChar w:fldCharType="begin"/>
      </w:r>
      <w:r w:rsidRPr="001A0DEB">
        <w:instrText xml:space="preserve"> REF _Ref519606395 \h </w:instrText>
      </w:r>
      <w:r w:rsidRPr="001A0DEB">
        <w:fldChar w:fldCharType="separate"/>
      </w:r>
      <w:r w:rsidR="00851CD1" w:rsidRPr="001A0DEB">
        <w:t xml:space="preserve">Table </w:t>
      </w:r>
      <w:r w:rsidR="00851CD1" w:rsidRPr="001A0DEB">
        <w:rPr>
          <w:noProof/>
        </w:rPr>
        <w:t>6</w:t>
      </w:r>
      <w:r w:rsidR="00851CD1" w:rsidRPr="001A0DEB">
        <w:t>.</w:t>
      </w:r>
      <w:r w:rsidR="00851CD1" w:rsidRPr="001A0DEB">
        <w:rPr>
          <w:noProof/>
        </w:rPr>
        <w:t>2</w:t>
      </w:r>
      <w:r w:rsidRPr="001A0DEB">
        <w:fldChar w:fldCharType="end"/>
      </w:r>
      <w:r w:rsidR="00647C33" w:rsidRPr="001A0DEB">
        <w:t>, I report the total marginal effect of government assistance that simultaneously accounts for the conditional and selection effects. Overall, government financial assistance leads to 12.5 percentage point increase in the propensity. The last column, again, shows that the largest additionality accrues to small firms, but it is mostly through giving them the incentive to seek financing.</w:t>
      </w:r>
    </w:p>
    <w:p w14:paraId="209E2FDB" w14:textId="77777777" w:rsidR="00637D53" w:rsidRDefault="00637D53" w:rsidP="00C474C2">
      <w:pPr>
        <w:pStyle w:val="Caption"/>
      </w:pPr>
      <w:bookmarkStart w:id="6" w:name="_Ref519606395"/>
      <w:r w:rsidRPr="000618FB">
        <w:t xml:space="preserve">Table </w:t>
      </w:r>
      <w:r>
        <w:rPr>
          <w:noProof/>
        </w:rPr>
        <w:fldChar w:fldCharType="begin"/>
      </w:r>
      <w:r>
        <w:rPr>
          <w:noProof/>
        </w:rPr>
        <w:instrText xml:space="preserve"> STYLEREF 1 \s </w:instrText>
      </w:r>
      <w:r>
        <w:rPr>
          <w:noProof/>
        </w:rPr>
        <w:fldChar w:fldCharType="separate"/>
      </w:r>
      <w:r w:rsidR="00851CD1">
        <w:rPr>
          <w:noProof/>
        </w:rPr>
        <w:t>6</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851CD1">
        <w:rPr>
          <w:noProof/>
        </w:rPr>
        <w:t>2</w:t>
      </w:r>
      <w:r>
        <w:rPr>
          <w:noProof/>
        </w:rPr>
        <w:fldChar w:fldCharType="end"/>
      </w:r>
      <w:bookmarkEnd w:id="6"/>
      <w:r w:rsidRPr="000618FB">
        <w:t xml:space="preserve">: </w:t>
      </w:r>
      <w:r>
        <w:t>Full average marginal effect of government assistance on the propensity to obtain financing.</w:t>
      </w:r>
    </w:p>
    <w:tbl>
      <w:tblPr>
        <w:tblStyle w:val="OCETable"/>
        <w:tblW w:w="5000" w:type="pct"/>
        <w:tblLook w:val="04A0" w:firstRow="1" w:lastRow="0" w:firstColumn="1" w:lastColumn="0" w:noHBand="0" w:noVBand="1"/>
        <w:tblCaption w:val="Total marginal effects"/>
        <w:tblDescription w:val="Thye marginal effect of govenrment assistance (accounting for selection and conditional effects) is positive in all cases."/>
      </w:tblPr>
      <w:tblGrid>
        <w:gridCol w:w="2885"/>
        <w:gridCol w:w="1384"/>
        <w:gridCol w:w="1384"/>
        <w:gridCol w:w="1241"/>
      </w:tblGrid>
      <w:tr w:rsidR="00637D53" w14:paraId="209E2FE0" w14:textId="77777777" w:rsidTr="00DC6A46">
        <w:trPr>
          <w:cnfStyle w:val="100000000000" w:firstRow="1" w:lastRow="0" w:firstColumn="0" w:lastColumn="0" w:oddVBand="0" w:evenVBand="0" w:oddHBand="0" w:evenHBand="0" w:firstRowFirstColumn="0" w:firstRowLastColumn="0" w:lastRowFirstColumn="0" w:lastRowLastColumn="0"/>
          <w:tblHeader/>
        </w:trPr>
        <w:tc>
          <w:tcPr>
            <w:tcW w:w="2092" w:type="pct"/>
          </w:tcPr>
          <w:p w14:paraId="209E2FDC" w14:textId="77777777" w:rsidR="00637D53" w:rsidRDefault="00637D53" w:rsidP="00637D53">
            <w:pPr>
              <w:pStyle w:val="Tableheadertext"/>
            </w:pPr>
            <w:r>
              <w:t>Variables</w:t>
            </w:r>
          </w:p>
        </w:tc>
        <w:tc>
          <w:tcPr>
            <w:tcW w:w="1004" w:type="pct"/>
          </w:tcPr>
          <w:p w14:paraId="209E2FDD" w14:textId="77777777" w:rsidR="00637D53" w:rsidRDefault="00637D53" w:rsidP="00182BC7">
            <w:pPr>
              <w:pStyle w:val="Tableheadertext"/>
              <w:jc w:val="right"/>
            </w:pPr>
            <w:r>
              <w:t>(2)</w:t>
            </w:r>
          </w:p>
        </w:tc>
        <w:tc>
          <w:tcPr>
            <w:tcW w:w="1004" w:type="pct"/>
          </w:tcPr>
          <w:p w14:paraId="209E2FDE" w14:textId="77777777" w:rsidR="00637D53" w:rsidRDefault="00637D53" w:rsidP="00182BC7">
            <w:pPr>
              <w:pStyle w:val="Tableheadertext"/>
              <w:jc w:val="right"/>
            </w:pPr>
            <w:r>
              <w:t>(3)</w:t>
            </w:r>
          </w:p>
        </w:tc>
        <w:tc>
          <w:tcPr>
            <w:tcW w:w="900" w:type="pct"/>
          </w:tcPr>
          <w:p w14:paraId="209E2FDF" w14:textId="77777777" w:rsidR="00637D53" w:rsidRDefault="00637D53" w:rsidP="00182BC7">
            <w:pPr>
              <w:pStyle w:val="Tableheadertext"/>
              <w:jc w:val="right"/>
            </w:pPr>
            <w:r>
              <w:t>(4)</w:t>
            </w:r>
          </w:p>
        </w:tc>
      </w:tr>
      <w:tr w:rsidR="00637D53" w14:paraId="209E2FE5" w14:textId="77777777" w:rsidTr="00637D53">
        <w:trPr>
          <w:cnfStyle w:val="000000100000" w:firstRow="0" w:lastRow="0" w:firstColumn="0" w:lastColumn="0" w:oddVBand="0" w:evenVBand="0" w:oddHBand="1" w:evenHBand="0" w:firstRowFirstColumn="0" w:firstRowLastColumn="0" w:lastRowFirstColumn="0" w:lastRowLastColumn="0"/>
        </w:trPr>
        <w:tc>
          <w:tcPr>
            <w:tcW w:w="2092" w:type="pct"/>
          </w:tcPr>
          <w:p w14:paraId="209E2FE1" w14:textId="77777777" w:rsidR="00637D53" w:rsidRPr="001A0DEB" w:rsidRDefault="00637D53" w:rsidP="00637D53">
            <w:pPr>
              <w:pStyle w:val="Tablebodytext"/>
            </w:pPr>
            <w:r w:rsidRPr="001A0DEB">
              <w:t xml:space="preserve"> </w:t>
            </w:r>
            <m:oMath>
              <m:r>
                <w:rPr>
                  <w:rFonts w:ascii="Cambria Math" w:hAnsi="Cambria Math"/>
                </w:rPr>
                <m:t>Go</m:t>
              </m:r>
              <m:sSub>
                <m:sSubPr>
                  <m:ctrlPr>
                    <w:rPr>
                      <w:rFonts w:ascii="Cambria Math" w:hAnsi="Cambria Math"/>
                    </w:rPr>
                  </m:ctrlPr>
                </m:sSubPr>
                <m:e>
                  <m:r>
                    <w:rPr>
                      <w:rFonts w:ascii="Cambria Math" w:hAnsi="Cambria Math"/>
                    </w:rPr>
                    <m:t>v</m:t>
                  </m:r>
                </m:e>
                <m:sub>
                  <m:r>
                    <w:rPr>
                      <w:rFonts w:ascii="Cambria Math" w:hAnsi="Cambria Math"/>
                    </w:rPr>
                    <m:t>t</m:t>
                  </m:r>
                </m:sub>
              </m:sSub>
            </m:oMath>
          </w:p>
        </w:tc>
        <w:tc>
          <w:tcPr>
            <w:tcW w:w="1004" w:type="pct"/>
          </w:tcPr>
          <w:p w14:paraId="209E2FE2" w14:textId="77777777" w:rsidR="00637D53" w:rsidRPr="001A0DEB" w:rsidRDefault="00637D53" w:rsidP="00182BC7">
            <w:pPr>
              <w:pStyle w:val="Tablebodytext"/>
              <w:jc w:val="right"/>
            </w:pPr>
            <w:r w:rsidRPr="001A0DEB">
              <w:t>0.116***</w:t>
            </w:r>
          </w:p>
        </w:tc>
        <w:tc>
          <w:tcPr>
            <w:tcW w:w="1004" w:type="pct"/>
          </w:tcPr>
          <w:p w14:paraId="209E2FE3" w14:textId="77777777" w:rsidR="00637D53" w:rsidRPr="001A0DEB" w:rsidRDefault="00637D53" w:rsidP="00182BC7">
            <w:pPr>
              <w:pStyle w:val="Tablebodytext"/>
              <w:jc w:val="right"/>
            </w:pPr>
            <w:r w:rsidRPr="001A0DEB">
              <w:t>0.125***</w:t>
            </w:r>
          </w:p>
        </w:tc>
        <w:tc>
          <w:tcPr>
            <w:tcW w:w="900" w:type="pct"/>
          </w:tcPr>
          <w:p w14:paraId="209E2FE4" w14:textId="77777777" w:rsidR="00637D53" w:rsidRPr="001A0DEB" w:rsidRDefault="00637D53" w:rsidP="00182BC7">
            <w:pPr>
              <w:pStyle w:val="Tablebodytext"/>
              <w:jc w:val="right"/>
            </w:pPr>
            <w:r w:rsidRPr="001A0DEB">
              <w:t>0.212</w:t>
            </w:r>
          </w:p>
        </w:tc>
      </w:tr>
      <w:tr w:rsidR="00637D53" w14:paraId="209E2FEA" w14:textId="77777777" w:rsidTr="00637D53">
        <w:trPr>
          <w:cnfStyle w:val="000000010000" w:firstRow="0" w:lastRow="0" w:firstColumn="0" w:lastColumn="0" w:oddVBand="0" w:evenVBand="0" w:oddHBand="0" w:evenHBand="1" w:firstRowFirstColumn="0" w:firstRowLastColumn="0" w:lastRowFirstColumn="0" w:lastRowLastColumn="0"/>
        </w:trPr>
        <w:tc>
          <w:tcPr>
            <w:tcW w:w="2092" w:type="pct"/>
          </w:tcPr>
          <w:p w14:paraId="209E2FE6" w14:textId="77777777" w:rsidR="00637D53" w:rsidRPr="001A0DEB" w:rsidRDefault="00637D53" w:rsidP="00637D53">
            <w:pPr>
              <w:pStyle w:val="Tablebodytext"/>
            </w:pPr>
          </w:p>
        </w:tc>
        <w:tc>
          <w:tcPr>
            <w:tcW w:w="1004" w:type="pct"/>
          </w:tcPr>
          <w:p w14:paraId="209E2FE7" w14:textId="77777777" w:rsidR="00637D53" w:rsidRPr="001A0DEB" w:rsidRDefault="00637D53" w:rsidP="00182BC7">
            <w:pPr>
              <w:pStyle w:val="Tablebodytext"/>
              <w:jc w:val="right"/>
            </w:pPr>
            <w:r w:rsidRPr="001A0DEB">
              <w:t>(0.013)</w:t>
            </w:r>
          </w:p>
        </w:tc>
        <w:tc>
          <w:tcPr>
            <w:tcW w:w="1004" w:type="pct"/>
          </w:tcPr>
          <w:p w14:paraId="209E2FE8" w14:textId="77777777" w:rsidR="00637D53" w:rsidRPr="001A0DEB" w:rsidRDefault="00637D53" w:rsidP="00182BC7">
            <w:pPr>
              <w:pStyle w:val="Tablebodytext"/>
              <w:jc w:val="right"/>
            </w:pPr>
            <w:r w:rsidRPr="001A0DEB">
              <w:t>(0.023)</w:t>
            </w:r>
          </w:p>
        </w:tc>
        <w:tc>
          <w:tcPr>
            <w:tcW w:w="900" w:type="pct"/>
          </w:tcPr>
          <w:p w14:paraId="209E2FE9" w14:textId="77777777" w:rsidR="00637D53" w:rsidRPr="001A0DEB" w:rsidRDefault="00637D53" w:rsidP="00182BC7">
            <w:pPr>
              <w:pStyle w:val="Tablebodytext"/>
              <w:jc w:val="right"/>
            </w:pPr>
            <w:r w:rsidRPr="001A0DEB">
              <w:t>(0.140)</w:t>
            </w:r>
          </w:p>
        </w:tc>
      </w:tr>
      <w:tr w:rsidR="00637D53" w14:paraId="209E2FEF" w14:textId="77777777" w:rsidTr="00637D53">
        <w:trPr>
          <w:cnfStyle w:val="000000100000" w:firstRow="0" w:lastRow="0" w:firstColumn="0" w:lastColumn="0" w:oddVBand="0" w:evenVBand="0" w:oddHBand="1" w:evenHBand="0" w:firstRowFirstColumn="0" w:firstRowLastColumn="0" w:lastRowFirstColumn="0" w:lastRowLastColumn="0"/>
        </w:trPr>
        <w:tc>
          <w:tcPr>
            <w:tcW w:w="2092" w:type="pct"/>
          </w:tcPr>
          <w:p w14:paraId="209E2FEB" w14:textId="77777777" w:rsidR="00637D53" w:rsidRPr="001A0DEB" w:rsidRDefault="00637D53" w:rsidP="00637D53">
            <w:pPr>
              <w:pStyle w:val="Tablebodytext"/>
            </w:pPr>
            <w:r w:rsidRPr="001A0DEB">
              <w:t xml:space="preserve"> </w:t>
            </w:r>
            <m:oMath>
              <m:r>
                <w:rPr>
                  <w:rFonts w:ascii="Cambria Math" w:hAnsi="Cambria Math"/>
                </w:rPr>
                <m:t>Go</m:t>
              </m:r>
              <m:sSub>
                <m:sSubPr>
                  <m:ctrlPr>
                    <w:rPr>
                      <w:rFonts w:ascii="Cambria Math" w:hAnsi="Cambria Math"/>
                    </w:rPr>
                  </m:ctrlPr>
                </m:sSubPr>
                <m:e>
                  <m:r>
                    <w:rPr>
                      <w:rFonts w:ascii="Cambria Math" w:hAnsi="Cambria Math"/>
                    </w:rPr>
                    <m:t>v</m:t>
                  </m:r>
                </m:e>
                <m:sub>
                  <m:r>
                    <w:rPr>
                      <w:rFonts w:ascii="Cambria Math" w:hAnsi="Cambria Math"/>
                    </w:rPr>
                    <m:t>t</m:t>
                  </m:r>
                </m:sub>
              </m:sSub>
              <m:r>
                <w:rPr>
                  <w:rFonts w:ascii="Cambria Math" w:hAnsi="Cambria Math"/>
                </w:rPr>
                <m:t>×</m:t>
              </m:r>
              <m:r>
                <m:rPr>
                  <m:sty m:val="p"/>
                </m:rPr>
                <w:rPr>
                  <w:rFonts w:ascii="Cambria Math" w:hAnsi="Cambria Math"/>
                </w:rPr>
                <m:t>log</m:t>
              </m:r>
              <m:r>
                <w:rPr>
                  <w:rFonts w:ascii="Cambria Math" w:hAnsi="Cambria Math"/>
                </w:rPr>
                <m:t>(Asset</m:t>
              </m:r>
              <m:sSub>
                <m:sSubPr>
                  <m:ctrlPr>
                    <w:rPr>
                      <w:rFonts w:ascii="Cambria Math" w:hAnsi="Cambria Math"/>
                    </w:rPr>
                  </m:ctrlPr>
                </m:sSubPr>
                <m:e>
                  <m:r>
                    <w:rPr>
                      <w:rFonts w:ascii="Cambria Math" w:hAnsi="Cambria Math"/>
                    </w:rPr>
                    <m:t>s</m:t>
                  </m:r>
                </m:e>
                <m:sub>
                  <m:r>
                    <w:rPr>
                      <w:rFonts w:ascii="Cambria Math" w:hAnsi="Cambria Math"/>
                    </w:rPr>
                    <m:t>t</m:t>
                  </m:r>
                </m:sub>
              </m:sSub>
              <m:r>
                <w:rPr>
                  <w:rFonts w:ascii="Cambria Math" w:hAnsi="Cambria Math"/>
                </w:rPr>
                <m:t>)</m:t>
              </m:r>
            </m:oMath>
          </w:p>
        </w:tc>
        <w:tc>
          <w:tcPr>
            <w:tcW w:w="1004" w:type="pct"/>
          </w:tcPr>
          <w:p w14:paraId="209E2FEC" w14:textId="77777777" w:rsidR="00637D53" w:rsidRPr="001A0DEB" w:rsidRDefault="00637D53" w:rsidP="00182BC7">
            <w:pPr>
              <w:pStyle w:val="Tablebodytext"/>
              <w:jc w:val="right"/>
            </w:pPr>
          </w:p>
        </w:tc>
        <w:tc>
          <w:tcPr>
            <w:tcW w:w="1004" w:type="pct"/>
          </w:tcPr>
          <w:p w14:paraId="209E2FED" w14:textId="77777777" w:rsidR="00637D53" w:rsidRPr="001A0DEB" w:rsidRDefault="00637D53" w:rsidP="00182BC7">
            <w:pPr>
              <w:pStyle w:val="Tablebodytext"/>
              <w:jc w:val="right"/>
            </w:pPr>
          </w:p>
        </w:tc>
        <w:tc>
          <w:tcPr>
            <w:tcW w:w="900" w:type="pct"/>
          </w:tcPr>
          <w:p w14:paraId="209E2FEE" w14:textId="5795D824" w:rsidR="00637D53" w:rsidRPr="001A0DEB" w:rsidRDefault="0084296C" w:rsidP="00182BC7">
            <w:pPr>
              <w:pStyle w:val="Tablebodytext"/>
              <w:jc w:val="right"/>
            </w:pPr>
            <w:r>
              <w:t>–</w:t>
            </w:r>
            <w:r w:rsidR="00637D53" w:rsidRPr="001A0DEB">
              <w:t>0.006</w:t>
            </w:r>
          </w:p>
        </w:tc>
      </w:tr>
      <w:tr w:rsidR="00637D53" w14:paraId="209E2FF4" w14:textId="77777777" w:rsidTr="00637D53">
        <w:trPr>
          <w:cnfStyle w:val="000000010000" w:firstRow="0" w:lastRow="0" w:firstColumn="0" w:lastColumn="0" w:oddVBand="0" w:evenVBand="0" w:oddHBand="0" w:evenHBand="1" w:firstRowFirstColumn="0" w:firstRowLastColumn="0" w:lastRowFirstColumn="0" w:lastRowLastColumn="0"/>
        </w:trPr>
        <w:tc>
          <w:tcPr>
            <w:tcW w:w="2092" w:type="pct"/>
          </w:tcPr>
          <w:p w14:paraId="209E2FF0" w14:textId="77777777" w:rsidR="00637D53" w:rsidRPr="001A0DEB" w:rsidRDefault="00637D53" w:rsidP="00637D53">
            <w:pPr>
              <w:pStyle w:val="Tablebodytext"/>
            </w:pPr>
          </w:p>
        </w:tc>
        <w:tc>
          <w:tcPr>
            <w:tcW w:w="1004" w:type="pct"/>
          </w:tcPr>
          <w:p w14:paraId="209E2FF1" w14:textId="77777777" w:rsidR="00637D53" w:rsidRPr="001A0DEB" w:rsidRDefault="00637D53" w:rsidP="00182BC7">
            <w:pPr>
              <w:pStyle w:val="Tablebodytext"/>
              <w:jc w:val="right"/>
            </w:pPr>
          </w:p>
        </w:tc>
        <w:tc>
          <w:tcPr>
            <w:tcW w:w="1004" w:type="pct"/>
          </w:tcPr>
          <w:p w14:paraId="209E2FF2" w14:textId="77777777" w:rsidR="00637D53" w:rsidRPr="001A0DEB" w:rsidRDefault="00637D53" w:rsidP="00182BC7">
            <w:pPr>
              <w:pStyle w:val="Tablebodytext"/>
              <w:jc w:val="right"/>
            </w:pPr>
          </w:p>
        </w:tc>
        <w:tc>
          <w:tcPr>
            <w:tcW w:w="900" w:type="pct"/>
          </w:tcPr>
          <w:p w14:paraId="209E2FF3" w14:textId="77777777" w:rsidR="00637D53" w:rsidRPr="001A0DEB" w:rsidRDefault="00637D53" w:rsidP="00182BC7">
            <w:pPr>
              <w:pStyle w:val="Tablebodytext"/>
              <w:jc w:val="right"/>
            </w:pPr>
            <w:r w:rsidRPr="001A0DEB">
              <w:t>(0.008)</w:t>
            </w:r>
          </w:p>
        </w:tc>
      </w:tr>
      <w:tr w:rsidR="00637D53" w14:paraId="209E2FF9" w14:textId="77777777" w:rsidTr="00637D53">
        <w:trPr>
          <w:cnfStyle w:val="000000100000" w:firstRow="0" w:lastRow="0" w:firstColumn="0" w:lastColumn="0" w:oddVBand="0" w:evenVBand="0" w:oddHBand="1" w:evenHBand="0" w:firstRowFirstColumn="0" w:firstRowLastColumn="0" w:lastRowFirstColumn="0" w:lastRowLastColumn="0"/>
        </w:trPr>
        <w:tc>
          <w:tcPr>
            <w:tcW w:w="2092" w:type="pct"/>
          </w:tcPr>
          <w:p w14:paraId="209E2FF5" w14:textId="77777777" w:rsidR="00637D53" w:rsidRPr="001A0DEB" w:rsidRDefault="00637D53" w:rsidP="00637D53">
            <w:pPr>
              <w:pStyle w:val="Tablebodytext"/>
            </w:pPr>
            <w:r w:rsidRPr="001A0DEB">
              <w:t xml:space="preserve"> </w:t>
            </w:r>
            <m:oMath>
              <m:r>
                <w:rPr>
                  <w:rFonts w:ascii="Cambria Math" w:hAnsi="Cambria Math"/>
                </w:rPr>
                <m:t>Go</m:t>
              </m:r>
              <m:sSub>
                <m:sSubPr>
                  <m:ctrlPr>
                    <w:rPr>
                      <w:rFonts w:ascii="Cambria Math" w:hAnsi="Cambria Math"/>
                    </w:rPr>
                  </m:ctrlPr>
                </m:sSubPr>
                <m:e>
                  <m:r>
                    <w:rPr>
                      <w:rFonts w:ascii="Cambria Math" w:hAnsi="Cambria Math"/>
                    </w:rPr>
                    <m:t>v</m:t>
                  </m:r>
                </m:e>
                <m:sub>
                  <m:r>
                    <w:rPr>
                      <w:rFonts w:ascii="Cambria Math" w:hAnsi="Cambria Math"/>
                    </w:rPr>
                    <m:t>t</m:t>
                  </m:r>
                </m:sub>
              </m:sSub>
              <m:r>
                <w:rPr>
                  <w:rFonts w:ascii="Cambria Math" w:hAnsi="Cambria Math"/>
                </w:rPr>
                <m:t>×Youn</m:t>
              </m:r>
              <m:sSub>
                <m:sSubPr>
                  <m:ctrlPr>
                    <w:rPr>
                      <w:rFonts w:ascii="Cambria Math" w:hAnsi="Cambria Math"/>
                    </w:rPr>
                  </m:ctrlPr>
                </m:sSubPr>
                <m:e>
                  <m:r>
                    <w:rPr>
                      <w:rFonts w:ascii="Cambria Math" w:hAnsi="Cambria Math"/>
                    </w:rPr>
                    <m:t>g</m:t>
                  </m:r>
                </m:e>
                <m:sub>
                  <m:r>
                    <w:rPr>
                      <w:rFonts w:ascii="Cambria Math" w:hAnsi="Cambria Math"/>
                    </w:rPr>
                    <m:t>t</m:t>
                  </m:r>
                </m:sub>
              </m:sSub>
            </m:oMath>
          </w:p>
        </w:tc>
        <w:tc>
          <w:tcPr>
            <w:tcW w:w="1004" w:type="pct"/>
          </w:tcPr>
          <w:p w14:paraId="209E2FF6" w14:textId="77777777" w:rsidR="00637D53" w:rsidRPr="001A0DEB" w:rsidRDefault="00637D53" w:rsidP="00182BC7">
            <w:pPr>
              <w:pStyle w:val="Tablebodytext"/>
              <w:jc w:val="right"/>
            </w:pPr>
          </w:p>
        </w:tc>
        <w:tc>
          <w:tcPr>
            <w:tcW w:w="1004" w:type="pct"/>
          </w:tcPr>
          <w:p w14:paraId="209E2FF7" w14:textId="77777777" w:rsidR="00637D53" w:rsidRPr="001A0DEB" w:rsidRDefault="00637D53" w:rsidP="00182BC7">
            <w:pPr>
              <w:pStyle w:val="Tablebodytext"/>
              <w:jc w:val="right"/>
            </w:pPr>
          </w:p>
        </w:tc>
        <w:tc>
          <w:tcPr>
            <w:tcW w:w="900" w:type="pct"/>
          </w:tcPr>
          <w:p w14:paraId="209E2FF8" w14:textId="1007B21A" w:rsidR="00637D53" w:rsidRPr="001A0DEB" w:rsidRDefault="0084296C" w:rsidP="00182BC7">
            <w:pPr>
              <w:pStyle w:val="Tablebodytext"/>
              <w:jc w:val="right"/>
            </w:pPr>
            <w:r>
              <w:t>–</w:t>
            </w:r>
            <w:r w:rsidR="00637D53" w:rsidRPr="001A0DEB">
              <w:t>0.040</w:t>
            </w:r>
          </w:p>
        </w:tc>
      </w:tr>
      <w:tr w:rsidR="00637D53" w14:paraId="209E2FFE" w14:textId="77777777" w:rsidTr="00637D53">
        <w:trPr>
          <w:cnfStyle w:val="000000010000" w:firstRow="0" w:lastRow="0" w:firstColumn="0" w:lastColumn="0" w:oddVBand="0" w:evenVBand="0" w:oddHBand="0" w:evenHBand="1" w:firstRowFirstColumn="0" w:firstRowLastColumn="0" w:lastRowFirstColumn="0" w:lastRowLastColumn="0"/>
        </w:trPr>
        <w:tc>
          <w:tcPr>
            <w:tcW w:w="2092" w:type="pct"/>
          </w:tcPr>
          <w:p w14:paraId="209E2FFA" w14:textId="77777777" w:rsidR="00637D53" w:rsidRPr="001A0DEB" w:rsidRDefault="00637D53" w:rsidP="00637D53">
            <w:pPr>
              <w:pStyle w:val="Tablebodytext"/>
            </w:pPr>
          </w:p>
        </w:tc>
        <w:tc>
          <w:tcPr>
            <w:tcW w:w="1004" w:type="pct"/>
          </w:tcPr>
          <w:p w14:paraId="209E2FFB" w14:textId="77777777" w:rsidR="00637D53" w:rsidRPr="001A0DEB" w:rsidRDefault="00637D53" w:rsidP="00182BC7">
            <w:pPr>
              <w:pStyle w:val="Tablebodytext"/>
              <w:jc w:val="right"/>
            </w:pPr>
          </w:p>
        </w:tc>
        <w:tc>
          <w:tcPr>
            <w:tcW w:w="1004" w:type="pct"/>
          </w:tcPr>
          <w:p w14:paraId="209E2FFC" w14:textId="77777777" w:rsidR="00637D53" w:rsidRPr="001A0DEB" w:rsidRDefault="00637D53" w:rsidP="00182BC7">
            <w:pPr>
              <w:pStyle w:val="Tablebodytext"/>
              <w:jc w:val="right"/>
            </w:pPr>
          </w:p>
        </w:tc>
        <w:tc>
          <w:tcPr>
            <w:tcW w:w="900" w:type="pct"/>
          </w:tcPr>
          <w:p w14:paraId="209E2FFD" w14:textId="77777777" w:rsidR="00637D53" w:rsidRPr="001A0DEB" w:rsidRDefault="00637D53" w:rsidP="00182BC7">
            <w:pPr>
              <w:pStyle w:val="Tablebodytext"/>
              <w:jc w:val="right"/>
            </w:pPr>
            <w:r w:rsidRPr="001A0DEB">
              <w:t>(0.093)</w:t>
            </w:r>
          </w:p>
        </w:tc>
      </w:tr>
    </w:tbl>
    <w:p w14:paraId="209E2FFF" w14:textId="77777777" w:rsidR="00637D53" w:rsidRPr="00C62F3A" w:rsidRDefault="00637D53" w:rsidP="00C474C2">
      <w:pPr>
        <w:pStyle w:val="Note"/>
      </w:pPr>
      <w:r>
        <w:t>Notes: Numbers in parentheses are robust standard errors. *** indicates 1 per cent significance level. A set of control variables and industry and year dummies are also estimated but not reported.</w:t>
      </w:r>
    </w:p>
    <w:p w14:paraId="209E3000" w14:textId="77777777" w:rsidR="00637D53" w:rsidRDefault="00637D53" w:rsidP="00C474C2">
      <w:pPr>
        <w:pStyle w:val="Source"/>
      </w:pPr>
      <w:r>
        <w:t>Source: Dept, of Industry, Innovation and Science (2018)</w:t>
      </w:r>
    </w:p>
    <w:p w14:paraId="209E3001" w14:textId="382D38FC" w:rsidR="007259B2" w:rsidRDefault="007259B2" w:rsidP="007259B2">
      <w:pPr>
        <w:pStyle w:val="BodyText"/>
      </w:pPr>
      <w:r>
        <w:t xml:space="preserve">Note that most of the findings in this part and later </w:t>
      </w:r>
      <w:r w:rsidR="001C06EF">
        <w:t>are driven by firms seeking debt financing and much less by those seeking</w:t>
      </w:r>
      <w:r>
        <w:t xml:space="preserve"> equity financing. In the BCS, firms indicate the status of their application separately for debt or equity financing. Using these indicators, it is possible to infer whether the firm sought debt financing or equity financing or both. However, only eight per cent of all firms seeking financing are only looking for equity. About 19 per cent are seeking both debt and equity financing. Estimating the same model a</w:t>
      </w:r>
      <w:r w:rsidR="001C06EF">
        <w:t>s for debt financing</w:t>
      </w:r>
      <w:r>
        <w:t xml:space="preserve"> generates very similar results to what has already been shown. Estimating it separately for firms seeking equity financing does not generate statistically significance results for the key variables</w:t>
      </w:r>
      <w:r w:rsidR="001C06EF">
        <w:t xml:space="preserve"> due to the small sample size</w:t>
      </w:r>
      <w:r>
        <w:t>.</w:t>
      </w:r>
    </w:p>
    <w:p w14:paraId="209E3002" w14:textId="77777777" w:rsidR="007259B2" w:rsidRDefault="007259B2" w:rsidP="007259B2">
      <w:pPr>
        <w:pStyle w:val="Heading2"/>
        <w:rPr>
          <w:lang w:val="en"/>
        </w:rPr>
      </w:pPr>
      <w:r>
        <w:rPr>
          <w:lang w:val="en"/>
        </w:rPr>
        <w:t>Financing innovation</w:t>
      </w:r>
    </w:p>
    <w:p w14:paraId="209E3003" w14:textId="77777777" w:rsidR="007259B2" w:rsidRPr="00DD45B5" w:rsidRDefault="007259B2" w:rsidP="00DD45B5">
      <w:pPr>
        <w:pStyle w:val="FirstParagraph"/>
        <w:spacing w:line="270" w:lineRule="exact"/>
        <w:jc w:val="both"/>
        <w:rPr>
          <w:sz w:val="20"/>
          <w:szCs w:val="20"/>
        </w:rPr>
      </w:pPr>
      <w:r w:rsidRPr="007259B2">
        <w:rPr>
          <w:sz w:val="20"/>
          <w:szCs w:val="20"/>
        </w:rPr>
        <w:t xml:space="preserve">There is </w:t>
      </w:r>
      <w:r w:rsidRPr="00DD45B5">
        <w:rPr>
          <w:sz w:val="20"/>
          <w:szCs w:val="20"/>
        </w:rPr>
        <w:t xml:space="preserve">one group of firms which find it especially more difficult to obtain financing. The existing evidence shows that high-tech firms and firms embarking on research and innovation projects are disadvantaged when seeking financing </w:t>
      </w:r>
      <w:r w:rsidR="00DD45B5" w:rsidRPr="00DD45B5">
        <w:rPr>
          <w:sz w:val="20"/>
          <w:szCs w:val="20"/>
        </w:rPr>
        <w:t>(Westhead &amp; Storey, 1997; Freel, 1999, 2007; Carpenter &amp; Petersen, 2002)</w:t>
      </w:r>
      <w:r w:rsidRPr="00DD45B5">
        <w:rPr>
          <w:sz w:val="20"/>
          <w:szCs w:val="20"/>
        </w:rPr>
        <w:t>. The disadvantage reflects the perception that innovation and research are risky ventures with uncertain yields and a high probability of failure.</w:t>
      </w:r>
    </w:p>
    <w:p w14:paraId="209E3004" w14:textId="77777777" w:rsidR="007259B2" w:rsidRDefault="007259B2" w:rsidP="007259B2">
      <w:pPr>
        <w:pStyle w:val="BodyText"/>
      </w:pPr>
      <w:r>
        <w:t>Government financial assistance could signal capability or share in some of the risk for these firms. In this part, I explore whether Australian innovative firms suffer from the same disadvantage and whether government assistance plays any role in mitigating the problem.</w:t>
      </w:r>
    </w:p>
    <w:p w14:paraId="209E3005" w14:textId="77777777" w:rsidR="007259B2" w:rsidRDefault="007259B2" w:rsidP="007259B2">
      <w:pPr>
        <w:pStyle w:val="BodyText"/>
      </w:pPr>
      <w:r>
        <w:lastRenderedPageBreak/>
        <w:t>In one question in the BCS, firms seeking financing respond whether the reason they do so is to develop new goods, services, operational/managerial process, or marketing methods. I take a positive answer to this question as the firm’s intention to seek financing for innovation (</w:t>
      </w:r>
      <m:oMath>
        <m:r>
          <w:rPr>
            <w:rFonts w:ascii="Cambria Math" w:hAnsi="Cambria Math"/>
          </w:rPr>
          <m:t>FinInn</m:t>
        </m:r>
      </m:oMath>
      <w:r>
        <w:t xml:space="preserve">). In the BCS, firms also report whether they are </w:t>
      </w:r>
      <w:r>
        <w:rPr>
          <w:i/>
        </w:rPr>
        <w:t>innovation focused</w:t>
      </w:r>
      <w:r>
        <w:t xml:space="preserve"> regardless of whether they are carrying out an innovation at the time or not (</w:t>
      </w:r>
      <m:oMath>
        <m:r>
          <w:rPr>
            <w:rFonts w:ascii="Cambria Math" w:hAnsi="Cambria Math"/>
          </w:rPr>
          <m:t>InnFocus</m:t>
        </m:r>
      </m:oMath>
      <w:r>
        <w:t>). The proportion of firms in each gro</w:t>
      </w:r>
      <w:r w:rsidR="00DA052E">
        <w:t xml:space="preserve">up is shown in </w:t>
      </w:r>
      <w:r w:rsidR="00DA052E">
        <w:fldChar w:fldCharType="begin"/>
      </w:r>
      <w:r w:rsidR="00DA052E">
        <w:instrText xml:space="preserve"> REF _Ref519671507 \h </w:instrText>
      </w:r>
      <w:r w:rsidR="00DA052E">
        <w:fldChar w:fldCharType="separate"/>
      </w:r>
      <w:r w:rsidR="00851CD1" w:rsidRPr="000618FB">
        <w:t xml:space="preserve">Table </w:t>
      </w:r>
      <w:r w:rsidR="00851CD1">
        <w:rPr>
          <w:noProof/>
        </w:rPr>
        <w:t>6</w:t>
      </w:r>
      <w:r w:rsidR="00851CD1" w:rsidRPr="000618FB">
        <w:t>.</w:t>
      </w:r>
      <w:r w:rsidR="00851CD1">
        <w:rPr>
          <w:noProof/>
        </w:rPr>
        <w:t>3</w:t>
      </w:r>
      <w:r w:rsidR="00DA052E">
        <w:fldChar w:fldCharType="end"/>
      </w:r>
      <w:r>
        <w:t>. As the numbers in the table show, there is some overlap between the two indicators. However, not all firms with innovation focus are seeking financing for innovation, and not all firm seeking financing for innovation are innovation focused.</w:t>
      </w:r>
    </w:p>
    <w:p w14:paraId="209E3006" w14:textId="77777777" w:rsidR="00DD45B5" w:rsidRDefault="00DD45B5" w:rsidP="00C474C2">
      <w:pPr>
        <w:pStyle w:val="Caption"/>
      </w:pPr>
      <w:bookmarkStart w:id="7" w:name="_Ref519671507"/>
      <w:r w:rsidRPr="000618FB">
        <w:t xml:space="preserve">Table </w:t>
      </w:r>
      <w:r>
        <w:rPr>
          <w:noProof/>
        </w:rPr>
        <w:fldChar w:fldCharType="begin"/>
      </w:r>
      <w:r>
        <w:rPr>
          <w:noProof/>
        </w:rPr>
        <w:instrText xml:space="preserve"> STYLEREF 1 \s </w:instrText>
      </w:r>
      <w:r>
        <w:rPr>
          <w:noProof/>
        </w:rPr>
        <w:fldChar w:fldCharType="separate"/>
      </w:r>
      <w:r w:rsidR="00851CD1">
        <w:rPr>
          <w:noProof/>
        </w:rPr>
        <w:t>6</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851CD1">
        <w:rPr>
          <w:noProof/>
        </w:rPr>
        <w:t>3</w:t>
      </w:r>
      <w:r>
        <w:rPr>
          <w:noProof/>
        </w:rPr>
        <w:fldChar w:fldCharType="end"/>
      </w:r>
      <w:bookmarkEnd w:id="7"/>
      <w:r w:rsidRPr="000618FB">
        <w:t xml:space="preserve">: </w:t>
      </w:r>
      <w:r>
        <w:t>The number of firms seeking financing for innovation and the number of firms with innovation focus</w:t>
      </w:r>
    </w:p>
    <w:tbl>
      <w:tblPr>
        <w:tblStyle w:val="OCETable"/>
        <w:tblW w:w="5000" w:type="pct"/>
        <w:tblLook w:val="04A0" w:firstRow="1" w:lastRow="0" w:firstColumn="1" w:lastColumn="0" w:noHBand="0" w:noVBand="1"/>
        <w:tblCaption w:val="Count of firms that seek financing for innovation and are innovation focused"/>
        <w:tblDescription w:val="31 per cent of firms are either seeking financing for innovation or are innovation focuses. Only 8 per cent of firms are both innovation focused and seeking financing for innovation."/>
      </w:tblPr>
      <w:tblGrid>
        <w:gridCol w:w="1699"/>
        <w:gridCol w:w="2702"/>
        <w:gridCol w:w="2493"/>
      </w:tblGrid>
      <w:tr w:rsidR="00A7245B" w14:paraId="209E3009" w14:textId="77777777" w:rsidTr="00DC6A46">
        <w:trPr>
          <w:cnfStyle w:val="100000000000" w:firstRow="1" w:lastRow="0" w:firstColumn="0" w:lastColumn="0" w:oddVBand="0" w:evenVBand="0" w:oddHBand="0" w:evenHBand="0" w:firstRowFirstColumn="0" w:firstRowLastColumn="0" w:lastRowFirstColumn="0" w:lastRowLastColumn="0"/>
          <w:tblHeader/>
        </w:trPr>
        <w:tc>
          <w:tcPr>
            <w:tcW w:w="1232" w:type="pct"/>
          </w:tcPr>
          <w:p w14:paraId="209E3007" w14:textId="77777777" w:rsidR="00A7245B" w:rsidRPr="0018083B" w:rsidRDefault="00A7245B" w:rsidP="00DD45B5">
            <w:pPr>
              <w:pStyle w:val="Tableheadertext"/>
              <w:rPr>
                <w:color w:val="FFFFFF" w:themeColor="background1"/>
              </w:rPr>
            </w:pPr>
          </w:p>
        </w:tc>
        <w:tc>
          <w:tcPr>
            <w:tcW w:w="3768" w:type="pct"/>
            <w:gridSpan w:val="2"/>
          </w:tcPr>
          <w:p w14:paraId="209E3008" w14:textId="77777777" w:rsidR="00A7245B" w:rsidRPr="0018083B" w:rsidRDefault="00A7245B" w:rsidP="00A7245B">
            <w:pPr>
              <w:pStyle w:val="Tableheadertext"/>
              <w:jc w:val="center"/>
              <w:rPr>
                <w:rFonts w:ascii="Times New Roman" w:hAnsi="Times New Roman" w:cs="Times New Roman"/>
                <w:i/>
                <w:color w:val="FFFFFF" w:themeColor="background1"/>
              </w:rPr>
            </w:pPr>
            <w:r w:rsidRPr="0018083B">
              <w:rPr>
                <w:rFonts w:ascii="Times New Roman" w:hAnsi="Times New Roman" w:cs="Times New Roman"/>
                <w:i/>
                <w:color w:val="FFFFFF" w:themeColor="background1"/>
              </w:rPr>
              <w:t>InnFocus</w:t>
            </w:r>
          </w:p>
        </w:tc>
      </w:tr>
      <w:tr w:rsidR="00DD45B5" w14:paraId="209E300D" w14:textId="77777777" w:rsidTr="0018083B">
        <w:trPr>
          <w:cnfStyle w:val="000000100000" w:firstRow="0" w:lastRow="0" w:firstColumn="0" w:lastColumn="0" w:oddVBand="0" w:evenVBand="0" w:oddHBand="1" w:evenHBand="0" w:firstRowFirstColumn="0" w:firstRowLastColumn="0" w:lastRowFirstColumn="0" w:lastRowLastColumn="0"/>
        </w:trPr>
        <w:tc>
          <w:tcPr>
            <w:tcW w:w="1232" w:type="pct"/>
            <w:shd w:val="clear" w:color="auto" w:fill="005CAF" w:themeFill="accent1"/>
          </w:tcPr>
          <w:p w14:paraId="209E300A" w14:textId="77777777" w:rsidR="00DD45B5" w:rsidRDefault="00DD45B5" w:rsidP="00DD45B5">
            <w:pPr>
              <w:pStyle w:val="Tableheadertext"/>
            </w:pPr>
            <w:r>
              <w:t xml:space="preserve"> </w:t>
            </w:r>
            <m:oMath>
              <m:r>
                <m:rPr>
                  <m:sty m:val="bi"/>
                </m:rPr>
                <w:rPr>
                  <w:rFonts w:ascii="Cambria Math" w:hAnsi="Cambria Math"/>
                </w:rPr>
                <m:t>FinInn</m:t>
              </m:r>
            </m:oMath>
          </w:p>
        </w:tc>
        <w:tc>
          <w:tcPr>
            <w:tcW w:w="1960" w:type="pct"/>
            <w:shd w:val="clear" w:color="auto" w:fill="005CAF" w:themeFill="accent1"/>
          </w:tcPr>
          <w:p w14:paraId="209E300B" w14:textId="77777777" w:rsidR="00DD45B5" w:rsidRDefault="00DD45B5" w:rsidP="00A470A8">
            <w:pPr>
              <w:pStyle w:val="Tableheadertext"/>
              <w:jc w:val="right"/>
            </w:pPr>
            <w:r>
              <w:t>No</w:t>
            </w:r>
          </w:p>
        </w:tc>
        <w:tc>
          <w:tcPr>
            <w:tcW w:w="1808" w:type="pct"/>
            <w:shd w:val="clear" w:color="auto" w:fill="005CAF" w:themeFill="accent1"/>
          </w:tcPr>
          <w:p w14:paraId="209E300C" w14:textId="77777777" w:rsidR="00DD45B5" w:rsidRDefault="00DD45B5" w:rsidP="00A470A8">
            <w:pPr>
              <w:pStyle w:val="Tableheadertext"/>
              <w:jc w:val="right"/>
            </w:pPr>
            <w:r>
              <w:t>Yes</w:t>
            </w:r>
          </w:p>
        </w:tc>
      </w:tr>
      <w:tr w:rsidR="00DD45B5" w14:paraId="209E3011" w14:textId="77777777" w:rsidTr="00DD45B5">
        <w:trPr>
          <w:cnfStyle w:val="000000010000" w:firstRow="0" w:lastRow="0" w:firstColumn="0" w:lastColumn="0" w:oddVBand="0" w:evenVBand="0" w:oddHBand="0" w:evenHBand="1" w:firstRowFirstColumn="0" w:firstRowLastColumn="0" w:lastRowFirstColumn="0" w:lastRowLastColumn="0"/>
        </w:trPr>
        <w:tc>
          <w:tcPr>
            <w:tcW w:w="1232" w:type="pct"/>
          </w:tcPr>
          <w:p w14:paraId="209E300E" w14:textId="77777777" w:rsidR="00DD45B5" w:rsidRPr="001A0DEB" w:rsidRDefault="00DD45B5" w:rsidP="00DD45B5">
            <w:pPr>
              <w:pStyle w:val="Tablebodytext"/>
            </w:pPr>
            <w:r w:rsidRPr="001A0DEB">
              <w:t>No</w:t>
            </w:r>
          </w:p>
        </w:tc>
        <w:tc>
          <w:tcPr>
            <w:tcW w:w="1960" w:type="pct"/>
          </w:tcPr>
          <w:p w14:paraId="209E300F" w14:textId="77777777" w:rsidR="00DD45B5" w:rsidRPr="001A0DEB" w:rsidRDefault="00DD45B5" w:rsidP="00A470A8">
            <w:pPr>
              <w:pStyle w:val="Tablebodytext"/>
              <w:jc w:val="right"/>
            </w:pPr>
            <w:r w:rsidRPr="001A0DEB">
              <w:t>11,163 (69%)</w:t>
            </w:r>
          </w:p>
        </w:tc>
        <w:tc>
          <w:tcPr>
            <w:tcW w:w="1808" w:type="pct"/>
          </w:tcPr>
          <w:p w14:paraId="209E3010" w14:textId="77777777" w:rsidR="00DD45B5" w:rsidRPr="001A0DEB" w:rsidRDefault="00DD45B5" w:rsidP="00A470A8">
            <w:pPr>
              <w:pStyle w:val="Tablebodytext"/>
              <w:jc w:val="right"/>
            </w:pPr>
            <w:r w:rsidRPr="001A0DEB">
              <w:t>2,904 (18%)</w:t>
            </w:r>
          </w:p>
        </w:tc>
      </w:tr>
      <w:tr w:rsidR="00DD45B5" w14:paraId="209E3015" w14:textId="77777777" w:rsidTr="00DD45B5">
        <w:trPr>
          <w:cnfStyle w:val="000000100000" w:firstRow="0" w:lastRow="0" w:firstColumn="0" w:lastColumn="0" w:oddVBand="0" w:evenVBand="0" w:oddHBand="1" w:evenHBand="0" w:firstRowFirstColumn="0" w:firstRowLastColumn="0" w:lastRowFirstColumn="0" w:lastRowLastColumn="0"/>
        </w:trPr>
        <w:tc>
          <w:tcPr>
            <w:tcW w:w="1232" w:type="pct"/>
          </w:tcPr>
          <w:p w14:paraId="209E3012" w14:textId="77777777" w:rsidR="00DD45B5" w:rsidRPr="001A0DEB" w:rsidRDefault="00DD45B5" w:rsidP="00DD45B5">
            <w:pPr>
              <w:pStyle w:val="Tablebodytext"/>
            </w:pPr>
            <w:r w:rsidRPr="001A0DEB">
              <w:t>Yes</w:t>
            </w:r>
          </w:p>
        </w:tc>
        <w:tc>
          <w:tcPr>
            <w:tcW w:w="1960" w:type="pct"/>
          </w:tcPr>
          <w:p w14:paraId="209E3013" w14:textId="77777777" w:rsidR="00DD45B5" w:rsidRPr="001A0DEB" w:rsidRDefault="00DD45B5" w:rsidP="00A470A8">
            <w:pPr>
              <w:pStyle w:val="Tablebodytext"/>
              <w:jc w:val="right"/>
            </w:pPr>
            <w:r w:rsidRPr="001A0DEB">
              <w:t>1,262 (8%)</w:t>
            </w:r>
          </w:p>
        </w:tc>
        <w:tc>
          <w:tcPr>
            <w:tcW w:w="1808" w:type="pct"/>
          </w:tcPr>
          <w:p w14:paraId="209E3014" w14:textId="77777777" w:rsidR="00DD45B5" w:rsidRPr="001A0DEB" w:rsidRDefault="00DD45B5" w:rsidP="00A470A8">
            <w:pPr>
              <w:pStyle w:val="Tablebodytext"/>
              <w:jc w:val="right"/>
            </w:pPr>
            <w:r w:rsidRPr="001A0DEB">
              <w:t>789 (5%)</w:t>
            </w:r>
          </w:p>
        </w:tc>
      </w:tr>
    </w:tbl>
    <w:p w14:paraId="209E3016" w14:textId="77777777" w:rsidR="00DD45B5" w:rsidRPr="00C62F3A" w:rsidRDefault="00DD45B5" w:rsidP="00C474C2">
      <w:pPr>
        <w:pStyle w:val="Note"/>
      </w:pPr>
      <w:r>
        <w:t>Notes: Only firms seeking financing are used</w:t>
      </w:r>
    </w:p>
    <w:p w14:paraId="209E3017" w14:textId="77777777" w:rsidR="00DD45B5" w:rsidRDefault="00DD45B5" w:rsidP="00C474C2">
      <w:pPr>
        <w:pStyle w:val="Source"/>
      </w:pPr>
      <w:r>
        <w:t xml:space="preserve">Source: </w:t>
      </w:r>
      <w:r w:rsidR="00076541">
        <w:t xml:space="preserve">ABS </w:t>
      </w:r>
      <w:r>
        <w:t>Business Characteristics Survey</w:t>
      </w:r>
      <w:r w:rsidR="00466793">
        <w:t xml:space="preserve"> 2005‒2014</w:t>
      </w:r>
    </w:p>
    <w:p w14:paraId="209E3018" w14:textId="77777777" w:rsidR="00A9777F" w:rsidRPr="001A0DEB" w:rsidRDefault="00A9777F" w:rsidP="00A9777F">
      <w:pPr>
        <w:pStyle w:val="BodyText"/>
      </w:pPr>
      <w:r w:rsidRPr="001A0DEB">
        <w:t xml:space="preserve">I first explore whether these firms have a lower than average chance of obtaining financing. To do this, I re-estimate using a selection Probit where I am dropping government assistance and adding a generic variable </w:t>
      </w:r>
      <m:oMath>
        <m:r>
          <w:rPr>
            <w:rFonts w:ascii="Cambria Math" w:hAnsi="Cambria Math"/>
          </w:rPr>
          <m:t>Innov</m:t>
        </m:r>
      </m:oMath>
      <w:r w:rsidRPr="001A0DEB">
        <w:t xml:space="preserve"> to the conditional model, where </w:t>
      </w:r>
      <m:oMath>
        <m:r>
          <w:rPr>
            <w:rFonts w:ascii="Cambria Math" w:hAnsi="Cambria Math"/>
          </w:rPr>
          <m:t>Innov</m:t>
        </m:r>
      </m:oMath>
      <w:r w:rsidRPr="001A0DEB">
        <w:t xml:space="preserve"> can be set to either </w:t>
      </w:r>
      <m:oMath>
        <m:r>
          <w:rPr>
            <w:rFonts w:ascii="Cambria Math" w:hAnsi="Cambria Math"/>
          </w:rPr>
          <m:t>FinInn</m:t>
        </m:r>
      </m:oMath>
      <w:r w:rsidRPr="001A0DEB">
        <w:t xml:space="preserve"> or </w:t>
      </w:r>
      <m:oMath>
        <m:r>
          <w:rPr>
            <w:rFonts w:ascii="Cambria Math" w:hAnsi="Cambria Math"/>
          </w:rPr>
          <m:t>InnFocus</m:t>
        </m:r>
      </m:oMath>
      <w:r w:rsidRPr="001A0DEB">
        <w:t>.</w:t>
      </w:r>
    </w:p>
    <w:p w14:paraId="209E3019" w14:textId="77777777" w:rsidR="00A9777F" w:rsidRPr="001A0DEB" w:rsidRDefault="00A9777F" w:rsidP="00A9777F">
      <w:pPr>
        <w:pStyle w:val="BodyText"/>
      </w:pPr>
      <w:r w:rsidRPr="001A0DEB">
        <w:t xml:space="preserve">The marginal propensity of seeking financing for innovation in the conditional model is reported in </w:t>
      </w:r>
      <w:r w:rsidR="00FB61D7" w:rsidRPr="001A0DEB">
        <w:t xml:space="preserve">column (1) of </w:t>
      </w:r>
      <w:r w:rsidR="00FB61D7" w:rsidRPr="001A0DEB">
        <w:fldChar w:fldCharType="begin"/>
      </w:r>
      <w:r w:rsidR="00FB61D7" w:rsidRPr="001A0DEB">
        <w:instrText xml:space="preserve"> REF _Ref519671724 \h </w:instrText>
      </w:r>
      <w:r w:rsidR="00FB61D7" w:rsidRPr="001A0DEB">
        <w:fldChar w:fldCharType="separate"/>
      </w:r>
      <w:r w:rsidR="00851CD1" w:rsidRPr="001A0DEB">
        <w:t xml:space="preserve">Table </w:t>
      </w:r>
      <w:r w:rsidR="00851CD1" w:rsidRPr="001A0DEB">
        <w:rPr>
          <w:noProof/>
        </w:rPr>
        <w:t>6</w:t>
      </w:r>
      <w:r w:rsidR="00851CD1" w:rsidRPr="001A0DEB">
        <w:t>.</w:t>
      </w:r>
      <w:r w:rsidR="00851CD1" w:rsidRPr="001A0DEB">
        <w:rPr>
          <w:noProof/>
        </w:rPr>
        <w:t>4</w:t>
      </w:r>
      <w:r w:rsidR="00FB61D7" w:rsidRPr="001A0DEB">
        <w:fldChar w:fldCharType="end"/>
      </w:r>
      <w:r w:rsidRPr="001A0DEB">
        <w:t>. The effect in this case is both economically and statistically insignificant. What if size and age affect the firm’s ability to finance innovation? I test for this hypothesis in column (2) of the table by adding interaction terms with age and size.</w:t>
      </w:r>
    </w:p>
    <w:p w14:paraId="209E301A" w14:textId="77777777" w:rsidR="00A9777F" w:rsidRPr="001A0DEB" w:rsidRDefault="00A9777F" w:rsidP="00A9777F">
      <w:pPr>
        <w:pStyle w:val="BodyText"/>
      </w:pPr>
      <w:r w:rsidRPr="001A0DEB">
        <w:t>A pattern emerges in this case. Specifically, small firms seeking financing for innovation are at least 3 percentage points less likely to obtain one. This effect diminishes with size. Age does not have any statistically significant effect when it comes to financing innovation. It does not mean that young firms are having it easier to finance innovation. They are still being disadvantaged for being small.</w:t>
      </w:r>
    </w:p>
    <w:p w14:paraId="209E301B" w14:textId="77777777" w:rsidR="002C5ED2" w:rsidRPr="001A0DEB" w:rsidRDefault="002C5ED2" w:rsidP="002C5ED2">
      <w:pPr>
        <w:pStyle w:val="BodyText"/>
      </w:pPr>
      <w:r w:rsidRPr="001A0DEB">
        <w:t>Is government assistance helping these firms overcome the obstacle? I address this question in column (3) of the table. In this column, I add the dummy for government assistance and a series of interaction terms with dummies indicating innovation financing, age and size.</w:t>
      </w:r>
    </w:p>
    <w:p w14:paraId="209E301C" w14:textId="77777777" w:rsidR="00A54B55" w:rsidRPr="001A0DEB" w:rsidRDefault="00A54B55" w:rsidP="00A54B55">
      <w:pPr>
        <w:pStyle w:val="BodyText"/>
      </w:pPr>
      <w:r w:rsidRPr="001A0DEB">
        <w:t>The disadvantage innovative firms are facing is much stronger in these estimates. Specifically, firms seeking financing for innovation are 9.6 percentage points less likely to obtain financing. The effect, again, diminishes with size; however, it is not affected by firms being young.</w:t>
      </w:r>
    </w:p>
    <w:p w14:paraId="209E301D" w14:textId="77777777" w:rsidR="002C5ED2" w:rsidRPr="001A0DEB" w:rsidRDefault="002C5ED2" w:rsidP="00A9777F">
      <w:pPr>
        <w:pStyle w:val="BodyText"/>
      </w:pPr>
    </w:p>
    <w:p w14:paraId="209E301E" w14:textId="77777777" w:rsidR="00A9777F" w:rsidRDefault="00A9777F" w:rsidP="00C474C2">
      <w:pPr>
        <w:pStyle w:val="Caption"/>
      </w:pPr>
      <w:bookmarkStart w:id="8" w:name="_Ref519671724"/>
      <w:r w:rsidRPr="000618FB">
        <w:lastRenderedPageBreak/>
        <w:t xml:space="preserve">Table </w:t>
      </w:r>
      <w:r>
        <w:rPr>
          <w:noProof/>
        </w:rPr>
        <w:fldChar w:fldCharType="begin"/>
      </w:r>
      <w:r>
        <w:rPr>
          <w:noProof/>
        </w:rPr>
        <w:instrText xml:space="preserve"> STYLEREF 1 \s </w:instrText>
      </w:r>
      <w:r>
        <w:rPr>
          <w:noProof/>
        </w:rPr>
        <w:fldChar w:fldCharType="separate"/>
      </w:r>
      <w:r w:rsidR="00851CD1">
        <w:rPr>
          <w:noProof/>
        </w:rPr>
        <w:t>6</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851CD1">
        <w:rPr>
          <w:noProof/>
        </w:rPr>
        <w:t>4</w:t>
      </w:r>
      <w:r>
        <w:rPr>
          <w:noProof/>
        </w:rPr>
        <w:fldChar w:fldCharType="end"/>
      </w:r>
      <w:bookmarkEnd w:id="8"/>
      <w:r w:rsidRPr="000618FB">
        <w:t xml:space="preserve">: </w:t>
      </w:r>
      <w:r>
        <w:t>Average marginal effects of seeking finance to invest in innovation from the conditional model</w:t>
      </w:r>
    </w:p>
    <w:tbl>
      <w:tblPr>
        <w:tblStyle w:val="OCETable"/>
        <w:tblW w:w="5000" w:type="pct"/>
        <w:tblLook w:val="04A0" w:firstRow="1" w:lastRow="0" w:firstColumn="1" w:lastColumn="0" w:noHBand="0" w:noVBand="1"/>
        <w:tblCaption w:val="Average marginal effects for innovative firms"/>
        <w:tblDescription w:val="The estimates show that firms seeking financing for innovation are less likely to obatin financing. Receiving government assistance offsets that effect. The largest additionality acrues to small and yong innovative firms. Being innovation focused does not show much impact."/>
      </w:tblPr>
      <w:tblGrid>
        <w:gridCol w:w="2812"/>
        <w:gridCol w:w="1021"/>
        <w:gridCol w:w="1021"/>
        <w:gridCol w:w="1020"/>
        <w:gridCol w:w="1020"/>
      </w:tblGrid>
      <w:tr w:rsidR="00A9777F" w14:paraId="209E3024" w14:textId="77777777" w:rsidTr="00DC6A46">
        <w:trPr>
          <w:cnfStyle w:val="100000000000" w:firstRow="1" w:lastRow="0" w:firstColumn="0" w:lastColumn="0" w:oddVBand="0" w:evenVBand="0" w:oddHBand="0" w:evenHBand="0" w:firstRowFirstColumn="0" w:firstRowLastColumn="0" w:lastRowFirstColumn="0" w:lastRowLastColumn="0"/>
          <w:tblHeader/>
        </w:trPr>
        <w:tc>
          <w:tcPr>
            <w:tcW w:w="2039" w:type="pct"/>
          </w:tcPr>
          <w:p w14:paraId="209E301F" w14:textId="77777777" w:rsidR="00A9777F" w:rsidRDefault="00A9777F" w:rsidP="00A9777F">
            <w:pPr>
              <w:pStyle w:val="Tableheadertext"/>
            </w:pPr>
            <w:r>
              <w:t>Variable</w:t>
            </w:r>
          </w:p>
        </w:tc>
        <w:tc>
          <w:tcPr>
            <w:tcW w:w="740" w:type="pct"/>
          </w:tcPr>
          <w:p w14:paraId="209E3020" w14:textId="77777777" w:rsidR="00A9777F" w:rsidRDefault="00A9777F" w:rsidP="00A9777F">
            <w:pPr>
              <w:pStyle w:val="Tableheadertext"/>
            </w:pPr>
            <w:r>
              <w:t>(1)</w:t>
            </w:r>
          </w:p>
        </w:tc>
        <w:tc>
          <w:tcPr>
            <w:tcW w:w="740" w:type="pct"/>
          </w:tcPr>
          <w:p w14:paraId="209E3021" w14:textId="77777777" w:rsidR="00A9777F" w:rsidRDefault="00A9777F" w:rsidP="00A9777F">
            <w:pPr>
              <w:pStyle w:val="Tableheadertext"/>
            </w:pPr>
            <w:r>
              <w:t>(2)</w:t>
            </w:r>
          </w:p>
        </w:tc>
        <w:tc>
          <w:tcPr>
            <w:tcW w:w="740" w:type="pct"/>
          </w:tcPr>
          <w:p w14:paraId="209E3022" w14:textId="77777777" w:rsidR="00A9777F" w:rsidRDefault="00A9777F" w:rsidP="00A9777F">
            <w:pPr>
              <w:pStyle w:val="Tableheadertext"/>
            </w:pPr>
            <w:r>
              <w:t>(3)</w:t>
            </w:r>
          </w:p>
        </w:tc>
        <w:tc>
          <w:tcPr>
            <w:tcW w:w="740" w:type="pct"/>
          </w:tcPr>
          <w:p w14:paraId="209E3023" w14:textId="77777777" w:rsidR="00A9777F" w:rsidRDefault="00A9777F" w:rsidP="00A9777F">
            <w:pPr>
              <w:pStyle w:val="Tableheadertext"/>
            </w:pPr>
            <w:r>
              <w:t>(4)</w:t>
            </w:r>
          </w:p>
        </w:tc>
      </w:tr>
      <w:tr w:rsidR="00A9777F" w14:paraId="209E302A" w14:textId="77777777" w:rsidTr="00A9777F">
        <w:trPr>
          <w:cnfStyle w:val="000000100000" w:firstRow="0" w:lastRow="0" w:firstColumn="0" w:lastColumn="0" w:oddVBand="0" w:evenVBand="0" w:oddHBand="1" w:evenHBand="0" w:firstRowFirstColumn="0" w:firstRowLastColumn="0" w:lastRowFirstColumn="0" w:lastRowLastColumn="0"/>
        </w:trPr>
        <w:tc>
          <w:tcPr>
            <w:tcW w:w="2039" w:type="pct"/>
          </w:tcPr>
          <w:p w14:paraId="209E3025" w14:textId="77777777" w:rsidR="00A9777F" w:rsidRPr="00686E61" w:rsidRDefault="00A9777F" w:rsidP="00A9777F">
            <w:pPr>
              <w:pStyle w:val="Tablebodytext"/>
            </w:pPr>
            <w:r w:rsidRPr="00686E61">
              <w:t xml:space="preserve"> </w:t>
            </w:r>
            <m:oMath>
              <m:r>
                <w:rPr>
                  <w:rFonts w:ascii="Cambria Math" w:hAnsi="Cambria Math"/>
                </w:rPr>
                <m:t>Inno</m:t>
              </m:r>
              <m:sSub>
                <m:sSubPr>
                  <m:ctrlPr>
                    <w:rPr>
                      <w:rFonts w:ascii="Cambria Math" w:hAnsi="Cambria Math"/>
                    </w:rPr>
                  </m:ctrlPr>
                </m:sSubPr>
                <m:e>
                  <m:r>
                    <w:rPr>
                      <w:rFonts w:ascii="Cambria Math" w:hAnsi="Cambria Math"/>
                    </w:rPr>
                    <m:t>v</m:t>
                  </m:r>
                </m:e>
                <m:sub>
                  <m:r>
                    <w:rPr>
                      <w:rFonts w:ascii="Cambria Math" w:hAnsi="Cambria Math"/>
                    </w:rPr>
                    <m:t>t+1</m:t>
                  </m:r>
                </m:sub>
              </m:sSub>
            </m:oMath>
          </w:p>
        </w:tc>
        <w:tc>
          <w:tcPr>
            <w:tcW w:w="740" w:type="pct"/>
          </w:tcPr>
          <w:p w14:paraId="209E3026" w14:textId="77777777" w:rsidR="00A9777F" w:rsidRPr="00686E61" w:rsidRDefault="00A9777F" w:rsidP="00A9777F">
            <w:pPr>
              <w:pStyle w:val="Tablebodytext"/>
            </w:pPr>
            <w:r w:rsidRPr="00686E61">
              <w:t>0.004</w:t>
            </w:r>
          </w:p>
        </w:tc>
        <w:tc>
          <w:tcPr>
            <w:tcW w:w="740" w:type="pct"/>
          </w:tcPr>
          <w:p w14:paraId="209E3027" w14:textId="2FDD41B7" w:rsidR="00A9777F" w:rsidRPr="00686E61" w:rsidRDefault="0084296C" w:rsidP="00A9777F">
            <w:pPr>
              <w:pStyle w:val="Tablebodytext"/>
            </w:pPr>
            <w:r w:rsidRPr="00686E61">
              <w:t>–</w:t>
            </w:r>
            <w:r w:rsidR="00A9777F" w:rsidRPr="00686E61">
              <w:t>0.031</w:t>
            </w:r>
          </w:p>
        </w:tc>
        <w:tc>
          <w:tcPr>
            <w:tcW w:w="740" w:type="pct"/>
          </w:tcPr>
          <w:p w14:paraId="209E3028" w14:textId="7F26E61A" w:rsidR="00A9777F" w:rsidRPr="00686E61" w:rsidRDefault="0084296C" w:rsidP="00A9777F">
            <w:pPr>
              <w:pStyle w:val="Tablebodytext"/>
            </w:pPr>
            <w:r w:rsidRPr="00686E61">
              <w:t>–</w:t>
            </w:r>
            <w:r w:rsidR="00A9777F" w:rsidRPr="00686E61">
              <w:t>0.096***</w:t>
            </w:r>
          </w:p>
        </w:tc>
        <w:tc>
          <w:tcPr>
            <w:tcW w:w="740" w:type="pct"/>
          </w:tcPr>
          <w:p w14:paraId="209E3029" w14:textId="2D155143" w:rsidR="00A9777F" w:rsidRPr="00686E61" w:rsidRDefault="0084296C" w:rsidP="00A9777F">
            <w:pPr>
              <w:pStyle w:val="Tablebodytext"/>
            </w:pPr>
            <w:r w:rsidRPr="00686E61">
              <w:t>–</w:t>
            </w:r>
            <w:r w:rsidR="00A9777F" w:rsidRPr="00686E61">
              <w:t>0.009</w:t>
            </w:r>
          </w:p>
        </w:tc>
      </w:tr>
      <w:tr w:rsidR="00A9777F" w14:paraId="209E3030" w14:textId="77777777" w:rsidTr="00A9777F">
        <w:trPr>
          <w:cnfStyle w:val="000000010000" w:firstRow="0" w:lastRow="0" w:firstColumn="0" w:lastColumn="0" w:oddVBand="0" w:evenVBand="0" w:oddHBand="0" w:evenHBand="1" w:firstRowFirstColumn="0" w:firstRowLastColumn="0" w:lastRowFirstColumn="0" w:lastRowLastColumn="0"/>
        </w:trPr>
        <w:tc>
          <w:tcPr>
            <w:tcW w:w="2039" w:type="pct"/>
          </w:tcPr>
          <w:p w14:paraId="209E302B" w14:textId="77777777" w:rsidR="00A9777F" w:rsidRPr="00686E61" w:rsidRDefault="00A9777F" w:rsidP="00A9777F">
            <w:pPr>
              <w:pStyle w:val="Tablebodytext"/>
            </w:pPr>
          </w:p>
        </w:tc>
        <w:tc>
          <w:tcPr>
            <w:tcW w:w="740" w:type="pct"/>
          </w:tcPr>
          <w:p w14:paraId="209E302C" w14:textId="77777777" w:rsidR="00A9777F" w:rsidRPr="00686E61" w:rsidRDefault="00A9777F" w:rsidP="00A9777F">
            <w:pPr>
              <w:pStyle w:val="Tablebodytext"/>
            </w:pPr>
            <w:r w:rsidRPr="00686E61">
              <w:t>(0.005)</w:t>
            </w:r>
          </w:p>
        </w:tc>
        <w:tc>
          <w:tcPr>
            <w:tcW w:w="740" w:type="pct"/>
          </w:tcPr>
          <w:p w14:paraId="209E302D" w14:textId="77777777" w:rsidR="00A9777F" w:rsidRPr="00686E61" w:rsidRDefault="00A9777F" w:rsidP="00A9777F">
            <w:pPr>
              <w:pStyle w:val="Tablebodytext"/>
            </w:pPr>
            <w:r w:rsidRPr="00686E61">
              <w:t>(0.021)</w:t>
            </w:r>
          </w:p>
        </w:tc>
        <w:tc>
          <w:tcPr>
            <w:tcW w:w="740" w:type="pct"/>
          </w:tcPr>
          <w:p w14:paraId="209E302E" w14:textId="77777777" w:rsidR="00A9777F" w:rsidRPr="00686E61" w:rsidRDefault="00A9777F" w:rsidP="00A9777F">
            <w:pPr>
              <w:pStyle w:val="Tablebodytext"/>
            </w:pPr>
            <w:r w:rsidRPr="00686E61">
              <w:t>(0.031)</w:t>
            </w:r>
          </w:p>
        </w:tc>
        <w:tc>
          <w:tcPr>
            <w:tcW w:w="740" w:type="pct"/>
          </w:tcPr>
          <w:p w14:paraId="209E302F" w14:textId="77777777" w:rsidR="00A9777F" w:rsidRPr="00686E61" w:rsidRDefault="00A9777F" w:rsidP="00A9777F">
            <w:pPr>
              <w:pStyle w:val="Tablebodytext"/>
            </w:pPr>
            <w:r w:rsidRPr="00686E61">
              <w:t>(0.027)</w:t>
            </w:r>
          </w:p>
        </w:tc>
      </w:tr>
      <w:tr w:rsidR="00A9777F" w14:paraId="209E3036" w14:textId="77777777" w:rsidTr="00A9777F">
        <w:trPr>
          <w:cnfStyle w:val="000000100000" w:firstRow="0" w:lastRow="0" w:firstColumn="0" w:lastColumn="0" w:oddVBand="0" w:evenVBand="0" w:oddHBand="1" w:evenHBand="0" w:firstRowFirstColumn="0" w:firstRowLastColumn="0" w:lastRowFirstColumn="0" w:lastRowLastColumn="0"/>
        </w:trPr>
        <w:tc>
          <w:tcPr>
            <w:tcW w:w="2039" w:type="pct"/>
          </w:tcPr>
          <w:p w14:paraId="209E3031" w14:textId="77777777" w:rsidR="00A9777F" w:rsidRPr="00686E61" w:rsidRDefault="00A9777F" w:rsidP="00A9777F">
            <w:pPr>
              <w:pStyle w:val="Tablebodytext"/>
            </w:pPr>
            <w:r w:rsidRPr="00686E61">
              <w:t xml:space="preserve"> </w:t>
            </w:r>
            <m:oMath>
              <m:r>
                <w:rPr>
                  <w:rFonts w:ascii="Cambria Math" w:hAnsi="Cambria Math"/>
                </w:rPr>
                <m:t>  ×</m:t>
              </m:r>
              <m:r>
                <m:rPr>
                  <m:sty m:val="p"/>
                </m:rPr>
                <w:rPr>
                  <w:rFonts w:ascii="Cambria Math" w:hAnsi="Cambria Math"/>
                </w:rPr>
                <m:t>log</m:t>
              </m:r>
              <m:r>
                <w:rPr>
                  <w:rFonts w:ascii="Cambria Math" w:hAnsi="Cambria Math"/>
                </w:rPr>
                <m:t>(Asset</m:t>
              </m:r>
              <m:sSub>
                <m:sSubPr>
                  <m:ctrlPr>
                    <w:rPr>
                      <w:rFonts w:ascii="Cambria Math" w:hAnsi="Cambria Math"/>
                    </w:rPr>
                  </m:ctrlPr>
                </m:sSubPr>
                <m:e>
                  <m:r>
                    <w:rPr>
                      <w:rFonts w:ascii="Cambria Math" w:hAnsi="Cambria Math"/>
                    </w:rPr>
                    <m:t>s</m:t>
                  </m:r>
                </m:e>
                <m:sub>
                  <m:r>
                    <w:rPr>
                      <w:rFonts w:ascii="Cambria Math" w:hAnsi="Cambria Math"/>
                    </w:rPr>
                    <m:t>t</m:t>
                  </m:r>
                </m:sub>
              </m:sSub>
              <m:r>
                <w:rPr>
                  <w:rFonts w:ascii="Cambria Math" w:hAnsi="Cambria Math"/>
                </w:rPr>
                <m:t>)</m:t>
              </m:r>
            </m:oMath>
          </w:p>
        </w:tc>
        <w:tc>
          <w:tcPr>
            <w:tcW w:w="740" w:type="pct"/>
          </w:tcPr>
          <w:p w14:paraId="209E3032" w14:textId="77777777" w:rsidR="00A9777F" w:rsidRPr="00686E61" w:rsidRDefault="00A9777F" w:rsidP="00A9777F">
            <w:pPr>
              <w:pStyle w:val="Tablebodytext"/>
            </w:pPr>
          </w:p>
        </w:tc>
        <w:tc>
          <w:tcPr>
            <w:tcW w:w="740" w:type="pct"/>
          </w:tcPr>
          <w:p w14:paraId="209E3033" w14:textId="77777777" w:rsidR="00A9777F" w:rsidRPr="00686E61" w:rsidRDefault="00A9777F" w:rsidP="00A9777F">
            <w:pPr>
              <w:pStyle w:val="Tablebodytext"/>
            </w:pPr>
            <w:r w:rsidRPr="00686E61">
              <w:t>0.002*</w:t>
            </w:r>
          </w:p>
        </w:tc>
        <w:tc>
          <w:tcPr>
            <w:tcW w:w="740" w:type="pct"/>
          </w:tcPr>
          <w:p w14:paraId="209E3034" w14:textId="77777777" w:rsidR="00A9777F" w:rsidRPr="00686E61" w:rsidRDefault="00A9777F" w:rsidP="00A9777F">
            <w:pPr>
              <w:pStyle w:val="Tablebodytext"/>
            </w:pPr>
            <w:r w:rsidRPr="00686E61">
              <w:t>0.006***</w:t>
            </w:r>
          </w:p>
        </w:tc>
        <w:tc>
          <w:tcPr>
            <w:tcW w:w="740" w:type="pct"/>
          </w:tcPr>
          <w:p w14:paraId="209E3035" w14:textId="77777777" w:rsidR="00A9777F" w:rsidRPr="00686E61" w:rsidRDefault="00A9777F" w:rsidP="00A9777F">
            <w:pPr>
              <w:pStyle w:val="Tablebodytext"/>
            </w:pPr>
            <w:r w:rsidRPr="00686E61">
              <w:t>0.000</w:t>
            </w:r>
          </w:p>
        </w:tc>
      </w:tr>
      <w:tr w:rsidR="00A9777F" w14:paraId="209E303C" w14:textId="77777777" w:rsidTr="00A9777F">
        <w:trPr>
          <w:cnfStyle w:val="000000010000" w:firstRow="0" w:lastRow="0" w:firstColumn="0" w:lastColumn="0" w:oddVBand="0" w:evenVBand="0" w:oddHBand="0" w:evenHBand="1" w:firstRowFirstColumn="0" w:firstRowLastColumn="0" w:lastRowFirstColumn="0" w:lastRowLastColumn="0"/>
        </w:trPr>
        <w:tc>
          <w:tcPr>
            <w:tcW w:w="2039" w:type="pct"/>
          </w:tcPr>
          <w:p w14:paraId="209E3037" w14:textId="77777777" w:rsidR="00A9777F" w:rsidRPr="00686E61" w:rsidRDefault="00A9777F" w:rsidP="00A9777F">
            <w:pPr>
              <w:pStyle w:val="Tablebodytext"/>
            </w:pPr>
          </w:p>
        </w:tc>
        <w:tc>
          <w:tcPr>
            <w:tcW w:w="740" w:type="pct"/>
          </w:tcPr>
          <w:p w14:paraId="209E3038" w14:textId="77777777" w:rsidR="00A9777F" w:rsidRPr="00686E61" w:rsidRDefault="00A9777F" w:rsidP="00A9777F">
            <w:pPr>
              <w:pStyle w:val="Tablebodytext"/>
            </w:pPr>
          </w:p>
        </w:tc>
        <w:tc>
          <w:tcPr>
            <w:tcW w:w="740" w:type="pct"/>
          </w:tcPr>
          <w:p w14:paraId="209E3039" w14:textId="77777777" w:rsidR="00A9777F" w:rsidRPr="00686E61" w:rsidRDefault="00A9777F" w:rsidP="00A9777F">
            <w:pPr>
              <w:pStyle w:val="Tablebodytext"/>
            </w:pPr>
            <w:r w:rsidRPr="00686E61">
              <w:t>(0.001)</w:t>
            </w:r>
          </w:p>
        </w:tc>
        <w:tc>
          <w:tcPr>
            <w:tcW w:w="740" w:type="pct"/>
          </w:tcPr>
          <w:p w14:paraId="209E303A" w14:textId="77777777" w:rsidR="00A9777F" w:rsidRPr="00686E61" w:rsidRDefault="00A9777F" w:rsidP="00A9777F">
            <w:pPr>
              <w:pStyle w:val="Tablebodytext"/>
            </w:pPr>
            <w:r w:rsidRPr="00686E61">
              <w:t>(0.002)</w:t>
            </w:r>
          </w:p>
        </w:tc>
        <w:tc>
          <w:tcPr>
            <w:tcW w:w="740" w:type="pct"/>
          </w:tcPr>
          <w:p w14:paraId="209E303B" w14:textId="77777777" w:rsidR="00A9777F" w:rsidRPr="00686E61" w:rsidRDefault="00A9777F" w:rsidP="00A9777F">
            <w:pPr>
              <w:pStyle w:val="Tablebodytext"/>
            </w:pPr>
            <w:r w:rsidRPr="00686E61">
              <w:t>(0.002)</w:t>
            </w:r>
          </w:p>
        </w:tc>
      </w:tr>
      <w:tr w:rsidR="00A9777F" w14:paraId="209E3042" w14:textId="77777777" w:rsidTr="00A9777F">
        <w:trPr>
          <w:cnfStyle w:val="000000100000" w:firstRow="0" w:lastRow="0" w:firstColumn="0" w:lastColumn="0" w:oddVBand="0" w:evenVBand="0" w:oddHBand="1" w:evenHBand="0" w:firstRowFirstColumn="0" w:firstRowLastColumn="0" w:lastRowFirstColumn="0" w:lastRowLastColumn="0"/>
        </w:trPr>
        <w:tc>
          <w:tcPr>
            <w:tcW w:w="2039" w:type="pct"/>
          </w:tcPr>
          <w:p w14:paraId="209E303D" w14:textId="77777777" w:rsidR="00A9777F" w:rsidRPr="00686E61" w:rsidRDefault="00A9777F" w:rsidP="00A9777F">
            <w:pPr>
              <w:pStyle w:val="Tablebodytext"/>
            </w:pPr>
            <w:r w:rsidRPr="00686E61">
              <w:t xml:space="preserve"> </w:t>
            </w:r>
            <m:oMath>
              <m:r>
                <w:rPr>
                  <w:rFonts w:ascii="Cambria Math" w:hAnsi="Cambria Math"/>
                </w:rPr>
                <m:t>  ×Youn</m:t>
              </m:r>
              <m:sSub>
                <m:sSubPr>
                  <m:ctrlPr>
                    <w:rPr>
                      <w:rFonts w:ascii="Cambria Math" w:hAnsi="Cambria Math"/>
                    </w:rPr>
                  </m:ctrlPr>
                </m:sSubPr>
                <m:e>
                  <m:r>
                    <w:rPr>
                      <w:rFonts w:ascii="Cambria Math" w:hAnsi="Cambria Math"/>
                    </w:rPr>
                    <m:t>g</m:t>
                  </m:r>
                </m:e>
                <m:sub>
                  <m:r>
                    <w:rPr>
                      <w:rFonts w:ascii="Cambria Math" w:hAnsi="Cambria Math"/>
                    </w:rPr>
                    <m:t>t</m:t>
                  </m:r>
                </m:sub>
              </m:sSub>
            </m:oMath>
          </w:p>
        </w:tc>
        <w:tc>
          <w:tcPr>
            <w:tcW w:w="740" w:type="pct"/>
          </w:tcPr>
          <w:p w14:paraId="209E303E" w14:textId="77777777" w:rsidR="00A9777F" w:rsidRPr="00686E61" w:rsidRDefault="00A9777F" w:rsidP="00A9777F">
            <w:pPr>
              <w:pStyle w:val="Tablebodytext"/>
            </w:pPr>
          </w:p>
        </w:tc>
        <w:tc>
          <w:tcPr>
            <w:tcW w:w="740" w:type="pct"/>
          </w:tcPr>
          <w:p w14:paraId="209E303F" w14:textId="77777777" w:rsidR="00A9777F" w:rsidRPr="00686E61" w:rsidRDefault="00A9777F" w:rsidP="00A9777F">
            <w:pPr>
              <w:pStyle w:val="Tablebodytext"/>
            </w:pPr>
            <w:r w:rsidRPr="00686E61">
              <w:t>0.018</w:t>
            </w:r>
          </w:p>
        </w:tc>
        <w:tc>
          <w:tcPr>
            <w:tcW w:w="740" w:type="pct"/>
          </w:tcPr>
          <w:p w14:paraId="209E3040" w14:textId="77777777" w:rsidR="00A9777F" w:rsidRPr="00686E61" w:rsidRDefault="00A9777F" w:rsidP="00A9777F">
            <w:pPr>
              <w:pStyle w:val="Tablebodytext"/>
            </w:pPr>
            <w:r w:rsidRPr="00686E61">
              <w:t>0.014</w:t>
            </w:r>
          </w:p>
        </w:tc>
        <w:tc>
          <w:tcPr>
            <w:tcW w:w="740" w:type="pct"/>
          </w:tcPr>
          <w:p w14:paraId="209E3041" w14:textId="52593A48" w:rsidR="00A9777F" w:rsidRPr="00686E61" w:rsidRDefault="0084296C" w:rsidP="00A9777F">
            <w:pPr>
              <w:pStyle w:val="Tablebodytext"/>
            </w:pPr>
            <w:r w:rsidRPr="00686E61">
              <w:t>–</w:t>
            </w:r>
            <w:r w:rsidR="00A9777F" w:rsidRPr="00686E61">
              <w:t>0.002</w:t>
            </w:r>
          </w:p>
        </w:tc>
      </w:tr>
      <w:tr w:rsidR="00A9777F" w14:paraId="209E3048" w14:textId="77777777" w:rsidTr="00A9777F">
        <w:trPr>
          <w:cnfStyle w:val="000000010000" w:firstRow="0" w:lastRow="0" w:firstColumn="0" w:lastColumn="0" w:oddVBand="0" w:evenVBand="0" w:oddHBand="0" w:evenHBand="1" w:firstRowFirstColumn="0" w:firstRowLastColumn="0" w:lastRowFirstColumn="0" w:lastRowLastColumn="0"/>
        </w:trPr>
        <w:tc>
          <w:tcPr>
            <w:tcW w:w="2039" w:type="pct"/>
          </w:tcPr>
          <w:p w14:paraId="209E3043" w14:textId="77777777" w:rsidR="00A9777F" w:rsidRPr="00686E61" w:rsidRDefault="00A9777F" w:rsidP="00A9777F">
            <w:pPr>
              <w:pStyle w:val="Tablebodytext"/>
            </w:pPr>
          </w:p>
        </w:tc>
        <w:tc>
          <w:tcPr>
            <w:tcW w:w="740" w:type="pct"/>
          </w:tcPr>
          <w:p w14:paraId="209E3044" w14:textId="77777777" w:rsidR="00A9777F" w:rsidRPr="00686E61" w:rsidRDefault="00A9777F" w:rsidP="00A9777F">
            <w:pPr>
              <w:pStyle w:val="Tablebodytext"/>
            </w:pPr>
          </w:p>
        </w:tc>
        <w:tc>
          <w:tcPr>
            <w:tcW w:w="740" w:type="pct"/>
          </w:tcPr>
          <w:p w14:paraId="209E3045" w14:textId="77777777" w:rsidR="00A9777F" w:rsidRPr="00686E61" w:rsidRDefault="00A9777F" w:rsidP="00A9777F">
            <w:pPr>
              <w:pStyle w:val="Tablebodytext"/>
            </w:pPr>
            <w:r w:rsidRPr="00686E61">
              <w:t>(0.018)</w:t>
            </w:r>
          </w:p>
        </w:tc>
        <w:tc>
          <w:tcPr>
            <w:tcW w:w="740" w:type="pct"/>
          </w:tcPr>
          <w:p w14:paraId="209E3046" w14:textId="77777777" w:rsidR="00A9777F" w:rsidRPr="00686E61" w:rsidRDefault="00A9777F" w:rsidP="00A9777F">
            <w:pPr>
              <w:pStyle w:val="Tablebodytext"/>
            </w:pPr>
            <w:r w:rsidRPr="00686E61">
              <w:t>(0.019)</w:t>
            </w:r>
          </w:p>
        </w:tc>
        <w:tc>
          <w:tcPr>
            <w:tcW w:w="740" w:type="pct"/>
          </w:tcPr>
          <w:p w14:paraId="209E3047" w14:textId="77777777" w:rsidR="00A9777F" w:rsidRPr="00686E61" w:rsidRDefault="00A9777F" w:rsidP="00A9777F">
            <w:pPr>
              <w:pStyle w:val="Tablebodytext"/>
            </w:pPr>
            <w:r w:rsidRPr="00686E61">
              <w:t>(0.026)</w:t>
            </w:r>
          </w:p>
        </w:tc>
      </w:tr>
      <w:tr w:rsidR="00A9777F" w14:paraId="209E304E" w14:textId="77777777" w:rsidTr="00A9777F">
        <w:trPr>
          <w:cnfStyle w:val="000000100000" w:firstRow="0" w:lastRow="0" w:firstColumn="0" w:lastColumn="0" w:oddVBand="0" w:evenVBand="0" w:oddHBand="1" w:evenHBand="0" w:firstRowFirstColumn="0" w:firstRowLastColumn="0" w:lastRowFirstColumn="0" w:lastRowLastColumn="0"/>
        </w:trPr>
        <w:tc>
          <w:tcPr>
            <w:tcW w:w="2039" w:type="pct"/>
          </w:tcPr>
          <w:p w14:paraId="209E3049" w14:textId="77777777" w:rsidR="00A9777F" w:rsidRPr="00686E61" w:rsidRDefault="00A9777F" w:rsidP="00A9777F">
            <w:pPr>
              <w:pStyle w:val="Tablebodytext"/>
            </w:pPr>
            <w:r w:rsidRPr="00686E61">
              <w:t xml:space="preserve"> </w:t>
            </w:r>
            <m:oMath>
              <m:r>
                <w:rPr>
                  <w:rFonts w:ascii="Cambria Math" w:hAnsi="Cambria Math"/>
                </w:rPr>
                <m:t>Go</m:t>
              </m:r>
              <m:sSub>
                <m:sSubPr>
                  <m:ctrlPr>
                    <w:rPr>
                      <w:rFonts w:ascii="Cambria Math" w:hAnsi="Cambria Math"/>
                    </w:rPr>
                  </m:ctrlPr>
                </m:sSubPr>
                <m:e>
                  <m:r>
                    <w:rPr>
                      <w:rFonts w:ascii="Cambria Math" w:hAnsi="Cambria Math"/>
                    </w:rPr>
                    <m:t>v</m:t>
                  </m:r>
                </m:e>
                <m:sub>
                  <m:r>
                    <w:rPr>
                      <w:rFonts w:ascii="Cambria Math" w:hAnsi="Cambria Math"/>
                    </w:rPr>
                    <m:t>t</m:t>
                  </m:r>
                </m:sub>
              </m:sSub>
            </m:oMath>
          </w:p>
        </w:tc>
        <w:tc>
          <w:tcPr>
            <w:tcW w:w="740" w:type="pct"/>
          </w:tcPr>
          <w:p w14:paraId="209E304A" w14:textId="77777777" w:rsidR="00A9777F" w:rsidRPr="00686E61" w:rsidRDefault="00A9777F" w:rsidP="00A9777F">
            <w:pPr>
              <w:pStyle w:val="Tablebodytext"/>
            </w:pPr>
          </w:p>
        </w:tc>
        <w:tc>
          <w:tcPr>
            <w:tcW w:w="740" w:type="pct"/>
          </w:tcPr>
          <w:p w14:paraId="209E304B" w14:textId="77777777" w:rsidR="00A9777F" w:rsidRPr="00686E61" w:rsidRDefault="00A9777F" w:rsidP="00A9777F">
            <w:pPr>
              <w:pStyle w:val="Tablebodytext"/>
            </w:pPr>
          </w:p>
        </w:tc>
        <w:tc>
          <w:tcPr>
            <w:tcW w:w="740" w:type="pct"/>
          </w:tcPr>
          <w:p w14:paraId="209E304C" w14:textId="77777777" w:rsidR="00A9777F" w:rsidRPr="00686E61" w:rsidRDefault="00A9777F" w:rsidP="00A9777F">
            <w:pPr>
              <w:pStyle w:val="Tablebodytext"/>
            </w:pPr>
            <w:r w:rsidRPr="00686E61">
              <w:t>0.011***</w:t>
            </w:r>
          </w:p>
        </w:tc>
        <w:tc>
          <w:tcPr>
            <w:tcW w:w="740" w:type="pct"/>
          </w:tcPr>
          <w:p w14:paraId="209E304D" w14:textId="77777777" w:rsidR="00A9777F" w:rsidRPr="00686E61" w:rsidRDefault="00A9777F" w:rsidP="00A9777F">
            <w:pPr>
              <w:pStyle w:val="Tablebodytext"/>
            </w:pPr>
            <w:r w:rsidRPr="00686E61">
              <w:t>0.018***</w:t>
            </w:r>
          </w:p>
        </w:tc>
      </w:tr>
      <w:tr w:rsidR="00A9777F" w14:paraId="209E3054" w14:textId="77777777" w:rsidTr="00A9777F">
        <w:trPr>
          <w:cnfStyle w:val="000000010000" w:firstRow="0" w:lastRow="0" w:firstColumn="0" w:lastColumn="0" w:oddVBand="0" w:evenVBand="0" w:oddHBand="0" w:evenHBand="1" w:firstRowFirstColumn="0" w:firstRowLastColumn="0" w:lastRowFirstColumn="0" w:lastRowLastColumn="0"/>
        </w:trPr>
        <w:tc>
          <w:tcPr>
            <w:tcW w:w="2039" w:type="pct"/>
          </w:tcPr>
          <w:p w14:paraId="209E304F" w14:textId="77777777" w:rsidR="00A9777F" w:rsidRPr="00686E61" w:rsidRDefault="00A9777F" w:rsidP="00A9777F">
            <w:pPr>
              <w:pStyle w:val="Tablebodytext"/>
            </w:pPr>
          </w:p>
        </w:tc>
        <w:tc>
          <w:tcPr>
            <w:tcW w:w="740" w:type="pct"/>
          </w:tcPr>
          <w:p w14:paraId="209E3050" w14:textId="77777777" w:rsidR="00A9777F" w:rsidRPr="00686E61" w:rsidRDefault="00A9777F" w:rsidP="00A9777F">
            <w:pPr>
              <w:pStyle w:val="Tablebodytext"/>
            </w:pPr>
          </w:p>
        </w:tc>
        <w:tc>
          <w:tcPr>
            <w:tcW w:w="740" w:type="pct"/>
          </w:tcPr>
          <w:p w14:paraId="209E3051" w14:textId="77777777" w:rsidR="00A9777F" w:rsidRPr="00686E61" w:rsidRDefault="00A9777F" w:rsidP="00A9777F">
            <w:pPr>
              <w:pStyle w:val="Tablebodytext"/>
            </w:pPr>
          </w:p>
        </w:tc>
        <w:tc>
          <w:tcPr>
            <w:tcW w:w="740" w:type="pct"/>
          </w:tcPr>
          <w:p w14:paraId="209E3052" w14:textId="77777777" w:rsidR="00A9777F" w:rsidRPr="00686E61" w:rsidRDefault="00A9777F" w:rsidP="00A9777F">
            <w:pPr>
              <w:pStyle w:val="Tablebodytext"/>
            </w:pPr>
            <w:r w:rsidRPr="00686E61">
              <w:t>(0.003)</w:t>
            </w:r>
          </w:p>
        </w:tc>
        <w:tc>
          <w:tcPr>
            <w:tcW w:w="740" w:type="pct"/>
          </w:tcPr>
          <w:p w14:paraId="209E3053" w14:textId="77777777" w:rsidR="00A9777F" w:rsidRPr="00686E61" w:rsidRDefault="00A9777F" w:rsidP="00A9777F">
            <w:pPr>
              <w:pStyle w:val="Tablebodytext"/>
            </w:pPr>
            <w:r w:rsidRPr="00686E61">
              <w:t>(0.005)</w:t>
            </w:r>
          </w:p>
        </w:tc>
      </w:tr>
      <w:tr w:rsidR="00A9777F" w14:paraId="209E305A" w14:textId="77777777" w:rsidTr="00A9777F">
        <w:trPr>
          <w:cnfStyle w:val="000000100000" w:firstRow="0" w:lastRow="0" w:firstColumn="0" w:lastColumn="0" w:oddVBand="0" w:evenVBand="0" w:oddHBand="1" w:evenHBand="0" w:firstRowFirstColumn="0" w:firstRowLastColumn="0" w:lastRowFirstColumn="0" w:lastRowLastColumn="0"/>
        </w:trPr>
        <w:tc>
          <w:tcPr>
            <w:tcW w:w="2039" w:type="pct"/>
          </w:tcPr>
          <w:p w14:paraId="209E3055" w14:textId="77777777" w:rsidR="00A9777F" w:rsidRPr="00686E61" w:rsidRDefault="00A9777F" w:rsidP="00A9777F">
            <w:pPr>
              <w:pStyle w:val="Tablebodytext"/>
            </w:pPr>
            <w:r w:rsidRPr="00686E61">
              <w:t xml:space="preserve"> </w:t>
            </w:r>
            <m:oMath>
              <m:r>
                <w:rPr>
                  <w:rFonts w:ascii="Cambria Math" w:hAnsi="Cambria Math"/>
                </w:rPr>
                <m:t>  ×Inno</m:t>
              </m:r>
              <m:sSub>
                <m:sSubPr>
                  <m:ctrlPr>
                    <w:rPr>
                      <w:rFonts w:ascii="Cambria Math" w:hAnsi="Cambria Math"/>
                    </w:rPr>
                  </m:ctrlPr>
                </m:sSubPr>
                <m:e>
                  <m:r>
                    <w:rPr>
                      <w:rFonts w:ascii="Cambria Math" w:hAnsi="Cambria Math"/>
                    </w:rPr>
                    <m:t>v</m:t>
                  </m:r>
                </m:e>
                <m:sub>
                  <m:r>
                    <w:rPr>
                      <w:rFonts w:ascii="Cambria Math" w:hAnsi="Cambria Math"/>
                    </w:rPr>
                    <m:t>t+1</m:t>
                  </m:r>
                </m:sub>
              </m:sSub>
            </m:oMath>
          </w:p>
        </w:tc>
        <w:tc>
          <w:tcPr>
            <w:tcW w:w="740" w:type="pct"/>
          </w:tcPr>
          <w:p w14:paraId="209E3056" w14:textId="77777777" w:rsidR="00A9777F" w:rsidRPr="00686E61" w:rsidRDefault="00A9777F" w:rsidP="00A9777F">
            <w:pPr>
              <w:pStyle w:val="Tablebodytext"/>
            </w:pPr>
          </w:p>
        </w:tc>
        <w:tc>
          <w:tcPr>
            <w:tcW w:w="740" w:type="pct"/>
          </w:tcPr>
          <w:p w14:paraId="209E3057" w14:textId="77777777" w:rsidR="00A9777F" w:rsidRPr="00686E61" w:rsidRDefault="00A9777F" w:rsidP="00A9777F">
            <w:pPr>
              <w:pStyle w:val="Tablebodytext"/>
            </w:pPr>
          </w:p>
        </w:tc>
        <w:tc>
          <w:tcPr>
            <w:tcW w:w="740" w:type="pct"/>
          </w:tcPr>
          <w:p w14:paraId="209E3058" w14:textId="77777777" w:rsidR="00A9777F" w:rsidRPr="00686E61" w:rsidRDefault="00A9777F" w:rsidP="00A9777F">
            <w:pPr>
              <w:pStyle w:val="Tablebodytext"/>
            </w:pPr>
            <w:r w:rsidRPr="00686E61">
              <w:t>0.113***</w:t>
            </w:r>
          </w:p>
        </w:tc>
        <w:tc>
          <w:tcPr>
            <w:tcW w:w="740" w:type="pct"/>
          </w:tcPr>
          <w:p w14:paraId="209E3059" w14:textId="77777777" w:rsidR="00A9777F" w:rsidRPr="00686E61" w:rsidRDefault="00A9777F" w:rsidP="00A9777F">
            <w:pPr>
              <w:pStyle w:val="Tablebodytext"/>
            </w:pPr>
            <w:r w:rsidRPr="00686E61">
              <w:t>0.006</w:t>
            </w:r>
          </w:p>
        </w:tc>
      </w:tr>
      <w:tr w:rsidR="00A9777F" w14:paraId="209E3060" w14:textId="77777777" w:rsidTr="00A9777F">
        <w:trPr>
          <w:cnfStyle w:val="000000010000" w:firstRow="0" w:lastRow="0" w:firstColumn="0" w:lastColumn="0" w:oddVBand="0" w:evenVBand="0" w:oddHBand="0" w:evenHBand="1" w:firstRowFirstColumn="0" w:firstRowLastColumn="0" w:lastRowFirstColumn="0" w:lastRowLastColumn="0"/>
        </w:trPr>
        <w:tc>
          <w:tcPr>
            <w:tcW w:w="2039" w:type="pct"/>
          </w:tcPr>
          <w:p w14:paraId="209E305B" w14:textId="77777777" w:rsidR="00A9777F" w:rsidRPr="00686E61" w:rsidRDefault="00A9777F" w:rsidP="00A9777F">
            <w:pPr>
              <w:pStyle w:val="Tablebodytext"/>
            </w:pPr>
          </w:p>
        </w:tc>
        <w:tc>
          <w:tcPr>
            <w:tcW w:w="740" w:type="pct"/>
          </w:tcPr>
          <w:p w14:paraId="209E305C" w14:textId="77777777" w:rsidR="00A9777F" w:rsidRPr="00686E61" w:rsidRDefault="00A9777F" w:rsidP="00A9777F">
            <w:pPr>
              <w:pStyle w:val="Tablebodytext"/>
            </w:pPr>
          </w:p>
        </w:tc>
        <w:tc>
          <w:tcPr>
            <w:tcW w:w="740" w:type="pct"/>
          </w:tcPr>
          <w:p w14:paraId="209E305D" w14:textId="77777777" w:rsidR="00A9777F" w:rsidRPr="00686E61" w:rsidRDefault="00A9777F" w:rsidP="00A9777F">
            <w:pPr>
              <w:pStyle w:val="Tablebodytext"/>
            </w:pPr>
          </w:p>
        </w:tc>
        <w:tc>
          <w:tcPr>
            <w:tcW w:w="740" w:type="pct"/>
          </w:tcPr>
          <w:p w14:paraId="209E305E" w14:textId="77777777" w:rsidR="00A9777F" w:rsidRPr="00686E61" w:rsidRDefault="00A9777F" w:rsidP="00A9777F">
            <w:pPr>
              <w:pStyle w:val="Tablebodytext"/>
            </w:pPr>
            <w:r w:rsidRPr="00686E61">
              <w:t>(0.038)</w:t>
            </w:r>
          </w:p>
        </w:tc>
        <w:tc>
          <w:tcPr>
            <w:tcW w:w="740" w:type="pct"/>
          </w:tcPr>
          <w:p w14:paraId="209E305F" w14:textId="77777777" w:rsidR="00A9777F" w:rsidRPr="00686E61" w:rsidRDefault="00A9777F" w:rsidP="00A9777F">
            <w:pPr>
              <w:pStyle w:val="Tablebodytext"/>
            </w:pPr>
            <w:r w:rsidRPr="00686E61">
              <w:t>(0.044)</w:t>
            </w:r>
          </w:p>
        </w:tc>
      </w:tr>
      <w:tr w:rsidR="00A9777F" w14:paraId="209E3066" w14:textId="77777777" w:rsidTr="00A9777F">
        <w:trPr>
          <w:cnfStyle w:val="000000100000" w:firstRow="0" w:lastRow="0" w:firstColumn="0" w:lastColumn="0" w:oddVBand="0" w:evenVBand="0" w:oddHBand="1" w:evenHBand="0" w:firstRowFirstColumn="0" w:firstRowLastColumn="0" w:lastRowFirstColumn="0" w:lastRowLastColumn="0"/>
        </w:trPr>
        <w:tc>
          <w:tcPr>
            <w:tcW w:w="2039" w:type="pct"/>
          </w:tcPr>
          <w:p w14:paraId="209E3061" w14:textId="77777777" w:rsidR="00A9777F" w:rsidRPr="00686E61" w:rsidRDefault="00A9777F" w:rsidP="00A9777F">
            <w:pPr>
              <w:pStyle w:val="Tablebodytext"/>
            </w:pPr>
            <w:r w:rsidRPr="00686E61">
              <w:t xml:space="preserve"> </w:t>
            </w:r>
            <m:oMath>
              <m:r>
                <w:rPr>
                  <w:rFonts w:ascii="Cambria Math" w:hAnsi="Cambria Math"/>
                </w:rPr>
                <m:t>  ×Inno</m:t>
              </m:r>
              <m:sSub>
                <m:sSubPr>
                  <m:ctrlPr>
                    <w:rPr>
                      <w:rFonts w:ascii="Cambria Math" w:hAnsi="Cambria Math"/>
                    </w:rPr>
                  </m:ctrlPr>
                </m:sSubPr>
                <m:e>
                  <m:r>
                    <w:rPr>
                      <w:rFonts w:ascii="Cambria Math" w:hAnsi="Cambria Math"/>
                    </w:rPr>
                    <m:t>v</m:t>
                  </m:r>
                </m:e>
                <m:sub>
                  <m:r>
                    <w:rPr>
                      <w:rFonts w:ascii="Cambria Math" w:hAnsi="Cambria Math"/>
                    </w:rPr>
                    <m:t>t+1</m:t>
                  </m:r>
                </m:sub>
              </m:sSub>
              <m:r>
                <w:rPr>
                  <w:rFonts w:ascii="Cambria Math" w:hAnsi="Cambria Math"/>
                </w:rPr>
                <m:t>×</m:t>
              </m:r>
              <m:r>
                <m:rPr>
                  <m:sty m:val="p"/>
                </m:rPr>
                <w:rPr>
                  <w:rFonts w:ascii="Cambria Math" w:hAnsi="Cambria Math"/>
                </w:rPr>
                <m:t>log</m:t>
              </m:r>
              <m:r>
                <w:rPr>
                  <w:rFonts w:ascii="Cambria Math" w:hAnsi="Cambria Math"/>
                </w:rPr>
                <m:t>(Asset</m:t>
              </m:r>
              <m:sSub>
                <m:sSubPr>
                  <m:ctrlPr>
                    <w:rPr>
                      <w:rFonts w:ascii="Cambria Math" w:hAnsi="Cambria Math"/>
                    </w:rPr>
                  </m:ctrlPr>
                </m:sSubPr>
                <m:e>
                  <m:r>
                    <w:rPr>
                      <w:rFonts w:ascii="Cambria Math" w:hAnsi="Cambria Math"/>
                    </w:rPr>
                    <m:t>s</m:t>
                  </m:r>
                </m:e>
                <m:sub>
                  <m:r>
                    <w:rPr>
                      <w:rFonts w:ascii="Cambria Math" w:hAnsi="Cambria Math"/>
                    </w:rPr>
                    <m:t>t</m:t>
                  </m:r>
                </m:sub>
              </m:sSub>
              <m:r>
                <w:rPr>
                  <w:rFonts w:ascii="Cambria Math" w:hAnsi="Cambria Math"/>
                </w:rPr>
                <m:t>)</m:t>
              </m:r>
            </m:oMath>
          </w:p>
        </w:tc>
        <w:tc>
          <w:tcPr>
            <w:tcW w:w="740" w:type="pct"/>
          </w:tcPr>
          <w:p w14:paraId="209E3062" w14:textId="77777777" w:rsidR="00A9777F" w:rsidRPr="00686E61" w:rsidRDefault="00A9777F" w:rsidP="00A9777F">
            <w:pPr>
              <w:pStyle w:val="Tablebodytext"/>
            </w:pPr>
          </w:p>
        </w:tc>
        <w:tc>
          <w:tcPr>
            <w:tcW w:w="740" w:type="pct"/>
          </w:tcPr>
          <w:p w14:paraId="209E3063" w14:textId="77777777" w:rsidR="00A9777F" w:rsidRPr="00686E61" w:rsidRDefault="00A9777F" w:rsidP="00A9777F">
            <w:pPr>
              <w:pStyle w:val="Tablebodytext"/>
            </w:pPr>
          </w:p>
        </w:tc>
        <w:tc>
          <w:tcPr>
            <w:tcW w:w="740" w:type="pct"/>
          </w:tcPr>
          <w:p w14:paraId="209E3064" w14:textId="1AFED93C" w:rsidR="00A9777F" w:rsidRPr="00686E61" w:rsidRDefault="0084296C" w:rsidP="00A9777F">
            <w:pPr>
              <w:pStyle w:val="Tablebodytext"/>
            </w:pPr>
            <w:r w:rsidRPr="00686E61">
              <w:t>–</w:t>
            </w:r>
            <w:r w:rsidR="00A9777F" w:rsidRPr="00686E61">
              <w:t>0.007***</w:t>
            </w:r>
          </w:p>
        </w:tc>
        <w:tc>
          <w:tcPr>
            <w:tcW w:w="740" w:type="pct"/>
          </w:tcPr>
          <w:p w14:paraId="209E3065" w14:textId="77777777" w:rsidR="00A9777F" w:rsidRPr="00686E61" w:rsidRDefault="00A9777F" w:rsidP="00A9777F">
            <w:pPr>
              <w:pStyle w:val="Tablebodytext"/>
            </w:pPr>
            <w:r w:rsidRPr="00686E61">
              <w:t>0.000</w:t>
            </w:r>
          </w:p>
        </w:tc>
      </w:tr>
      <w:tr w:rsidR="00A9777F" w14:paraId="209E306C" w14:textId="77777777" w:rsidTr="00A9777F">
        <w:trPr>
          <w:cnfStyle w:val="000000010000" w:firstRow="0" w:lastRow="0" w:firstColumn="0" w:lastColumn="0" w:oddVBand="0" w:evenVBand="0" w:oddHBand="0" w:evenHBand="1" w:firstRowFirstColumn="0" w:firstRowLastColumn="0" w:lastRowFirstColumn="0" w:lastRowLastColumn="0"/>
        </w:trPr>
        <w:tc>
          <w:tcPr>
            <w:tcW w:w="2039" w:type="pct"/>
          </w:tcPr>
          <w:p w14:paraId="209E3067" w14:textId="77777777" w:rsidR="00A9777F" w:rsidRPr="00686E61" w:rsidRDefault="00A9777F" w:rsidP="00A9777F">
            <w:pPr>
              <w:pStyle w:val="Tablebodytext"/>
            </w:pPr>
          </w:p>
        </w:tc>
        <w:tc>
          <w:tcPr>
            <w:tcW w:w="740" w:type="pct"/>
          </w:tcPr>
          <w:p w14:paraId="209E3068" w14:textId="77777777" w:rsidR="00A9777F" w:rsidRPr="00686E61" w:rsidRDefault="00A9777F" w:rsidP="00A9777F">
            <w:pPr>
              <w:pStyle w:val="Tablebodytext"/>
            </w:pPr>
          </w:p>
        </w:tc>
        <w:tc>
          <w:tcPr>
            <w:tcW w:w="740" w:type="pct"/>
          </w:tcPr>
          <w:p w14:paraId="209E3069" w14:textId="77777777" w:rsidR="00A9777F" w:rsidRPr="00686E61" w:rsidRDefault="00A9777F" w:rsidP="00A9777F">
            <w:pPr>
              <w:pStyle w:val="Tablebodytext"/>
            </w:pPr>
          </w:p>
        </w:tc>
        <w:tc>
          <w:tcPr>
            <w:tcW w:w="740" w:type="pct"/>
          </w:tcPr>
          <w:p w14:paraId="209E306A" w14:textId="77777777" w:rsidR="00A9777F" w:rsidRPr="00686E61" w:rsidRDefault="00A9777F" w:rsidP="00A9777F">
            <w:pPr>
              <w:pStyle w:val="Tablebodytext"/>
            </w:pPr>
            <w:r w:rsidRPr="00686E61">
              <w:t>(0.002)</w:t>
            </w:r>
          </w:p>
        </w:tc>
        <w:tc>
          <w:tcPr>
            <w:tcW w:w="740" w:type="pct"/>
          </w:tcPr>
          <w:p w14:paraId="209E306B" w14:textId="77777777" w:rsidR="00A9777F" w:rsidRPr="00686E61" w:rsidRDefault="00A9777F" w:rsidP="00A9777F">
            <w:pPr>
              <w:pStyle w:val="Tablebodytext"/>
            </w:pPr>
            <w:r w:rsidRPr="00686E61">
              <w:t>(0.003)</w:t>
            </w:r>
          </w:p>
        </w:tc>
      </w:tr>
      <w:tr w:rsidR="00A9777F" w14:paraId="209E3072" w14:textId="77777777" w:rsidTr="00A9777F">
        <w:trPr>
          <w:cnfStyle w:val="000000100000" w:firstRow="0" w:lastRow="0" w:firstColumn="0" w:lastColumn="0" w:oddVBand="0" w:evenVBand="0" w:oddHBand="1" w:evenHBand="0" w:firstRowFirstColumn="0" w:firstRowLastColumn="0" w:lastRowFirstColumn="0" w:lastRowLastColumn="0"/>
        </w:trPr>
        <w:tc>
          <w:tcPr>
            <w:tcW w:w="2039" w:type="pct"/>
          </w:tcPr>
          <w:p w14:paraId="209E306D" w14:textId="77777777" w:rsidR="00A9777F" w:rsidRPr="00686E61" w:rsidRDefault="00A9777F" w:rsidP="00A9777F">
            <w:pPr>
              <w:pStyle w:val="Tablebodytext"/>
            </w:pPr>
            <w:r w:rsidRPr="00686E61">
              <w:t xml:space="preserve"> </w:t>
            </w:r>
            <m:oMath>
              <m:r>
                <w:rPr>
                  <w:rFonts w:ascii="Cambria Math" w:hAnsi="Cambria Math"/>
                </w:rPr>
                <m:t>  ×Inno</m:t>
              </m:r>
              <m:sSub>
                <m:sSubPr>
                  <m:ctrlPr>
                    <w:rPr>
                      <w:rFonts w:ascii="Cambria Math" w:hAnsi="Cambria Math"/>
                    </w:rPr>
                  </m:ctrlPr>
                </m:sSubPr>
                <m:e>
                  <m:r>
                    <w:rPr>
                      <w:rFonts w:ascii="Cambria Math" w:hAnsi="Cambria Math"/>
                    </w:rPr>
                    <m:t>v</m:t>
                  </m:r>
                </m:e>
                <m:sub>
                  <m:r>
                    <w:rPr>
                      <w:rFonts w:ascii="Cambria Math" w:hAnsi="Cambria Math"/>
                    </w:rPr>
                    <m:t>t+1</m:t>
                  </m:r>
                </m:sub>
              </m:sSub>
              <m:r>
                <w:rPr>
                  <w:rFonts w:ascii="Cambria Math" w:hAnsi="Cambria Math"/>
                </w:rPr>
                <m:t>×Youn</m:t>
              </m:r>
              <m:sSub>
                <m:sSubPr>
                  <m:ctrlPr>
                    <w:rPr>
                      <w:rFonts w:ascii="Cambria Math" w:hAnsi="Cambria Math"/>
                    </w:rPr>
                  </m:ctrlPr>
                </m:sSubPr>
                <m:e>
                  <m:r>
                    <w:rPr>
                      <w:rFonts w:ascii="Cambria Math" w:hAnsi="Cambria Math"/>
                    </w:rPr>
                    <m:t>g</m:t>
                  </m:r>
                </m:e>
                <m:sub>
                  <m:r>
                    <w:rPr>
                      <w:rFonts w:ascii="Cambria Math" w:hAnsi="Cambria Math"/>
                    </w:rPr>
                    <m:t>t</m:t>
                  </m:r>
                </m:sub>
              </m:sSub>
            </m:oMath>
          </w:p>
        </w:tc>
        <w:tc>
          <w:tcPr>
            <w:tcW w:w="740" w:type="pct"/>
          </w:tcPr>
          <w:p w14:paraId="209E306E" w14:textId="77777777" w:rsidR="00A9777F" w:rsidRPr="00686E61" w:rsidRDefault="00A9777F" w:rsidP="00A9777F">
            <w:pPr>
              <w:pStyle w:val="Tablebodytext"/>
            </w:pPr>
          </w:p>
        </w:tc>
        <w:tc>
          <w:tcPr>
            <w:tcW w:w="740" w:type="pct"/>
          </w:tcPr>
          <w:p w14:paraId="209E306F" w14:textId="77777777" w:rsidR="00A9777F" w:rsidRPr="00686E61" w:rsidRDefault="00A9777F" w:rsidP="00A9777F">
            <w:pPr>
              <w:pStyle w:val="Tablebodytext"/>
            </w:pPr>
          </w:p>
        </w:tc>
        <w:tc>
          <w:tcPr>
            <w:tcW w:w="740" w:type="pct"/>
          </w:tcPr>
          <w:p w14:paraId="209E3070" w14:textId="77777777" w:rsidR="00A9777F" w:rsidRPr="00686E61" w:rsidRDefault="00A9777F" w:rsidP="00A9777F">
            <w:pPr>
              <w:pStyle w:val="Tablebodytext"/>
            </w:pPr>
            <w:r w:rsidRPr="00686E61">
              <w:t>0.184***</w:t>
            </w:r>
          </w:p>
        </w:tc>
        <w:tc>
          <w:tcPr>
            <w:tcW w:w="740" w:type="pct"/>
          </w:tcPr>
          <w:p w14:paraId="209E3071" w14:textId="77777777" w:rsidR="00A9777F" w:rsidRPr="00686E61" w:rsidRDefault="00A9777F" w:rsidP="00A9777F">
            <w:pPr>
              <w:pStyle w:val="Tablebodytext"/>
            </w:pPr>
            <w:r w:rsidRPr="00686E61">
              <w:t>0.260***</w:t>
            </w:r>
          </w:p>
        </w:tc>
      </w:tr>
      <w:tr w:rsidR="00A9777F" w14:paraId="209E3078" w14:textId="77777777" w:rsidTr="00C3720E">
        <w:trPr>
          <w:cnfStyle w:val="000000010000" w:firstRow="0" w:lastRow="0" w:firstColumn="0" w:lastColumn="0" w:oddVBand="0" w:evenVBand="0" w:oddHBand="0" w:evenHBand="1" w:firstRowFirstColumn="0" w:firstRowLastColumn="0" w:lastRowFirstColumn="0" w:lastRowLastColumn="0"/>
        </w:trPr>
        <w:tc>
          <w:tcPr>
            <w:tcW w:w="2039" w:type="pct"/>
            <w:tcBorders>
              <w:bottom w:val="single" w:sz="4" w:space="0" w:color="auto"/>
            </w:tcBorders>
          </w:tcPr>
          <w:p w14:paraId="209E3073" w14:textId="77777777" w:rsidR="00A9777F" w:rsidRPr="00686E61" w:rsidRDefault="00A9777F" w:rsidP="00A9777F">
            <w:pPr>
              <w:pStyle w:val="Tablebodytext"/>
            </w:pPr>
          </w:p>
        </w:tc>
        <w:tc>
          <w:tcPr>
            <w:tcW w:w="740" w:type="pct"/>
          </w:tcPr>
          <w:p w14:paraId="209E3074" w14:textId="77777777" w:rsidR="00A9777F" w:rsidRPr="00686E61" w:rsidRDefault="00A9777F" w:rsidP="00A9777F">
            <w:pPr>
              <w:pStyle w:val="Tablebodytext"/>
            </w:pPr>
          </w:p>
        </w:tc>
        <w:tc>
          <w:tcPr>
            <w:tcW w:w="740" w:type="pct"/>
          </w:tcPr>
          <w:p w14:paraId="209E3075" w14:textId="77777777" w:rsidR="00A9777F" w:rsidRPr="00686E61" w:rsidRDefault="00A9777F" w:rsidP="00A9777F">
            <w:pPr>
              <w:pStyle w:val="Tablebodytext"/>
            </w:pPr>
          </w:p>
        </w:tc>
        <w:tc>
          <w:tcPr>
            <w:tcW w:w="740" w:type="pct"/>
          </w:tcPr>
          <w:p w14:paraId="209E3076" w14:textId="77777777" w:rsidR="00A9777F" w:rsidRPr="00686E61" w:rsidRDefault="00A9777F" w:rsidP="00A9777F">
            <w:pPr>
              <w:pStyle w:val="Tablebodytext"/>
            </w:pPr>
            <w:r w:rsidRPr="00686E61">
              <w:t>(0.034)</w:t>
            </w:r>
          </w:p>
        </w:tc>
        <w:tc>
          <w:tcPr>
            <w:tcW w:w="740" w:type="pct"/>
          </w:tcPr>
          <w:p w14:paraId="209E3077" w14:textId="77777777" w:rsidR="00A9777F" w:rsidRPr="00686E61" w:rsidRDefault="00A9777F" w:rsidP="00A9777F">
            <w:pPr>
              <w:pStyle w:val="Tablebodytext"/>
            </w:pPr>
            <w:r w:rsidRPr="00686E61">
              <w:t>(0.034)</w:t>
            </w:r>
          </w:p>
        </w:tc>
      </w:tr>
      <w:tr w:rsidR="00A9777F" w14:paraId="209E307E" w14:textId="77777777" w:rsidTr="00C3720E">
        <w:trPr>
          <w:cnfStyle w:val="000000100000" w:firstRow="0" w:lastRow="0" w:firstColumn="0" w:lastColumn="0" w:oddVBand="0" w:evenVBand="0" w:oddHBand="1" w:evenHBand="0" w:firstRowFirstColumn="0" w:firstRowLastColumn="0" w:lastRowFirstColumn="0" w:lastRowLastColumn="0"/>
        </w:trPr>
        <w:tc>
          <w:tcPr>
            <w:tcW w:w="2039" w:type="pct"/>
            <w:tcBorders>
              <w:top w:val="single" w:sz="4" w:space="0" w:color="auto"/>
            </w:tcBorders>
          </w:tcPr>
          <w:p w14:paraId="209E3079" w14:textId="77777777" w:rsidR="00A9777F" w:rsidRPr="00686E61" w:rsidRDefault="00A9777F" w:rsidP="00A9777F">
            <w:pPr>
              <w:pStyle w:val="Tablebodytext"/>
            </w:pPr>
            <w:r w:rsidRPr="00686E61">
              <w:t xml:space="preserve"> </w:t>
            </w:r>
            <m:oMath>
              <m:r>
                <w:rPr>
                  <w:rFonts w:ascii="Cambria Math" w:hAnsi="Cambria Math"/>
                </w:rPr>
                <m:t>Innov =</m:t>
              </m:r>
            </m:oMath>
          </w:p>
        </w:tc>
        <w:tc>
          <w:tcPr>
            <w:tcW w:w="740" w:type="pct"/>
          </w:tcPr>
          <w:p w14:paraId="209E307A" w14:textId="77777777" w:rsidR="00A9777F" w:rsidRPr="00686E61" w:rsidRDefault="00A9777F" w:rsidP="00A9777F">
            <w:pPr>
              <w:pStyle w:val="Tablebodytext"/>
            </w:pPr>
            <m:oMathPara>
              <m:oMath>
                <m:r>
                  <w:rPr>
                    <w:rFonts w:ascii="Cambria Math" w:hAnsi="Cambria Math"/>
                  </w:rPr>
                  <m:t>FinInn</m:t>
                </m:r>
              </m:oMath>
            </m:oMathPara>
          </w:p>
        </w:tc>
        <w:tc>
          <w:tcPr>
            <w:tcW w:w="740" w:type="pct"/>
          </w:tcPr>
          <w:p w14:paraId="209E307B" w14:textId="77777777" w:rsidR="00A9777F" w:rsidRPr="00686E61" w:rsidRDefault="00A9777F" w:rsidP="00A9777F">
            <w:pPr>
              <w:pStyle w:val="Tablebodytext"/>
            </w:pPr>
            <m:oMathPara>
              <m:oMath>
                <m:r>
                  <w:rPr>
                    <w:rFonts w:ascii="Cambria Math" w:hAnsi="Cambria Math"/>
                  </w:rPr>
                  <m:t>FinInn</m:t>
                </m:r>
              </m:oMath>
            </m:oMathPara>
          </w:p>
        </w:tc>
        <w:tc>
          <w:tcPr>
            <w:tcW w:w="740" w:type="pct"/>
          </w:tcPr>
          <w:p w14:paraId="209E307C" w14:textId="77777777" w:rsidR="00A9777F" w:rsidRPr="00686E61" w:rsidRDefault="00A9777F" w:rsidP="00A9777F">
            <w:pPr>
              <w:pStyle w:val="Tablebodytext"/>
            </w:pPr>
            <m:oMathPara>
              <m:oMath>
                <m:r>
                  <w:rPr>
                    <w:rFonts w:ascii="Cambria Math" w:hAnsi="Cambria Math"/>
                  </w:rPr>
                  <m:t>FinInn</m:t>
                </m:r>
              </m:oMath>
            </m:oMathPara>
          </w:p>
        </w:tc>
        <w:tc>
          <w:tcPr>
            <w:tcW w:w="740" w:type="pct"/>
          </w:tcPr>
          <w:p w14:paraId="209E307D" w14:textId="77777777" w:rsidR="00A9777F" w:rsidRPr="00686E61" w:rsidRDefault="00A9777F" w:rsidP="00A9777F">
            <w:pPr>
              <w:pStyle w:val="Tablebodytext"/>
            </w:pPr>
            <m:oMathPara>
              <m:oMath>
                <m:r>
                  <w:rPr>
                    <w:rFonts w:ascii="Cambria Math" w:hAnsi="Cambria Math"/>
                  </w:rPr>
                  <m:t>InnFocus</m:t>
                </m:r>
              </m:oMath>
            </m:oMathPara>
          </w:p>
        </w:tc>
      </w:tr>
      <w:tr w:rsidR="00A9777F" w14:paraId="209E3084" w14:textId="77777777" w:rsidTr="00A9777F">
        <w:trPr>
          <w:cnfStyle w:val="000000010000" w:firstRow="0" w:lastRow="0" w:firstColumn="0" w:lastColumn="0" w:oddVBand="0" w:evenVBand="0" w:oddHBand="0" w:evenHBand="1" w:firstRowFirstColumn="0" w:firstRowLastColumn="0" w:lastRowFirstColumn="0" w:lastRowLastColumn="0"/>
        </w:trPr>
        <w:tc>
          <w:tcPr>
            <w:tcW w:w="2039" w:type="pct"/>
          </w:tcPr>
          <w:p w14:paraId="209E307F" w14:textId="77777777" w:rsidR="00A9777F" w:rsidRPr="00686E61" w:rsidRDefault="00A9777F" w:rsidP="00A9777F">
            <w:pPr>
              <w:pStyle w:val="Tablebodytext"/>
            </w:pPr>
            <w:r w:rsidRPr="00686E61">
              <w:t xml:space="preserve"> Log Likelihood</w:t>
            </w:r>
          </w:p>
        </w:tc>
        <w:tc>
          <w:tcPr>
            <w:tcW w:w="740" w:type="pct"/>
          </w:tcPr>
          <w:p w14:paraId="209E3080" w14:textId="4AAE2535" w:rsidR="00A9777F" w:rsidRPr="00686E61" w:rsidRDefault="0084296C" w:rsidP="00A9777F">
            <w:pPr>
              <w:pStyle w:val="Tablebodytext"/>
            </w:pPr>
            <w:r w:rsidRPr="00686E61">
              <w:t>–</w:t>
            </w:r>
            <w:r w:rsidR="00A9777F" w:rsidRPr="00686E61">
              <w:t>57,314.0</w:t>
            </w:r>
          </w:p>
        </w:tc>
        <w:tc>
          <w:tcPr>
            <w:tcW w:w="740" w:type="pct"/>
          </w:tcPr>
          <w:p w14:paraId="209E3081" w14:textId="598272DC" w:rsidR="00A9777F" w:rsidRPr="00686E61" w:rsidRDefault="0084296C" w:rsidP="00A9777F">
            <w:pPr>
              <w:pStyle w:val="Tablebodytext"/>
            </w:pPr>
            <w:r w:rsidRPr="00686E61">
              <w:t>–</w:t>
            </w:r>
            <w:r w:rsidR="00A9777F" w:rsidRPr="00686E61">
              <w:t>57,310.3</w:t>
            </w:r>
          </w:p>
        </w:tc>
        <w:tc>
          <w:tcPr>
            <w:tcW w:w="740" w:type="pct"/>
          </w:tcPr>
          <w:p w14:paraId="209E3082" w14:textId="09D840B4" w:rsidR="00A9777F" w:rsidRPr="00686E61" w:rsidRDefault="0084296C" w:rsidP="00A9777F">
            <w:pPr>
              <w:pStyle w:val="Tablebodytext"/>
            </w:pPr>
            <w:r w:rsidRPr="00686E61">
              <w:t>–</w:t>
            </w:r>
            <w:r w:rsidR="00A9777F" w:rsidRPr="00686E61">
              <w:t>56,781.2</w:t>
            </w:r>
          </w:p>
        </w:tc>
        <w:tc>
          <w:tcPr>
            <w:tcW w:w="740" w:type="pct"/>
          </w:tcPr>
          <w:p w14:paraId="209E3083" w14:textId="6414670C" w:rsidR="00A9777F" w:rsidRPr="00686E61" w:rsidRDefault="0084296C" w:rsidP="00A9777F">
            <w:pPr>
              <w:pStyle w:val="Tablebodytext"/>
            </w:pPr>
            <w:r w:rsidRPr="00686E61">
              <w:t>–</w:t>
            </w:r>
            <w:r w:rsidR="00A9777F" w:rsidRPr="00686E61">
              <w:t>57,933.1</w:t>
            </w:r>
          </w:p>
        </w:tc>
      </w:tr>
      <w:tr w:rsidR="00A9777F" w14:paraId="209E308A" w14:textId="77777777" w:rsidTr="00A9777F">
        <w:trPr>
          <w:cnfStyle w:val="000000100000" w:firstRow="0" w:lastRow="0" w:firstColumn="0" w:lastColumn="0" w:oddVBand="0" w:evenVBand="0" w:oddHBand="1" w:evenHBand="0" w:firstRowFirstColumn="0" w:firstRowLastColumn="0" w:lastRowFirstColumn="0" w:lastRowLastColumn="0"/>
        </w:trPr>
        <w:tc>
          <w:tcPr>
            <w:tcW w:w="2039" w:type="pct"/>
          </w:tcPr>
          <w:p w14:paraId="209E3085" w14:textId="77777777" w:rsidR="00A9777F" w:rsidRPr="00686E61" w:rsidRDefault="00A9777F" w:rsidP="00A9777F">
            <w:pPr>
              <w:pStyle w:val="Tablebodytext"/>
            </w:pPr>
            <w:r w:rsidRPr="00686E61">
              <w:t xml:space="preserve"> </w:t>
            </w:r>
            <m:oMath>
              <m:sSup>
                <m:sSupPr>
                  <m:ctrlPr>
                    <w:rPr>
                      <w:rFonts w:ascii="Cambria Math" w:hAnsi="Cambria Math"/>
                    </w:rPr>
                  </m:ctrlPr>
                </m:sSupPr>
                <m:e>
                  <m:r>
                    <w:rPr>
                      <w:rFonts w:ascii="Cambria Math" w:hAnsi="Cambria Math"/>
                    </w:rPr>
                    <m:t>χ</m:t>
                  </m:r>
                </m:e>
                <m:sup>
                  <m:r>
                    <w:rPr>
                      <w:rFonts w:ascii="Cambria Math" w:hAnsi="Cambria Math"/>
                    </w:rPr>
                    <m:t>2</m:t>
                  </m:r>
                </m:sup>
              </m:sSup>
            </m:oMath>
          </w:p>
        </w:tc>
        <w:tc>
          <w:tcPr>
            <w:tcW w:w="740" w:type="pct"/>
          </w:tcPr>
          <w:p w14:paraId="209E3086" w14:textId="77777777" w:rsidR="00A9777F" w:rsidRPr="00686E61" w:rsidRDefault="00A9777F" w:rsidP="00A9777F">
            <w:pPr>
              <w:pStyle w:val="Tablebodytext"/>
            </w:pPr>
            <w:r w:rsidRPr="00686E61">
              <w:t>204.0***</w:t>
            </w:r>
          </w:p>
        </w:tc>
        <w:tc>
          <w:tcPr>
            <w:tcW w:w="740" w:type="pct"/>
          </w:tcPr>
          <w:p w14:paraId="209E3087" w14:textId="77777777" w:rsidR="00A9777F" w:rsidRPr="00686E61" w:rsidRDefault="00A9777F" w:rsidP="00A9777F">
            <w:pPr>
              <w:pStyle w:val="Tablebodytext"/>
            </w:pPr>
            <w:r w:rsidRPr="00686E61">
              <w:t>213.2***</w:t>
            </w:r>
          </w:p>
        </w:tc>
        <w:tc>
          <w:tcPr>
            <w:tcW w:w="740" w:type="pct"/>
          </w:tcPr>
          <w:p w14:paraId="209E3088" w14:textId="77777777" w:rsidR="00A9777F" w:rsidRPr="00686E61" w:rsidRDefault="00A9777F" w:rsidP="00A9777F">
            <w:pPr>
              <w:pStyle w:val="Tablebodytext"/>
            </w:pPr>
            <w:r w:rsidRPr="00686E61">
              <w:t>1033.5***</w:t>
            </w:r>
          </w:p>
        </w:tc>
        <w:tc>
          <w:tcPr>
            <w:tcW w:w="740" w:type="pct"/>
          </w:tcPr>
          <w:p w14:paraId="209E3089" w14:textId="77777777" w:rsidR="00A9777F" w:rsidRPr="00686E61" w:rsidRDefault="00A9777F" w:rsidP="00A9777F">
            <w:pPr>
              <w:pStyle w:val="Tablebodytext"/>
            </w:pPr>
            <w:r w:rsidRPr="00686E61">
              <w:t>414.6***</w:t>
            </w:r>
          </w:p>
        </w:tc>
      </w:tr>
      <w:tr w:rsidR="00A9777F" w14:paraId="209E3090" w14:textId="77777777" w:rsidTr="00A9777F">
        <w:trPr>
          <w:cnfStyle w:val="000000010000" w:firstRow="0" w:lastRow="0" w:firstColumn="0" w:lastColumn="0" w:oddVBand="0" w:evenVBand="0" w:oddHBand="0" w:evenHBand="1" w:firstRowFirstColumn="0" w:firstRowLastColumn="0" w:lastRowFirstColumn="0" w:lastRowLastColumn="0"/>
        </w:trPr>
        <w:tc>
          <w:tcPr>
            <w:tcW w:w="2039" w:type="pct"/>
          </w:tcPr>
          <w:p w14:paraId="209E308B" w14:textId="77777777" w:rsidR="00A9777F" w:rsidRPr="00686E61" w:rsidRDefault="00A9777F" w:rsidP="00A9777F">
            <w:pPr>
              <w:pStyle w:val="Tablebodytext"/>
            </w:pPr>
            <w:r w:rsidRPr="00686E61">
              <w:t xml:space="preserve"> </w:t>
            </w:r>
            <m:oMath>
              <m:sSup>
                <m:sSupPr>
                  <m:ctrlPr>
                    <w:rPr>
                      <w:rFonts w:ascii="Cambria Math" w:hAnsi="Cambria Math"/>
                    </w:rPr>
                  </m:ctrlPr>
                </m:sSupPr>
                <m:e>
                  <m:r>
                    <w:rPr>
                      <w:rFonts w:ascii="Cambria Math" w:hAnsi="Cambria Math"/>
                    </w:rPr>
                    <m:t>χ</m:t>
                  </m:r>
                </m:e>
                <m:sup>
                  <m:r>
                    <w:rPr>
                      <w:rFonts w:ascii="Cambria Math" w:hAnsi="Cambria Math"/>
                    </w:rPr>
                    <m:t>2</m:t>
                  </m:r>
                </m:sup>
              </m:sSup>
            </m:oMath>
            <w:r w:rsidRPr="00686E61">
              <w:t xml:space="preserve"> Selection</w:t>
            </w:r>
          </w:p>
        </w:tc>
        <w:tc>
          <w:tcPr>
            <w:tcW w:w="740" w:type="pct"/>
          </w:tcPr>
          <w:p w14:paraId="209E308C" w14:textId="77777777" w:rsidR="00A9777F" w:rsidRPr="00686E61" w:rsidRDefault="00A9777F" w:rsidP="00A9777F">
            <w:pPr>
              <w:pStyle w:val="Tablebodytext"/>
            </w:pPr>
            <w:r w:rsidRPr="00686E61">
              <w:t>21.75***</w:t>
            </w:r>
          </w:p>
        </w:tc>
        <w:tc>
          <w:tcPr>
            <w:tcW w:w="740" w:type="pct"/>
          </w:tcPr>
          <w:p w14:paraId="209E308D" w14:textId="77777777" w:rsidR="00A9777F" w:rsidRPr="00686E61" w:rsidRDefault="00A9777F" w:rsidP="00A9777F">
            <w:pPr>
              <w:pStyle w:val="Tablebodytext"/>
            </w:pPr>
            <w:r w:rsidRPr="00686E61">
              <w:t>20.64***</w:t>
            </w:r>
          </w:p>
        </w:tc>
        <w:tc>
          <w:tcPr>
            <w:tcW w:w="740" w:type="pct"/>
          </w:tcPr>
          <w:p w14:paraId="209E308E" w14:textId="77777777" w:rsidR="00A9777F" w:rsidRPr="00686E61" w:rsidRDefault="00A9777F" w:rsidP="00A9777F">
            <w:pPr>
              <w:pStyle w:val="Tablebodytext"/>
            </w:pPr>
            <w:r w:rsidRPr="00686E61">
              <w:t>10.92***</w:t>
            </w:r>
          </w:p>
        </w:tc>
        <w:tc>
          <w:tcPr>
            <w:tcW w:w="740" w:type="pct"/>
          </w:tcPr>
          <w:p w14:paraId="209E308F" w14:textId="77777777" w:rsidR="00A9777F" w:rsidRPr="00686E61" w:rsidRDefault="00A9777F" w:rsidP="00A9777F">
            <w:pPr>
              <w:pStyle w:val="Tablebodytext"/>
            </w:pPr>
            <w:r w:rsidRPr="00686E61">
              <w:t>5.07**</w:t>
            </w:r>
          </w:p>
        </w:tc>
      </w:tr>
      <w:tr w:rsidR="00A9777F" w14:paraId="209E3096" w14:textId="77777777" w:rsidTr="00A9777F">
        <w:trPr>
          <w:cnfStyle w:val="000000100000" w:firstRow="0" w:lastRow="0" w:firstColumn="0" w:lastColumn="0" w:oddVBand="0" w:evenVBand="0" w:oddHBand="1" w:evenHBand="0" w:firstRowFirstColumn="0" w:firstRowLastColumn="0" w:lastRowFirstColumn="0" w:lastRowLastColumn="0"/>
        </w:trPr>
        <w:tc>
          <w:tcPr>
            <w:tcW w:w="2039" w:type="pct"/>
          </w:tcPr>
          <w:p w14:paraId="209E3091" w14:textId="77777777" w:rsidR="00A9777F" w:rsidRPr="00686E61" w:rsidRDefault="00A9777F" w:rsidP="00A9777F">
            <w:pPr>
              <w:pStyle w:val="Tablebodytext"/>
            </w:pPr>
            <w:r w:rsidRPr="00686E61">
              <w:t xml:space="preserve"> </w:t>
            </w:r>
            <m:oMath>
              <m:r>
                <w:rPr>
                  <w:rFonts w:ascii="Cambria Math" w:hAnsi="Cambria Math"/>
                </w:rPr>
                <m:t>N</m:t>
              </m:r>
            </m:oMath>
          </w:p>
        </w:tc>
        <w:tc>
          <w:tcPr>
            <w:tcW w:w="740" w:type="pct"/>
          </w:tcPr>
          <w:p w14:paraId="209E3092" w14:textId="77777777" w:rsidR="00A9777F" w:rsidRPr="00686E61" w:rsidRDefault="00A9777F" w:rsidP="00A9777F">
            <w:pPr>
              <w:pStyle w:val="Tablebodytext"/>
            </w:pPr>
            <w:r w:rsidRPr="00686E61">
              <w:t>48,859</w:t>
            </w:r>
          </w:p>
        </w:tc>
        <w:tc>
          <w:tcPr>
            <w:tcW w:w="740" w:type="pct"/>
          </w:tcPr>
          <w:p w14:paraId="209E3093" w14:textId="77777777" w:rsidR="00A9777F" w:rsidRPr="00686E61" w:rsidRDefault="00A9777F" w:rsidP="00A9777F">
            <w:pPr>
              <w:pStyle w:val="Tablebodytext"/>
            </w:pPr>
            <w:r w:rsidRPr="00686E61">
              <w:t>48,859</w:t>
            </w:r>
          </w:p>
        </w:tc>
        <w:tc>
          <w:tcPr>
            <w:tcW w:w="740" w:type="pct"/>
          </w:tcPr>
          <w:p w14:paraId="209E3094" w14:textId="77777777" w:rsidR="00A9777F" w:rsidRPr="00686E61" w:rsidRDefault="00A9777F" w:rsidP="00A9777F">
            <w:pPr>
              <w:pStyle w:val="Tablebodytext"/>
            </w:pPr>
            <w:r w:rsidRPr="00686E61">
              <w:t>48,859</w:t>
            </w:r>
          </w:p>
        </w:tc>
        <w:tc>
          <w:tcPr>
            <w:tcW w:w="740" w:type="pct"/>
          </w:tcPr>
          <w:p w14:paraId="209E3095" w14:textId="77777777" w:rsidR="00A9777F" w:rsidRPr="00686E61" w:rsidRDefault="00A9777F" w:rsidP="00A9777F">
            <w:pPr>
              <w:pStyle w:val="Tablebodytext"/>
            </w:pPr>
            <w:r w:rsidRPr="00686E61">
              <w:t>48,960</w:t>
            </w:r>
          </w:p>
        </w:tc>
      </w:tr>
    </w:tbl>
    <w:p w14:paraId="209E3097" w14:textId="77777777" w:rsidR="00A9777F" w:rsidRPr="00C62F3A" w:rsidRDefault="00A9777F" w:rsidP="00C474C2">
      <w:pPr>
        <w:pStyle w:val="Note"/>
      </w:pPr>
      <w:r>
        <w:t xml:space="preserve">Notes: </w:t>
      </w:r>
      <w:r w:rsidR="00454500">
        <w:t>Inverse propensity weights are applied. Numbers in parentheses are robust standard errors. *** and * indicate 1 and 10 per cent significance levels, respectively. A set of control variables and industry and year dummies are also estimated but not reported.</w:t>
      </w:r>
    </w:p>
    <w:p w14:paraId="209E3098" w14:textId="77777777" w:rsidR="00A9777F" w:rsidRDefault="00EF3E4B" w:rsidP="00C474C2">
      <w:pPr>
        <w:pStyle w:val="Source"/>
      </w:pPr>
      <w:r>
        <w:t>Source: Dept. of Industry, Innovation and S</w:t>
      </w:r>
      <w:r w:rsidR="002E0BB9">
        <w:t>c</w:t>
      </w:r>
      <w:r>
        <w:t>ience (2018)</w:t>
      </w:r>
    </w:p>
    <w:p w14:paraId="209E3099" w14:textId="77777777" w:rsidR="002308A5" w:rsidRDefault="002308A5" w:rsidP="002308A5">
      <w:pPr>
        <w:pStyle w:val="BodyText"/>
      </w:pPr>
      <w:r>
        <w:t>Receiving government assistance offsets the negative effect from financing for innovation, such that these firms are now on par with other firms in obtaining financing. The effect of government assistance diminishes with size. Larger firms did not face much discrimination in the first place.</w:t>
      </w:r>
    </w:p>
    <w:p w14:paraId="209E309A" w14:textId="4282C7DB" w:rsidR="002308A5" w:rsidRDefault="002308A5" w:rsidP="002308A5">
      <w:pPr>
        <w:pStyle w:val="BodyText"/>
      </w:pPr>
      <w:r>
        <w:t>Importantly, young innovative firms get the largest boost in obtaining financing from government assistance. The number in the table shows that young firms embarking on an innovation project are more than 18 percentage points more likely to obtain financing if they received government assistance in the prior year. Moreover, young firms have a 30 percent</w:t>
      </w:r>
      <w:r w:rsidR="00535FBC">
        <w:t>age point</w:t>
      </w:r>
      <w:r>
        <w:t xml:space="preserve"> advantage over other firms if they are also small (which is the case for most of them). This effect gives young firms a lead over other firms in obtaining financing.</w:t>
      </w:r>
    </w:p>
    <w:p w14:paraId="209E309B" w14:textId="77777777" w:rsidR="002308A5" w:rsidRDefault="002308A5" w:rsidP="002308A5">
      <w:pPr>
        <w:pStyle w:val="BodyText"/>
      </w:pPr>
      <w:r>
        <w:t>In the last column, I use the indicator of whether the firm is focused on innovation. There is practically no impact on the firm’s ability to obtain financing due to its being innovation focused. The only notable impact here is that young firms focused on innovation and with government assistance are, once again, much more likely to obtain financing.</w:t>
      </w:r>
    </w:p>
    <w:p w14:paraId="209E309C" w14:textId="77777777" w:rsidR="002308A5" w:rsidRDefault="002308A5" w:rsidP="002308A5">
      <w:pPr>
        <w:pStyle w:val="BodyText"/>
      </w:pPr>
      <w:r>
        <w:lastRenderedPageBreak/>
        <w:t>Based on these results, one can argue that innovation is generally considered a risky venture by most investors and even riskier when the firm is small. Reasonably risk-averse investors would stay away from financing such ventures. However, once the government steps in and shares in some risk, investors change their views and look upon the venture as a promising opportunity. In particular, young small firms are considered more favourably than mature small firms. The distinction is possibly owing to young firms being perceived with larger growth potentials – in turn, bigger returns on investment – as compared to small mature firms.</w:t>
      </w:r>
    </w:p>
    <w:p w14:paraId="209E309D" w14:textId="77777777" w:rsidR="002308A5" w:rsidRDefault="002308A5" w:rsidP="002308A5">
      <w:pPr>
        <w:pStyle w:val="BodyText"/>
      </w:pPr>
      <w:r>
        <w:t>Interestingly, firms are not disadvantaged because they are dedicated to innovation. The disadvantage only applies if the firm has the intention to start a new innovation project.</w:t>
      </w:r>
    </w:p>
    <w:p w14:paraId="209E309E" w14:textId="77777777" w:rsidR="00B77FC2" w:rsidRDefault="00B77FC2" w:rsidP="00B77FC2">
      <w:pPr>
        <w:pStyle w:val="Heading2"/>
        <w:rPr>
          <w:lang w:val="en"/>
        </w:rPr>
      </w:pPr>
      <w:r>
        <w:rPr>
          <w:lang w:val="en"/>
        </w:rPr>
        <w:t>Form of assistance</w:t>
      </w:r>
    </w:p>
    <w:p w14:paraId="209E309F" w14:textId="77777777" w:rsidR="00B77FC2" w:rsidRPr="001A0DEB" w:rsidRDefault="00B77FC2" w:rsidP="008A3077">
      <w:pPr>
        <w:pStyle w:val="FirstParagraph"/>
        <w:spacing w:line="270" w:lineRule="exact"/>
        <w:jc w:val="both"/>
        <w:rPr>
          <w:color w:val="373737"/>
          <w:sz w:val="20"/>
          <w:szCs w:val="20"/>
        </w:rPr>
      </w:pPr>
      <w:r w:rsidRPr="001A0DEB">
        <w:rPr>
          <w:color w:val="373737"/>
          <w:sz w:val="20"/>
          <w:szCs w:val="20"/>
        </w:rPr>
        <w:t>In the BCS, firms that report having received government financial assistance, additionally indicate the form of financial assistance received from the state or federal governments. Firms indicate whether the assistance is in the form of grants, subsidies, cash rebate, tax concessions, on-going aid, or other unspecified type of assistance. The number of firms receiving each form of assistance</w:t>
      </w:r>
      <w:r w:rsidR="00436D7F" w:rsidRPr="001A0DEB">
        <w:rPr>
          <w:color w:val="373737"/>
          <w:sz w:val="20"/>
          <w:szCs w:val="20"/>
        </w:rPr>
        <w:t xml:space="preserve"> is reported in </w:t>
      </w:r>
      <w:r w:rsidR="00436D7F" w:rsidRPr="001A0DEB">
        <w:rPr>
          <w:color w:val="373737"/>
          <w:sz w:val="20"/>
          <w:szCs w:val="20"/>
        </w:rPr>
        <w:fldChar w:fldCharType="begin"/>
      </w:r>
      <w:r w:rsidR="00436D7F" w:rsidRPr="001A0DEB">
        <w:rPr>
          <w:color w:val="373737"/>
          <w:sz w:val="20"/>
          <w:szCs w:val="20"/>
        </w:rPr>
        <w:instrText xml:space="preserve"> REF _Ref519607049 \h  \* MERGEFORMAT </w:instrText>
      </w:r>
      <w:r w:rsidR="00436D7F" w:rsidRPr="001A0DEB">
        <w:rPr>
          <w:color w:val="373737"/>
          <w:sz w:val="20"/>
          <w:szCs w:val="20"/>
        </w:rPr>
      </w:r>
      <w:r w:rsidR="00436D7F" w:rsidRPr="001A0DEB">
        <w:rPr>
          <w:color w:val="373737"/>
          <w:sz w:val="20"/>
          <w:szCs w:val="20"/>
        </w:rPr>
        <w:fldChar w:fldCharType="separate"/>
      </w:r>
      <w:r w:rsidR="00851CD1" w:rsidRPr="001A0DEB">
        <w:rPr>
          <w:color w:val="373737"/>
          <w:sz w:val="20"/>
          <w:szCs w:val="20"/>
        </w:rPr>
        <w:t xml:space="preserve">Table </w:t>
      </w:r>
      <w:r w:rsidR="00851CD1" w:rsidRPr="001A0DEB">
        <w:rPr>
          <w:noProof/>
          <w:color w:val="373737"/>
          <w:sz w:val="20"/>
          <w:szCs w:val="20"/>
        </w:rPr>
        <w:t>6.5</w:t>
      </w:r>
      <w:r w:rsidR="00436D7F" w:rsidRPr="001A0DEB">
        <w:rPr>
          <w:color w:val="373737"/>
          <w:sz w:val="20"/>
          <w:szCs w:val="20"/>
        </w:rPr>
        <w:fldChar w:fldCharType="end"/>
      </w:r>
      <w:r w:rsidRPr="001A0DEB">
        <w:rPr>
          <w:color w:val="373737"/>
          <w:sz w:val="20"/>
          <w:szCs w:val="20"/>
        </w:rPr>
        <w:t>. Note that a number of firms are receiving more than one form of assistance simultaneously.</w:t>
      </w:r>
    </w:p>
    <w:p w14:paraId="209E30A0" w14:textId="77777777" w:rsidR="00B77FC2" w:rsidRDefault="00B77FC2" w:rsidP="00C474C2">
      <w:pPr>
        <w:pStyle w:val="Caption"/>
      </w:pPr>
      <w:bookmarkStart w:id="9" w:name="_Ref519607049"/>
      <w:r w:rsidRPr="000618FB">
        <w:t xml:space="preserve">Table </w:t>
      </w:r>
      <w:r>
        <w:rPr>
          <w:noProof/>
        </w:rPr>
        <w:fldChar w:fldCharType="begin"/>
      </w:r>
      <w:r>
        <w:rPr>
          <w:noProof/>
        </w:rPr>
        <w:instrText xml:space="preserve"> STYLEREF 1 \s </w:instrText>
      </w:r>
      <w:r>
        <w:rPr>
          <w:noProof/>
        </w:rPr>
        <w:fldChar w:fldCharType="separate"/>
      </w:r>
      <w:r w:rsidR="00851CD1">
        <w:rPr>
          <w:noProof/>
        </w:rPr>
        <w:t>6</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851CD1">
        <w:rPr>
          <w:noProof/>
        </w:rPr>
        <w:t>5</w:t>
      </w:r>
      <w:r>
        <w:rPr>
          <w:noProof/>
        </w:rPr>
        <w:fldChar w:fldCharType="end"/>
      </w:r>
      <w:bookmarkEnd w:id="9"/>
      <w:r w:rsidRPr="000618FB">
        <w:t xml:space="preserve">: </w:t>
      </w:r>
      <w:r>
        <w:t>The number of firms receiving each form of assistance</w:t>
      </w:r>
    </w:p>
    <w:tbl>
      <w:tblPr>
        <w:tblStyle w:val="OCETable"/>
        <w:tblW w:w="5000" w:type="pct"/>
        <w:tblLook w:val="04A0" w:firstRow="1" w:lastRow="0" w:firstColumn="1" w:lastColumn="0" w:noHBand="0" w:noVBand="1"/>
        <w:tblCaption w:val="The number of firms receiving each form of assistance"/>
        <w:tblDescription w:val="Of all observations receiving assistance, 40 per cent get grants, 25 per cent get subsidies, 40 per cent get rebates, 26 per cent get tax concenssions. A smnaller proportion get on-going or other forms of assistance."/>
      </w:tblPr>
      <w:tblGrid>
        <w:gridCol w:w="1002"/>
        <w:gridCol w:w="895"/>
        <w:gridCol w:w="968"/>
        <w:gridCol w:w="893"/>
        <w:gridCol w:w="1306"/>
        <w:gridCol w:w="1041"/>
        <w:gridCol w:w="789"/>
      </w:tblGrid>
      <w:tr w:rsidR="00B77FC2" w14:paraId="209E30AE" w14:textId="77777777" w:rsidTr="00DC6A46">
        <w:trPr>
          <w:cnfStyle w:val="100000000000" w:firstRow="1" w:lastRow="0" w:firstColumn="0" w:lastColumn="0" w:oddVBand="0" w:evenVBand="0" w:oddHBand="0" w:evenHBand="0" w:firstRowFirstColumn="0" w:firstRowLastColumn="0" w:lastRowFirstColumn="0" w:lastRowLastColumn="0"/>
          <w:trHeight w:val="567"/>
          <w:tblHeader/>
        </w:trPr>
        <w:tc>
          <w:tcPr>
            <w:tcW w:w="727" w:type="pct"/>
          </w:tcPr>
          <w:p w14:paraId="209E30A1" w14:textId="77777777" w:rsidR="00B77FC2" w:rsidRDefault="00B77FC2" w:rsidP="00B77FC2">
            <w:pPr>
              <w:pStyle w:val="Tableheadertext"/>
            </w:pPr>
          </w:p>
        </w:tc>
        <w:tc>
          <w:tcPr>
            <w:tcW w:w="649" w:type="pct"/>
          </w:tcPr>
          <w:p w14:paraId="209E30A2" w14:textId="77777777" w:rsidR="00436D7F" w:rsidRDefault="00436D7F" w:rsidP="00E147EC">
            <w:pPr>
              <w:pStyle w:val="Tableheadertext"/>
              <w:jc w:val="right"/>
            </w:pPr>
          </w:p>
          <w:p w14:paraId="209E30A3" w14:textId="77777777" w:rsidR="00B77FC2" w:rsidRDefault="00B77FC2" w:rsidP="00E147EC">
            <w:pPr>
              <w:pStyle w:val="Tableheadertext"/>
              <w:jc w:val="right"/>
            </w:pPr>
            <w:r>
              <w:t>Grant</w:t>
            </w:r>
          </w:p>
        </w:tc>
        <w:tc>
          <w:tcPr>
            <w:tcW w:w="702" w:type="pct"/>
          </w:tcPr>
          <w:p w14:paraId="209E30A4" w14:textId="77777777" w:rsidR="00436D7F" w:rsidRDefault="00436D7F" w:rsidP="00E147EC">
            <w:pPr>
              <w:pStyle w:val="Tableheadertext"/>
              <w:jc w:val="right"/>
            </w:pPr>
          </w:p>
          <w:p w14:paraId="209E30A5" w14:textId="77777777" w:rsidR="00B77FC2" w:rsidRDefault="00B77FC2" w:rsidP="00E147EC">
            <w:pPr>
              <w:pStyle w:val="Tableheadertext"/>
              <w:jc w:val="right"/>
            </w:pPr>
            <w:r>
              <w:t>Subsidy</w:t>
            </w:r>
          </w:p>
        </w:tc>
        <w:tc>
          <w:tcPr>
            <w:tcW w:w="648" w:type="pct"/>
          </w:tcPr>
          <w:p w14:paraId="209E30A6" w14:textId="77777777" w:rsidR="00436D7F" w:rsidRDefault="00436D7F" w:rsidP="00E147EC">
            <w:pPr>
              <w:pStyle w:val="Tableheadertext"/>
              <w:jc w:val="right"/>
            </w:pPr>
          </w:p>
          <w:p w14:paraId="209E30A7" w14:textId="77777777" w:rsidR="00B77FC2" w:rsidRDefault="00B77FC2" w:rsidP="00E147EC">
            <w:pPr>
              <w:pStyle w:val="Tableheadertext"/>
              <w:jc w:val="right"/>
            </w:pPr>
            <w:r>
              <w:t>Rebate</w:t>
            </w:r>
          </w:p>
        </w:tc>
        <w:tc>
          <w:tcPr>
            <w:tcW w:w="947" w:type="pct"/>
          </w:tcPr>
          <w:p w14:paraId="209E30A8" w14:textId="77777777" w:rsidR="00436D7F" w:rsidRDefault="00436D7F" w:rsidP="00E147EC">
            <w:pPr>
              <w:pStyle w:val="Tableheadertext"/>
              <w:jc w:val="right"/>
            </w:pPr>
            <w:r>
              <w:t>Tax</w:t>
            </w:r>
          </w:p>
          <w:p w14:paraId="209E30A9" w14:textId="77777777" w:rsidR="00B77FC2" w:rsidRDefault="00B77FC2" w:rsidP="00E147EC">
            <w:pPr>
              <w:pStyle w:val="Tableheadertext"/>
              <w:jc w:val="right"/>
            </w:pPr>
            <w:r>
              <w:t>Concession</w:t>
            </w:r>
          </w:p>
        </w:tc>
        <w:tc>
          <w:tcPr>
            <w:tcW w:w="755" w:type="pct"/>
          </w:tcPr>
          <w:p w14:paraId="209E30AA" w14:textId="77777777" w:rsidR="00436D7F" w:rsidRDefault="00436D7F" w:rsidP="00E147EC">
            <w:pPr>
              <w:pStyle w:val="Tableheadertext"/>
              <w:jc w:val="right"/>
            </w:pPr>
          </w:p>
          <w:p w14:paraId="209E30AB" w14:textId="77777777" w:rsidR="00B77FC2" w:rsidRDefault="00B77FC2" w:rsidP="00E147EC">
            <w:pPr>
              <w:pStyle w:val="Tableheadertext"/>
              <w:jc w:val="right"/>
            </w:pPr>
            <w:r>
              <w:t>on-going</w:t>
            </w:r>
          </w:p>
        </w:tc>
        <w:tc>
          <w:tcPr>
            <w:tcW w:w="572" w:type="pct"/>
          </w:tcPr>
          <w:p w14:paraId="209E30AC" w14:textId="77777777" w:rsidR="00436D7F" w:rsidRDefault="00436D7F" w:rsidP="00E147EC">
            <w:pPr>
              <w:pStyle w:val="Tableheadertext"/>
              <w:jc w:val="right"/>
            </w:pPr>
          </w:p>
          <w:p w14:paraId="209E30AD" w14:textId="77777777" w:rsidR="00B77FC2" w:rsidRDefault="00B77FC2" w:rsidP="00E147EC">
            <w:pPr>
              <w:pStyle w:val="Tableheadertext"/>
              <w:jc w:val="right"/>
            </w:pPr>
            <w:r>
              <w:t>Other</w:t>
            </w:r>
          </w:p>
        </w:tc>
      </w:tr>
      <w:tr w:rsidR="00B77FC2" w14:paraId="209E30B6" w14:textId="77777777" w:rsidTr="00B77FC2">
        <w:trPr>
          <w:cnfStyle w:val="000000100000" w:firstRow="0" w:lastRow="0" w:firstColumn="0" w:lastColumn="0" w:oddVBand="0" w:evenVBand="0" w:oddHBand="1" w:evenHBand="0" w:firstRowFirstColumn="0" w:firstRowLastColumn="0" w:lastRowFirstColumn="0" w:lastRowLastColumn="0"/>
        </w:trPr>
        <w:tc>
          <w:tcPr>
            <w:tcW w:w="727" w:type="pct"/>
          </w:tcPr>
          <w:p w14:paraId="209E30AF" w14:textId="77777777" w:rsidR="00B77FC2" w:rsidRDefault="00B77FC2" w:rsidP="00B77FC2">
            <w:pPr>
              <w:pStyle w:val="Tablebodytext"/>
            </w:pPr>
            <w:r>
              <w:t>Numbers</w:t>
            </w:r>
          </w:p>
        </w:tc>
        <w:tc>
          <w:tcPr>
            <w:tcW w:w="649" w:type="pct"/>
          </w:tcPr>
          <w:p w14:paraId="209E30B0" w14:textId="77777777" w:rsidR="00B77FC2" w:rsidRDefault="00B77FC2" w:rsidP="00E147EC">
            <w:pPr>
              <w:pStyle w:val="Tablebodytext"/>
              <w:jc w:val="right"/>
            </w:pPr>
            <w:r>
              <w:t>7,652</w:t>
            </w:r>
          </w:p>
        </w:tc>
        <w:tc>
          <w:tcPr>
            <w:tcW w:w="702" w:type="pct"/>
          </w:tcPr>
          <w:p w14:paraId="209E30B1" w14:textId="77777777" w:rsidR="00B77FC2" w:rsidRDefault="00B77FC2" w:rsidP="00E147EC">
            <w:pPr>
              <w:pStyle w:val="Tablebodytext"/>
              <w:jc w:val="right"/>
            </w:pPr>
            <w:r>
              <w:t>4,636</w:t>
            </w:r>
          </w:p>
        </w:tc>
        <w:tc>
          <w:tcPr>
            <w:tcW w:w="648" w:type="pct"/>
          </w:tcPr>
          <w:p w14:paraId="209E30B2" w14:textId="77777777" w:rsidR="00B77FC2" w:rsidRDefault="00B77FC2" w:rsidP="00E147EC">
            <w:pPr>
              <w:pStyle w:val="Tablebodytext"/>
              <w:jc w:val="right"/>
            </w:pPr>
            <w:r>
              <w:t>7,593</w:t>
            </w:r>
          </w:p>
        </w:tc>
        <w:tc>
          <w:tcPr>
            <w:tcW w:w="947" w:type="pct"/>
          </w:tcPr>
          <w:p w14:paraId="209E30B3" w14:textId="77777777" w:rsidR="00B77FC2" w:rsidRDefault="00B77FC2" w:rsidP="00E147EC">
            <w:pPr>
              <w:pStyle w:val="Tablebodytext"/>
              <w:jc w:val="right"/>
            </w:pPr>
            <w:r>
              <w:t>4,846</w:t>
            </w:r>
          </w:p>
        </w:tc>
        <w:tc>
          <w:tcPr>
            <w:tcW w:w="755" w:type="pct"/>
          </w:tcPr>
          <w:p w14:paraId="209E30B4" w14:textId="77777777" w:rsidR="00B77FC2" w:rsidRDefault="00B77FC2" w:rsidP="00E147EC">
            <w:pPr>
              <w:pStyle w:val="Tablebodytext"/>
              <w:jc w:val="right"/>
            </w:pPr>
            <w:r>
              <w:t>2,484</w:t>
            </w:r>
          </w:p>
        </w:tc>
        <w:tc>
          <w:tcPr>
            <w:tcW w:w="572" w:type="pct"/>
          </w:tcPr>
          <w:p w14:paraId="209E30B5" w14:textId="77777777" w:rsidR="00B77FC2" w:rsidRDefault="00B77FC2" w:rsidP="00E147EC">
            <w:pPr>
              <w:pStyle w:val="Tablebodytext"/>
              <w:jc w:val="right"/>
            </w:pPr>
            <w:r>
              <w:t>888</w:t>
            </w:r>
          </w:p>
        </w:tc>
      </w:tr>
      <w:tr w:rsidR="00B77FC2" w14:paraId="209E30BE" w14:textId="77777777" w:rsidTr="00B77FC2">
        <w:trPr>
          <w:cnfStyle w:val="000000010000" w:firstRow="0" w:lastRow="0" w:firstColumn="0" w:lastColumn="0" w:oddVBand="0" w:evenVBand="0" w:oddHBand="0" w:evenHBand="1" w:firstRowFirstColumn="0" w:firstRowLastColumn="0" w:lastRowFirstColumn="0" w:lastRowLastColumn="0"/>
        </w:trPr>
        <w:tc>
          <w:tcPr>
            <w:tcW w:w="727" w:type="pct"/>
          </w:tcPr>
          <w:p w14:paraId="209E30B7" w14:textId="77777777" w:rsidR="00B77FC2" w:rsidRDefault="00B77FC2" w:rsidP="00B77FC2">
            <w:pPr>
              <w:pStyle w:val="Tablebodytext"/>
            </w:pPr>
          </w:p>
        </w:tc>
        <w:tc>
          <w:tcPr>
            <w:tcW w:w="649" w:type="pct"/>
          </w:tcPr>
          <w:p w14:paraId="209E30B8" w14:textId="77777777" w:rsidR="00B77FC2" w:rsidRDefault="00B77FC2" w:rsidP="00E147EC">
            <w:pPr>
              <w:pStyle w:val="Tablebodytext"/>
              <w:jc w:val="right"/>
            </w:pPr>
            <w:r>
              <w:t>(40.4%)</w:t>
            </w:r>
          </w:p>
        </w:tc>
        <w:tc>
          <w:tcPr>
            <w:tcW w:w="702" w:type="pct"/>
          </w:tcPr>
          <w:p w14:paraId="209E30B9" w14:textId="77777777" w:rsidR="00B77FC2" w:rsidRDefault="00B77FC2" w:rsidP="00E147EC">
            <w:pPr>
              <w:pStyle w:val="Tablebodytext"/>
              <w:jc w:val="right"/>
            </w:pPr>
            <w:r>
              <w:t>(24.5%)</w:t>
            </w:r>
          </w:p>
        </w:tc>
        <w:tc>
          <w:tcPr>
            <w:tcW w:w="648" w:type="pct"/>
          </w:tcPr>
          <w:p w14:paraId="209E30BA" w14:textId="77777777" w:rsidR="00B77FC2" w:rsidRDefault="00B77FC2" w:rsidP="00E147EC">
            <w:pPr>
              <w:pStyle w:val="Tablebodytext"/>
              <w:jc w:val="right"/>
            </w:pPr>
            <w:r>
              <w:t>(40.1%)</w:t>
            </w:r>
          </w:p>
        </w:tc>
        <w:tc>
          <w:tcPr>
            <w:tcW w:w="947" w:type="pct"/>
          </w:tcPr>
          <w:p w14:paraId="209E30BB" w14:textId="77777777" w:rsidR="00B77FC2" w:rsidRDefault="00B77FC2" w:rsidP="00E147EC">
            <w:pPr>
              <w:pStyle w:val="Tablebodytext"/>
              <w:jc w:val="right"/>
            </w:pPr>
            <w:r>
              <w:t>(25.6%)</w:t>
            </w:r>
          </w:p>
        </w:tc>
        <w:tc>
          <w:tcPr>
            <w:tcW w:w="755" w:type="pct"/>
          </w:tcPr>
          <w:p w14:paraId="209E30BC" w14:textId="77777777" w:rsidR="00B77FC2" w:rsidRDefault="00B77FC2" w:rsidP="00E147EC">
            <w:pPr>
              <w:pStyle w:val="Tablebodytext"/>
              <w:jc w:val="right"/>
            </w:pPr>
            <w:r>
              <w:t>(13.1%)</w:t>
            </w:r>
          </w:p>
        </w:tc>
        <w:tc>
          <w:tcPr>
            <w:tcW w:w="572" w:type="pct"/>
          </w:tcPr>
          <w:p w14:paraId="209E30BD" w14:textId="77777777" w:rsidR="00B77FC2" w:rsidRDefault="00B77FC2" w:rsidP="00E147EC">
            <w:pPr>
              <w:pStyle w:val="Tablebodytext"/>
              <w:jc w:val="right"/>
            </w:pPr>
            <w:r>
              <w:t>(4.7%)</w:t>
            </w:r>
          </w:p>
        </w:tc>
      </w:tr>
      <w:tr w:rsidR="00B77FC2" w14:paraId="209E30C6" w14:textId="77777777" w:rsidTr="00B77FC2">
        <w:trPr>
          <w:cnfStyle w:val="000000100000" w:firstRow="0" w:lastRow="0" w:firstColumn="0" w:lastColumn="0" w:oddVBand="0" w:evenVBand="0" w:oddHBand="1" w:evenHBand="0" w:firstRowFirstColumn="0" w:firstRowLastColumn="0" w:lastRowFirstColumn="0" w:lastRowLastColumn="0"/>
        </w:trPr>
        <w:tc>
          <w:tcPr>
            <w:tcW w:w="727" w:type="pct"/>
          </w:tcPr>
          <w:p w14:paraId="209E30BF" w14:textId="77777777" w:rsidR="00B77FC2" w:rsidRDefault="00B77FC2" w:rsidP="00B77FC2">
            <w:pPr>
              <w:pStyle w:val="Tablebodytext"/>
            </w:pPr>
            <w:r>
              <w:t>Total</w:t>
            </w:r>
          </w:p>
        </w:tc>
        <w:tc>
          <w:tcPr>
            <w:tcW w:w="649" w:type="pct"/>
          </w:tcPr>
          <w:p w14:paraId="209E30C0" w14:textId="77777777" w:rsidR="00B77FC2" w:rsidRDefault="00B77FC2" w:rsidP="00E147EC">
            <w:pPr>
              <w:pStyle w:val="Tablebodytext"/>
              <w:jc w:val="right"/>
            </w:pPr>
            <w:r>
              <w:t>18,920</w:t>
            </w:r>
          </w:p>
        </w:tc>
        <w:tc>
          <w:tcPr>
            <w:tcW w:w="702" w:type="pct"/>
          </w:tcPr>
          <w:p w14:paraId="209E30C1" w14:textId="77777777" w:rsidR="00B77FC2" w:rsidRDefault="00B77FC2" w:rsidP="00E147EC">
            <w:pPr>
              <w:pStyle w:val="Tablebodytext"/>
              <w:jc w:val="right"/>
            </w:pPr>
          </w:p>
        </w:tc>
        <w:tc>
          <w:tcPr>
            <w:tcW w:w="648" w:type="pct"/>
          </w:tcPr>
          <w:p w14:paraId="209E30C2" w14:textId="77777777" w:rsidR="00B77FC2" w:rsidRDefault="00B77FC2" w:rsidP="00E147EC">
            <w:pPr>
              <w:pStyle w:val="Tablebodytext"/>
              <w:jc w:val="right"/>
            </w:pPr>
          </w:p>
        </w:tc>
        <w:tc>
          <w:tcPr>
            <w:tcW w:w="947" w:type="pct"/>
          </w:tcPr>
          <w:p w14:paraId="209E30C3" w14:textId="77777777" w:rsidR="00B77FC2" w:rsidRDefault="00B77FC2" w:rsidP="00E147EC">
            <w:pPr>
              <w:pStyle w:val="Tablebodytext"/>
              <w:jc w:val="right"/>
            </w:pPr>
          </w:p>
        </w:tc>
        <w:tc>
          <w:tcPr>
            <w:tcW w:w="755" w:type="pct"/>
          </w:tcPr>
          <w:p w14:paraId="209E30C4" w14:textId="77777777" w:rsidR="00B77FC2" w:rsidRDefault="00B77FC2" w:rsidP="00E147EC">
            <w:pPr>
              <w:pStyle w:val="Tablebodytext"/>
              <w:jc w:val="right"/>
            </w:pPr>
          </w:p>
        </w:tc>
        <w:tc>
          <w:tcPr>
            <w:tcW w:w="572" w:type="pct"/>
          </w:tcPr>
          <w:p w14:paraId="209E30C5" w14:textId="77777777" w:rsidR="00B77FC2" w:rsidRDefault="00B77FC2" w:rsidP="00E147EC">
            <w:pPr>
              <w:pStyle w:val="Tablebodytext"/>
              <w:jc w:val="right"/>
            </w:pPr>
          </w:p>
        </w:tc>
      </w:tr>
    </w:tbl>
    <w:p w14:paraId="209E30C7" w14:textId="77777777" w:rsidR="00B77FC2" w:rsidRPr="00C62F3A" w:rsidRDefault="00B77FC2" w:rsidP="00C474C2">
      <w:pPr>
        <w:pStyle w:val="Note"/>
      </w:pPr>
      <w:r>
        <w:t>Notes: Only firms receiving government assistant are included</w:t>
      </w:r>
    </w:p>
    <w:p w14:paraId="209E30C8" w14:textId="77777777" w:rsidR="00B77FC2" w:rsidRDefault="00B77FC2" w:rsidP="00C474C2">
      <w:pPr>
        <w:pStyle w:val="Source"/>
      </w:pPr>
      <w:r>
        <w:t>Source: Business Characteristics Survey</w:t>
      </w:r>
    </w:p>
    <w:p w14:paraId="209E30C9" w14:textId="77777777" w:rsidR="00B77FC2" w:rsidRDefault="00436D7F" w:rsidP="00B77FC2">
      <w:pPr>
        <w:pStyle w:val="BodyText"/>
      </w:pPr>
      <w:r>
        <w:t>In this part I consider the possibility that each form of assistance could be sending a different signal, positive or negative, depending on what it represents. Accordingly, I replace the government assistance dummy in with a series of dummies each indicating one form of assistance and re-estimate the se</w:t>
      </w:r>
      <w:r w:rsidR="002C31E9">
        <w:t xml:space="preserve">lection model. </w:t>
      </w:r>
      <w:r w:rsidR="002C31E9">
        <w:fldChar w:fldCharType="begin"/>
      </w:r>
      <w:r w:rsidR="002C31E9">
        <w:instrText xml:space="preserve"> REF _Ref519607651 \h </w:instrText>
      </w:r>
      <w:r w:rsidR="002C31E9">
        <w:fldChar w:fldCharType="separate"/>
      </w:r>
      <w:r w:rsidR="00851CD1" w:rsidRPr="000618FB">
        <w:t xml:space="preserve">Table </w:t>
      </w:r>
      <w:r w:rsidR="00851CD1">
        <w:rPr>
          <w:noProof/>
        </w:rPr>
        <w:t>6</w:t>
      </w:r>
      <w:r w:rsidR="00851CD1" w:rsidRPr="000618FB">
        <w:t>.</w:t>
      </w:r>
      <w:r w:rsidR="00851CD1">
        <w:rPr>
          <w:noProof/>
        </w:rPr>
        <w:t>6</w:t>
      </w:r>
      <w:r w:rsidR="002C31E9">
        <w:fldChar w:fldCharType="end"/>
      </w:r>
      <w:r>
        <w:t xml:space="preserve"> reports the estimation results.</w:t>
      </w:r>
    </w:p>
    <w:p w14:paraId="209E30CA" w14:textId="77777777" w:rsidR="008A3077" w:rsidRDefault="008A3077" w:rsidP="008A3077">
      <w:pPr>
        <w:pStyle w:val="BodyText"/>
      </w:pPr>
      <w:r>
        <w:t>In terms of the selection additionality, that is, the added propensity to seek financing, most forms of government assistance have a positive impact. However, the largest and the most statistically significant effects belong to grants, subsidies, and cash rebates.</w:t>
      </w:r>
    </w:p>
    <w:p w14:paraId="209E30CB" w14:textId="77777777" w:rsidR="008A3077" w:rsidRDefault="008A3077" w:rsidP="00B77FC2">
      <w:pPr>
        <w:pStyle w:val="BodyText"/>
      </w:pPr>
    </w:p>
    <w:p w14:paraId="209E30CC" w14:textId="77777777" w:rsidR="003072A1" w:rsidRDefault="003072A1" w:rsidP="00C3720E">
      <w:pPr>
        <w:pStyle w:val="Caption"/>
      </w:pPr>
      <w:bookmarkStart w:id="10" w:name="_Ref519607651"/>
      <w:r w:rsidRPr="000618FB">
        <w:lastRenderedPageBreak/>
        <w:t xml:space="preserve">Table </w:t>
      </w:r>
      <w:r>
        <w:rPr>
          <w:noProof/>
        </w:rPr>
        <w:fldChar w:fldCharType="begin"/>
      </w:r>
      <w:r>
        <w:rPr>
          <w:noProof/>
        </w:rPr>
        <w:instrText xml:space="preserve"> STYLEREF 1 \s </w:instrText>
      </w:r>
      <w:r>
        <w:rPr>
          <w:noProof/>
        </w:rPr>
        <w:fldChar w:fldCharType="separate"/>
      </w:r>
      <w:r w:rsidR="00851CD1">
        <w:rPr>
          <w:noProof/>
        </w:rPr>
        <w:t>6</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851CD1">
        <w:rPr>
          <w:noProof/>
        </w:rPr>
        <w:t>6</w:t>
      </w:r>
      <w:r>
        <w:rPr>
          <w:noProof/>
        </w:rPr>
        <w:fldChar w:fldCharType="end"/>
      </w:r>
      <w:bookmarkEnd w:id="10"/>
      <w:r w:rsidRPr="000618FB">
        <w:t xml:space="preserve">: </w:t>
      </w:r>
      <w:r>
        <w:t>The average marginal effect of various forms of government assistance on the firm’s propensity to seek then obtain financing</w:t>
      </w:r>
    </w:p>
    <w:tbl>
      <w:tblPr>
        <w:tblStyle w:val="OCETable"/>
        <w:tblW w:w="5244" w:type="pct"/>
        <w:tblLayout w:type="fixed"/>
        <w:tblLook w:val="04A0" w:firstRow="1" w:lastRow="0" w:firstColumn="1" w:lastColumn="0" w:noHBand="0" w:noVBand="1"/>
        <w:tblCaption w:val="Marginal effect for different forms of government assistance"/>
        <w:tblDescription w:val="Rebates and subsidies have positive effect in both selection and conditional model. Tax concenssion has positive effect but only for firms intending to innovate."/>
      </w:tblPr>
      <w:tblGrid>
        <w:gridCol w:w="2225"/>
        <w:gridCol w:w="1206"/>
        <w:gridCol w:w="1018"/>
        <w:gridCol w:w="372"/>
        <w:gridCol w:w="1275"/>
        <w:gridCol w:w="1134"/>
      </w:tblGrid>
      <w:tr w:rsidR="003072A1" w14:paraId="209E30D1" w14:textId="77777777" w:rsidTr="00DC6A46">
        <w:trPr>
          <w:cnfStyle w:val="100000000000" w:firstRow="1" w:lastRow="0" w:firstColumn="0" w:lastColumn="0" w:oddVBand="0" w:evenVBand="0" w:oddHBand="0" w:evenHBand="0" w:firstRowFirstColumn="0" w:firstRowLastColumn="0" w:lastRowFirstColumn="0" w:lastRowLastColumn="0"/>
          <w:tblHeader/>
        </w:trPr>
        <w:tc>
          <w:tcPr>
            <w:tcW w:w="1539" w:type="pct"/>
          </w:tcPr>
          <w:p w14:paraId="209E30CD" w14:textId="77777777" w:rsidR="003072A1" w:rsidRDefault="003072A1" w:rsidP="00C474C2">
            <w:pPr>
              <w:pStyle w:val="Tableheadertext"/>
            </w:pPr>
            <w:r>
              <w:t>Variables</w:t>
            </w:r>
          </w:p>
        </w:tc>
        <w:tc>
          <w:tcPr>
            <w:tcW w:w="1538" w:type="pct"/>
            <w:gridSpan w:val="2"/>
          </w:tcPr>
          <w:p w14:paraId="209E30CE" w14:textId="77777777" w:rsidR="003072A1" w:rsidRDefault="003072A1" w:rsidP="00E147EC">
            <w:pPr>
              <w:pStyle w:val="Tableheadertext"/>
              <w:jc w:val="right"/>
            </w:pPr>
            <w:r>
              <w:t>(1)</w:t>
            </w:r>
          </w:p>
        </w:tc>
        <w:tc>
          <w:tcPr>
            <w:tcW w:w="257" w:type="pct"/>
          </w:tcPr>
          <w:p w14:paraId="209E30CF" w14:textId="77777777" w:rsidR="003072A1" w:rsidRDefault="003072A1" w:rsidP="00E147EC">
            <w:pPr>
              <w:pStyle w:val="Tableheadertext"/>
              <w:jc w:val="right"/>
            </w:pPr>
          </w:p>
        </w:tc>
        <w:tc>
          <w:tcPr>
            <w:tcW w:w="1666" w:type="pct"/>
            <w:gridSpan w:val="2"/>
          </w:tcPr>
          <w:p w14:paraId="209E30D0" w14:textId="77777777" w:rsidR="003072A1" w:rsidRDefault="003072A1" w:rsidP="00E147EC">
            <w:pPr>
              <w:pStyle w:val="Tableheadertext"/>
              <w:jc w:val="right"/>
            </w:pPr>
            <w:r>
              <w:t>(2)</w:t>
            </w:r>
          </w:p>
        </w:tc>
      </w:tr>
      <w:tr w:rsidR="00C474C2" w14:paraId="209E30D8" w14:textId="77777777" w:rsidTr="0014697F">
        <w:trPr>
          <w:cnfStyle w:val="000000100000" w:firstRow="0" w:lastRow="0" w:firstColumn="0" w:lastColumn="0" w:oddVBand="0" w:evenVBand="0" w:oddHBand="1" w:evenHBand="0" w:firstRowFirstColumn="0" w:firstRowLastColumn="0" w:lastRowFirstColumn="0" w:lastRowLastColumn="0"/>
        </w:trPr>
        <w:tc>
          <w:tcPr>
            <w:tcW w:w="1539" w:type="pct"/>
          </w:tcPr>
          <w:p w14:paraId="209E30D2" w14:textId="77777777" w:rsidR="00C474C2" w:rsidRPr="001A0DEB" w:rsidRDefault="00C474C2" w:rsidP="00C474C2">
            <w:pPr>
              <w:pStyle w:val="Tableheadertext"/>
              <w:rPr>
                <w:color w:val="373737"/>
              </w:rPr>
            </w:pPr>
          </w:p>
        </w:tc>
        <w:tc>
          <w:tcPr>
            <w:tcW w:w="834" w:type="pct"/>
          </w:tcPr>
          <w:p w14:paraId="209E30D3" w14:textId="77777777" w:rsidR="00C474C2" w:rsidRPr="001A0DEB" w:rsidRDefault="00C474C2" w:rsidP="00E147EC">
            <w:pPr>
              <w:pStyle w:val="Tableheadertext"/>
              <w:jc w:val="right"/>
              <w:rPr>
                <w:color w:val="373737"/>
              </w:rPr>
            </w:pPr>
            <w:r w:rsidRPr="001A0DEB">
              <w:rPr>
                <w:color w:val="373737"/>
              </w:rPr>
              <w:t>Conditional</w:t>
            </w:r>
          </w:p>
        </w:tc>
        <w:tc>
          <w:tcPr>
            <w:tcW w:w="704" w:type="pct"/>
          </w:tcPr>
          <w:p w14:paraId="209E30D4" w14:textId="77777777" w:rsidR="00C474C2" w:rsidRPr="001A0DEB" w:rsidRDefault="00C474C2" w:rsidP="00E147EC">
            <w:pPr>
              <w:pStyle w:val="Tableheadertext"/>
              <w:jc w:val="right"/>
              <w:rPr>
                <w:color w:val="373737"/>
              </w:rPr>
            </w:pPr>
            <w:r w:rsidRPr="001A0DEB">
              <w:rPr>
                <w:color w:val="373737"/>
              </w:rPr>
              <w:t>Selection</w:t>
            </w:r>
          </w:p>
        </w:tc>
        <w:tc>
          <w:tcPr>
            <w:tcW w:w="257" w:type="pct"/>
          </w:tcPr>
          <w:p w14:paraId="209E30D5" w14:textId="77777777" w:rsidR="00C474C2" w:rsidRPr="001A0DEB" w:rsidRDefault="00C474C2" w:rsidP="00E147EC">
            <w:pPr>
              <w:pStyle w:val="Tableheadertext"/>
              <w:jc w:val="right"/>
              <w:rPr>
                <w:color w:val="373737"/>
              </w:rPr>
            </w:pPr>
          </w:p>
        </w:tc>
        <w:tc>
          <w:tcPr>
            <w:tcW w:w="882" w:type="pct"/>
          </w:tcPr>
          <w:p w14:paraId="209E30D6" w14:textId="77777777" w:rsidR="00C474C2" w:rsidRPr="001A0DEB" w:rsidRDefault="00C474C2" w:rsidP="00E147EC">
            <w:pPr>
              <w:pStyle w:val="Tableheadertext"/>
              <w:jc w:val="right"/>
              <w:rPr>
                <w:color w:val="373737"/>
              </w:rPr>
            </w:pPr>
            <w:r w:rsidRPr="001A0DEB">
              <w:rPr>
                <w:color w:val="373737"/>
              </w:rPr>
              <w:t>Conditional</w:t>
            </w:r>
          </w:p>
        </w:tc>
        <w:tc>
          <w:tcPr>
            <w:tcW w:w="784" w:type="pct"/>
          </w:tcPr>
          <w:p w14:paraId="209E30D7" w14:textId="77777777" w:rsidR="00C474C2" w:rsidRPr="001A0DEB" w:rsidRDefault="00C474C2" w:rsidP="00E147EC">
            <w:pPr>
              <w:pStyle w:val="Tableheadertext"/>
              <w:jc w:val="right"/>
              <w:rPr>
                <w:color w:val="373737"/>
              </w:rPr>
            </w:pPr>
            <w:r w:rsidRPr="001A0DEB">
              <w:rPr>
                <w:color w:val="373737"/>
              </w:rPr>
              <w:t>Selection</w:t>
            </w:r>
          </w:p>
        </w:tc>
      </w:tr>
      <w:tr w:rsidR="00C474C2" w14:paraId="209E30DF" w14:textId="77777777" w:rsidTr="0014697F">
        <w:trPr>
          <w:cnfStyle w:val="000000010000" w:firstRow="0" w:lastRow="0" w:firstColumn="0" w:lastColumn="0" w:oddVBand="0" w:evenVBand="0" w:oddHBand="0" w:evenHBand="1" w:firstRowFirstColumn="0" w:firstRowLastColumn="0" w:lastRowFirstColumn="0" w:lastRowLastColumn="0"/>
        </w:trPr>
        <w:tc>
          <w:tcPr>
            <w:tcW w:w="1539" w:type="pct"/>
          </w:tcPr>
          <w:p w14:paraId="209E30D9" w14:textId="77777777" w:rsidR="00C474C2" w:rsidRPr="001A0DEB" w:rsidRDefault="009F431A" w:rsidP="00C474C2">
            <w:pPr>
              <w:pStyle w:val="Tablebodytext"/>
            </w:pPr>
            <m:oMathPara>
              <m:oMathParaPr>
                <m:jc m:val="left"/>
              </m:oMathParaPr>
              <m:oMath>
                <m:sSub>
                  <m:sSubPr>
                    <m:ctrlPr>
                      <w:rPr>
                        <w:rFonts w:ascii="Cambria Math" w:hAnsi="Cambria Math"/>
                      </w:rPr>
                    </m:ctrlPr>
                  </m:sSubPr>
                  <m:e>
                    <m:r>
                      <w:rPr>
                        <w:rFonts w:ascii="Cambria Math" w:hAnsi="Cambria Math"/>
                      </w:rPr>
                      <m:t>Grant</m:t>
                    </m:r>
                  </m:e>
                  <m:sub>
                    <m:r>
                      <w:rPr>
                        <w:rFonts w:ascii="Cambria Math" w:hAnsi="Cambria Math"/>
                      </w:rPr>
                      <m:t>t</m:t>
                    </m:r>
                  </m:sub>
                </m:sSub>
              </m:oMath>
            </m:oMathPara>
          </w:p>
        </w:tc>
        <w:tc>
          <w:tcPr>
            <w:tcW w:w="834" w:type="pct"/>
          </w:tcPr>
          <w:p w14:paraId="209E30DA" w14:textId="77777777" w:rsidR="00C474C2" w:rsidRPr="001A0DEB" w:rsidRDefault="00C474C2" w:rsidP="00E147EC">
            <w:pPr>
              <w:pStyle w:val="Tablebodytext"/>
              <w:jc w:val="right"/>
            </w:pPr>
            <w:r w:rsidRPr="001A0DEB">
              <w:t>0.012</w:t>
            </w:r>
          </w:p>
        </w:tc>
        <w:tc>
          <w:tcPr>
            <w:tcW w:w="704" w:type="pct"/>
          </w:tcPr>
          <w:p w14:paraId="209E30DB" w14:textId="77777777" w:rsidR="00C474C2" w:rsidRPr="001A0DEB" w:rsidRDefault="00C474C2" w:rsidP="00E147EC">
            <w:pPr>
              <w:pStyle w:val="Tablebodytext"/>
              <w:jc w:val="right"/>
            </w:pPr>
            <w:r w:rsidRPr="001A0DEB">
              <w:t>0.056***</w:t>
            </w:r>
          </w:p>
        </w:tc>
        <w:tc>
          <w:tcPr>
            <w:tcW w:w="257" w:type="pct"/>
          </w:tcPr>
          <w:p w14:paraId="209E30DC" w14:textId="77777777" w:rsidR="00C474C2" w:rsidRPr="001A0DEB" w:rsidRDefault="00C474C2" w:rsidP="00E147EC">
            <w:pPr>
              <w:pStyle w:val="Tablebodytext"/>
              <w:jc w:val="right"/>
            </w:pPr>
          </w:p>
        </w:tc>
        <w:tc>
          <w:tcPr>
            <w:tcW w:w="882" w:type="pct"/>
          </w:tcPr>
          <w:p w14:paraId="209E30DD" w14:textId="77777777" w:rsidR="00C474C2" w:rsidRPr="001A0DEB" w:rsidRDefault="00C474C2" w:rsidP="00E147EC">
            <w:pPr>
              <w:pStyle w:val="Tablebodytext"/>
              <w:jc w:val="right"/>
            </w:pPr>
            <w:r w:rsidRPr="001A0DEB">
              <w:t>0.005</w:t>
            </w:r>
          </w:p>
        </w:tc>
        <w:tc>
          <w:tcPr>
            <w:tcW w:w="784" w:type="pct"/>
          </w:tcPr>
          <w:p w14:paraId="209E30DE" w14:textId="77777777" w:rsidR="00C474C2" w:rsidRPr="001A0DEB" w:rsidRDefault="00C474C2" w:rsidP="00E147EC">
            <w:pPr>
              <w:pStyle w:val="Tablebodytext"/>
              <w:jc w:val="right"/>
            </w:pPr>
            <w:r w:rsidRPr="001A0DEB">
              <w:t>0.075***</w:t>
            </w:r>
          </w:p>
        </w:tc>
      </w:tr>
      <w:tr w:rsidR="00C474C2" w14:paraId="209E30E6" w14:textId="77777777" w:rsidTr="0014697F">
        <w:trPr>
          <w:cnfStyle w:val="000000100000" w:firstRow="0" w:lastRow="0" w:firstColumn="0" w:lastColumn="0" w:oddVBand="0" w:evenVBand="0" w:oddHBand="1" w:evenHBand="0" w:firstRowFirstColumn="0" w:firstRowLastColumn="0" w:lastRowFirstColumn="0" w:lastRowLastColumn="0"/>
        </w:trPr>
        <w:tc>
          <w:tcPr>
            <w:tcW w:w="1539" w:type="pct"/>
          </w:tcPr>
          <w:p w14:paraId="209E30E0" w14:textId="77777777" w:rsidR="00C474C2" w:rsidRPr="001A0DEB" w:rsidRDefault="00C474C2" w:rsidP="00C474C2">
            <w:pPr>
              <w:pStyle w:val="Tablebodytext"/>
            </w:pPr>
          </w:p>
        </w:tc>
        <w:tc>
          <w:tcPr>
            <w:tcW w:w="834" w:type="pct"/>
          </w:tcPr>
          <w:p w14:paraId="209E30E1" w14:textId="77777777" w:rsidR="00C474C2" w:rsidRPr="001A0DEB" w:rsidRDefault="00C474C2" w:rsidP="00E147EC">
            <w:pPr>
              <w:pStyle w:val="Tablebodytext"/>
              <w:jc w:val="right"/>
            </w:pPr>
            <w:r w:rsidRPr="001A0DEB">
              <w:t>(0.008)</w:t>
            </w:r>
          </w:p>
        </w:tc>
        <w:tc>
          <w:tcPr>
            <w:tcW w:w="704" w:type="pct"/>
          </w:tcPr>
          <w:p w14:paraId="209E30E2" w14:textId="77777777" w:rsidR="00C474C2" w:rsidRPr="001A0DEB" w:rsidRDefault="00C474C2" w:rsidP="00E147EC">
            <w:pPr>
              <w:pStyle w:val="Tablebodytext"/>
              <w:jc w:val="right"/>
            </w:pPr>
            <w:r w:rsidRPr="001A0DEB">
              <w:t>(0.021)</w:t>
            </w:r>
          </w:p>
        </w:tc>
        <w:tc>
          <w:tcPr>
            <w:tcW w:w="257" w:type="pct"/>
          </w:tcPr>
          <w:p w14:paraId="209E30E3" w14:textId="77777777" w:rsidR="00C474C2" w:rsidRPr="001A0DEB" w:rsidRDefault="00C474C2" w:rsidP="00E147EC">
            <w:pPr>
              <w:pStyle w:val="Tablebodytext"/>
              <w:jc w:val="right"/>
            </w:pPr>
          </w:p>
        </w:tc>
        <w:tc>
          <w:tcPr>
            <w:tcW w:w="882" w:type="pct"/>
          </w:tcPr>
          <w:p w14:paraId="209E30E4" w14:textId="77777777" w:rsidR="00C474C2" w:rsidRPr="001A0DEB" w:rsidRDefault="00C474C2" w:rsidP="00E147EC">
            <w:pPr>
              <w:pStyle w:val="Tablebodytext"/>
              <w:jc w:val="right"/>
            </w:pPr>
            <w:r w:rsidRPr="001A0DEB">
              <w:t>(0.005)</w:t>
            </w:r>
          </w:p>
        </w:tc>
        <w:tc>
          <w:tcPr>
            <w:tcW w:w="784" w:type="pct"/>
          </w:tcPr>
          <w:p w14:paraId="209E30E5" w14:textId="77777777" w:rsidR="00C474C2" w:rsidRPr="001A0DEB" w:rsidRDefault="00C474C2" w:rsidP="00E147EC">
            <w:pPr>
              <w:pStyle w:val="Tablebodytext"/>
              <w:jc w:val="right"/>
            </w:pPr>
            <w:r w:rsidRPr="001A0DEB">
              <w:t>(0.021)</w:t>
            </w:r>
          </w:p>
        </w:tc>
      </w:tr>
      <w:tr w:rsidR="00C474C2" w14:paraId="209E30ED" w14:textId="77777777" w:rsidTr="0014697F">
        <w:trPr>
          <w:cnfStyle w:val="000000010000" w:firstRow="0" w:lastRow="0" w:firstColumn="0" w:lastColumn="0" w:oddVBand="0" w:evenVBand="0" w:oddHBand="0" w:evenHBand="1" w:firstRowFirstColumn="0" w:firstRowLastColumn="0" w:lastRowFirstColumn="0" w:lastRowLastColumn="0"/>
        </w:trPr>
        <w:tc>
          <w:tcPr>
            <w:tcW w:w="1539" w:type="pct"/>
          </w:tcPr>
          <w:p w14:paraId="209E30E7" w14:textId="77777777" w:rsidR="00C474C2" w:rsidRPr="001A0DEB" w:rsidRDefault="009F431A" w:rsidP="00C474C2">
            <w:pPr>
              <w:pStyle w:val="Tablebodytext"/>
            </w:pPr>
            <m:oMathPara>
              <m:oMathParaPr>
                <m:jc m:val="left"/>
              </m:oMathParaPr>
              <m:oMath>
                <m:sSub>
                  <m:sSubPr>
                    <m:ctrlPr>
                      <w:rPr>
                        <w:rFonts w:ascii="Cambria Math" w:hAnsi="Cambria Math"/>
                      </w:rPr>
                    </m:ctrlPr>
                  </m:sSubPr>
                  <m:e>
                    <m:r>
                      <w:rPr>
                        <w:rFonts w:ascii="Cambria Math" w:hAnsi="Cambria Math"/>
                      </w:rPr>
                      <m:t>Subsidy</m:t>
                    </m:r>
                  </m:e>
                  <m:sub>
                    <m:r>
                      <w:rPr>
                        <w:rFonts w:ascii="Cambria Math" w:hAnsi="Cambria Math"/>
                      </w:rPr>
                      <m:t>t</m:t>
                    </m:r>
                  </m:sub>
                </m:sSub>
              </m:oMath>
            </m:oMathPara>
          </w:p>
        </w:tc>
        <w:tc>
          <w:tcPr>
            <w:tcW w:w="834" w:type="pct"/>
          </w:tcPr>
          <w:p w14:paraId="209E30E8" w14:textId="77777777" w:rsidR="00C474C2" w:rsidRPr="001A0DEB" w:rsidRDefault="00C474C2" w:rsidP="00E147EC">
            <w:pPr>
              <w:pStyle w:val="Tablebodytext"/>
              <w:jc w:val="right"/>
            </w:pPr>
            <w:r w:rsidRPr="001A0DEB">
              <w:t>0.027**</w:t>
            </w:r>
          </w:p>
        </w:tc>
        <w:tc>
          <w:tcPr>
            <w:tcW w:w="704" w:type="pct"/>
          </w:tcPr>
          <w:p w14:paraId="209E30E9" w14:textId="77777777" w:rsidR="00C474C2" w:rsidRPr="001A0DEB" w:rsidRDefault="00C474C2" w:rsidP="00E147EC">
            <w:pPr>
              <w:pStyle w:val="Tablebodytext"/>
              <w:jc w:val="right"/>
            </w:pPr>
            <w:r w:rsidRPr="001A0DEB">
              <w:t>0.071***</w:t>
            </w:r>
          </w:p>
        </w:tc>
        <w:tc>
          <w:tcPr>
            <w:tcW w:w="257" w:type="pct"/>
          </w:tcPr>
          <w:p w14:paraId="209E30EA" w14:textId="77777777" w:rsidR="00C474C2" w:rsidRPr="001A0DEB" w:rsidRDefault="00C474C2" w:rsidP="00E147EC">
            <w:pPr>
              <w:pStyle w:val="Tablebodytext"/>
              <w:jc w:val="right"/>
            </w:pPr>
          </w:p>
        </w:tc>
        <w:tc>
          <w:tcPr>
            <w:tcW w:w="882" w:type="pct"/>
          </w:tcPr>
          <w:p w14:paraId="209E30EB" w14:textId="77777777" w:rsidR="00C474C2" w:rsidRPr="001A0DEB" w:rsidRDefault="00C474C2" w:rsidP="00E147EC">
            <w:pPr>
              <w:pStyle w:val="Tablebodytext"/>
              <w:jc w:val="right"/>
            </w:pPr>
            <w:r w:rsidRPr="001A0DEB">
              <w:t>0.014**</w:t>
            </w:r>
          </w:p>
        </w:tc>
        <w:tc>
          <w:tcPr>
            <w:tcW w:w="784" w:type="pct"/>
          </w:tcPr>
          <w:p w14:paraId="209E30EC" w14:textId="77777777" w:rsidR="00C474C2" w:rsidRPr="001A0DEB" w:rsidRDefault="00C474C2" w:rsidP="00E147EC">
            <w:pPr>
              <w:pStyle w:val="Tablebodytext"/>
              <w:jc w:val="right"/>
            </w:pPr>
            <w:r w:rsidRPr="001A0DEB">
              <w:t>0.082***</w:t>
            </w:r>
          </w:p>
        </w:tc>
      </w:tr>
      <w:tr w:rsidR="00C474C2" w14:paraId="209E30F4" w14:textId="77777777" w:rsidTr="0014697F">
        <w:trPr>
          <w:cnfStyle w:val="000000100000" w:firstRow="0" w:lastRow="0" w:firstColumn="0" w:lastColumn="0" w:oddVBand="0" w:evenVBand="0" w:oddHBand="1" w:evenHBand="0" w:firstRowFirstColumn="0" w:firstRowLastColumn="0" w:lastRowFirstColumn="0" w:lastRowLastColumn="0"/>
        </w:trPr>
        <w:tc>
          <w:tcPr>
            <w:tcW w:w="1539" w:type="pct"/>
          </w:tcPr>
          <w:p w14:paraId="209E30EE" w14:textId="77777777" w:rsidR="00C474C2" w:rsidRPr="001A0DEB" w:rsidRDefault="00C474C2" w:rsidP="00C474C2">
            <w:pPr>
              <w:pStyle w:val="Tablebodytext"/>
            </w:pPr>
          </w:p>
        </w:tc>
        <w:tc>
          <w:tcPr>
            <w:tcW w:w="834" w:type="pct"/>
          </w:tcPr>
          <w:p w14:paraId="209E30EF" w14:textId="77777777" w:rsidR="00C474C2" w:rsidRPr="001A0DEB" w:rsidRDefault="00C474C2" w:rsidP="00E147EC">
            <w:pPr>
              <w:pStyle w:val="Tablebodytext"/>
              <w:jc w:val="right"/>
            </w:pPr>
            <w:r w:rsidRPr="001A0DEB">
              <w:t>(0.011)</w:t>
            </w:r>
          </w:p>
        </w:tc>
        <w:tc>
          <w:tcPr>
            <w:tcW w:w="704" w:type="pct"/>
          </w:tcPr>
          <w:p w14:paraId="209E30F0" w14:textId="77777777" w:rsidR="00C474C2" w:rsidRPr="001A0DEB" w:rsidRDefault="00C474C2" w:rsidP="00E147EC">
            <w:pPr>
              <w:pStyle w:val="Tablebodytext"/>
              <w:jc w:val="right"/>
            </w:pPr>
            <w:r w:rsidRPr="001A0DEB">
              <w:t>(0.011)</w:t>
            </w:r>
          </w:p>
        </w:tc>
        <w:tc>
          <w:tcPr>
            <w:tcW w:w="257" w:type="pct"/>
          </w:tcPr>
          <w:p w14:paraId="209E30F1" w14:textId="77777777" w:rsidR="00C474C2" w:rsidRPr="001A0DEB" w:rsidRDefault="00C474C2" w:rsidP="00E147EC">
            <w:pPr>
              <w:pStyle w:val="Tablebodytext"/>
              <w:jc w:val="right"/>
            </w:pPr>
          </w:p>
        </w:tc>
        <w:tc>
          <w:tcPr>
            <w:tcW w:w="882" w:type="pct"/>
          </w:tcPr>
          <w:p w14:paraId="209E30F2" w14:textId="77777777" w:rsidR="00C474C2" w:rsidRPr="001A0DEB" w:rsidRDefault="00C474C2" w:rsidP="00E147EC">
            <w:pPr>
              <w:pStyle w:val="Tablebodytext"/>
              <w:jc w:val="right"/>
            </w:pPr>
            <w:r w:rsidRPr="001A0DEB">
              <w:t>(0.007)</w:t>
            </w:r>
          </w:p>
        </w:tc>
        <w:tc>
          <w:tcPr>
            <w:tcW w:w="784" w:type="pct"/>
          </w:tcPr>
          <w:p w14:paraId="209E30F3" w14:textId="77777777" w:rsidR="00C474C2" w:rsidRPr="001A0DEB" w:rsidRDefault="00C474C2" w:rsidP="00E147EC">
            <w:pPr>
              <w:pStyle w:val="Tablebodytext"/>
              <w:jc w:val="right"/>
            </w:pPr>
            <w:r w:rsidRPr="001A0DEB">
              <w:t>(0.012)</w:t>
            </w:r>
          </w:p>
        </w:tc>
      </w:tr>
      <w:tr w:rsidR="00C474C2" w14:paraId="209E30FB" w14:textId="77777777" w:rsidTr="0014697F">
        <w:trPr>
          <w:cnfStyle w:val="000000010000" w:firstRow="0" w:lastRow="0" w:firstColumn="0" w:lastColumn="0" w:oddVBand="0" w:evenVBand="0" w:oddHBand="0" w:evenHBand="1" w:firstRowFirstColumn="0" w:firstRowLastColumn="0" w:lastRowFirstColumn="0" w:lastRowLastColumn="0"/>
        </w:trPr>
        <w:tc>
          <w:tcPr>
            <w:tcW w:w="1539" w:type="pct"/>
          </w:tcPr>
          <w:p w14:paraId="209E30F5" w14:textId="77777777" w:rsidR="00C474C2" w:rsidRPr="001A0DEB" w:rsidRDefault="009F431A" w:rsidP="00C474C2">
            <w:pPr>
              <w:pStyle w:val="Tablebodytext"/>
            </w:pPr>
            <m:oMathPara>
              <m:oMathParaPr>
                <m:jc m:val="left"/>
              </m:oMathParaPr>
              <m:oMath>
                <m:sSub>
                  <m:sSubPr>
                    <m:ctrlPr>
                      <w:rPr>
                        <w:rFonts w:ascii="Cambria Math" w:hAnsi="Cambria Math"/>
                      </w:rPr>
                    </m:ctrlPr>
                  </m:sSubPr>
                  <m:e>
                    <m:r>
                      <w:rPr>
                        <w:rFonts w:ascii="Cambria Math" w:hAnsi="Cambria Math"/>
                      </w:rPr>
                      <m:t>Rebate</m:t>
                    </m:r>
                  </m:e>
                  <m:sub>
                    <m:r>
                      <w:rPr>
                        <w:rFonts w:ascii="Cambria Math" w:hAnsi="Cambria Math"/>
                      </w:rPr>
                      <m:t>t</m:t>
                    </m:r>
                  </m:sub>
                </m:sSub>
              </m:oMath>
            </m:oMathPara>
          </w:p>
        </w:tc>
        <w:tc>
          <w:tcPr>
            <w:tcW w:w="834" w:type="pct"/>
          </w:tcPr>
          <w:p w14:paraId="209E30F6" w14:textId="77777777" w:rsidR="00C474C2" w:rsidRPr="001A0DEB" w:rsidRDefault="00C474C2" w:rsidP="00E147EC">
            <w:pPr>
              <w:pStyle w:val="Tablebodytext"/>
              <w:jc w:val="right"/>
            </w:pPr>
            <w:r w:rsidRPr="001A0DEB">
              <w:t>0.013**</w:t>
            </w:r>
          </w:p>
        </w:tc>
        <w:tc>
          <w:tcPr>
            <w:tcW w:w="704" w:type="pct"/>
          </w:tcPr>
          <w:p w14:paraId="209E30F7" w14:textId="77777777" w:rsidR="00C474C2" w:rsidRPr="001A0DEB" w:rsidRDefault="00C474C2" w:rsidP="00E147EC">
            <w:pPr>
              <w:pStyle w:val="Tablebodytext"/>
              <w:jc w:val="right"/>
            </w:pPr>
            <w:r w:rsidRPr="001A0DEB">
              <w:t>0.064***</w:t>
            </w:r>
          </w:p>
        </w:tc>
        <w:tc>
          <w:tcPr>
            <w:tcW w:w="257" w:type="pct"/>
          </w:tcPr>
          <w:p w14:paraId="209E30F8" w14:textId="77777777" w:rsidR="00C474C2" w:rsidRPr="001A0DEB" w:rsidRDefault="00C474C2" w:rsidP="00E147EC">
            <w:pPr>
              <w:pStyle w:val="Tablebodytext"/>
              <w:jc w:val="right"/>
            </w:pPr>
          </w:p>
        </w:tc>
        <w:tc>
          <w:tcPr>
            <w:tcW w:w="882" w:type="pct"/>
          </w:tcPr>
          <w:p w14:paraId="209E30F9" w14:textId="77777777" w:rsidR="00C474C2" w:rsidRPr="001A0DEB" w:rsidRDefault="00C474C2" w:rsidP="00E147EC">
            <w:pPr>
              <w:pStyle w:val="Tablebodytext"/>
              <w:jc w:val="right"/>
            </w:pPr>
            <w:r w:rsidRPr="001A0DEB">
              <w:t>0.012***</w:t>
            </w:r>
          </w:p>
        </w:tc>
        <w:tc>
          <w:tcPr>
            <w:tcW w:w="784" w:type="pct"/>
          </w:tcPr>
          <w:p w14:paraId="209E30FA" w14:textId="77777777" w:rsidR="00C474C2" w:rsidRPr="001A0DEB" w:rsidRDefault="00C474C2" w:rsidP="00E147EC">
            <w:pPr>
              <w:pStyle w:val="Tablebodytext"/>
              <w:jc w:val="right"/>
            </w:pPr>
            <w:r w:rsidRPr="001A0DEB">
              <w:t>0.060***</w:t>
            </w:r>
          </w:p>
        </w:tc>
      </w:tr>
      <w:tr w:rsidR="00C474C2" w14:paraId="209E3102" w14:textId="77777777" w:rsidTr="0014697F">
        <w:trPr>
          <w:cnfStyle w:val="000000100000" w:firstRow="0" w:lastRow="0" w:firstColumn="0" w:lastColumn="0" w:oddVBand="0" w:evenVBand="0" w:oddHBand="1" w:evenHBand="0" w:firstRowFirstColumn="0" w:firstRowLastColumn="0" w:lastRowFirstColumn="0" w:lastRowLastColumn="0"/>
        </w:trPr>
        <w:tc>
          <w:tcPr>
            <w:tcW w:w="1539" w:type="pct"/>
          </w:tcPr>
          <w:p w14:paraId="209E30FC" w14:textId="77777777" w:rsidR="00C474C2" w:rsidRPr="001A0DEB" w:rsidRDefault="00C474C2" w:rsidP="00C474C2">
            <w:pPr>
              <w:pStyle w:val="Tablebodytext"/>
            </w:pPr>
          </w:p>
        </w:tc>
        <w:tc>
          <w:tcPr>
            <w:tcW w:w="834" w:type="pct"/>
          </w:tcPr>
          <w:p w14:paraId="209E30FD" w14:textId="77777777" w:rsidR="00C474C2" w:rsidRPr="001A0DEB" w:rsidRDefault="00C474C2" w:rsidP="00E147EC">
            <w:pPr>
              <w:pStyle w:val="Tablebodytext"/>
              <w:jc w:val="right"/>
            </w:pPr>
            <w:r w:rsidRPr="001A0DEB">
              <w:t>(0.007)</w:t>
            </w:r>
          </w:p>
        </w:tc>
        <w:tc>
          <w:tcPr>
            <w:tcW w:w="704" w:type="pct"/>
          </w:tcPr>
          <w:p w14:paraId="209E30FE" w14:textId="77777777" w:rsidR="00C474C2" w:rsidRPr="001A0DEB" w:rsidRDefault="00C474C2" w:rsidP="00E147EC">
            <w:pPr>
              <w:pStyle w:val="Tablebodytext"/>
              <w:jc w:val="right"/>
            </w:pPr>
            <w:r w:rsidRPr="001A0DEB">
              <w:t>(0.011)</w:t>
            </w:r>
          </w:p>
        </w:tc>
        <w:tc>
          <w:tcPr>
            <w:tcW w:w="257" w:type="pct"/>
          </w:tcPr>
          <w:p w14:paraId="209E30FF" w14:textId="77777777" w:rsidR="00C474C2" w:rsidRPr="001A0DEB" w:rsidRDefault="00C474C2" w:rsidP="00E147EC">
            <w:pPr>
              <w:pStyle w:val="Tablebodytext"/>
              <w:jc w:val="right"/>
            </w:pPr>
          </w:p>
        </w:tc>
        <w:tc>
          <w:tcPr>
            <w:tcW w:w="882" w:type="pct"/>
          </w:tcPr>
          <w:p w14:paraId="209E3100" w14:textId="77777777" w:rsidR="00C474C2" w:rsidRPr="001A0DEB" w:rsidRDefault="00C474C2" w:rsidP="00E147EC">
            <w:pPr>
              <w:pStyle w:val="Tablebodytext"/>
              <w:jc w:val="right"/>
            </w:pPr>
            <w:r w:rsidRPr="001A0DEB">
              <w:t>(0.005)</w:t>
            </w:r>
          </w:p>
        </w:tc>
        <w:tc>
          <w:tcPr>
            <w:tcW w:w="784" w:type="pct"/>
          </w:tcPr>
          <w:p w14:paraId="209E3101" w14:textId="77777777" w:rsidR="00C474C2" w:rsidRPr="001A0DEB" w:rsidRDefault="00C474C2" w:rsidP="00E147EC">
            <w:pPr>
              <w:pStyle w:val="Tablebodytext"/>
              <w:jc w:val="right"/>
            </w:pPr>
            <w:r w:rsidRPr="001A0DEB">
              <w:t>(0.009)</w:t>
            </w:r>
          </w:p>
        </w:tc>
      </w:tr>
      <w:tr w:rsidR="00C474C2" w14:paraId="209E3109" w14:textId="77777777" w:rsidTr="0014697F">
        <w:trPr>
          <w:cnfStyle w:val="000000010000" w:firstRow="0" w:lastRow="0" w:firstColumn="0" w:lastColumn="0" w:oddVBand="0" w:evenVBand="0" w:oddHBand="0" w:evenHBand="1" w:firstRowFirstColumn="0" w:firstRowLastColumn="0" w:lastRowFirstColumn="0" w:lastRowLastColumn="0"/>
        </w:trPr>
        <w:tc>
          <w:tcPr>
            <w:tcW w:w="1539" w:type="pct"/>
          </w:tcPr>
          <w:p w14:paraId="209E3103" w14:textId="77777777" w:rsidR="00C474C2" w:rsidRPr="001A0DEB" w:rsidRDefault="009F431A" w:rsidP="00C474C2">
            <w:pPr>
              <w:pStyle w:val="Tablebodytext"/>
            </w:pPr>
            <m:oMathPara>
              <m:oMathParaPr>
                <m:jc m:val="left"/>
              </m:oMathParaPr>
              <m:oMath>
                <m:sSub>
                  <m:sSubPr>
                    <m:ctrlPr>
                      <w:rPr>
                        <w:rFonts w:ascii="Cambria Math" w:hAnsi="Cambria Math"/>
                      </w:rPr>
                    </m:ctrlPr>
                  </m:sSubPr>
                  <m:e>
                    <m:r>
                      <w:rPr>
                        <w:rFonts w:ascii="Cambria Math" w:hAnsi="Cambria Math"/>
                      </w:rPr>
                      <m:t>Tax Concession</m:t>
                    </m:r>
                  </m:e>
                  <m:sub>
                    <m:r>
                      <w:rPr>
                        <w:rFonts w:ascii="Cambria Math" w:hAnsi="Cambria Math"/>
                      </w:rPr>
                      <m:t>t</m:t>
                    </m:r>
                  </m:sub>
                </m:sSub>
              </m:oMath>
            </m:oMathPara>
          </w:p>
        </w:tc>
        <w:tc>
          <w:tcPr>
            <w:tcW w:w="834" w:type="pct"/>
          </w:tcPr>
          <w:p w14:paraId="209E3104" w14:textId="77777777" w:rsidR="00C474C2" w:rsidRPr="001A0DEB" w:rsidRDefault="00C474C2" w:rsidP="00E147EC">
            <w:pPr>
              <w:pStyle w:val="Tablebodytext"/>
              <w:jc w:val="right"/>
            </w:pPr>
            <w:r w:rsidRPr="001A0DEB">
              <w:t>0.017</w:t>
            </w:r>
          </w:p>
        </w:tc>
        <w:tc>
          <w:tcPr>
            <w:tcW w:w="704" w:type="pct"/>
          </w:tcPr>
          <w:p w14:paraId="209E3105" w14:textId="77777777" w:rsidR="00C474C2" w:rsidRPr="001A0DEB" w:rsidRDefault="00C474C2" w:rsidP="00E147EC">
            <w:pPr>
              <w:pStyle w:val="Tablebodytext"/>
              <w:jc w:val="right"/>
            </w:pPr>
            <w:r w:rsidRPr="001A0DEB">
              <w:t>0.019</w:t>
            </w:r>
          </w:p>
        </w:tc>
        <w:tc>
          <w:tcPr>
            <w:tcW w:w="257" w:type="pct"/>
          </w:tcPr>
          <w:p w14:paraId="209E3106" w14:textId="77777777" w:rsidR="00C474C2" w:rsidRPr="001A0DEB" w:rsidRDefault="00C474C2" w:rsidP="00E147EC">
            <w:pPr>
              <w:pStyle w:val="Tablebodytext"/>
              <w:jc w:val="right"/>
            </w:pPr>
          </w:p>
        </w:tc>
        <w:tc>
          <w:tcPr>
            <w:tcW w:w="882" w:type="pct"/>
          </w:tcPr>
          <w:p w14:paraId="209E3107" w14:textId="77777777" w:rsidR="00C474C2" w:rsidRPr="001A0DEB" w:rsidRDefault="00C474C2" w:rsidP="00E147EC">
            <w:pPr>
              <w:pStyle w:val="Tablebodytext"/>
              <w:jc w:val="right"/>
            </w:pPr>
            <w:r w:rsidRPr="001A0DEB">
              <w:t>0.004</w:t>
            </w:r>
          </w:p>
        </w:tc>
        <w:tc>
          <w:tcPr>
            <w:tcW w:w="784" w:type="pct"/>
          </w:tcPr>
          <w:p w14:paraId="209E3108" w14:textId="77777777" w:rsidR="00C474C2" w:rsidRPr="001A0DEB" w:rsidRDefault="00C474C2" w:rsidP="00E147EC">
            <w:pPr>
              <w:pStyle w:val="Tablebodytext"/>
              <w:jc w:val="right"/>
            </w:pPr>
            <w:r w:rsidRPr="001A0DEB">
              <w:t>0.023*</w:t>
            </w:r>
          </w:p>
        </w:tc>
      </w:tr>
      <w:tr w:rsidR="00C474C2" w14:paraId="209E3110" w14:textId="77777777" w:rsidTr="0014697F">
        <w:trPr>
          <w:cnfStyle w:val="000000100000" w:firstRow="0" w:lastRow="0" w:firstColumn="0" w:lastColumn="0" w:oddVBand="0" w:evenVBand="0" w:oddHBand="1" w:evenHBand="0" w:firstRowFirstColumn="0" w:firstRowLastColumn="0" w:lastRowFirstColumn="0" w:lastRowLastColumn="0"/>
        </w:trPr>
        <w:tc>
          <w:tcPr>
            <w:tcW w:w="1539" w:type="pct"/>
          </w:tcPr>
          <w:p w14:paraId="209E310A" w14:textId="77777777" w:rsidR="00C474C2" w:rsidRPr="001A0DEB" w:rsidRDefault="00C474C2" w:rsidP="00C474C2">
            <w:pPr>
              <w:pStyle w:val="Tablebodytext"/>
            </w:pPr>
          </w:p>
        </w:tc>
        <w:tc>
          <w:tcPr>
            <w:tcW w:w="834" w:type="pct"/>
          </w:tcPr>
          <w:p w14:paraId="209E310B" w14:textId="77777777" w:rsidR="00C474C2" w:rsidRPr="001A0DEB" w:rsidRDefault="00C474C2" w:rsidP="00E147EC">
            <w:pPr>
              <w:pStyle w:val="Tablebodytext"/>
              <w:jc w:val="right"/>
            </w:pPr>
            <w:r w:rsidRPr="001A0DEB">
              <w:t>(0.011)</w:t>
            </w:r>
          </w:p>
        </w:tc>
        <w:tc>
          <w:tcPr>
            <w:tcW w:w="704" w:type="pct"/>
          </w:tcPr>
          <w:p w14:paraId="209E310C" w14:textId="77777777" w:rsidR="00C474C2" w:rsidRPr="001A0DEB" w:rsidRDefault="00C474C2" w:rsidP="00E147EC">
            <w:pPr>
              <w:pStyle w:val="Tablebodytext"/>
              <w:jc w:val="right"/>
            </w:pPr>
            <w:r w:rsidRPr="001A0DEB">
              <w:t>(0.012)</w:t>
            </w:r>
          </w:p>
        </w:tc>
        <w:tc>
          <w:tcPr>
            <w:tcW w:w="257" w:type="pct"/>
          </w:tcPr>
          <w:p w14:paraId="209E310D" w14:textId="77777777" w:rsidR="00C474C2" w:rsidRPr="001A0DEB" w:rsidRDefault="00C474C2" w:rsidP="00E147EC">
            <w:pPr>
              <w:pStyle w:val="Tablebodytext"/>
              <w:jc w:val="right"/>
            </w:pPr>
          </w:p>
        </w:tc>
        <w:tc>
          <w:tcPr>
            <w:tcW w:w="882" w:type="pct"/>
          </w:tcPr>
          <w:p w14:paraId="209E310E" w14:textId="77777777" w:rsidR="00C474C2" w:rsidRPr="001A0DEB" w:rsidRDefault="00C474C2" w:rsidP="00E147EC">
            <w:pPr>
              <w:pStyle w:val="Tablebodytext"/>
              <w:jc w:val="right"/>
            </w:pPr>
            <w:r w:rsidRPr="001A0DEB">
              <w:t>(0.007)</w:t>
            </w:r>
          </w:p>
        </w:tc>
        <w:tc>
          <w:tcPr>
            <w:tcW w:w="784" w:type="pct"/>
          </w:tcPr>
          <w:p w14:paraId="209E310F" w14:textId="77777777" w:rsidR="00C474C2" w:rsidRPr="001A0DEB" w:rsidRDefault="00C474C2" w:rsidP="00E147EC">
            <w:pPr>
              <w:pStyle w:val="Tablebodytext"/>
              <w:jc w:val="right"/>
            </w:pPr>
            <w:r w:rsidRPr="001A0DEB">
              <w:t>(0.012)</w:t>
            </w:r>
          </w:p>
        </w:tc>
      </w:tr>
      <w:tr w:rsidR="00C474C2" w14:paraId="209E3117" w14:textId="77777777" w:rsidTr="0014697F">
        <w:trPr>
          <w:cnfStyle w:val="000000010000" w:firstRow="0" w:lastRow="0" w:firstColumn="0" w:lastColumn="0" w:oddVBand="0" w:evenVBand="0" w:oddHBand="0" w:evenHBand="1" w:firstRowFirstColumn="0" w:firstRowLastColumn="0" w:lastRowFirstColumn="0" w:lastRowLastColumn="0"/>
        </w:trPr>
        <w:tc>
          <w:tcPr>
            <w:tcW w:w="1539" w:type="pct"/>
          </w:tcPr>
          <w:p w14:paraId="209E3111" w14:textId="77777777" w:rsidR="00C474C2" w:rsidRPr="001A0DEB" w:rsidRDefault="009F431A" w:rsidP="00C474C2">
            <w:pPr>
              <w:pStyle w:val="Tablebodytext"/>
            </w:pPr>
            <m:oMathPara>
              <m:oMathParaPr>
                <m:jc m:val="left"/>
              </m:oMathParaPr>
              <m:oMath>
                <m:sSub>
                  <m:sSubPr>
                    <m:ctrlPr>
                      <w:rPr>
                        <w:rFonts w:ascii="Cambria Math" w:hAnsi="Cambria Math"/>
                      </w:rPr>
                    </m:ctrlPr>
                  </m:sSubPr>
                  <m:e>
                    <m:r>
                      <w:rPr>
                        <w:rFonts w:ascii="Cambria Math" w:hAnsi="Cambria Math"/>
                      </w:rPr>
                      <m:t>On-going</m:t>
                    </m:r>
                  </m:e>
                  <m:sub>
                    <m:r>
                      <w:rPr>
                        <w:rFonts w:ascii="Cambria Math" w:hAnsi="Cambria Math"/>
                      </w:rPr>
                      <m:t>t</m:t>
                    </m:r>
                  </m:sub>
                </m:sSub>
              </m:oMath>
            </m:oMathPara>
          </w:p>
        </w:tc>
        <w:tc>
          <w:tcPr>
            <w:tcW w:w="834" w:type="pct"/>
          </w:tcPr>
          <w:p w14:paraId="209E3112" w14:textId="77777777" w:rsidR="00C474C2" w:rsidRPr="001A0DEB" w:rsidRDefault="00C474C2" w:rsidP="00E147EC">
            <w:pPr>
              <w:pStyle w:val="Tablebodytext"/>
              <w:jc w:val="right"/>
            </w:pPr>
            <w:r w:rsidRPr="001A0DEB">
              <w:t>0.026</w:t>
            </w:r>
          </w:p>
        </w:tc>
        <w:tc>
          <w:tcPr>
            <w:tcW w:w="704" w:type="pct"/>
          </w:tcPr>
          <w:p w14:paraId="209E3113" w14:textId="77777777" w:rsidR="00C474C2" w:rsidRPr="001A0DEB" w:rsidRDefault="00C474C2" w:rsidP="00E147EC">
            <w:pPr>
              <w:pStyle w:val="Tablebodytext"/>
              <w:jc w:val="right"/>
            </w:pPr>
            <w:r w:rsidRPr="001A0DEB">
              <w:t>0.017</w:t>
            </w:r>
          </w:p>
        </w:tc>
        <w:tc>
          <w:tcPr>
            <w:tcW w:w="257" w:type="pct"/>
          </w:tcPr>
          <w:p w14:paraId="209E3114" w14:textId="77777777" w:rsidR="00C474C2" w:rsidRPr="001A0DEB" w:rsidRDefault="00C474C2" w:rsidP="00E147EC">
            <w:pPr>
              <w:pStyle w:val="Tablebodytext"/>
              <w:jc w:val="right"/>
            </w:pPr>
          </w:p>
        </w:tc>
        <w:tc>
          <w:tcPr>
            <w:tcW w:w="882" w:type="pct"/>
          </w:tcPr>
          <w:p w14:paraId="209E3115" w14:textId="77777777" w:rsidR="00C474C2" w:rsidRPr="001A0DEB" w:rsidRDefault="00C474C2" w:rsidP="00E147EC">
            <w:pPr>
              <w:pStyle w:val="Tablebodytext"/>
              <w:jc w:val="right"/>
            </w:pPr>
            <w:r w:rsidRPr="001A0DEB">
              <w:t>0.018</w:t>
            </w:r>
          </w:p>
        </w:tc>
        <w:tc>
          <w:tcPr>
            <w:tcW w:w="784" w:type="pct"/>
          </w:tcPr>
          <w:p w14:paraId="209E3116" w14:textId="77777777" w:rsidR="00C474C2" w:rsidRPr="001A0DEB" w:rsidRDefault="00C474C2" w:rsidP="00E147EC">
            <w:pPr>
              <w:pStyle w:val="Tablebodytext"/>
              <w:jc w:val="right"/>
            </w:pPr>
            <w:r w:rsidRPr="001A0DEB">
              <w:t>0.034</w:t>
            </w:r>
          </w:p>
        </w:tc>
      </w:tr>
      <w:tr w:rsidR="00C474C2" w14:paraId="209E311E" w14:textId="77777777" w:rsidTr="0014697F">
        <w:trPr>
          <w:cnfStyle w:val="000000100000" w:firstRow="0" w:lastRow="0" w:firstColumn="0" w:lastColumn="0" w:oddVBand="0" w:evenVBand="0" w:oddHBand="1" w:evenHBand="0" w:firstRowFirstColumn="0" w:firstRowLastColumn="0" w:lastRowFirstColumn="0" w:lastRowLastColumn="0"/>
        </w:trPr>
        <w:tc>
          <w:tcPr>
            <w:tcW w:w="1539" w:type="pct"/>
          </w:tcPr>
          <w:p w14:paraId="209E3118" w14:textId="77777777" w:rsidR="00C474C2" w:rsidRPr="001A0DEB" w:rsidRDefault="00C474C2" w:rsidP="00C474C2">
            <w:pPr>
              <w:pStyle w:val="Tablebodytext"/>
            </w:pPr>
          </w:p>
        </w:tc>
        <w:tc>
          <w:tcPr>
            <w:tcW w:w="834" w:type="pct"/>
          </w:tcPr>
          <w:p w14:paraId="209E3119" w14:textId="77777777" w:rsidR="00C474C2" w:rsidRPr="001A0DEB" w:rsidRDefault="00C474C2" w:rsidP="00E147EC">
            <w:pPr>
              <w:pStyle w:val="Tablebodytext"/>
              <w:jc w:val="right"/>
            </w:pPr>
            <w:r w:rsidRPr="001A0DEB">
              <w:t>(0.022)</w:t>
            </w:r>
          </w:p>
        </w:tc>
        <w:tc>
          <w:tcPr>
            <w:tcW w:w="704" w:type="pct"/>
          </w:tcPr>
          <w:p w14:paraId="209E311A" w14:textId="77777777" w:rsidR="00C474C2" w:rsidRPr="001A0DEB" w:rsidRDefault="00C474C2" w:rsidP="00E147EC">
            <w:pPr>
              <w:pStyle w:val="Tablebodytext"/>
              <w:jc w:val="right"/>
            </w:pPr>
            <w:r w:rsidRPr="001A0DEB">
              <w:t>(0.033)</w:t>
            </w:r>
          </w:p>
        </w:tc>
        <w:tc>
          <w:tcPr>
            <w:tcW w:w="257" w:type="pct"/>
          </w:tcPr>
          <w:p w14:paraId="209E311B" w14:textId="77777777" w:rsidR="00C474C2" w:rsidRPr="001A0DEB" w:rsidRDefault="00C474C2" w:rsidP="00E147EC">
            <w:pPr>
              <w:pStyle w:val="Tablebodytext"/>
              <w:jc w:val="right"/>
            </w:pPr>
          </w:p>
        </w:tc>
        <w:tc>
          <w:tcPr>
            <w:tcW w:w="882" w:type="pct"/>
          </w:tcPr>
          <w:p w14:paraId="209E311C" w14:textId="77777777" w:rsidR="00C474C2" w:rsidRPr="001A0DEB" w:rsidRDefault="00C474C2" w:rsidP="00E147EC">
            <w:pPr>
              <w:pStyle w:val="Tablebodytext"/>
              <w:jc w:val="right"/>
            </w:pPr>
            <w:r w:rsidRPr="001A0DEB">
              <w:t>(0.013)</w:t>
            </w:r>
          </w:p>
        </w:tc>
        <w:tc>
          <w:tcPr>
            <w:tcW w:w="784" w:type="pct"/>
          </w:tcPr>
          <w:p w14:paraId="209E311D" w14:textId="77777777" w:rsidR="00C474C2" w:rsidRPr="001A0DEB" w:rsidRDefault="00C474C2" w:rsidP="00E147EC">
            <w:pPr>
              <w:pStyle w:val="Tablebodytext"/>
              <w:jc w:val="right"/>
            </w:pPr>
            <w:r w:rsidRPr="001A0DEB">
              <w:t>(0.033)</w:t>
            </w:r>
          </w:p>
        </w:tc>
      </w:tr>
      <w:tr w:rsidR="00C474C2" w14:paraId="209E3125" w14:textId="77777777" w:rsidTr="0014697F">
        <w:trPr>
          <w:cnfStyle w:val="000000010000" w:firstRow="0" w:lastRow="0" w:firstColumn="0" w:lastColumn="0" w:oddVBand="0" w:evenVBand="0" w:oddHBand="0" w:evenHBand="1" w:firstRowFirstColumn="0" w:firstRowLastColumn="0" w:lastRowFirstColumn="0" w:lastRowLastColumn="0"/>
        </w:trPr>
        <w:tc>
          <w:tcPr>
            <w:tcW w:w="1539" w:type="pct"/>
          </w:tcPr>
          <w:p w14:paraId="209E311F" w14:textId="77777777" w:rsidR="00C474C2" w:rsidRPr="001A0DEB" w:rsidRDefault="009F431A" w:rsidP="00C474C2">
            <w:pPr>
              <w:pStyle w:val="Tablebodytext"/>
            </w:pPr>
            <m:oMathPara>
              <m:oMathParaPr>
                <m:jc m:val="left"/>
              </m:oMathParaPr>
              <m:oMath>
                <m:sSub>
                  <m:sSubPr>
                    <m:ctrlPr>
                      <w:rPr>
                        <w:rFonts w:ascii="Cambria Math" w:hAnsi="Cambria Math"/>
                      </w:rPr>
                    </m:ctrlPr>
                  </m:sSubPr>
                  <m:e>
                    <m:r>
                      <w:rPr>
                        <w:rFonts w:ascii="Cambria Math" w:hAnsi="Cambria Math"/>
                      </w:rPr>
                      <m:t>Other</m:t>
                    </m:r>
                  </m:e>
                  <m:sub>
                    <m:r>
                      <w:rPr>
                        <w:rFonts w:ascii="Cambria Math" w:hAnsi="Cambria Math"/>
                      </w:rPr>
                      <m:t>t</m:t>
                    </m:r>
                  </m:sub>
                </m:sSub>
              </m:oMath>
            </m:oMathPara>
          </w:p>
        </w:tc>
        <w:tc>
          <w:tcPr>
            <w:tcW w:w="834" w:type="pct"/>
          </w:tcPr>
          <w:p w14:paraId="209E3120" w14:textId="656982F8" w:rsidR="00C474C2" w:rsidRPr="001A0DEB" w:rsidRDefault="00652B85" w:rsidP="00E147EC">
            <w:pPr>
              <w:pStyle w:val="Tablebodytext"/>
              <w:jc w:val="right"/>
            </w:pPr>
            <w:r>
              <w:t>–</w:t>
            </w:r>
            <w:r w:rsidR="00C474C2" w:rsidRPr="001A0DEB">
              <w:t>0.036*</w:t>
            </w:r>
          </w:p>
        </w:tc>
        <w:tc>
          <w:tcPr>
            <w:tcW w:w="704" w:type="pct"/>
          </w:tcPr>
          <w:p w14:paraId="209E3121" w14:textId="77777777" w:rsidR="00C474C2" w:rsidRPr="001A0DEB" w:rsidRDefault="00C474C2" w:rsidP="00E147EC">
            <w:pPr>
              <w:pStyle w:val="Tablebodytext"/>
              <w:jc w:val="right"/>
            </w:pPr>
            <w:r w:rsidRPr="001A0DEB">
              <w:t>0.031</w:t>
            </w:r>
          </w:p>
        </w:tc>
        <w:tc>
          <w:tcPr>
            <w:tcW w:w="257" w:type="pct"/>
          </w:tcPr>
          <w:p w14:paraId="209E3122" w14:textId="77777777" w:rsidR="00C474C2" w:rsidRPr="001A0DEB" w:rsidRDefault="00C474C2" w:rsidP="00E147EC">
            <w:pPr>
              <w:pStyle w:val="Tablebodytext"/>
              <w:jc w:val="right"/>
            </w:pPr>
          </w:p>
        </w:tc>
        <w:tc>
          <w:tcPr>
            <w:tcW w:w="882" w:type="pct"/>
          </w:tcPr>
          <w:p w14:paraId="209E3123" w14:textId="77777777" w:rsidR="00C474C2" w:rsidRPr="001A0DEB" w:rsidRDefault="00C474C2" w:rsidP="00E147EC">
            <w:pPr>
              <w:pStyle w:val="Tablebodytext"/>
              <w:jc w:val="right"/>
            </w:pPr>
            <w:r w:rsidRPr="001A0DEB">
              <w:t>-0.024*</w:t>
            </w:r>
          </w:p>
        </w:tc>
        <w:tc>
          <w:tcPr>
            <w:tcW w:w="784" w:type="pct"/>
          </w:tcPr>
          <w:p w14:paraId="209E3124" w14:textId="77777777" w:rsidR="00C474C2" w:rsidRPr="001A0DEB" w:rsidRDefault="00C474C2" w:rsidP="00E147EC">
            <w:pPr>
              <w:pStyle w:val="Tablebodytext"/>
              <w:jc w:val="right"/>
            </w:pPr>
            <w:r w:rsidRPr="001A0DEB">
              <w:t>0.037</w:t>
            </w:r>
          </w:p>
        </w:tc>
      </w:tr>
      <w:tr w:rsidR="00C474C2" w14:paraId="209E312C" w14:textId="77777777" w:rsidTr="0014697F">
        <w:trPr>
          <w:cnfStyle w:val="000000100000" w:firstRow="0" w:lastRow="0" w:firstColumn="0" w:lastColumn="0" w:oddVBand="0" w:evenVBand="0" w:oddHBand="1" w:evenHBand="0" w:firstRowFirstColumn="0" w:firstRowLastColumn="0" w:lastRowFirstColumn="0" w:lastRowLastColumn="0"/>
        </w:trPr>
        <w:tc>
          <w:tcPr>
            <w:tcW w:w="1539" w:type="pct"/>
          </w:tcPr>
          <w:p w14:paraId="209E3126" w14:textId="77777777" w:rsidR="00C474C2" w:rsidRPr="001A0DEB" w:rsidRDefault="00C474C2" w:rsidP="00C474C2">
            <w:pPr>
              <w:pStyle w:val="Tablebodytext"/>
            </w:pPr>
          </w:p>
        </w:tc>
        <w:tc>
          <w:tcPr>
            <w:tcW w:w="834" w:type="pct"/>
          </w:tcPr>
          <w:p w14:paraId="209E3127" w14:textId="77777777" w:rsidR="00C474C2" w:rsidRPr="001A0DEB" w:rsidRDefault="00C474C2" w:rsidP="00E147EC">
            <w:pPr>
              <w:pStyle w:val="Tablebodytext"/>
              <w:jc w:val="right"/>
            </w:pPr>
            <w:r w:rsidRPr="001A0DEB">
              <w:t>(0.018)</w:t>
            </w:r>
          </w:p>
        </w:tc>
        <w:tc>
          <w:tcPr>
            <w:tcW w:w="704" w:type="pct"/>
          </w:tcPr>
          <w:p w14:paraId="209E3128" w14:textId="77777777" w:rsidR="00C474C2" w:rsidRPr="001A0DEB" w:rsidRDefault="00C474C2" w:rsidP="00E147EC">
            <w:pPr>
              <w:pStyle w:val="Tablebodytext"/>
              <w:jc w:val="right"/>
            </w:pPr>
            <w:r w:rsidRPr="001A0DEB">
              <w:t>(0.023)</w:t>
            </w:r>
          </w:p>
        </w:tc>
        <w:tc>
          <w:tcPr>
            <w:tcW w:w="257" w:type="pct"/>
          </w:tcPr>
          <w:p w14:paraId="209E3129" w14:textId="77777777" w:rsidR="00C474C2" w:rsidRPr="001A0DEB" w:rsidRDefault="00C474C2" w:rsidP="00E147EC">
            <w:pPr>
              <w:pStyle w:val="Tablebodytext"/>
              <w:jc w:val="right"/>
            </w:pPr>
          </w:p>
        </w:tc>
        <w:tc>
          <w:tcPr>
            <w:tcW w:w="882" w:type="pct"/>
          </w:tcPr>
          <w:p w14:paraId="209E312A" w14:textId="77777777" w:rsidR="00C474C2" w:rsidRPr="001A0DEB" w:rsidRDefault="00C474C2" w:rsidP="00E147EC">
            <w:pPr>
              <w:pStyle w:val="Tablebodytext"/>
              <w:jc w:val="right"/>
            </w:pPr>
            <w:r w:rsidRPr="001A0DEB">
              <w:t>(0.013)</w:t>
            </w:r>
          </w:p>
        </w:tc>
        <w:tc>
          <w:tcPr>
            <w:tcW w:w="784" w:type="pct"/>
          </w:tcPr>
          <w:p w14:paraId="209E312B" w14:textId="77777777" w:rsidR="00C474C2" w:rsidRPr="001A0DEB" w:rsidRDefault="00C474C2" w:rsidP="00E147EC">
            <w:pPr>
              <w:pStyle w:val="Tablebodytext"/>
              <w:jc w:val="right"/>
            </w:pPr>
            <w:r w:rsidRPr="001A0DEB">
              <w:t>(0.025)</w:t>
            </w:r>
          </w:p>
        </w:tc>
      </w:tr>
      <w:tr w:rsidR="00C474C2" w14:paraId="209E3133" w14:textId="77777777" w:rsidTr="0014697F">
        <w:trPr>
          <w:cnfStyle w:val="000000010000" w:firstRow="0" w:lastRow="0" w:firstColumn="0" w:lastColumn="0" w:oddVBand="0" w:evenVBand="0" w:oddHBand="0" w:evenHBand="1" w:firstRowFirstColumn="0" w:firstRowLastColumn="0" w:lastRowFirstColumn="0" w:lastRowLastColumn="0"/>
        </w:trPr>
        <w:tc>
          <w:tcPr>
            <w:tcW w:w="1539" w:type="pct"/>
          </w:tcPr>
          <w:p w14:paraId="209E312D" w14:textId="77777777" w:rsidR="00C474C2" w:rsidRPr="001A0DEB" w:rsidRDefault="009F431A" w:rsidP="00C474C2">
            <w:pPr>
              <w:pStyle w:val="Tablebodytext"/>
            </w:pPr>
            <m:oMathPara>
              <m:oMathParaPr>
                <m:jc m:val="left"/>
              </m:oMathParaPr>
              <m:oMath>
                <m:sSub>
                  <m:sSubPr>
                    <m:ctrlPr>
                      <w:rPr>
                        <w:rFonts w:ascii="Cambria Math" w:hAnsi="Cambria Math"/>
                      </w:rPr>
                    </m:ctrlPr>
                  </m:sSubPr>
                  <m:e>
                    <m:r>
                      <w:rPr>
                        <w:rFonts w:ascii="Cambria Math" w:hAnsi="Cambria Math"/>
                      </w:rPr>
                      <m:t>Grant</m:t>
                    </m:r>
                  </m:e>
                  <m:sub>
                    <m:r>
                      <w:rPr>
                        <w:rFonts w:ascii="Cambria Math" w:hAnsi="Cambria Math"/>
                      </w:rPr>
                      <m:t>t</m:t>
                    </m:r>
                  </m:sub>
                </m:sSub>
                <m:r>
                  <w:rPr>
                    <w:rFonts w:ascii="Cambria Math" w:hAnsi="Cambria Math"/>
                  </w:rPr>
                  <m:t>×FundIn</m:t>
                </m:r>
                <m:sSub>
                  <m:sSubPr>
                    <m:ctrlPr>
                      <w:rPr>
                        <w:rFonts w:ascii="Cambria Math" w:hAnsi="Cambria Math"/>
                      </w:rPr>
                    </m:ctrlPr>
                  </m:sSubPr>
                  <m:e>
                    <m:r>
                      <w:rPr>
                        <w:rFonts w:ascii="Cambria Math" w:hAnsi="Cambria Math"/>
                      </w:rPr>
                      <m:t>n</m:t>
                    </m:r>
                  </m:e>
                  <m:sub>
                    <m:r>
                      <w:rPr>
                        <w:rFonts w:ascii="Cambria Math" w:hAnsi="Cambria Math"/>
                      </w:rPr>
                      <m:t>t+1</m:t>
                    </m:r>
                  </m:sub>
                </m:sSub>
              </m:oMath>
            </m:oMathPara>
          </w:p>
        </w:tc>
        <w:tc>
          <w:tcPr>
            <w:tcW w:w="834" w:type="pct"/>
          </w:tcPr>
          <w:p w14:paraId="209E312E" w14:textId="77777777" w:rsidR="00C474C2" w:rsidRPr="001A0DEB" w:rsidRDefault="00C474C2" w:rsidP="00E147EC">
            <w:pPr>
              <w:pStyle w:val="Tablebodytext"/>
              <w:jc w:val="right"/>
            </w:pPr>
          </w:p>
        </w:tc>
        <w:tc>
          <w:tcPr>
            <w:tcW w:w="704" w:type="pct"/>
          </w:tcPr>
          <w:p w14:paraId="209E312F" w14:textId="77777777" w:rsidR="00C474C2" w:rsidRPr="001A0DEB" w:rsidRDefault="00C474C2" w:rsidP="00E147EC">
            <w:pPr>
              <w:pStyle w:val="Tablebodytext"/>
              <w:jc w:val="right"/>
            </w:pPr>
          </w:p>
        </w:tc>
        <w:tc>
          <w:tcPr>
            <w:tcW w:w="257" w:type="pct"/>
          </w:tcPr>
          <w:p w14:paraId="209E3130" w14:textId="77777777" w:rsidR="00C474C2" w:rsidRPr="001A0DEB" w:rsidRDefault="00C474C2" w:rsidP="00E147EC">
            <w:pPr>
              <w:pStyle w:val="Tablebodytext"/>
              <w:jc w:val="right"/>
            </w:pPr>
          </w:p>
        </w:tc>
        <w:tc>
          <w:tcPr>
            <w:tcW w:w="882" w:type="pct"/>
          </w:tcPr>
          <w:p w14:paraId="209E3131" w14:textId="77777777" w:rsidR="00C474C2" w:rsidRPr="001A0DEB" w:rsidRDefault="00C474C2" w:rsidP="00E147EC">
            <w:pPr>
              <w:pStyle w:val="Tablebodytext"/>
              <w:jc w:val="right"/>
            </w:pPr>
            <w:r w:rsidRPr="001A0DEB">
              <w:t>-0.006</w:t>
            </w:r>
          </w:p>
        </w:tc>
        <w:tc>
          <w:tcPr>
            <w:tcW w:w="784" w:type="pct"/>
          </w:tcPr>
          <w:p w14:paraId="209E3132" w14:textId="77777777" w:rsidR="00C474C2" w:rsidRPr="001A0DEB" w:rsidRDefault="00C474C2" w:rsidP="00E147EC">
            <w:pPr>
              <w:pStyle w:val="Tablebodytext"/>
              <w:jc w:val="right"/>
            </w:pPr>
          </w:p>
        </w:tc>
      </w:tr>
      <w:tr w:rsidR="00C474C2" w14:paraId="209E313A" w14:textId="77777777" w:rsidTr="0014697F">
        <w:trPr>
          <w:cnfStyle w:val="000000100000" w:firstRow="0" w:lastRow="0" w:firstColumn="0" w:lastColumn="0" w:oddVBand="0" w:evenVBand="0" w:oddHBand="1" w:evenHBand="0" w:firstRowFirstColumn="0" w:firstRowLastColumn="0" w:lastRowFirstColumn="0" w:lastRowLastColumn="0"/>
        </w:trPr>
        <w:tc>
          <w:tcPr>
            <w:tcW w:w="1539" w:type="pct"/>
          </w:tcPr>
          <w:p w14:paraId="209E3134" w14:textId="77777777" w:rsidR="00C474C2" w:rsidRPr="001A0DEB" w:rsidRDefault="00C474C2" w:rsidP="00C474C2">
            <w:pPr>
              <w:pStyle w:val="Tablebodytext"/>
            </w:pPr>
          </w:p>
        </w:tc>
        <w:tc>
          <w:tcPr>
            <w:tcW w:w="834" w:type="pct"/>
          </w:tcPr>
          <w:p w14:paraId="209E3135" w14:textId="77777777" w:rsidR="00C474C2" w:rsidRPr="001A0DEB" w:rsidRDefault="00C474C2" w:rsidP="00E147EC">
            <w:pPr>
              <w:pStyle w:val="Tablebodytext"/>
              <w:jc w:val="right"/>
            </w:pPr>
          </w:p>
        </w:tc>
        <w:tc>
          <w:tcPr>
            <w:tcW w:w="704" w:type="pct"/>
          </w:tcPr>
          <w:p w14:paraId="209E3136" w14:textId="77777777" w:rsidR="00C474C2" w:rsidRPr="001A0DEB" w:rsidRDefault="00C474C2" w:rsidP="00E147EC">
            <w:pPr>
              <w:pStyle w:val="Tablebodytext"/>
              <w:jc w:val="right"/>
            </w:pPr>
          </w:p>
        </w:tc>
        <w:tc>
          <w:tcPr>
            <w:tcW w:w="257" w:type="pct"/>
          </w:tcPr>
          <w:p w14:paraId="209E3137" w14:textId="77777777" w:rsidR="00C474C2" w:rsidRPr="001A0DEB" w:rsidRDefault="00C474C2" w:rsidP="00E147EC">
            <w:pPr>
              <w:pStyle w:val="Tablebodytext"/>
              <w:jc w:val="right"/>
            </w:pPr>
          </w:p>
        </w:tc>
        <w:tc>
          <w:tcPr>
            <w:tcW w:w="882" w:type="pct"/>
          </w:tcPr>
          <w:p w14:paraId="209E3138" w14:textId="77777777" w:rsidR="00C474C2" w:rsidRPr="001A0DEB" w:rsidRDefault="00C474C2" w:rsidP="00E147EC">
            <w:pPr>
              <w:pStyle w:val="Tablebodytext"/>
              <w:jc w:val="right"/>
            </w:pPr>
            <w:r w:rsidRPr="001A0DEB">
              <w:t>(0.013)</w:t>
            </w:r>
          </w:p>
        </w:tc>
        <w:tc>
          <w:tcPr>
            <w:tcW w:w="784" w:type="pct"/>
          </w:tcPr>
          <w:p w14:paraId="209E3139" w14:textId="77777777" w:rsidR="00C474C2" w:rsidRPr="001A0DEB" w:rsidRDefault="00C474C2" w:rsidP="00E147EC">
            <w:pPr>
              <w:pStyle w:val="Tablebodytext"/>
              <w:jc w:val="right"/>
            </w:pPr>
          </w:p>
        </w:tc>
      </w:tr>
      <w:tr w:rsidR="00C474C2" w14:paraId="209E3141" w14:textId="77777777" w:rsidTr="0014697F">
        <w:trPr>
          <w:cnfStyle w:val="000000010000" w:firstRow="0" w:lastRow="0" w:firstColumn="0" w:lastColumn="0" w:oddVBand="0" w:evenVBand="0" w:oddHBand="0" w:evenHBand="1" w:firstRowFirstColumn="0" w:firstRowLastColumn="0" w:lastRowFirstColumn="0" w:lastRowLastColumn="0"/>
        </w:trPr>
        <w:tc>
          <w:tcPr>
            <w:tcW w:w="1539" w:type="pct"/>
          </w:tcPr>
          <w:p w14:paraId="209E313B" w14:textId="77777777" w:rsidR="00C474C2" w:rsidRPr="001A0DEB" w:rsidRDefault="009F431A" w:rsidP="00C474C2">
            <w:pPr>
              <w:pStyle w:val="Tablebodytext"/>
            </w:pPr>
            <m:oMathPara>
              <m:oMathParaPr>
                <m:jc m:val="left"/>
              </m:oMathParaPr>
              <m:oMath>
                <m:sSub>
                  <m:sSubPr>
                    <m:ctrlPr>
                      <w:rPr>
                        <w:rFonts w:ascii="Cambria Math" w:hAnsi="Cambria Math"/>
                      </w:rPr>
                    </m:ctrlPr>
                  </m:sSubPr>
                  <m:e>
                    <m:r>
                      <w:rPr>
                        <w:rFonts w:ascii="Cambria Math" w:hAnsi="Cambria Math"/>
                      </w:rPr>
                      <m:t>Tax Concession</m:t>
                    </m:r>
                  </m:e>
                  <m:sub>
                    <m:r>
                      <w:rPr>
                        <w:rFonts w:ascii="Cambria Math" w:hAnsi="Cambria Math"/>
                      </w:rPr>
                      <m:t>t</m:t>
                    </m:r>
                  </m:sub>
                </m:sSub>
                <m:r>
                  <w:rPr>
                    <w:rFonts w:ascii="Cambria Math" w:hAnsi="Cambria Math"/>
                  </w:rPr>
                  <m:t>×FunIn</m:t>
                </m:r>
                <m:sSub>
                  <m:sSubPr>
                    <m:ctrlPr>
                      <w:rPr>
                        <w:rFonts w:ascii="Cambria Math" w:hAnsi="Cambria Math"/>
                      </w:rPr>
                    </m:ctrlPr>
                  </m:sSubPr>
                  <m:e>
                    <m:r>
                      <w:rPr>
                        <w:rFonts w:ascii="Cambria Math" w:hAnsi="Cambria Math"/>
                      </w:rPr>
                      <m:t>n</m:t>
                    </m:r>
                  </m:e>
                  <m:sub>
                    <m:r>
                      <w:rPr>
                        <w:rFonts w:ascii="Cambria Math" w:hAnsi="Cambria Math"/>
                      </w:rPr>
                      <m:t>t+1</m:t>
                    </m:r>
                  </m:sub>
                </m:sSub>
              </m:oMath>
            </m:oMathPara>
          </w:p>
        </w:tc>
        <w:tc>
          <w:tcPr>
            <w:tcW w:w="834" w:type="pct"/>
          </w:tcPr>
          <w:p w14:paraId="209E313C" w14:textId="77777777" w:rsidR="00C474C2" w:rsidRPr="001A0DEB" w:rsidRDefault="00C474C2" w:rsidP="00E147EC">
            <w:pPr>
              <w:pStyle w:val="Tablebodytext"/>
              <w:jc w:val="right"/>
            </w:pPr>
          </w:p>
        </w:tc>
        <w:tc>
          <w:tcPr>
            <w:tcW w:w="704" w:type="pct"/>
          </w:tcPr>
          <w:p w14:paraId="209E313D" w14:textId="77777777" w:rsidR="00C474C2" w:rsidRPr="001A0DEB" w:rsidRDefault="00C474C2" w:rsidP="00E147EC">
            <w:pPr>
              <w:pStyle w:val="Tablebodytext"/>
              <w:jc w:val="right"/>
            </w:pPr>
          </w:p>
        </w:tc>
        <w:tc>
          <w:tcPr>
            <w:tcW w:w="257" w:type="pct"/>
          </w:tcPr>
          <w:p w14:paraId="209E313E" w14:textId="77777777" w:rsidR="00C474C2" w:rsidRPr="001A0DEB" w:rsidRDefault="00C474C2" w:rsidP="00E147EC">
            <w:pPr>
              <w:pStyle w:val="Tablebodytext"/>
              <w:jc w:val="right"/>
            </w:pPr>
          </w:p>
        </w:tc>
        <w:tc>
          <w:tcPr>
            <w:tcW w:w="882" w:type="pct"/>
          </w:tcPr>
          <w:p w14:paraId="209E313F" w14:textId="77777777" w:rsidR="00C474C2" w:rsidRPr="001A0DEB" w:rsidRDefault="00C474C2" w:rsidP="00E147EC">
            <w:pPr>
              <w:pStyle w:val="Tablebodytext"/>
              <w:jc w:val="right"/>
            </w:pPr>
            <w:r w:rsidRPr="001A0DEB">
              <w:t>0.179***</w:t>
            </w:r>
          </w:p>
        </w:tc>
        <w:tc>
          <w:tcPr>
            <w:tcW w:w="784" w:type="pct"/>
          </w:tcPr>
          <w:p w14:paraId="209E3140" w14:textId="77777777" w:rsidR="00C474C2" w:rsidRPr="001A0DEB" w:rsidRDefault="00C474C2" w:rsidP="00E147EC">
            <w:pPr>
              <w:pStyle w:val="Tablebodytext"/>
              <w:jc w:val="right"/>
            </w:pPr>
          </w:p>
        </w:tc>
      </w:tr>
      <w:tr w:rsidR="00C474C2" w14:paraId="209E3148" w14:textId="77777777" w:rsidTr="0014697F">
        <w:trPr>
          <w:cnfStyle w:val="000000100000" w:firstRow="0" w:lastRow="0" w:firstColumn="0" w:lastColumn="0" w:oddVBand="0" w:evenVBand="0" w:oddHBand="1" w:evenHBand="0" w:firstRowFirstColumn="0" w:firstRowLastColumn="0" w:lastRowFirstColumn="0" w:lastRowLastColumn="0"/>
        </w:trPr>
        <w:tc>
          <w:tcPr>
            <w:tcW w:w="1539" w:type="pct"/>
          </w:tcPr>
          <w:p w14:paraId="209E3142" w14:textId="77777777" w:rsidR="00C474C2" w:rsidRPr="001A0DEB" w:rsidRDefault="00C474C2" w:rsidP="00C474C2">
            <w:pPr>
              <w:pStyle w:val="Tablebodytext"/>
            </w:pPr>
          </w:p>
        </w:tc>
        <w:tc>
          <w:tcPr>
            <w:tcW w:w="834" w:type="pct"/>
          </w:tcPr>
          <w:p w14:paraId="209E3143" w14:textId="77777777" w:rsidR="00C474C2" w:rsidRPr="001A0DEB" w:rsidRDefault="00C474C2" w:rsidP="00E147EC">
            <w:pPr>
              <w:pStyle w:val="Tablebodytext"/>
              <w:jc w:val="right"/>
            </w:pPr>
          </w:p>
        </w:tc>
        <w:tc>
          <w:tcPr>
            <w:tcW w:w="704" w:type="pct"/>
          </w:tcPr>
          <w:p w14:paraId="209E3144" w14:textId="77777777" w:rsidR="00C474C2" w:rsidRPr="001A0DEB" w:rsidRDefault="00C474C2" w:rsidP="00E147EC">
            <w:pPr>
              <w:pStyle w:val="Tablebodytext"/>
              <w:jc w:val="right"/>
            </w:pPr>
          </w:p>
        </w:tc>
        <w:tc>
          <w:tcPr>
            <w:tcW w:w="257" w:type="pct"/>
          </w:tcPr>
          <w:p w14:paraId="209E3145" w14:textId="77777777" w:rsidR="00C474C2" w:rsidRPr="001A0DEB" w:rsidRDefault="00C474C2" w:rsidP="00E147EC">
            <w:pPr>
              <w:pStyle w:val="Tablebodytext"/>
              <w:jc w:val="right"/>
            </w:pPr>
          </w:p>
        </w:tc>
        <w:tc>
          <w:tcPr>
            <w:tcW w:w="882" w:type="pct"/>
          </w:tcPr>
          <w:p w14:paraId="209E3146" w14:textId="77777777" w:rsidR="00C474C2" w:rsidRPr="001A0DEB" w:rsidRDefault="00C474C2" w:rsidP="00E147EC">
            <w:pPr>
              <w:pStyle w:val="Tablebodytext"/>
              <w:jc w:val="right"/>
            </w:pPr>
            <w:r w:rsidRPr="001A0DEB">
              <w:t>(0.021)</w:t>
            </w:r>
          </w:p>
        </w:tc>
        <w:tc>
          <w:tcPr>
            <w:tcW w:w="784" w:type="pct"/>
          </w:tcPr>
          <w:p w14:paraId="209E3147" w14:textId="77777777" w:rsidR="00C474C2" w:rsidRPr="001A0DEB" w:rsidRDefault="00C474C2" w:rsidP="00E147EC">
            <w:pPr>
              <w:pStyle w:val="Tablebodytext"/>
              <w:jc w:val="right"/>
            </w:pPr>
          </w:p>
        </w:tc>
      </w:tr>
      <w:tr w:rsidR="004B2663" w14:paraId="209E314D" w14:textId="77777777" w:rsidTr="0014697F">
        <w:trPr>
          <w:cnfStyle w:val="000000010000" w:firstRow="0" w:lastRow="0" w:firstColumn="0" w:lastColumn="0" w:oddVBand="0" w:evenVBand="0" w:oddHBand="0" w:evenHBand="1" w:firstRowFirstColumn="0" w:firstRowLastColumn="0" w:lastRowFirstColumn="0" w:lastRowLastColumn="0"/>
        </w:trPr>
        <w:tc>
          <w:tcPr>
            <w:tcW w:w="1539" w:type="pct"/>
          </w:tcPr>
          <w:p w14:paraId="209E3149" w14:textId="77777777" w:rsidR="004B2663" w:rsidRPr="001A0DEB" w:rsidRDefault="004B2663" w:rsidP="00C474C2">
            <w:pPr>
              <w:pStyle w:val="Tablebodytext"/>
            </w:pPr>
            <w:r w:rsidRPr="001A0DEB">
              <w:t>Log Likelihood</w:t>
            </w:r>
          </w:p>
        </w:tc>
        <w:tc>
          <w:tcPr>
            <w:tcW w:w="1538" w:type="pct"/>
            <w:gridSpan w:val="2"/>
          </w:tcPr>
          <w:p w14:paraId="209E314A" w14:textId="6221BE48" w:rsidR="004B2663" w:rsidRPr="001A0DEB" w:rsidRDefault="00652B85" w:rsidP="00E147EC">
            <w:pPr>
              <w:pStyle w:val="Tablebodytext"/>
              <w:jc w:val="right"/>
            </w:pPr>
            <w:r>
              <w:t>–</w:t>
            </w:r>
            <w:r w:rsidR="004B2663" w:rsidRPr="001A0DEB">
              <w:t>56,012.6</w:t>
            </w:r>
          </w:p>
        </w:tc>
        <w:tc>
          <w:tcPr>
            <w:tcW w:w="257" w:type="pct"/>
          </w:tcPr>
          <w:p w14:paraId="209E314B" w14:textId="77777777" w:rsidR="004B2663" w:rsidRPr="001A0DEB" w:rsidRDefault="004B2663" w:rsidP="00E147EC">
            <w:pPr>
              <w:pStyle w:val="Tablebodytext"/>
              <w:jc w:val="right"/>
            </w:pPr>
          </w:p>
        </w:tc>
        <w:tc>
          <w:tcPr>
            <w:tcW w:w="1666" w:type="pct"/>
            <w:gridSpan w:val="2"/>
          </w:tcPr>
          <w:p w14:paraId="209E314C" w14:textId="58681FBA" w:rsidR="004B2663" w:rsidRPr="001A0DEB" w:rsidRDefault="00652B85" w:rsidP="00E147EC">
            <w:pPr>
              <w:pStyle w:val="Tablebodytext"/>
              <w:jc w:val="right"/>
            </w:pPr>
            <w:r>
              <w:t>–</w:t>
            </w:r>
            <w:r w:rsidR="004B2663" w:rsidRPr="001A0DEB">
              <w:t>54,875.4</w:t>
            </w:r>
          </w:p>
        </w:tc>
      </w:tr>
      <w:tr w:rsidR="004B2663" w14:paraId="209E3152" w14:textId="77777777" w:rsidTr="0014697F">
        <w:trPr>
          <w:cnfStyle w:val="000000100000" w:firstRow="0" w:lastRow="0" w:firstColumn="0" w:lastColumn="0" w:oddVBand="0" w:evenVBand="0" w:oddHBand="1" w:evenHBand="0" w:firstRowFirstColumn="0" w:firstRowLastColumn="0" w:lastRowFirstColumn="0" w:lastRowLastColumn="0"/>
        </w:trPr>
        <w:tc>
          <w:tcPr>
            <w:tcW w:w="1539" w:type="pct"/>
          </w:tcPr>
          <w:p w14:paraId="209E314E" w14:textId="77777777" w:rsidR="004B2663" w:rsidRPr="001A0DEB" w:rsidRDefault="004B2663" w:rsidP="00C474C2">
            <w:pPr>
              <w:pStyle w:val="Tablebodytext"/>
            </w:pPr>
            <w:r w:rsidRPr="001A0DEB">
              <w:t xml:space="preserve"> </w:t>
            </w:r>
            <m:oMath>
              <m:sSup>
                <m:sSupPr>
                  <m:ctrlPr>
                    <w:rPr>
                      <w:rFonts w:ascii="Cambria Math" w:hAnsi="Cambria Math"/>
                    </w:rPr>
                  </m:ctrlPr>
                </m:sSupPr>
                <m:e>
                  <m:r>
                    <w:rPr>
                      <w:rFonts w:ascii="Cambria Math" w:hAnsi="Cambria Math"/>
                    </w:rPr>
                    <m:t>χ</m:t>
                  </m:r>
                </m:e>
                <m:sup>
                  <m:r>
                    <w:rPr>
                      <w:rFonts w:ascii="Cambria Math" w:hAnsi="Cambria Math"/>
                    </w:rPr>
                    <m:t>2</m:t>
                  </m:r>
                </m:sup>
              </m:sSup>
            </m:oMath>
          </w:p>
        </w:tc>
        <w:tc>
          <w:tcPr>
            <w:tcW w:w="1538" w:type="pct"/>
            <w:gridSpan w:val="2"/>
          </w:tcPr>
          <w:p w14:paraId="209E314F" w14:textId="77777777" w:rsidR="004B2663" w:rsidRPr="001A0DEB" w:rsidRDefault="004B2663" w:rsidP="00E147EC">
            <w:pPr>
              <w:pStyle w:val="Tablebodytext"/>
              <w:jc w:val="right"/>
            </w:pPr>
            <w:r w:rsidRPr="001A0DEB">
              <w:t>316.6***</w:t>
            </w:r>
          </w:p>
        </w:tc>
        <w:tc>
          <w:tcPr>
            <w:tcW w:w="257" w:type="pct"/>
          </w:tcPr>
          <w:p w14:paraId="209E3150" w14:textId="77777777" w:rsidR="004B2663" w:rsidRPr="001A0DEB" w:rsidRDefault="004B2663" w:rsidP="00E147EC">
            <w:pPr>
              <w:pStyle w:val="Tablebodytext"/>
              <w:jc w:val="right"/>
            </w:pPr>
          </w:p>
        </w:tc>
        <w:tc>
          <w:tcPr>
            <w:tcW w:w="1666" w:type="pct"/>
            <w:gridSpan w:val="2"/>
          </w:tcPr>
          <w:p w14:paraId="209E3151" w14:textId="77777777" w:rsidR="004B2663" w:rsidRPr="001A0DEB" w:rsidRDefault="004B2663" w:rsidP="00E147EC">
            <w:pPr>
              <w:pStyle w:val="Tablebodytext"/>
              <w:jc w:val="right"/>
            </w:pPr>
            <w:r w:rsidRPr="001A0DEB">
              <w:t>547.2***</w:t>
            </w:r>
          </w:p>
        </w:tc>
      </w:tr>
      <w:tr w:rsidR="004B2663" w14:paraId="209E3157" w14:textId="77777777" w:rsidTr="0014697F">
        <w:trPr>
          <w:cnfStyle w:val="000000010000" w:firstRow="0" w:lastRow="0" w:firstColumn="0" w:lastColumn="0" w:oddVBand="0" w:evenVBand="0" w:oddHBand="0" w:evenHBand="1" w:firstRowFirstColumn="0" w:firstRowLastColumn="0" w:lastRowFirstColumn="0" w:lastRowLastColumn="0"/>
        </w:trPr>
        <w:tc>
          <w:tcPr>
            <w:tcW w:w="1539" w:type="pct"/>
          </w:tcPr>
          <w:p w14:paraId="209E3153" w14:textId="77777777" w:rsidR="004B2663" w:rsidRPr="001A0DEB" w:rsidRDefault="004B2663" w:rsidP="00C474C2">
            <w:pPr>
              <w:pStyle w:val="Tablebodytext"/>
            </w:pPr>
            <w:r w:rsidRPr="001A0DEB">
              <w:t xml:space="preserve"> </w:t>
            </w:r>
            <m:oMath>
              <m:sSup>
                <m:sSupPr>
                  <m:ctrlPr>
                    <w:rPr>
                      <w:rFonts w:ascii="Cambria Math" w:hAnsi="Cambria Math"/>
                    </w:rPr>
                  </m:ctrlPr>
                </m:sSupPr>
                <m:e>
                  <m:r>
                    <w:rPr>
                      <w:rFonts w:ascii="Cambria Math" w:hAnsi="Cambria Math"/>
                    </w:rPr>
                    <m:t>χ</m:t>
                  </m:r>
                </m:e>
                <m:sup>
                  <m:r>
                    <w:rPr>
                      <w:rFonts w:ascii="Cambria Math" w:hAnsi="Cambria Math"/>
                    </w:rPr>
                    <m:t>2</m:t>
                  </m:r>
                </m:sup>
              </m:sSup>
            </m:oMath>
            <w:r w:rsidRPr="001A0DEB">
              <w:t xml:space="preserve"> Selection</w:t>
            </w:r>
          </w:p>
        </w:tc>
        <w:tc>
          <w:tcPr>
            <w:tcW w:w="1538" w:type="pct"/>
            <w:gridSpan w:val="2"/>
          </w:tcPr>
          <w:p w14:paraId="209E3154" w14:textId="77777777" w:rsidR="004B2663" w:rsidRPr="001A0DEB" w:rsidRDefault="004B2663" w:rsidP="00E147EC">
            <w:pPr>
              <w:pStyle w:val="Tablebodytext"/>
              <w:jc w:val="right"/>
            </w:pPr>
            <w:r w:rsidRPr="001A0DEB">
              <w:t>5.27***</w:t>
            </w:r>
          </w:p>
        </w:tc>
        <w:tc>
          <w:tcPr>
            <w:tcW w:w="257" w:type="pct"/>
          </w:tcPr>
          <w:p w14:paraId="209E3155" w14:textId="77777777" w:rsidR="004B2663" w:rsidRPr="001A0DEB" w:rsidRDefault="004B2663" w:rsidP="00E147EC">
            <w:pPr>
              <w:pStyle w:val="Tablebodytext"/>
              <w:jc w:val="right"/>
            </w:pPr>
          </w:p>
        </w:tc>
        <w:tc>
          <w:tcPr>
            <w:tcW w:w="1666" w:type="pct"/>
            <w:gridSpan w:val="2"/>
          </w:tcPr>
          <w:p w14:paraId="209E3156" w14:textId="77777777" w:rsidR="004B2663" w:rsidRPr="001A0DEB" w:rsidRDefault="004B2663" w:rsidP="00E147EC">
            <w:pPr>
              <w:pStyle w:val="Tablebodytext"/>
              <w:jc w:val="right"/>
            </w:pPr>
            <w:r w:rsidRPr="001A0DEB">
              <w:t>16.18***</w:t>
            </w:r>
          </w:p>
        </w:tc>
      </w:tr>
      <w:tr w:rsidR="004B2663" w14:paraId="209E315C" w14:textId="77777777" w:rsidTr="0014697F">
        <w:trPr>
          <w:cnfStyle w:val="000000100000" w:firstRow="0" w:lastRow="0" w:firstColumn="0" w:lastColumn="0" w:oddVBand="0" w:evenVBand="0" w:oddHBand="1" w:evenHBand="0" w:firstRowFirstColumn="0" w:firstRowLastColumn="0" w:lastRowFirstColumn="0" w:lastRowLastColumn="0"/>
        </w:trPr>
        <w:tc>
          <w:tcPr>
            <w:tcW w:w="1539" w:type="pct"/>
          </w:tcPr>
          <w:p w14:paraId="209E3158" w14:textId="77777777" w:rsidR="004B2663" w:rsidRPr="001A0DEB" w:rsidRDefault="004B2663" w:rsidP="00C474C2">
            <w:pPr>
              <w:pStyle w:val="Tablebodytext"/>
            </w:pPr>
            <w:r w:rsidRPr="001A0DEB">
              <w:t xml:space="preserve"> </w:t>
            </w:r>
            <m:oMath>
              <m:r>
                <w:rPr>
                  <w:rFonts w:ascii="Cambria Math" w:hAnsi="Cambria Math"/>
                </w:rPr>
                <m:t>N</m:t>
              </m:r>
            </m:oMath>
          </w:p>
        </w:tc>
        <w:tc>
          <w:tcPr>
            <w:tcW w:w="1538" w:type="pct"/>
            <w:gridSpan w:val="2"/>
          </w:tcPr>
          <w:p w14:paraId="209E3159" w14:textId="77777777" w:rsidR="004B2663" w:rsidRPr="001A0DEB" w:rsidRDefault="004B2663" w:rsidP="00E147EC">
            <w:pPr>
              <w:pStyle w:val="Tablebodytext"/>
              <w:jc w:val="right"/>
            </w:pPr>
            <w:r w:rsidRPr="001A0DEB">
              <w:t>46,828</w:t>
            </w:r>
          </w:p>
        </w:tc>
        <w:tc>
          <w:tcPr>
            <w:tcW w:w="257" w:type="pct"/>
          </w:tcPr>
          <w:p w14:paraId="209E315A" w14:textId="77777777" w:rsidR="004B2663" w:rsidRPr="001A0DEB" w:rsidRDefault="004B2663" w:rsidP="00E147EC">
            <w:pPr>
              <w:pStyle w:val="Tablebodytext"/>
              <w:jc w:val="right"/>
            </w:pPr>
          </w:p>
        </w:tc>
        <w:tc>
          <w:tcPr>
            <w:tcW w:w="1666" w:type="pct"/>
            <w:gridSpan w:val="2"/>
          </w:tcPr>
          <w:p w14:paraId="209E315B" w14:textId="77777777" w:rsidR="004B2663" w:rsidRPr="001A0DEB" w:rsidRDefault="004B2663" w:rsidP="00E147EC">
            <w:pPr>
              <w:pStyle w:val="Tablebodytext"/>
              <w:jc w:val="right"/>
            </w:pPr>
            <w:r w:rsidRPr="001A0DEB">
              <w:t>46,734</w:t>
            </w:r>
          </w:p>
        </w:tc>
      </w:tr>
    </w:tbl>
    <w:p w14:paraId="209E315D" w14:textId="77777777" w:rsidR="003072A1" w:rsidRPr="00C62F3A" w:rsidRDefault="003072A1" w:rsidP="007334F7">
      <w:pPr>
        <w:pStyle w:val="Note"/>
      </w:pPr>
      <w:r>
        <w:t>Notes: Inverse propensity weights are applied. ***, **, and * indicate 1, 5, and 10 per cent significance levels. A set of control variables and industry and year dummies are also estimated but not reported</w:t>
      </w:r>
    </w:p>
    <w:p w14:paraId="209E315E" w14:textId="77777777" w:rsidR="003072A1" w:rsidRDefault="003072A1" w:rsidP="00C3720E">
      <w:pPr>
        <w:pStyle w:val="Source"/>
      </w:pPr>
      <w:r>
        <w:t>Source: Dept. of Industry, Innovation and Science</w:t>
      </w:r>
      <w:r w:rsidR="00FE78CB">
        <w:t xml:space="preserve"> (2018)</w:t>
      </w:r>
    </w:p>
    <w:p w14:paraId="209E315F" w14:textId="1EBE976D" w:rsidR="002C31E9" w:rsidRPr="001A0DEB" w:rsidRDefault="002C31E9" w:rsidP="002C31E9">
      <w:pPr>
        <w:pStyle w:val="BodyText"/>
      </w:pPr>
      <w:r w:rsidRPr="001A0DEB">
        <w:t>On the other hand, subsidies and cash rebates are the only forms of government assistance, by their statistical significance, that are conducive to an added propensity to obtain financing. Firms having received other unspecified forms of government assistance (</w:t>
      </w:r>
      <m:oMath>
        <m:r>
          <w:rPr>
            <w:rFonts w:ascii="Cambria Math" w:hAnsi="Cambria Math"/>
          </w:rPr>
          <m:t>Other</m:t>
        </m:r>
      </m:oMath>
      <w:r w:rsidRPr="001A0DEB">
        <w:t xml:space="preserve">) actually are less likely to obtain financing. Based on these observations, subsidies and cash rebates </w:t>
      </w:r>
      <w:r w:rsidR="00C93972">
        <w:t>improve the investors’ perception of the firm</w:t>
      </w:r>
      <w:r w:rsidRPr="001A0DEB">
        <w:t>, whereas there are some forms of government assist</w:t>
      </w:r>
      <w:r w:rsidR="00C93972">
        <w:t>ance that do the reverse</w:t>
      </w:r>
      <w:r w:rsidRPr="001A0DEB">
        <w:t>.</w:t>
      </w:r>
    </w:p>
    <w:p w14:paraId="209E3160" w14:textId="77777777" w:rsidR="002C31E9" w:rsidRPr="001A0DEB" w:rsidRDefault="002C31E9" w:rsidP="002C31E9">
      <w:pPr>
        <w:pStyle w:val="BodyText"/>
      </w:pPr>
      <w:r w:rsidRPr="001A0DEB">
        <w:t>The finding that grants and tax concessions do not influence the propensity to obtain financing is puzzling. One of the largest tax concession programs in Australia is the Research and Development (R&amp;D) Tax Concession.</w:t>
      </w:r>
      <w:r w:rsidRPr="001A0DEB">
        <w:rPr>
          <w:rStyle w:val="FootnoteReference"/>
        </w:rPr>
        <w:footnoteReference w:id="6"/>
      </w:r>
      <w:r w:rsidRPr="001A0DEB">
        <w:t xml:space="preserve"> Grants can also be R&amp;D related. To investigate whether these forms of assistance </w:t>
      </w:r>
      <w:r w:rsidRPr="001A0DEB">
        <w:lastRenderedPageBreak/>
        <w:t xml:space="preserve">might be especially helping innovative firms, I interact each of these forms of assistance with </w:t>
      </w:r>
      <m:oMath>
        <m:r>
          <w:rPr>
            <w:rFonts w:ascii="Cambria Math" w:hAnsi="Cambria Math"/>
          </w:rPr>
          <m:t>FinInn</m:t>
        </m:r>
      </m:oMath>
      <w:r w:rsidRPr="001A0DEB">
        <w:t xml:space="preserve"> dummy and re-estimate. These results are in column (2) of the table.</w:t>
      </w:r>
    </w:p>
    <w:p w14:paraId="209E3161" w14:textId="77777777" w:rsidR="002C31E9" w:rsidRPr="001A0DEB" w:rsidRDefault="002C31E9" w:rsidP="002C31E9">
      <w:pPr>
        <w:pStyle w:val="BodyText"/>
      </w:pPr>
      <w:r w:rsidRPr="001A0DEB">
        <w:t>Grants are still not increasing the propensity to obtain financing. However, tax concessions have a very positive and statistically significant effect in giving innovative firms access to financing. Specifically, firms with the intention to invest in innovation are 18 percentage points more likely to obtain financing if they have received tax concessions.</w:t>
      </w:r>
    </w:p>
    <w:p w14:paraId="209E3162" w14:textId="4F07E187" w:rsidR="00436D7F" w:rsidRPr="001A0DEB" w:rsidRDefault="002C31E9" w:rsidP="002C31E9">
      <w:pPr>
        <w:pStyle w:val="BodyText"/>
      </w:pPr>
      <w:r w:rsidRPr="001A0DEB">
        <w:t>Concerning this last finding, experts from the R&amp;D Tax Incentive group of the Australian Department of Industry, Innovation and Science explained to me that investors, and banks in particular, have a preference for tax concessions over grants. Grants are project specific and are consumed before the end of the financial year. However, investors treat tax concessions as some kind of collateral. Tax concessions are awarded at the end of the financial year. If the firm runs into financial troubles during the year, the investor can step in and lay claim to the tax concessions to cover part of its losses. Consequently, apart from sending a signal about capability or credit-worthiness, government assistance can also serve as a substitute for collateral if it is paid towards the end of the financial year.</w:t>
      </w:r>
    </w:p>
    <w:p w14:paraId="209E3163" w14:textId="66494311" w:rsidR="002C31E9" w:rsidRDefault="002C31E9" w:rsidP="002C31E9">
      <w:pPr>
        <w:pStyle w:val="Heading2"/>
        <w:rPr>
          <w:lang w:val="en-US"/>
        </w:rPr>
      </w:pPr>
      <w:r>
        <w:rPr>
          <w:lang w:val="en-US"/>
        </w:rPr>
        <w:t>Multiple assistance</w:t>
      </w:r>
    </w:p>
    <w:p w14:paraId="433B02E2" w14:textId="470BEDC5" w:rsidR="00050C37" w:rsidRDefault="002C31E9" w:rsidP="007B31BF">
      <w:pPr>
        <w:pStyle w:val="FirstParagraph"/>
        <w:spacing w:line="270" w:lineRule="exact"/>
        <w:jc w:val="both"/>
        <w:rPr>
          <w:color w:val="373737"/>
          <w:sz w:val="20"/>
          <w:szCs w:val="20"/>
        </w:rPr>
      </w:pPr>
      <w:r w:rsidRPr="001A0DEB">
        <w:rPr>
          <w:color w:val="373737"/>
          <w:sz w:val="20"/>
          <w:szCs w:val="20"/>
        </w:rPr>
        <w:t>The other government-related factor affecting the type of signal sent to investo</w:t>
      </w:r>
      <w:r w:rsidR="00237781">
        <w:rPr>
          <w:color w:val="373737"/>
          <w:sz w:val="20"/>
          <w:szCs w:val="20"/>
        </w:rPr>
        <w:t>rs about the firm can</w:t>
      </w:r>
      <w:r w:rsidRPr="001A0DEB">
        <w:rPr>
          <w:color w:val="373737"/>
          <w:sz w:val="20"/>
          <w:szCs w:val="20"/>
        </w:rPr>
        <w:t xml:space="preserve"> be the multiplicity of government assistance received by the firm. There are indeed a number of firms in the data simultaneously receiving multiple forms of assistance (</w:t>
      </w:r>
      <w:r w:rsidRPr="001A0DEB">
        <w:rPr>
          <w:color w:val="373737"/>
          <w:sz w:val="20"/>
          <w:szCs w:val="20"/>
        </w:rPr>
        <w:fldChar w:fldCharType="begin"/>
      </w:r>
      <w:r w:rsidRPr="001A0DEB">
        <w:rPr>
          <w:color w:val="373737"/>
          <w:sz w:val="20"/>
          <w:szCs w:val="20"/>
        </w:rPr>
        <w:instrText xml:space="preserve"> REF _Ref519607895 \h  \* MERGEFORMAT </w:instrText>
      </w:r>
      <w:r w:rsidRPr="001A0DEB">
        <w:rPr>
          <w:color w:val="373737"/>
          <w:sz w:val="20"/>
          <w:szCs w:val="20"/>
        </w:rPr>
      </w:r>
      <w:r w:rsidRPr="001A0DEB">
        <w:rPr>
          <w:color w:val="373737"/>
          <w:sz w:val="20"/>
          <w:szCs w:val="20"/>
        </w:rPr>
        <w:fldChar w:fldCharType="separate"/>
      </w:r>
      <w:r w:rsidR="00851CD1" w:rsidRPr="001A0DEB">
        <w:rPr>
          <w:color w:val="373737"/>
          <w:sz w:val="20"/>
          <w:szCs w:val="20"/>
        </w:rPr>
        <w:t xml:space="preserve">Figure </w:t>
      </w:r>
      <w:r w:rsidR="00E42BF0">
        <w:rPr>
          <w:color w:val="373737"/>
          <w:sz w:val="20"/>
          <w:szCs w:val="20"/>
        </w:rPr>
        <w:t>6.</w:t>
      </w:r>
      <w:r w:rsidR="00851CD1" w:rsidRPr="001A0DEB">
        <w:rPr>
          <w:noProof/>
          <w:color w:val="373737"/>
          <w:sz w:val="20"/>
          <w:szCs w:val="20"/>
        </w:rPr>
        <w:t>1</w:t>
      </w:r>
      <w:r w:rsidRPr="001A0DEB">
        <w:rPr>
          <w:color w:val="373737"/>
          <w:sz w:val="20"/>
          <w:szCs w:val="20"/>
        </w:rPr>
        <w:fldChar w:fldCharType="end"/>
      </w:r>
      <w:r w:rsidRPr="001A0DEB">
        <w:rPr>
          <w:color w:val="373737"/>
          <w:sz w:val="20"/>
          <w:szCs w:val="20"/>
        </w:rPr>
        <w:t>). Few observations are even receiving all six forms of assistance simultaneously.</w:t>
      </w:r>
    </w:p>
    <w:p w14:paraId="43A32AE5" w14:textId="2D9DEB48" w:rsidR="00050C37" w:rsidRDefault="00050C37" w:rsidP="00050C37">
      <w:pPr>
        <w:pStyle w:val="BodyText"/>
        <w:rPr>
          <w:lang w:val="en-US"/>
        </w:rPr>
      </w:pPr>
      <w:r>
        <w:br w:type="page"/>
      </w:r>
    </w:p>
    <w:p w14:paraId="209E3164" w14:textId="11DEA984" w:rsidR="002C31E9" w:rsidRPr="001A0DEB" w:rsidRDefault="002C31E9" w:rsidP="007B31BF">
      <w:pPr>
        <w:pStyle w:val="FirstParagraph"/>
        <w:spacing w:line="270" w:lineRule="exact"/>
        <w:jc w:val="both"/>
        <w:rPr>
          <w:color w:val="373737"/>
          <w:sz w:val="20"/>
          <w:szCs w:val="20"/>
        </w:rPr>
      </w:pPr>
    </w:p>
    <w:p w14:paraId="209E3165" w14:textId="61EF9032" w:rsidR="00A9777F" w:rsidRDefault="007D1F1C" w:rsidP="002C31E9">
      <w:pPr>
        <w:pStyle w:val="Caption"/>
        <w:rPr>
          <w:lang w:val="en"/>
        </w:rPr>
      </w:pPr>
      <w:bookmarkStart w:id="11" w:name="_Ref519607895"/>
      <w:r>
        <w:rPr>
          <w:noProof/>
          <w:lang w:eastAsia="en-AU"/>
        </w:rPr>
        <w:drawing>
          <wp:anchor distT="0" distB="0" distL="114300" distR="114300" simplePos="0" relativeHeight="251662336" behindDoc="0" locked="0" layoutInCell="1" allowOverlap="1" wp14:anchorId="426D5F78" wp14:editId="41BDFB1B">
            <wp:simplePos x="0" y="0"/>
            <wp:positionH relativeFrom="margin">
              <wp:posOffset>-635</wp:posOffset>
            </wp:positionH>
            <wp:positionV relativeFrom="paragraph">
              <wp:posOffset>343312</wp:posOffset>
            </wp:positionV>
            <wp:extent cx="4429125" cy="3084195"/>
            <wp:effectExtent l="0" t="0" r="9525" b="1905"/>
            <wp:wrapTopAndBottom/>
            <wp:docPr id="2" name="Picture 2" descr="About 70 per cent of observations receive only one form of assistance, whereas 20 per cent receive two forms. Much smaller proportion are receiving three or more forms." title="Figure 6.1 Proportion of firms receiving different forms of government 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id_edited-0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29125" cy="3084195"/>
                    </a:xfrm>
                    <a:prstGeom prst="rect">
                      <a:avLst/>
                    </a:prstGeom>
                  </pic:spPr>
                </pic:pic>
              </a:graphicData>
            </a:graphic>
            <wp14:sizeRelH relativeFrom="margin">
              <wp14:pctWidth>0</wp14:pctWidth>
            </wp14:sizeRelH>
            <wp14:sizeRelV relativeFrom="margin">
              <wp14:pctHeight>0</wp14:pctHeight>
            </wp14:sizeRelV>
          </wp:anchor>
        </w:drawing>
      </w:r>
      <w:r w:rsidR="002C31E9">
        <w:t xml:space="preserve">Figure </w:t>
      </w:r>
      <w:r w:rsidR="00E42BF0">
        <w:t>6.</w:t>
      </w:r>
      <w:r w:rsidR="00DE1F3C">
        <w:rPr>
          <w:noProof/>
        </w:rPr>
        <w:fldChar w:fldCharType="begin"/>
      </w:r>
      <w:r w:rsidR="00DE1F3C">
        <w:rPr>
          <w:noProof/>
        </w:rPr>
        <w:instrText xml:space="preserve"> SEQ Figure \* ARABIC </w:instrText>
      </w:r>
      <w:r w:rsidR="00DE1F3C">
        <w:rPr>
          <w:noProof/>
        </w:rPr>
        <w:fldChar w:fldCharType="separate"/>
      </w:r>
      <w:r w:rsidR="00851CD1">
        <w:rPr>
          <w:noProof/>
        </w:rPr>
        <w:t>1</w:t>
      </w:r>
      <w:r w:rsidR="00DE1F3C">
        <w:rPr>
          <w:noProof/>
        </w:rPr>
        <w:fldChar w:fldCharType="end"/>
      </w:r>
      <w:bookmarkEnd w:id="11"/>
      <w:r w:rsidR="0014697F">
        <w:t xml:space="preserve"> P</w:t>
      </w:r>
      <w:r w:rsidR="002C31E9">
        <w:t>roportion of firms receiving different forms of government assistance</w:t>
      </w:r>
    </w:p>
    <w:p w14:paraId="209E316D" w14:textId="0EAEC606" w:rsidR="002C31E9" w:rsidRPr="00C62F3A" w:rsidRDefault="002C31E9" w:rsidP="00C3720E">
      <w:pPr>
        <w:pStyle w:val="Note"/>
      </w:pPr>
      <w:r>
        <w:t>Notes: Only firms receiving government assistance are included</w:t>
      </w:r>
    </w:p>
    <w:p w14:paraId="209E316E" w14:textId="77777777" w:rsidR="002C31E9" w:rsidRDefault="002C31E9" w:rsidP="00C3720E">
      <w:pPr>
        <w:pStyle w:val="Source"/>
      </w:pPr>
      <w:r>
        <w:t xml:space="preserve">Source: </w:t>
      </w:r>
      <w:r w:rsidR="00FC1457">
        <w:t xml:space="preserve">ABS </w:t>
      </w:r>
      <w:r>
        <w:t>Business Characteristics Survey</w:t>
      </w:r>
      <w:r w:rsidR="00FC1457">
        <w:t xml:space="preserve"> 2005‒2014</w:t>
      </w:r>
    </w:p>
    <w:p w14:paraId="209E316F" w14:textId="77777777" w:rsidR="007B31BF" w:rsidRPr="001A0DEB" w:rsidRDefault="007B31BF" w:rsidP="007B31BF">
      <w:pPr>
        <w:pStyle w:val="BodyText"/>
      </w:pPr>
      <w:r w:rsidRPr="001A0DEB">
        <w:t xml:space="preserve">A firm receiving multiple forms of assistance simultaneously can be viewed as more financially secure. Conversely, it can be viewed as a firm in trouble and only kept afloat by government intervention. I investigate which effect dominates by replacing the government assistance dummy in with the number of different forms of assistance the firm simultaneously received the prior year. The estimates are listed in </w:t>
      </w:r>
      <w:r w:rsidRPr="001A0DEB">
        <w:fldChar w:fldCharType="begin"/>
      </w:r>
      <w:r w:rsidRPr="001A0DEB">
        <w:instrText xml:space="preserve"> REF _Ref519671855 \h </w:instrText>
      </w:r>
      <w:r w:rsidRPr="001A0DEB">
        <w:fldChar w:fldCharType="separate"/>
      </w:r>
      <w:r w:rsidR="00851CD1" w:rsidRPr="001A0DEB">
        <w:t xml:space="preserve">Table </w:t>
      </w:r>
      <w:r w:rsidR="00851CD1" w:rsidRPr="001A0DEB">
        <w:rPr>
          <w:noProof/>
        </w:rPr>
        <w:t>6</w:t>
      </w:r>
      <w:r w:rsidR="00851CD1" w:rsidRPr="001A0DEB">
        <w:t>.</w:t>
      </w:r>
      <w:r w:rsidR="00851CD1" w:rsidRPr="001A0DEB">
        <w:rPr>
          <w:noProof/>
        </w:rPr>
        <w:t>7</w:t>
      </w:r>
      <w:r w:rsidRPr="001A0DEB">
        <w:fldChar w:fldCharType="end"/>
      </w:r>
      <w:r w:rsidRPr="001A0DEB">
        <w:t>.</w:t>
      </w:r>
    </w:p>
    <w:p w14:paraId="209E3170" w14:textId="77777777" w:rsidR="002C31E9" w:rsidRDefault="002C31E9" w:rsidP="00C3720E">
      <w:pPr>
        <w:pStyle w:val="Caption"/>
      </w:pPr>
      <w:bookmarkStart w:id="12" w:name="_Ref519671855"/>
      <w:r w:rsidRPr="000618FB">
        <w:lastRenderedPageBreak/>
        <w:t xml:space="preserve">Table </w:t>
      </w:r>
      <w:r>
        <w:rPr>
          <w:noProof/>
        </w:rPr>
        <w:fldChar w:fldCharType="begin"/>
      </w:r>
      <w:r>
        <w:rPr>
          <w:noProof/>
        </w:rPr>
        <w:instrText xml:space="preserve"> STYLEREF 1 \s </w:instrText>
      </w:r>
      <w:r>
        <w:rPr>
          <w:noProof/>
        </w:rPr>
        <w:fldChar w:fldCharType="separate"/>
      </w:r>
      <w:r w:rsidR="00851CD1">
        <w:rPr>
          <w:noProof/>
        </w:rPr>
        <w:t>6</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sidR="00851CD1">
        <w:rPr>
          <w:noProof/>
        </w:rPr>
        <w:t>7</w:t>
      </w:r>
      <w:r>
        <w:rPr>
          <w:noProof/>
        </w:rPr>
        <w:fldChar w:fldCharType="end"/>
      </w:r>
      <w:bookmarkEnd w:id="12"/>
      <w:r w:rsidRPr="000618FB">
        <w:t xml:space="preserve">: </w:t>
      </w:r>
      <w:r>
        <w:t>The average marginal effect for the number of government assistance on the firm’s propensity to seek then financing</w:t>
      </w:r>
    </w:p>
    <w:tbl>
      <w:tblPr>
        <w:tblStyle w:val="OCETable"/>
        <w:tblW w:w="4112" w:type="pct"/>
        <w:tblLook w:val="04A0" w:firstRow="1" w:lastRow="0" w:firstColumn="1" w:lastColumn="0" w:noHBand="0" w:noVBand="1"/>
        <w:tblCaption w:val="Marginal effects for the number of government assistance"/>
        <w:tblDescription w:val="The conditional estimates increase with the numbe rof simultaneous different forms of government assistance. It peaks at four different forms of assistance with an aded propensity of 32 per cent. Then falls afterwards."/>
      </w:tblPr>
      <w:tblGrid>
        <w:gridCol w:w="1986"/>
        <w:gridCol w:w="2126"/>
        <w:gridCol w:w="1558"/>
      </w:tblGrid>
      <w:tr w:rsidR="002C31E9" w14:paraId="209E3174" w14:textId="77777777" w:rsidTr="001F6276">
        <w:trPr>
          <w:cnfStyle w:val="100000000000" w:firstRow="1" w:lastRow="0" w:firstColumn="0" w:lastColumn="0" w:oddVBand="0" w:evenVBand="0" w:oddHBand="0" w:evenHBand="0" w:firstRowFirstColumn="0" w:firstRowLastColumn="0" w:lastRowFirstColumn="0" w:lastRowLastColumn="0"/>
          <w:tblHeader/>
        </w:trPr>
        <w:tc>
          <w:tcPr>
            <w:tcW w:w="1751" w:type="pct"/>
          </w:tcPr>
          <w:p w14:paraId="209E3171" w14:textId="77777777" w:rsidR="002C31E9" w:rsidRDefault="002C31E9" w:rsidP="002C31E9">
            <w:pPr>
              <w:pStyle w:val="Tableheadertext"/>
            </w:pPr>
            <w:r>
              <w:t>variable</w:t>
            </w:r>
          </w:p>
        </w:tc>
        <w:tc>
          <w:tcPr>
            <w:tcW w:w="1875" w:type="pct"/>
          </w:tcPr>
          <w:p w14:paraId="209E3172" w14:textId="77777777" w:rsidR="002C31E9" w:rsidRDefault="002C31E9" w:rsidP="00E147EC">
            <w:pPr>
              <w:pStyle w:val="Tableheadertext"/>
              <w:jc w:val="right"/>
            </w:pPr>
            <w:r>
              <w:t>Conditional</w:t>
            </w:r>
          </w:p>
        </w:tc>
        <w:tc>
          <w:tcPr>
            <w:tcW w:w="1374" w:type="pct"/>
          </w:tcPr>
          <w:p w14:paraId="209E3173" w14:textId="77777777" w:rsidR="002C31E9" w:rsidRDefault="002C31E9" w:rsidP="00E147EC">
            <w:pPr>
              <w:pStyle w:val="Tableheadertext"/>
              <w:jc w:val="right"/>
            </w:pPr>
            <w:r>
              <w:t>Selection</w:t>
            </w:r>
          </w:p>
        </w:tc>
      </w:tr>
      <w:tr w:rsidR="002C31E9" w14:paraId="209E3178" w14:textId="77777777" w:rsidTr="001F6276">
        <w:trPr>
          <w:cnfStyle w:val="000000100000" w:firstRow="0" w:lastRow="0" w:firstColumn="0" w:lastColumn="0" w:oddVBand="0" w:evenVBand="0" w:oddHBand="1" w:evenHBand="0" w:firstRowFirstColumn="0" w:firstRowLastColumn="0" w:lastRowFirstColumn="0" w:lastRowLastColumn="0"/>
        </w:trPr>
        <w:tc>
          <w:tcPr>
            <w:tcW w:w="1751" w:type="pct"/>
          </w:tcPr>
          <w:p w14:paraId="209E3175" w14:textId="77777777" w:rsidR="002C31E9" w:rsidRPr="001A0DEB" w:rsidRDefault="002C31E9" w:rsidP="002C31E9">
            <w:pPr>
              <w:pStyle w:val="Tablebodytext"/>
            </w:pPr>
            <w:r w:rsidRPr="001A0DEB">
              <w:t>1 form</w:t>
            </w:r>
          </w:p>
        </w:tc>
        <w:tc>
          <w:tcPr>
            <w:tcW w:w="1875" w:type="pct"/>
          </w:tcPr>
          <w:p w14:paraId="209E3176" w14:textId="77777777" w:rsidR="002C31E9" w:rsidRPr="001A0DEB" w:rsidRDefault="002C31E9" w:rsidP="00E147EC">
            <w:pPr>
              <w:pStyle w:val="Tablebodytext"/>
              <w:jc w:val="right"/>
            </w:pPr>
            <w:r w:rsidRPr="001A0DEB">
              <w:t>0.020***</w:t>
            </w:r>
          </w:p>
        </w:tc>
        <w:tc>
          <w:tcPr>
            <w:tcW w:w="1374" w:type="pct"/>
          </w:tcPr>
          <w:p w14:paraId="209E3177" w14:textId="77777777" w:rsidR="002C31E9" w:rsidRPr="001A0DEB" w:rsidRDefault="002C31E9" w:rsidP="00E147EC">
            <w:pPr>
              <w:pStyle w:val="Tablebodytext"/>
              <w:jc w:val="right"/>
            </w:pPr>
            <w:r w:rsidRPr="001A0DEB">
              <w:t>0.073***</w:t>
            </w:r>
          </w:p>
        </w:tc>
      </w:tr>
      <w:tr w:rsidR="002C31E9" w14:paraId="209E317C" w14:textId="77777777" w:rsidTr="001F6276">
        <w:trPr>
          <w:cnfStyle w:val="000000010000" w:firstRow="0" w:lastRow="0" w:firstColumn="0" w:lastColumn="0" w:oddVBand="0" w:evenVBand="0" w:oddHBand="0" w:evenHBand="1" w:firstRowFirstColumn="0" w:firstRowLastColumn="0" w:lastRowFirstColumn="0" w:lastRowLastColumn="0"/>
        </w:trPr>
        <w:tc>
          <w:tcPr>
            <w:tcW w:w="1751" w:type="pct"/>
          </w:tcPr>
          <w:p w14:paraId="209E3179" w14:textId="77777777" w:rsidR="002C31E9" w:rsidRPr="001A0DEB" w:rsidRDefault="002C31E9" w:rsidP="002C31E9">
            <w:pPr>
              <w:pStyle w:val="Tablebodytext"/>
            </w:pPr>
          </w:p>
        </w:tc>
        <w:tc>
          <w:tcPr>
            <w:tcW w:w="1875" w:type="pct"/>
          </w:tcPr>
          <w:p w14:paraId="209E317A" w14:textId="77777777" w:rsidR="002C31E9" w:rsidRPr="001A0DEB" w:rsidRDefault="002C31E9" w:rsidP="00E147EC">
            <w:pPr>
              <w:pStyle w:val="Tablebodytext"/>
              <w:jc w:val="right"/>
            </w:pPr>
            <w:r w:rsidRPr="001A0DEB">
              <w:t>(0.005)</w:t>
            </w:r>
          </w:p>
        </w:tc>
        <w:tc>
          <w:tcPr>
            <w:tcW w:w="1374" w:type="pct"/>
          </w:tcPr>
          <w:p w14:paraId="209E317B" w14:textId="77777777" w:rsidR="002C31E9" w:rsidRPr="001A0DEB" w:rsidRDefault="002C31E9" w:rsidP="00E147EC">
            <w:pPr>
              <w:pStyle w:val="Tablebodytext"/>
              <w:jc w:val="right"/>
            </w:pPr>
            <w:r w:rsidRPr="001A0DEB">
              <w:t>(0.008)</w:t>
            </w:r>
          </w:p>
        </w:tc>
      </w:tr>
      <w:tr w:rsidR="002C31E9" w14:paraId="209E3180" w14:textId="77777777" w:rsidTr="001F6276">
        <w:trPr>
          <w:cnfStyle w:val="000000100000" w:firstRow="0" w:lastRow="0" w:firstColumn="0" w:lastColumn="0" w:oddVBand="0" w:evenVBand="0" w:oddHBand="1" w:evenHBand="0" w:firstRowFirstColumn="0" w:firstRowLastColumn="0" w:lastRowFirstColumn="0" w:lastRowLastColumn="0"/>
        </w:trPr>
        <w:tc>
          <w:tcPr>
            <w:tcW w:w="1751" w:type="pct"/>
          </w:tcPr>
          <w:p w14:paraId="209E317D" w14:textId="77777777" w:rsidR="002C31E9" w:rsidRPr="001A0DEB" w:rsidRDefault="002C31E9" w:rsidP="002C31E9">
            <w:pPr>
              <w:pStyle w:val="Tablebodytext"/>
            </w:pPr>
            <w:r w:rsidRPr="001A0DEB">
              <w:t>2 forms</w:t>
            </w:r>
          </w:p>
        </w:tc>
        <w:tc>
          <w:tcPr>
            <w:tcW w:w="1875" w:type="pct"/>
          </w:tcPr>
          <w:p w14:paraId="209E317E" w14:textId="77777777" w:rsidR="002C31E9" w:rsidRPr="001A0DEB" w:rsidRDefault="002C31E9" w:rsidP="00E147EC">
            <w:pPr>
              <w:pStyle w:val="Tablebodytext"/>
              <w:jc w:val="right"/>
            </w:pPr>
            <w:r w:rsidRPr="001A0DEB">
              <w:t>0.029***</w:t>
            </w:r>
          </w:p>
        </w:tc>
        <w:tc>
          <w:tcPr>
            <w:tcW w:w="1374" w:type="pct"/>
          </w:tcPr>
          <w:p w14:paraId="209E317F" w14:textId="77777777" w:rsidR="002C31E9" w:rsidRPr="001A0DEB" w:rsidRDefault="002C31E9" w:rsidP="00E147EC">
            <w:pPr>
              <w:pStyle w:val="Tablebodytext"/>
              <w:jc w:val="right"/>
            </w:pPr>
            <w:r w:rsidRPr="001A0DEB">
              <w:t>0.116***</w:t>
            </w:r>
          </w:p>
        </w:tc>
      </w:tr>
      <w:tr w:rsidR="002C31E9" w14:paraId="209E3184" w14:textId="77777777" w:rsidTr="001F6276">
        <w:trPr>
          <w:cnfStyle w:val="000000010000" w:firstRow="0" w:lastRow="0" w:firstColumn="0" w:lastColumn="0" w:oddVBand="0" w:evenVBand="0" w:oddHBand="0" w:evenHBand="1" w:firstRowFirstColumn="0" w:firstRowLastColumn="0" w:lastRowFirstColumn="0" w:lastRowLastColumn="0"/>
        </w:trPr>
        <w:tc>
          <w:tcPr>
            <w:tcW w:w="1751" w:type="pct"/>
          </w:tcPr>
          <w:p w14:paraId="209E3181" w14:textId="77777777" w:rsidR="002C31E9" w:rsidRPr="001A0DEB" w:rsidRDefault="002C31E9" w:rsidP="002C31E9">
            <w:pPr>
              <w:pStyle w:val="Tablebodytext"/>
            </w:pPr>
          </w:p>
        </w:tc>
        <w:tc>
          <w:tcPr>
            <w:tcW w:w="1875" w:type="pct"/>
          </w:tcPr>
          <w:p w14:paraId="209E3182" w14:textId="77777777" w:rsidR="002C31E9" w:rsidRPr="001A0DEB" w:rsidRDefault="002C31E9" w:rsidP="00E147EC">
            <w:pPr>
              <w:pStyle w:val="Tablebodytext"/>
              <w:jc w:val="right"/>
            </w:pPr>
            <w:r w:rsidRPr="001A0DEB">
              <w:t>(0.011)</w:t>
            </w:r>
          </w:p>
        </w:tc>
        <w:tc>
          <w:tcPr>
            <w:tcW w:w="1374" w:type="pct"/>
          </w:tcPr>
          <w:p w14:paraId="209E3183" w14:textId="77777777" w:rsidR="002C31E9" w:rsidRPr="001A0DEB" w:rsidRDefault="002C31E9" w:rsidP="00E147EC">
            <w:pPr>
              <w:pStyle w:val="Tablebodytext"/>
              <w:jc w:val="right"/>
            </w:pPr>
            <w:r w:rsidRPr="001A0DEB">
              <w:t>(0.015)</w:t>
            </w:r>
          </w:p>
        </w:tc>
      </w:tr>
      <w:tr w:rsidR="002C31E9" w14:paraId="209E3188" w14:textId="77777777" w:rsidTr="001F6276">
        <w:trPr>
          <w:cnfStyle w:val="000000100000" w:firstRow="0" w:lastRow="0" w:firstColumn="0" w:lastColumn="0" w:oddVBand="0" w:evenVBand="0" w:oddHBand="1" w:evenHBand="0" w:firstRowFirstColumn="0" w:firstRowLastColumn="0" w:lastRowFirstColumn="0" w:lastRowLastColumn="0"/>
        </w:trPr>
        <w:tc>
          <w:tcPr>
            <w:tcW w:w="1751" w:type="pct"/>
          </w:tcPr>
          <w:p w14:paraId="209E3185" w14:textId="77777777" w:rsidR="002C31E9" w:rsidRPr="001A0DEB" w:rsidRDefault="002C31E9" w:rsidP="002C31E9">
            <w:pPr>
              <w:pStyle w:val="Tablebodytext"/>
            </w:pPr>
            <w:r w:rsidRPr="001A0DEB">
              <w:t>3 forms</w:t>
            </w:r>
          </w:p>
        </w:tc>
        <w:tc>
          <w:tcPr>
            <w:tcW w:w="1875" w:type="pct"/>
          </w:tcPr>
          <w:p w14:paraId="209E3186" w14:textId="77777777" w:rsidR="002C31E9" w:rsidRPr="001A0DEB" w:rsidRDefault="002C31E9" w:rsidP="00E147EC">
            <w:pPr>
              <w:pStyle w:val="Tablebodytext"/>
              <w:jc w:val="right"/>
            </w:pPr>
            <w:r w:rsidRPr="001A0DEB">
              <w:t>0.009</w:t>
            </w:r>
          </w:p>
        </w:tc>
        <w:tc>
          <w:tcPr>
            <w:tcW w:w="1374" w:type="pct"/>
          </w:tcPr>
          <w:p w14:paraId="209E3187" w14:textId="77777777" w:rsidR="002C31E9" w:rsidRPr="001A0DEB" w:rsidRDefault="002C31E9" w:rsidP="00E147EC">
            <w:pPr>
              <w:pStyle w:val="Tablebodytext"/>
              <w:jc w:val="right"/>
            </w:pPr>
            <w:r w:rsidRPr="001A0DEB">
              <w:t>0.149***</w:t>
            </w:r>
          </w:p>
        </w:tc>
      </w:tr>
      <w:tr w:rsidR="002C31E9" w14:paraId="209E318C" w14:textId="77777777" w:rsidTr="001F6276">
        <w:trPr>
          <w:cnfStyle w:val="000000010000" w:firstRow="0" w:lastRow="0" w:firstColumn="0" w:lastColumn="0" w:oddVBand="0" w:evenVBand="0" w:oddHBand="0" w:evenHBand="1" w:firstRowFirstColumn="0" w:firstRowLastColumn="0" w:lastRowFirstColumn="0" w:lastRowLastColumn="0"/>
        </w:trPr>
        <w:tc>
          <w:tcPr>
            <w:tcW w:w="1751" w:type="pct"/>
          </w:tcPr>
          <w:p w14:paraId="209E3189" w14:textId="77777777" w:rsidR="002C31E9" w:rsidRPr="001A0DEB" w:rsidRDefault="002C31E9" w:rsidP="002C31E9">
            <w:pPr>
              <w:pStyle w:val="Tablebodytext"/>
            </w:pPr>
          </w:p>
        </w:tc>
        <w:tc>
          <w:tcPr>
            <w:tcW w:w="1875" w:type="pct"/>
          </w:tcPr>
          <w:p w14:paraId="209E318A" w14:textId="77777777" w:rsidR="002C31E9" w:rsidRPr="001A0DEB" w:rsidRDefault="002C31E9" w:rsidP="00E147EC">
            <w:pPr>
              <w:pStyle w:val="Tablebodytext"/>
              <w:jc w:val="right"/>
            </w:pPr>
            <w:r w:rsidRPr="001A0DEB">
              <w:t>(0.019)</w:t>
            </w:r>
          </w:p>
        </w:tc>
        <w:tc>
          <w:tcPr>
            <w:tcW w:w="1374" w:type="pct"/>
          </w:tcPr>
          <w:p w14:paraId="209E318B" w14:textId="77777777" w:rsidR="002C31E9" w:rsidRPr="001A0DEB" w:rsidRDefault="002C31E9" w:rsidP="00E147EC">
            <w:pPr>
              <w:pStyle w:val="Tablebodytext"/>
              <w:jc w:val="right"/>
            </w:pPr>
            <w:r w:rsidRPr="001A0DEB">
              <w:t>(0.024)</w:t>
            </w:r>
          </w:p>
        </w:tc>
      </w:tr>
      <w:tr w:rsidR="002C31E9" w14:paraId="209E3190" w14:textId="77777777" w:rsidTr="001F6276">
        <w:trPr>
          <w:cnfStyle w:val="000000100000" w:firstRow="0" w:lastRow="0" w:firstColumn="0" w:lastColumn="0" w:oddVBand="0" w:evenVBand="0" w:oddHBand="1" w:evenHBand="0" w:firstRowFirstColumn="0" w:firstRowLastColumn="0" w:lastRowFirstColumn="0" w:lastRowLastColumn="0"/>
        </w:trPr>
        <w:tc>
          <w:tcPr>
            <w:tcW w:w="1751" w:type="pct"/>
          </w:tcPr>
          <w:p w14:paraId="209E318D" w14:textId="77777777" w:rsidR="002C31E9" w:rsidRPr="001A0DEB" w:rsidRDefault="002C31E9" w:rsidP="002C31E9">
            <w:pPr>
              <w:pStyle w:val="Tablebodytext"/>
            </w:pPr>
            <w:r w:rsidRPr="001A0DEB">
              <w:t>4 forms</w:t>
            </w:r>
          </w:p>
        </w:tc>
        <w:tc>
          <w:tcPr>
            <w:tcW w:w="1875" w:type="pct"/>
          </w:tcPr>
          <w:p w14:paraId="209E318E" w14:textId="77777777" w:rsidR="002C31E9" w:rsidRPr="001A0DEB" w:rsidRDefault="002C31E9" w:rsidP="00E147EC">
            <w:pPr>
              <w:pStyle w:val="Tablebodytext"/>
              <w:jc w:val="right"/>
            </w:pPr>
            <w:r w:rsidRPr="001A0DEB">
              <w:t>0.319***</w:t>
            </w:r>
          </w:p>
        </w:tc>
        <w:tc>
          <w:tcPr>
            <w:tcW w:w="1374" w:type="pct"/>
          </w:tcPr>
          <w:p w14:paraId="209E318F" w14:textId="77777777" w:rsidR="002C31E9" w:rsidRPr="001A0DEB" w:rsidRDefault="002C31E9" w:rsidP="00E147EC">
            <w:pPr>
              <w:pStyle w:val="Tablebodytext"/>
              <w:jc w:val="right"/>
            </w:pPr>
            <w:r w:rsidRPr="001A0DEB">
              <w:t>0.021</w:t>
            </w:r>
          </w:p>
        </w:tc>
      </w:tr>
      <w:tr w:rsidR="002C31E9" w14:paraId="209E3194" w14:textId="77777777" w:rsidTr="001F6276">
        <w:trPr>
          <w:cnfStyle w:val="000000010000" w:firstRow="0" w:lastRow="0" w:firstColumn="0" w:lastColumn="0" w:oddVBand="0" w:evenVBand="0" w:oddHBand="0" w:evenHBand="1" w:firstRowFirstColumn="0" w:firstRowLastColumn="0" w:lastRowFirstColumn="0" w:lastRowLastColumn="0"/>
        </w:trPr>
        <w:tc>
          <w:tcPr>
            <w:tcW w:w="1751" w:type="pct"/>
          </w:tcPr>
          <w:p w14:paraId="209E3191" w14:textId="77777777" w:rsidR="002C31E9" w:rsidRPr="001A0DEB" w:rsidRDefault="002C31E9" w:rsidP="002C31E9">
            <w:pPr>
              <w:pStyle w:val="Tablebodytext"/>
            </w:pPr>
          </w:p>
        </w:tc>
        <w:tc>
          <w:tcPr>
            <w:tcW w:w="1875" w:type="pct"/>
          </w:tcPr>
          <w:p w14:paraId="209E3192" w14:textId="77777777" w:rsidR="002C31E9" w:rsidRPr="001A0DEB" w:rsidRDefault="002C31E9" w:rsidP="00E147EC">
            <w:pPr>
              <w:pStyle w:val="Tablebodytext"/>
              <w:jc w:val="right"/>
            </w:pPr>
            <w:r w:rsidRPr="001A0DEB">
              <w:t>(0.039)</w:t>
            </w:r>
          </w:p>
        </w:tc>
        <w:tc>
          <w:tcPr>
            <w:tcW w:w="1374" w:type="pct"/>
          </w:tcPr>
          <w:p w14:paraId="209E3193" w14:textId="77777777" w:rsidR="002C31E9" w:rsidRPr="001A0DEB" w:rsidRDefault="002C31E9" w:rsidP="00E147EC">
            <w:pPr>
              <w:pStyle w:val="Tablebodytext"/>
              <w:jc w:val="right"/>
            </w:pPr>
            <w:r w:rsidRPr="001A0DEB">
              <w:t>(0.071)</w:t>
            </w:r>
          </w:p>
        </w:tc>
      </w:tr>
      <w:tr w:rsidR="002C31E9" w14:paraId="209E3198" w14:textId="77777777" w:rsidTr="001F6276">
        <w:trPr>
          <w:cnfStyle w:val="000000100000" w:firstRow="0" w:lastRow="0" w:firstColumn="0" w:lastColumn="0" w:oddVBand="0" w:evenVBand="0" w:oddHBand="1" w:evenHBand="0" w:firstRowFirstColumn="0" w:firstRowLastColumn="0" w:lastRowFirstColumn="0" w:lastRowLastColumn="0"/>
        </w:trPr>
        <w:tc>
          <w:tcPr>
            <w:tcW w:w="1751" w:type="pct"/>
          </w:tcPr>
          <w:p w14:paraId="209E3195" w14:textId="77777777" w:rsidR="002C31E9" w:rsidRPr="001A0DEB" w:rsidRDefault="002C31E9" w:rsidP="002C31E9">
            <w:pPr>
              <w:pStyle w:val="Tablebodytext"/>
            </w:pPr>
            <w:r w:rsidRPr="001A0DEB">
              <w:t>5 forms</w:t>
            </w:r>
          </w:p>
        </w:tc>
        <w:tc>
          <w:tcPr>
            <w:tcW w:w="1875" w:type="pct"/>
          </w:tcPr>
          <w:p w14:paraId="209E3196" w14:textId="77777777" w:rsidR="002C31E9" w:rsidRPr="001A0DEB" w:rsidRDefault="002C31E9" w:rsidP="00E147EC">
            <w:pPr>
              <w:pStyle w:val="Tablebodytext"/>
              <w:jc w:val="right"/>
            </w:pPr>
            <w:r w:rsidRPr="001A0DEB">
              <w:t>0.285***</w:t>
            </w:r>
          </w:p>
        </w:tc>
        <w:tc>
          <w:tcPr>
            <w:tcW w:w="1374" w:type="pct"/>
          </w:tcPr>
          <w:p w14:paraId="209E3197" w14:textId="77777777" w:rsidR="002C31E9" w:rsidRPr="001A0DEB" w:rsidRDefault="002C31E9" w:rsidP="00E147EC">
            <w:pPr>
              <w:pStyle w:val="Tablebodytext"/>
              <w:jc w:val="right"/>
            </w:pPr>
            <w:r w:rsidRPr="001A0DEB">
              <w:t>0.142</w:t>
            </w:r>
          </w:p>
        </w:tc>
      </w:tr>
      <w:tr w:rsidR="002C31E9" w14:paraId="209E319C" w14:textId="77777777" w:rsidTr="001F6276">
        <w:trPr>
          <w:cnfStyle w:val="000000010000" w:firstRow="0" w:lastRow="0" w:firstColumn="0" w:lastColumn="0" w:oddVBand="0" w:evenVBand="0" w:oddHBand="0" w:evenHBand="1" w:firstRowFirstColumn="0" w:firstRowLastColumn="0" w:lastRowFirstColumn="0" w:lastRowLastColumn="0"/>
        </w:trPr>
        <w:tc>
          <w:tcPr>
            <w:tcW w:w="1751" w:type="pct"/>
          </w:tcPr>
          <w:p w14:paraId="209E3199" w14:textId="77777777" w:rsidR="002C31E9" w:rsidRPr="001A0DEB" w:rsidRDefault="002C31E9" w:rsidP="002C31E9">
            <w:pPr>
              <w:pStyle w:val="Tablebodytext"/>
            </w:pPr>
          </w:p>
        </w:tc>
        <w:tc>
          <w:tcPr>
            <w:tcW w:w="1875" w:type="pct"/>
          </w:tcPr>
          <w:p w14:paraId="209E319A" w14:textId="77777777" w:rsidR="002C31E9" w:rsidRPr="001A0DEB" w:rsidRDefault="002C31E9" w:rsidP="00E147EC">
            <w:pPr>
              <w:pStyle w:val="Tablebodytext"/>
              <w:jc w:val="right"/>
            </w:pPr>
            <w:r w:rsidRPr="001A0DEB">
              <w:t>(0.035)</w:t>
            </w:r>
          </w:p>
        </w:tc>
        <w:tc>
          <w:tcPr>
            <w:tcW w:w="1374" w:type="pct"/>
          </w:tcPr>
          <w:p w14:paraId="209E319B" w14:textId="77777777" w:rsidR="002C31E9" w:rsidRPr="001A0DEB" w:rsidRDefault="002C31E9" w:rsidP="00E147EC">
            <w:pPr>
              <w:pStyle w:val="Tablebodytext"/>
              <w:jc w:val="right"/>
            </w:pPr>
            <w:r w:rsidRPr="001A0DEB">
              <w:t>(0.102)</w:t>
            </w:r>
          </w:p>
        </w:tc>
      </w:tr>
      <w:tr w:rsidR="002C31E9" w14:paraId="209E31A0" w14:textId="77777777" w:rsidTr="001F6276">
        <w:trPr>
          <w:cnfStyle w:val="000000100000" w:firstRow="0" w:lastRow="0" w:firstColumn="0" w:lastColumn="0" w:oddVBand="0" w:evenVBand="0" w:oddHBand="1" w:evenHBand="0" w:firstRowFirstColumn="0" w:firstRowLastColumn="0" w:lastRowFirstColumn="0" w:lastRowLastColumn="0"/>
        </w:trPr>
        <w:tc>
          <w:tcPr>
            <w:tcW w:w="1751" w:type="pct"/>
          </w:tcPr>
          <w:p w14:paraId="209E319D" w14:textId="77777777" w:rsidR="002C31E9" w:rsidRPr="001A0DEB" w:rsidRDefault="002C31E9" w:rsidP="002C31E9">
            <w:pPr>
              <w:pStyle w:val="Tablebodytext"/>
            </w:pPr>
            <w:r w:rsidRPr="001A0DEB">
              <w:t>6 forms</w:t>
            </w:r>
          </w:p>
        </w:tc>
        <w:tc>
          <w:tcPr>
            <w:tcW w:w="1875" w:type="pct"/>
          </w:tcPr>
          <w:p w14:paraId="209E319E" w14:textId="77777777" w:rsidR="002C31E9" w:rsidRPr="001A0DEB" w:rsidRDefault="002C31E9" w:rsidP="00E147EC">
            <w:pPr>
              <w:pStyle w:val="Tablebodytext"/>
              <w:jc w:val="right"/>
            </w:pPr>
            <w:r w:rsidRPr="001A0DEB">
              <w:t>0.258***</w:t>
            </w:r>
          </w:p>
        </w:tc>
        <w:tc>
          <w:tcPr>
            <w:tcW w:w="1374" w:type="pct"/>
          </w:tcPr>
          <w:p w14:paraId="209E319F" w14:textId="77777777" w:rsidR="002C31E9" w:rsidRPr="001A0DEB" w:rsidRDefault="002C31E9" w:rsidP="00E147EC">
            <w:pPr>
              <w:pStyle w:val="Tablebodytext"/>
              <w:jc w:val="right"/>
            </w:pPr>
            <w:r w:rsidRPr="001A0DEB">
              <w:t>0.316**</w:t>
            </w:r>
          </w:p>
        </w:tc>
      </w:tr>
      <w:tr w:rsidR="002C31E9" w14:paraId="209E31A4" w14:textId="77777777" w:rsidTr="001F6276">
        <w:trPr>
          <w:cnfStyle w:val="000000010000" w:firstRow="0" w:lastRow="0" w:firstColumn="0" w:lastColumn="0" w:oddVBand="0" w:evenVBand="0" w:oddHBand="0" w:evenHBand="1" w:firstRowFirstColumn="0" w:firstRowLastColumn="0" w:lastRowFirstColumn="0" w:lastRowLastColumn="0"/>
        </w:trPr>
        <w:tc>
          <w:tcPr>
            <w:tcW w:w="1751" w:type="pct"/>
          </w:tcPr>
          <w:p w14:paraId="209E31A1" w14:textId="77777777" w:rsidR="002C31E9" w:rsidRPr="001A0DEB" w:rsidRDefault="002C31E9" w:rsidP="002C31E9">
            <w:pPr>
              <w:pStyle w:val="Tablebodytext"/>
            </w:pPr>
          </w:p>
        </w:tc>
        <w:tc>
          <w:tcPr>
            <w:tcW w:w="1875" w:type="pct"/>
          </w:tcPr>
          <w:p w14:paraId="209E31A2" w14:textId="77777777" w:rsidR="002C31E9" w:rsidRPr="001A0DEB" w:rsidRDefault="002C31E9" w:rsidP="00E147EC">
            <w:pPr>
              <w:pStyle w:val="Tablebodytext"/>
              <w:jc w:val="right"/>
            </w:pPr>
            <w:r w:rsidRPr="001A0DEB">
              <w:t>(0.023)</w:t>
            </w:r>
          </w:p>
        </w:tc>
        <w:tc>
          <w:tcPr>
            <w:tcW w:w="1374" w:type="pct"/>
          </w:tcPr>
          <w:p w14:paraId="209E31A3" w14:textId="77777777" w:rsidR="002C31E9" w:rsidRPr="001A0DEB" w:rsidRDefault="002C31E9" w:rsidP="00E147EC">
            <w:pPr>
              <w:pStyle w:val="Tablebodytext"/>
              <w:jc w:val="right"/>
            </w:pPr>
            <w:r w:rsidRPr="001A0DEB">
              <w:t>(0.149)</w:t>
            </w:r>
          </w:p>
        </w:tc>
      </w:tr>
      <w:tr w:rsidR="0014697F" w14:paraId="209E31A7" w14:textId="77777777" w:rsidTr="001F6276">
        <w:trPr>
          <w:cnfStyle w:val="000000100000" w:firstRow="0" w:lastRow="0" w:firstColumn="0" w:lastColumn="0" w:oddVBand="0" w:evenVBand="0" w:oddHBand="1" w:evenHBand="0" w:firstRowFirstColumn="0" w:firstRowLastColumn="0" w:lastRowFirstColumn="0" w:lastRowLastColumn="0"/>
        </w:trPr>
        <w:tc>
          <w:tcPr>
            <w:tcW w:w="1751" w:type="pct"/>
          </w:tcPr>
          <w:p w14:paraId="209E31A5" w14:textId="77777777" w:rsidR="0014697F" w:rsidRPr="001A0DEB" w:rsidRDefault="0014697F" w:rsidP="002C31E9">
            <w:pPr>
              <w:pStyle w:val="Tablebodytext"/>
            </w:pPr>
            <w:r w:rsidRPr="001A0DEB">
              <w:t>Log Likelihood</w:t>
            </w:r>
          </w:p>
        </w:tc>
        <w:tc>
          <w:tcPr>
            <w:tcW w:w="3249" w:type="pct"/>
            <w:gridSpan w:val="2"/>
          </w:tcPr>
          <w:p w14:paraId="209E31A6" w14:textId="33C3453C" w:rsidR="0014697F" w:rsidRPr="001A0DEB" w:rsidRDefault="00364D2F" w:rsidP="00E147EC">
            <w:pPr>
              <w:pStyle w:val="Tablebodytext"/>
              <w:jc w:val="right"/>
            </w:pPr>
            <w:r>
              <w:t>–</w:t>
            </w:r>
            <w:r w:rsidR="0014697F" w:rsidRPr="001A0DEB">
              <w:t>57,850.4</w:t>
            </w:r>
          </w:p>
        </w:tc>
      </w:tr>
      <w:tr w:rsidR="0014697F" w14:paraId="209E31AA" w14:textId="77777777" w:rsidTr="001F6276">
        <w:trPr>
          <w:cnfStyle w:val="000000010000" w:firstRow="0" w:lastRow="0" w:firstColumn="0" w:lastColumn="0" w:oddVBand="0" w:evenVBand="0" w:oddHBand="0" w:evenHBand="1" w:firstRowFirstColumn="0" w:firstRowLastColumn="0" w:lastRowFirstColumn="0" w:lastRowLastColumn="0"/>
        </w:trPr>
        <w:tc>
          <w:tcPr>
            <w:tcW w:w="1751" w:type="pct"/>
          </w:tcPr>
          <w:p w14:paraId="209E31A8" w14:textId="77777777" w:rsidR="0014697F" w:rsidRPr="001A0DEB" w:rsidRDefault="0014697F" w:rsidP="002C31E9">
            <w:pPr>
              <w:pStyle w:val="Tablebodytext"/>
            </w:pPr>
            <w:r w:rsidRPr="001A0DEB">
              <w:t xml:space="preserve"> </w:t>
            </w:r>
            <m:oMath>
              <m:sSup>
                <m:sSupPr>
                  <m:ctrlPr>
                    <w:rPr>
                      <w:rFonts w:ascii="Cambria Math" w:hAnsi="Cambria Math"/>
                    </w:rPr>
                  </m:ctrlPr>
                </m:sSupPr>
                <m:e>
                  <m:r>
                    <w:rPr>
                      <w:rFonts w:ascii="Cambria Math" w:hAnsi="Cambria Math"/>
                    </w:rPr>
                    <m:t>χ</m:t>
                  </m:r>
                </m:e>
                <m:sup>
                  <m:r>
                    <w:rPr>
                      <w:rFonts w:ascii="Cambria Math" w:hAnsi="Cambria Math"/>
                    </w:rPr>
                    <m:t>2</m:t>
                  </m:r>
                </m:sup>
              </m:sSup>
            </m:oMath>
          </w:p>
        </w:tc>
        <w:tc>
          <w:tcPr>
            <w:tcW w:w="3249" w:type="pct"/>
            <w:gridSpan w:val="2"/>
          </w:tcPr>
          <w:p w14:paraId="209E31A9" w14:textId="77777777" w:rsidR="0014697F" w:rsidRPr="001A0DEB" w:rsidRDefault="0014697F" w:rsidP="00E147EC">
            <w:pPr>
              <w:pStyle w:val="Tablebodytext"/>
              <w:jc w:val="right"/>
            </w:pPr>
            <w:r w:rsidRPr="001A0DEB">
              <w:t>430.7***</w:t>
            </w:r>
          </w:p>
        </w:tc>
      </w:tr>
      <w:tr w:rsidR="0014697F" w14:paraId="209E31AD" w14:textId="77777777" w:rsidTr="001F6276">
        <w:trPr>
          <w:cnfStyle w:val="000000100000" w:firstRow="0" w:lastRow="0" w:firstColumn="0" w:lastColumn="0" w:oddVBand="0" w:evenVBand="0" w:oddHBand="1" w:evenHBand="0" w:firstRowFirstColumn="0" w:firstRowLastColumn="0" w:lastRowFirstColumn="0" w:lastRowLastColumn="0"/>
          <w:trHeight w:val="80"/>
        </w:trPr>
        <w:tc>
          <w:tcPr>
            <w:tcW w:w="1751" w:type="pct"/>
          </w:tcPr>
          <w:p w14:paraId="209E31AB" w14:textId="77777777" w:rsidR="0014697F" w:rsidRPr="001A0DEB" w:rsidRDefault="0014697F" w:rsidP="002C31E9">
            <w:pPr>
              <w:pStyle w:val="Tablebodytext"/>
            </w:pPr>
            <w:r w:rsidRPr="001A0DEB">
              <w:t xml:space="preserve"> </w:t>
            </w:r>
            <m:oMath>
              <m:sSup>
                <m:sSupPr>
                  <m:ctrlPr>
                    <w:rPr>
                      <w:rFonts w:ascii="Cambria Math" w:hAnsi="Cambria Math"/>
                    </w:rPr>
                  </m:ctrlPr>
                </m:sSupPr>
                <m:e>
                  <m:r>
                    <w:rPr>
                      <w:rFonts w:ascii="Cambria Math" w:hAnsi="Cambria Math"/>
                    </w:rPr>
                    <m:t>χ</m:t>
                  </m:r>
                </m:e>
                <m:sup>
                  <m:r>
                    <w:rPr>
                      <w:rFonts w:ascii="Cambria Math" w:hAnsi="Cambria Math"/>
                    </w:rPr>
                    <m:t>2</m:t>
                  </m:r>
                </m:sup>
              </m:sSup>
            </m:oMath>
            <w:r w:rsidRPr="001A0DEB">
              <w:t xml:space="preserve"> Selection</w:t>
            </w:r>
          </w:p>
        </w:tc>
        <w:tc>
          <w:tcPr>
            <w:tcW w:w="3249" w:type="pct"/>
            <w:gridSpan w:val="2"/>
          </w:tcPr>
          <w:p w14:paraId="209E31AC" w14:textId="77777777" w:rsidR="0014697F" w:rsidRPr="001A0DEB" w:rsidRDefault="0014697F" w:rsidP="00E147EC">
            <w:pPr>
              <w:pStyle w:val="Tablebodytext"/>
              <w:jc w:val="right"/>
            </w:pPr>
            <w:r w:rsidRPr="001A0DEB">
              <w:t>5.09**</w:t>
            </w:r>
          </w:p>
        </w:tc>
      </w:tr>
      <w:tr w:rsidR="0014697F" w14:paraId="209E31B0" w14:textId="77777777" w:rsidTr="001F6276">
        <w:trPr>
          <w:cnfStyle w:val="000000010000" w:firstRow="0" w:lastRow="0" w:firstColumn="0" w:lastColumn="0" w:oddVBand="0" w:evenVBand="0" w:oddHBand="0" w:evenHBand="1" w:firstRowFirstColumn="0" w:firstRowLastColumn="0" w:lastRowFirstColumn="0" w:lastRowLastColumn="0"/>
          <w:trHeight w:val="80"/>
        </w:trPr>
        <w:tc>
          <w:tcPr>
            <w:tcW w:w="1751" w:type="pct"/>
          </w:tcPr>
          <w:p w14:paraId="209E31AE" w14:textId="77777777" w:rsidR="0014697F" w:rsidRPr="001A0DEB" w:rsidRDefault="0014697F" w:rsidP="002C31E9">
            <w:pPr>
              <w:pStyle w:val="Tablebodytext"/>
              <w:rPr>
                <w:rFonts w:ascii="Times New Roman" w:hAnsi="Times New Roman" w:cs="Times New Roman"/>
                <w:i/>
              </w:rPr>
            </w:pPr>
            <w:r w:rsidRPr="001A0DEB">
              <w:rPr>
                <w:rFonts w:ascii="Times New Roman" w:hAnsi="Times New Roman" w:cs="Times New Roman"/>
                <w:i/>
              </w:rPr>
              <w:t>N</w:t>
            </w:r>
          </w:p>
        </w:tc>
        <w:tc>
          <w:tcPr>
            <w:tcW w:w="3249" w:type="pct"/>
            <w:gridSpan w:val="2"/>
          </w:tcPr>
          <w:p w14:paraId="209E31AF" w14:textId="77777777" w:rsidR="0014697F" w:rsidRPr="001A0DEB" w:rsidRDefault="0014697F" w:rsidP="00E147EC">
            <w:pPr>
              <w:pStyle w:val="Tablebodytext"/>
              <w:jc w:val="right"/>
            </w:pPr>
            <w:r w:rsidRPr="001A0DEB">
              <w:t>48,960</w:t>
            </w:r>
          </w:p>
        </w:tc>
      </w:tr>
    </w:tbl>
    <w:p w14:paraId="209E31B1" w14:textId="77777777" w:rsidR="002C31E9" w:rsidRPr="00C62F3A" w:rsidRDefault="002C31E9" w:rsidP="00C3720E">
      <w:pPr>
        <w:pStyle w:val="Note"/>
      </w:pPr>
      <w:r>
        <w:t>Notes: Inverse propensity weights are applied. *** and ** indicate 1 and 5 per cent significance levels. A set of control variables and industry and year dummies are also estimated but not reported</w:t>
      </w:r>
    </w:p>
    <w:p w14:paraId="209E31B2" w14:textId="77777777" w:rsidR="002C31E9" w:rsidRDefault="002C31E9" w:rsidP="00C3720E">
      <w:pPr>
        <w:pStyle w:val="Source"/>
      </w:pPr>
      <w:r>
        <w:t>Source: Dept. of Industry, Innovation and Science (2018)</w:t>
      </w:r>
    </w:p>
    <w:p w14:paraId="209E31B3" w14:textId="77777777" w:rsidR="00233570" w:rsidRPr="001A0DEB" w:rsidRDefault="00233570" w:rsidP="00233570">
      <w:pPr>
        <w:pStyle w:val="BodyText"/>
      </w:pPr>
      <w:r w:rsidRPr="001A0DEB">
        <w:t>On the firm’s side – that is the selection model – receiving more forms of assistance raises the likelihood of the firm seeking financing. It is not clear whether this increase in likelihood is because the firm becomes more confident or whether the firm is more desperate for funds.</w:t>
      </w:r>
    </w:p>
    <w:p w14:paraId="209E31B4" w14:textId="77777777" w:rsidR="00233570" w:rsidRPr="001A0DEB" w:rsidRDefault="00233570" w:rsidP="00233570">
      <w:pPr>
        <w:pStyle w:val="BodyText"/>
      </w:pPr>
      <w:r w:rsidRPr="001A0DEB">
        <w:t>On the investor’s side, receiving one form of assistance increases the chances of obtaining financing by two percentage points. Receiving more forms of government assistance tends to increase the likelihood. The magnitude of the effect falls when the number of different forms of assistance goes beyond four. It appears that simultaneously receiving a few forms of assistance from government projects a more positive picture of a firm. However, receiving too many different forms of government assistance undoes part of that image.</w:t>
      </w:r>
    </w:p>
    <w:p w14:paraId="30EB8551" w14:textId="77777777" w:rsidR="00591C9A" w:rsidRDefault="00591C9A">
      <w:pPr>
        <w:spacing w:after="200" w:line="276" w:lineRule="auto"/>
        <w:rPr>
          <w:rFonts w:asciiTheme="majorHAnsi" w:eastAsia="Times New Roman" w:hAnsiTheme="majorHAnsi" w:cs="Arial"/>
          <w:b/>
          <w:bCs/>
          <w:color w:val="005CAF"/>
          <w:kern w:val="32"/>
          <w:sz w:val="32"/>
          <w:szCs w:val="32"/>
        </w:rPr>
      </w:pPr>
      <w:r>
        <w:br w:type="page"/>
      </w:r>
    </w:p>
    <w:p w14:paraId="209E31B6" w14:textId="777A7BC7" w:rsidR="00233570" w:rsidRPr="00233570" w:rsidRDefault="00233570" w:rsidP="00233570">
      <w:pPr>
        <w:pStyle w:val="Heading1"/>
        <w:rPr>
          <w:lang w:val="en"/>
        </w:rPr>
      </w:pPr>
      <w:r>
        <w:lastRenderedPageBreak/>
        <w:t>Conclusion</w:t>
      </w:r>
    </w:p>
    <w:p w14:paraId="209E31B7" w14:textId="2B53BB9F" w:rsidR="00233570" w:rsidRPr="001A0DEB" w:rsidRDefault="00233570" w:rsidP="007F1DB1">
      <w:pPr>
        <w:pStyle w:val="FirstParagraph"/>
        <w:spacing w:line="270" w:lineRule="exact"/>
        <w:jc w:val="both"/>
        <w:rPr>
          <w:color w:val="373737"/>
          <w:sz w:val="20"/>
          <w:szCs w:val="20"/>
        </w:rPr>
      </w:pPr>
      <w:r w:rsidRPr="001A0DEB">
        <w:rPr>
          <w:color w:val="373737"/>
          <w:sz w:val="20"/>
          <w:szCs w:val="20"/>
        </w:rPr>
        <w:t xml:space="preserve">Government financial assistance to firms is effectively a risk sharing scheme, where government often supplements a firm’s investment in areas where investment is considered too risky by private </w:t>
      </w:r>
      <w:r w:rsidR="00AC6252">
        <w:rPr>
          <w:color w:val="373737"/>
          <w:sz w:val="20"/>
          <w:szCs w:val="20"/>
        </w:rPr>
        <w:t>investors. R&amp;D and innovation are</w:t>
      </w:r>
      <w:r w:rsidRPr="001A0DEB">
        <w:rPr>
          <w:color w:val="373737"/>
          <w:sz w:val="20"/>
          <w:szCs w:val="20"/>
        </w:rPr>
        <w:t xml:space="preserve"> one such area. In addition, passing the eligibility condition to receive the assistance makes a positive reflection on the firm’s image. This is especially true when the eligibility criteria are restrictive. Some forms of assistance also serve as a substitute for collateral. The findings of this paper confirm that investors take notice and consider firms with government assistance more favorably. This effect amounts to behavioral additionality on the part of investors.</w:t>
      </w:r>
    </w:p>
    <w:p w14:paraId="209E31B8" w14:textId="77777777" w:rsidR="00233570" w:rsidRPr="001A0DEB" w:rsidRDefault="00233570" w:rsidP="00233570">
      <w:pPr>
        <w:pStyle w:val="BodyText"/>
      </w:pPr>
      <w:r w:rsidRPr="001A0DEB">
        <w:t>However, it turns out that the main influence of government assistance is confidence building for the firm itself. Many firms receiving government assistance would not have sought financing in the first place unless with the self-assurance of having government by their side. This change is behavioural additionality on the part of firms.</w:t>
      </w:r>
    </w:p>
    <w:p w14:paraId="209E31B9" w14:textId="173BF5F6" w:rsidR="00233570" w:rsidRPr="001A0DEB" w:rsidRDefault="00233570" w:rsidP="00233570">
      <w:pPr>
        <w:pStyle w:val="BodyText"/>
      </w:pPr>
      <w:r w:rsidRPr="001A0DEB">
        <w:t>Interestingly, the additionali</w:t>
      </w:r>
      <w:r w:rsidR="00D66610">
        <w:t xml:space="preserve">ty is the largest for </w:t>
      </w:r>
      <w:bookmarkStart w:id="13" w:name="_GoBack"/>
      <w:bookmarkEnd w:id="13"/>
      <w:r w:rsidRPr="001A0DEB">
        <w:t>innovative young firms. These are exactly the kind of firms that contribute to productivity and economic growth and also happen to be in the spotlight for several industry policies in Australia. In particular, the linkage from tax concessions to more accessibility of investment in innovation makes a strong case for the supportive role the R&amp;D Tax Incentive program plays for the young and innovative firms.</w:t>
      </w:r>
    </w:p>
    <w:p w14:paraId="209E31BA" w14:textId="77777777" w:rsidR="00C41AE4" w:rsidRDefault="00C41AE4" w:rsidP="00C41AE4">
      <w:pPr>
        <w:pStyle w:val="Heading6"/>
      </w:pPr>
      <w:r>
        <w:lastRenderedPageBreak/>
        <w:t>Business Characteristics Survey</w:t>
      </w:r>
    </w:p>
    <w:p w14:paraId="209E31BB" w14:textId="77777777" w:rsidR="00A43AFF" w:rsidRPr="001A0DEB" w:rsidRDefault="00A43AFF" w:rsidP="00A43AFF">
      <w:pPr>
        <w:pStyle w:val="FirstParagraph"/>
        <w:rPr>
          <w:color w:val="373737"/>
          <w:sz w:val="20"/>
          <w:szCs w:val="20"/>
        </w:rPr>
      </w:pPr>
      <w:r w:rsidRPr="001A0DEB">
        <w:rPr>
          <w:color w:val="373737"/>
          <w:sz w:val="20"/>
          <w:szCs w:val="20"/>
        </w:rPr>
        <w:t>The following questions and the associated variable from the BCS have been used to construct the key variables used in the analysis.</w:t>
      </w:r>
    </w:p>
    <w:p w14:paraId="209E31BC" w14:textId="77777777" w:rsidR="00A43AFF" w:rsidRPr="001A0DEB" w:rsidRDefault="00A43AFF" w:rsidP="00A43AFF">
      <w:pPr>
        <w:pStyle w:val="BodyText"/>
        <w:rPr>
          <w:szCs w:val="20"/>
        </w:rPr>
      </w:pPr>
      <w:r w:rsidRPr="001A0DEB">
        <w:rPr>
          <w:b/>
          <w:szCs w:val="20"/>
        </w:rPr>
        <w:t>Question (</w:t>
      </w:r>
      <m:oMath>
        <m:r>
          <w:rPr>
            <w:rFonts w:ascii="Cambria Math" w:hAnsi="Cambria Math"/>
            <w:szCs w:val="20"/>
          </w:rPr>
          <m:t>variable</m:t>
        </m:r>
      </m:oMath>
      <w:r w:rsidRPr="001A0DEB">
        <w:rPr>
          <w:b/>
          <w:szCs w:val="20"/>
        </w:rPr>
        <w:t>) Type of Answer</w:t>
      </w:r>
    </w:p>
    <w:p w14:paraId="209E31BD" w14:textId="7BFE5293" w:rsidR="00A43AFF" w:rsidRPr="001A0DEB" w:rsidRDefault="009F431A" w:rsidP="00DF5506">
      <w:pPr>
        <w:rPr>
          <w:szCs w:val="20"/>
        </w:rPr>
      </w:pPr>
      <w:r>
        <w:rPr>
          <w:szCs w:val="20"/>
        </w:rPr>
        <w:pict w14:anchorId="209E3203">
          <v:rect id="_x0000_i1025" style="width:231.75pt;height:1pt" o:hrpct="979" o:hralign="center" o:hrstd="t" o:hr="t"/>
        </w:pict>
      </w:r>
    </w:p>
    <w:p w14:paraId="209E31BE" w14:textId="59E8CF46" w:rsidR="00A43AFF" w:rsidRPr="001A0DEB" w:rsidRDefault="00A43AFF" w:rsidP="00A43AFF">
      <w:pPr>
        <w:pStyle w:val="FirstParagraph"/>
        <w:rPr>
          <w:color w:val="373737"/>
          <w:sz w:val="20"/>
          <w:szCs w:val="20"/>
        </w:rPr>
      </w:pPr>
      <w:r w:rsidRPr="001A0DEB">
        <w:rPr>
          <w:color w:val="373737"/>
          <w:sz w:val="20"/>
          <w:szCs w:val="20"/>
        </w:rPr>
        <w:t>Sought any debt or equity finance (</w:t>
      </w:r>
      <m:oMath>
        <m:r>
          <w:rPr>
            <w:rFonts w:ascii="Cambria Math" w:hAnsi="Cambria Math"/>
            <w:color w:val="373737"/>
            <w:sz w:val="20"/>
            <w:szCs w:val="20"/>
          </w:rPr>
          <m:t>finance</m:t>
        </m:r>
      </m:oMath>
      <w:r w:rsidRPr="001A0DEB">
        <w:rPr>
          <w:color w:val="373737"/>
          <w:sz w:val="20"/>
          <w:szCs w:val="20"/>
        </w:rPr>
        <w:t xml:space="preserve">) </w:t>
      </w:r>
      <w:r w:rsidR="00DF5506" w:rsidRPr="001A0DEB">
        <w:rPr>
          <w:color w:val="373737"/>
          <w:sz w:val="20"/>
          <w:szCs w:val="20"/>
        </w:rPr>
        <w:tab/>
      </w:r>
      <w:r w:rsidR="00DF5506" w:rsidRPr="001A0DEB">
        <w:rPr>
          <w:color w:val="373737"/>
          <w:sz w:val="20"/>
          <w:szCs w:val="20"/>
        </w:rPr>
        <w:tab/>
      </w:r>
      <w:r w:rsidR="00DF5506" w:rsidRPr="001A0DEB">
        <w:rPr>
          <w:color w:val="373737"/>
          <w:sz w:val="20"/>
          <w:szCs w:val="20"/>
        </w:rPr>
        <w:tab/>
      </w:r>
      <w:r w:rsidRPr="001A0DEB">
        <w:rPr>
          <w:color w:val="373737"/>
          <w:sz w:val="20"/>
          <w:szCs w:val="20"/>
        </w:rPr>
        <w:t>Yes/No</w:t>
      </w:r>
    </w:p>
    <w:p w14:paraId="209E31BF" w14:textId="77777777" w:rsidR="00A43AFF" w:rsidRPr="001A0DEB" w:rsidRDefault="009F431A" w:rsidP="00A43AFF">
      <w:pPr>
        <w:rPr>
          <w:szCs w:val="20"/>
        </w:rPr>
      </w:pPr>
      <w:r>
        <w:rPr>
          <w:szCs w:val="20"/>
        </w:rPr>
        <w:pict w14:anchorId="209E3204">
          <v:rect id="_x0000_i1026" style="width:0;height:1.5pt" o:hralign="center" o:hrstd="t" o:hr="t"/>
        </w:pict>
      </w:r>
    </w:p>
    <w:p w14:paraId="209E31C0" w14:textId="77777777" w:rsidR="00A43AFF" w:rsidRPr="001A0DEB" w:rsidRDefault="00A43AFF" w:rsidP="00A43AFF">
      <w:pPr>
        <w:pStyle w:val="FirstParagraph"/>
        <w:rPr>
          <w:color w:val="373737"/>
          <w:sz w:val="20"/>
          <w:szCs w:val="20"/>
        </w:rPr>
      </w:pPr>
      <w:r w:rsidRPr="001A0DEB">
        <w:rPr>
          <w:color w:val="373737"/>
          <w:sz w:val="20"/>
          <w:szCs w:val="20"/>
        </w:rPr>
        <w:t>Type of financing sought:</w:t>
      </w:r>
    </w:p>
    <w:p w14:paraId="209E31C1" w14:textId="5364A41E" w:rsidR="00A43AFF" w:rsidRPr="001A0DEB" w:rsidRDefault="00A43AFF" w:rsidP="00A43AFF">
      <w:pPr>
        <w:pStyle w:val="BodyText"/>
        <w:rPr>
          <w:szCs w:val="20"/>
        </w:rPr>
      </w:pPr>
      <w:r w:rsidRPr="001A0DEB">
        <w:rPr>
          <w:szCs w:val="20"/>
        </w:rPr>
        <w:t>  Debt - obtained (</w:t>
      </w:r>
      <m:oMath>
        <m:r>
          <w:rPr>
            <w:rFonts w:ascii="Cambria Math" w:hAnsi="Cambria Math"/>
            <w:szCs w:val="20"/>
          </w:rPr>
          <m:t>dtfin_ob</m:t>
        </m:r>
      </m:oMath>
      <w:r w:rsidRPr="001A0DEB">
        <w:rPr>
          <w:szCs w:val="20"/>
        </w:rPr>
        <w:t xml:space="preserve">) </w:t>
      </w:r>
      <w:r w:rsidR="00DF5506" w:rsidRPr="001A0DEB">
        <w:rPr>
          <w:szCs w:val="20"/>
        </w:rPr>
        <w:tab/>
      </w:r>
      <w:r w:rsidR="00DF5506" w:rsidRPr="001A0DEB">
        <w:rPr>
          <w:szCs w:val="20"/>
        </w:rPr>
        <w:tab/>
      </w:r>
      <w:r w:rsidR="00DF5506" w:rsidRPr="001A0DEB">
        <w:rPr>
          <w:szCs w:val="20"/>
        </w:rPr>
        <w:tab/>
      </w:r>
      <w:r w:rsidR="00DF5506" w:rsidRPr="001A0DEB">
        <w:rPr>
          <w:szCs w:val="20"/>
        </w:rPr>
        <w:tab/>
      </w:r>
      <w:r w:rsidR="00DF5506" w:rsidRPr="001A0DEB">
        <w:rPr>
          <w:szCs w:val="20"/>
        </w:rPr>
        <w:tab/>
      </w:r>
      <w:r w:rsidRPr="001A0DEB">
        <w:rPr>
          <w:szCs w:val="20"/>
        </w:rPr>
        <w:t>Yes/No</w:t>
      </w:r>
    </w:p>
    <w:p w14:paraId="209E31C2" w14:textId="0F7DBA7C" w:rsidR="00A43AFF" w:rsidRPr="001A0DEB" w:rsidRDefault="00A43AFF" w:rsidP="00A43AFF">
      <w:pPr>
        <w:pStyle w:val="BodyText"/>
        <w:rPr>
          <w:szCs w:val="20"/>
        </w:rPr>
      </w:pPr>
      <w:r w:rsidRPr="001A0DEB">
        <w:rPr>
          <w:szCs w:val="20"/>
        </w:rPr>
        <w:t>  Debt - in progress (</w:t>
      </w:r>
      <m:oMath>
        <m:r>
          <w:rPr>
            <w:rFonts w:ascii="Cambria Math" w:hAnsi="Cambria Math"/>
            <w:szCs w:val="20"/>
          </w:rPr>
          <m:t>dtfin_in</m:t>
        </m:r>
      </m:oMath>
      <w:r w:rsidRPr="001A0DEB">
        <w:rPr>
          <w:szCs w:val="20"/>
        </w:rPr>
        <w:t xml:space="preserve">) </w:t>
      </w:r>
      <w:r w:rsidR="00DF5506" w:rsidRPr="001A0DEB">
        <w:rPr>
          <w:szCs w:val="20"/>
        </w:rPr>
        <w:tab/>
      </w:r>
      <w:r w:rsidR="00DF5506" w:rsidRPr="001A0DEB">
        <w:rPr>
          <w:szCs w:val="20"/>
        </w:rPr>
        <w:tab/>
      </w:r>
      <w:r w:rsidR="00DF5506" w:rsidRPr="001A0DEB">
        <w:rPr>
          <w:szCs w:val="20"/>
        </w:rPr>
        <w:tab/>
      </w:r>
      <w:r w:rsidR="00DF5506" w:rsidRPr="001A0DEB">
        <w:rPr>
          <w:szCs w:val="20"/>
        </w:rPr>
        <w:tab/>
      </w:r>
      <w:r w:rsidR="00DF5506" w:rsidRPr="001A0DEB">
        <w:rPr>
          <w:szCs w:val="20"/>
        </w:rPr>
        <w:tab/>
      </w:r>
      <w:r w:rsidRPr="001A0DEB">
        <w:rPr>
          <w:szCs w:val="20"/>
        </w:rPr>
        <w:t>Yes/No</w:t>
      </w:r>
    </w:p>
    <w:p w14:paraId="209E31C3" w14:textId="53DBA303" w:rsidR="00A43AFF" w:rsidRPr="001A0DEB" w:rsidRDefault="00A43AFF" w:rsidP="00A43AFF">
      <w:pPr>
        <w:pStyle w:val="BodyText"/>
        <w:rPr>
          <w:szCs w:val="20"/>
        </w:rPr>
      </w:pPr>
      <w:r w:rsidRPr="001A0DEB">
        <w:rPr>
          <w:szCs w:val="20"/>
        </w:rPr>
        <w:t>  Debt - rejected (</w:t>
      </w:r>
      <m:oMath>
        <m:r>
          <w:rPr>
            <w:rFonts w:ascii="Cambria Math" w:hAnsi="Cambria Math"/>
            <w:szCs w:val="20"/>
          </w:rPr>
          <m:t>dtfin_no</m:t>
        </m:r>
      </m:oMath>
      <w:r w:rsidRPr="001A0DEB">
        <w:rPr>
          <w:szCs w:val="20"/>
        </w:rPr>
        <w:t xml:space="preserve">) </w:t>
      </w:r>
      <w:r w:rsidR="00DF5506" w:rsidRPr="001A0DEB">
        <w:rPr>
          <w:szCs w:val="20"/>
        </w:rPr>
        <w:tab/>
      </w:r>
      <w:r w:rsidR="00DF5506" w:rsidRPr="001A0DEB">
        <w:rPr>
          <w:szCs w:val="20"/>
        </w:rPr>
        <w:tab/>
      </w:r>
      <w:r w:rsidR="00DF5506" w:rsidRPr="001A0DEB">
        <w:rPr>
          <w:szCs w:val="20"/>
        </w:rPr>
        <w:tab/>
      </w:r>
      <w:r w:rsidR="00DF5506" w:rsidRPr="001A0DEB">
        <w:rPr>
          <w:szCs w:val="20"/>
        </w:rPr>
        <w:tab/>
      </w:r>
      <w:r w:rsidR="00DF5506" w:rsidRPr="001A0DEB">
        <w:rPr>
          <w:szCs w:val="20"/>
        </w:rPr>
        <w:tab/>
      </w:r>
      <w:r w:rsidRPr="001A0DEB">
        <w:rPr>
          <w:szCs w:val="20"/>
        </w:rPr>
        <w:t>Yes/No</w:t>
      </w:r>
    </w:p>
    <w:p w14:paraId="209E31C4" w14:textId="423FF9B1" w:rsidR="00A43AFF" w:rsidRPr="001A0DEB" w:rsidRDefault="00A43AFF" w:rsidP="00A43AFF">
      <w:pPr>
        <w:pStyle w:val="BodyText"/>
        <w:rPr>
          <w:szCs w:val="20"/>
        </w:rPr>
      </w:pPr>
      <w:r w:rsidRPr="001A0DEB">
        <w:rPr>
          <w:szCs w:val="20"/>
        </w:rPr>
        <w:t>  Equity - obtained (</w:t>
      </w:r>
      <m:oMath>
        <m:r>
          <w:rPr>
            <w:rFonts w:ascii="Cambria Math" w:hAnsi="Cambria Math"/>
            <w:szCs w:val="20"/>
          </w:rPr>
          <m:t>eqfin_ob</m:t>
        </m:r>
      </m:oMath>
      <w:r w:rsidRPr="001A0DEB">
        <w:rPr>
          <w:szCs w:val="20"/>
        </w:rPr>
        <w:t xml:space="preserve">) </w:t>
      </w:r>
      <w:r w:rsidR="00DF5506" w:rsidRPr="001A0DEB">
        <w:rPr>
          <w:szCs w:val="20"/>
        </w:rPr>
        <w:tab/>
      </w:r>
      <w:r w:rsidR="00DF5506" w:rsidRPr="001A0DEB">
        <w:rPr>
          <w:szCs w:val="20"/>
        </w:rPr>
        <w:tab/>
      </w:r>
      <w:r w:rsidR="00DF5506" w:rsidRPr="001A0DEB">
        <w:rPr>
          <w:szCs w:val="20"/>
        </w:rPr>
        <w:tab/>
      </w:r>
      <w:r w:rsidR="00DF5506" w:rsidRPr="001A0DEB">
        <w:rPr>
          <w:szCs w:val="20"/>
        </w:rPr>
        <w:tab/>
      </w:r>
      <w:r w:rsidR="00DF5506" w:rsidRPr="001A0DEB">
        <w:rPr>
          <w:szCs w:val="20"/>
        </w:rPr>
        <w:tab/>
      </w:r>
      <w:r w:rsidRPr="001A0DEB">
        <w:rPr>
          <w:szCs w:val="20"/>
        </w:rPr>
        <w:t>Yes/No</w:t>
      </w:r>
    </w:p>
    <w:p w14:paraId="209E31C5" w14:textId="50E77717" w:rsidR="00A43AFF" w:rsidRPr="001A0DEB" w:rsidRDefault="00A43AFF" w:rsidP="00A43AFF">
      <w:pPr>
        <w:pStyle w:val="BodyText"/>
        <w:rPr>
          <w:szCs w:val="20"/>
        </w:rPr>
      </w:pPr>
      <w:r w:rsidRPr="001A0DEB">
        <w:rPr>
          <w:szCs w:val="20"/>
        </w:rPr>
        <w:t>  Equity - in progress (</w:t>
      </w:r>
      <m:oMath>
        <m:r>
          <w:rPr>
            <w:rFonts w:ascii="Cambria Math" w:hAnsi="Cambria Math"/>
            <w:szCs w:val="20"/>
          </w:rPr>
          <m:t>eqfin_in</m:t>
        </m:r>
      </m:oMath>
      <w:r w:rsidRPr="001A0DEB">
        <w:rPr>
          <w:szCs w:val="20"/>
        </w:rPr>
        <w:t xml:space="preserve">) </w:t>
      </w:r>
      <w:r w:rsidR="00DF5506" w:rsidRPr="001A0DEB">
        <w:rPr>
          <w:szCs w:val="20"/>
        </w:rPr>
        <w:tab/>
      </w:r>
      <w:r w:rsidR="00DF5506" w:rsidRPr="001A0DEB">
        <w:rPr>
          <w:szCs w:val="20"/>
        </w:rPr>
        <w:tab/>
      </w:r>
      <w:r w:rsidR="00DF5506" w:rsidRPr="001A0DEB">
        <w:rPr>
          <w:szCs w:val="20"/>
        </w:rPr>
        <w:tab/>
      </w:r>
      <w:r w:rsidR="00DF5506" w:rsidRPr="001A0DEB">
        <w:rPr>
          <w:szCs w:val="20"/>
        </w:rPr>
        <w:tab/>
      </w:r>
      <w:r w:rsidR="00DF5506" w:rsidRPr="001A0DEB">
        <w:rPr>
          <w:szCs w:val="20"/>
        </w:rPr>
        <w:tab/>
      </w:r>
      <w:r w:rsidRPr="001A0DEB">
        <w:rPr>
          <w:szCs w:val="20"/>
        </w:rPr>
        <w:t>Yes/No</w:t>
      </w:r>
    </w:p>
    <w:p w14:paraId="209E31C6" w14:textId="70928536" w:rsidR="00A43AFF" w:rsidRPr="001A0DEB" w:rsidRDefault="00A43AFF" w:rsidP="00A43AFF">
      <w:pPr>
        <w:pStyle w:val="BodyText"/>
        <w:rPr>
          <w:szCs w:val="20"/>
        </w:rPr>
      </w:pPr>
      <w:r w:rsidRPr="001A0DEB">
        <w:rPr>
          <w:szCs w:val="20"/>
        </w:rPr>
        <w:t>  Equity - rejected (</w:t>
      </w:r>
      <m:oMath>
        <m:r>
          <w:rPr>
            <w:rFonts w:ascii="Cambria Math" w:hAnsi="Cambria Math"/>
            <w:szCs w:val="20"/>
          </w:rPr>
          <m:t>eqfin_no</m:t>
        </m:r>
      </m:oMath>
      <w:r w:rsidRPr="001A0DEB">
        <w:rPr>
          <w:szCs w:val="20"/>
        </w:rPr>
        <w:t xml:space="preserve">) </w:t>
      </w:r>
      <w:r w:rsidR="00DF5506" w:rsidRPr="001A0DEB">
        <w:rPr>
          <w:szCs w:val="20"/>
        </w:rPr>
        <w:tab/>
      </w:r>
      <w:r w:rsidR="00DF5506" w:rsidRPr="001A0DEB">
        <w:rPr>
          <w:szCs w:val="20"/>
        </w:rPr>
        <w:tab/>
      </w:r>
      <w:r w:rsidR="00DF5506" w:rsidRPr="001A0DEB">
        <w:rPr>
          <w:szCs w:val="20"/>
        </w:rPr>
        <w:tab/>
      </w:r>
      <w:r w:rsidR="00DF5506" w:rsidRPr="001A0DEB">
        <w:rPr>
          <w:szCs w:val="20"/>
        </w:rPr>
        <w:tab/>
      </w:r>
      <w:r w:rsidR="00DF5506" w:rsidRPr="001A0DEB">
        <w:rPr>
          <w:szCs w:val="20"/>
        </w:rPr>
        <w:tab/>
      </w:r>
      <w:r w:rsidRPr="001A0DEB">
        <w:rPr>
          <w:szCs w:val="20"/>
        </w:rPr>
        <w:t>Yes/No</w:t>
      </w:r>
    </w:p>
    <w:p w14:paraId="209E31C7" w14:textId="77777777" w:rsidR="00A43AFF" w:rsidRPr="001A0DEB" w:rsidRDefault="009F431A" w:rsidP="00A43AFF">
      <w:pPr>
        <w:rPr>
          <w:szCs w:val="20"/>
        </w:rPr>
      </w:pPr>
      <w:r>
        <w:rPr>
          <w:szCs w:val="20"/>
        </w:rPr>
        <w:pict w14:anchorId="209E3205">
          <v:rect id="_x0000_i1027" style="width:0;height:1.5pt" o:hralign="center" o:hrstd="t" o:hr="t"/>
        </w:pict>
      </w:r>
    </w:p>
    <w:p w14:paraId="209E31C8" w14:textId="77777777" w:rsidR="00A43AFF" w:rsidRPr="001A0DEB" w:rsidRDefault="00A43AFF" w:rsidP="00A43AFF">
      <w:pPr>
        <w:pStyle w:val="FirstParagraph"/>
        <w:rPr>
          <w:color w:val="373737"/>
          <w:sz w:val="20"/>
          <w:szCs w:val="20"/>
        </w:rPr>
      </w:pPr>
      <w:r w:rsidRPr="001A0DEB">
        <w:rPr>
          <w:color w:val="373737"/>
          <w:sz w:val="20"/>
          <w:szCs w:val="20"/>
        </w:rPr>
        <w:t>Seeking finance to introduce new or improved goods, services, processes or methods</w:t>
      </w:r>
    </w:p>
    <w:p w14:paraId="209E31C9" w14:textId="63AA27A6" w:rsidR="00A43AFF" w:rsidRPr="001A0DEB" w:rsidRDefault="00A43AFF" w:rsidP="00A43AFF">
      <w:pPr>
        <w:pStyle w:val="BodyText"/>
        <w:rPr>
          <w:szCs w:val="20"/>
        </w:rPr>
      </w:pPr>
      <w:r w:rsidRPr="001A0DEB">
        <w:rPr>
          <w:szCs w:val="20"/>
        </w:rPr>
        <w:t>(</w:t>
      </w:r>
      <m:oMath>
        <m:r>
          <w:rPr>
            <w:rFonts w:ascii="Cambria Math" w:hAnsi="Cambria Math"/>
            <w:szCs w:val="20"/>
          </w:rPr>
          <m:t>finnewgo</m:t>
        </m:r>
      </m:oMath>
      <w:r w:rsidRPr="001A0DEB">
        <w:rPr>
          <w:szCs w:val="20"/>
        </w:rPr>
        <w:t xml:space="preserve">) </w:t>
      </w:r>
      <w:r w:rsidR="00DF5506" w:rsidRPr="001A0DEB">
        <w:rPr>
          <w:szCs w:val="20"/>
        </w:rPr>
        <w:tab/>
      </w:r>
      <w:r w:rsidR="00DF5506" w:rsidRPr="001A0DEB">
        <w:rPr>
          <w:szCs w:val="20"/>
        </w:rPr>
        <w:tab/>
      </w:r>
      <w:r w:rsidR="00DF5506" w:rsidRPr="001A0DEB">
        <w:rPr>
          <w:szCs w:val="20"/>
        </w:rPr>
        <w:tab/>
      </w:r>
      <w:r w:rsidR="00DF5506" w:rsidRPr="001A0DEB">
        <w:rPr>
          <w:szCs w:val="20"/>
        </w:rPr>
        <w:tab/>
      </w:r>
      <w:r w:rsidR="00DF5506" w:rsidRPr="001A0DEB">
        <w:rPr>
          <w:szCs w:val="20"/>
        </w:rPr>
        <w:tab/>
      </w:r>
      <w:r w:rsidR="00DF5506" w:rsidRPr="001A0DEB">
        <w:rPr>
          <w:szCs w:val="20"/>
        </w:rPr>
        <w:tab/>
      </w:r>
      <w:r w:rsidR="00DF5506" w:rsidRPr="001A0DEB">
        <w:rPr>
          <w:szCs w:val="20"/>
        </w:rPr>
        <w:tab/>
      </w:r>
      <w:r w:rsidRPr="001A0DEB">
        <w:rPr>
          <w:szCs w:val="20"/>
        </w:rPr>
        <w:t>Yes/No</w:t>
      </w:r>
    </w:p>
    <w:p w14:paraId="209E31CA" w14:textId="77777777" w:rsidR="00A43AFF" w:rsidRPr="001A0DEB" w:rsidRDefault="009F431A" w:rsidP="00A43AFF">
      <w:pPr>
        <w:rPr>
          <w:szCs w:val="20"/>
        </w:rPr>
      </w:pPr>
      <w:r>
        <w:rPr>
          <w:szCs w:val="20"/>
        </w:rPr>
        <w:pict w14:anchorId="209E3206">
          <v:rect id="_x0000_i1028" style="width:0;height:1.5pt" o:hralign="center" o:hrstd="t" o:hr="t"/>
        </w:pict>
      </w:r>
    </w:p>
    <w:p w14:paraId="209E31CB" w14:textId="6C2228AD" w:rsidR="00A43AFF" w:rsidRPr="001A0DEB" w:rsidRDefault="00A43AFF" w:rsidP="00A43AFF">
      <w:pPr>
        <w:pStyle w:val="FirstParagraph"/>
        <w:rPr>
          <w:color w:val="373737"/>
          <w:sz w:val="20"/>
          <w:szCs w:val="20"/>
        </w:rPr>
      </w:pPr>
      <w:r w:rsidRPr="001A0DEB">
        <w:rPr>
          <w:color w:val="373737"/>
          <w:sz w:val="20"/>
          <w:szCs w:val="20"/>
        </w:rPr>
        <w:t>Business focus is on innovation measures (</w:t>
      </w:r>
      <m:oMath>
        <m:r>
          <w:rPr>
            <w:rFonts w:ascii="Cambria Math" w:hAnsi="Cambria Math"/>
            <w:color w:val="373737"/>
            <w:sz w:val="20"/>
            <w:szCs w:val="20"/>
          </w:rPr>
          <m:t>assinn</m:t>
        </m:r>
      </m:oMath>
      <w:r w:rsidRPr="001A0DEB">
        <w:rPr>
          <w:color w:val="373737"/>
          <w:sz w:val="20"/>
          <w:szCs w:val="20"/>
        </w:rPr>
        <w:t xml:space="preserve">) </w:t>
      </w:r>
      <w:r w:rsidR="00DF5506" w:rsidRPr="001A0DEB">
        <w:rPr>
          <w:color w:val="373737"/>
          <w:sz w:val="20"/>
          <w:szCs w:val="20"/>
        </w:rPr>
        <w:tab/>
      </w:r>
      <w:r w:rsidR="00DF5506" w:rsidRPr="001A0DEB">
        <w:rPr>
          <w:color w:val="373737"/>
          <w:sz w:val="20"/>
          <w:szCs w:val="20"/>
        </w:rPr>
        <w:tab/>
      </w:r>
      <w:r w:rsidRPr="001A0DEB">
        <w:rPr>
          <w:color w:val="373737"/>
          <w:sz w:val="20"/>
          <w:szCs w:val="20"/>
        </w:rPr>
        <w:t>Yes/No</w:t>
      </w:r>
    </w:p>
    <w:p w14:paraId="209E31CC" w14:textId="77777777" w:rsidR="00A43AFF" w:rsidRPr="001A0DEB" w:rsidRDefault="009F431A" w:rsidP="00A43AFF">
      <w:pPr>
        <w:rPr>
          <w:szCs w:val="20"/>
        </w:rPr>
      </w:pPr>
      <w:r>
        <w:rPr>
          <w:szCs w:val="20"/>
        </w:rPr>
        <w:pict w14:anchorId="209E3207">
          <v:rect id="_x0000_i1029" style="width:0;height:1.5pt" o:hralign="center" o:hrstd="t" o:hr="t"/>
        </w:pict>
      </w:r>
    </w:p>
    <w:p w14:paraId="209E31CD" w14:textId="77777777" w:rsidR="00A43AFF" w:rsidRPr="001A0DEB" w:rsidRDefault="00A43AFF" w:rsidP="00A43AFF">
      <w:pPr>
        <w:pStyle w:val="FirstParagraph"/>
        <w:rPr>
          <w:color w:val="373737"/>
          <w:sz w:val="20"/>
          <w:szCs w:val="20"/>
        </w:rPr>
      </w:pPr>
      <w:r w:rsidRPr="001A0DEB">
        <w:rPr>
          <w:color w:val="373737"/>
          <w:sz w:val="20"/>
          <w:szCs w:val="20"/>
        </w:rPr>
        <w:t>Received any financial assistance from Australian government organisations:</w:t>
      </w:r>
    </w:p>
    <w:p w14:paraId="209E31CE" w14:textId="75932D86" w:rsidR="00A43AFF" w:rsidRPr="001A0DEB" w:rsidRDefault="00A43AFF" w:rsidP="00A43AFF">
      <w:pPr>
        <w:pStyle w:val="BodyText"/>
        <w:rPr>
          <w:szCs w:val="20"/>
        </w:rPr>
      </w:pPr>
      <w:r w:rsidRPr="001A0DEB">
        <w:rPr>
          <w:szCs w:val="20"/>
        </w:rPr>
        <w:t>  Grants (</w:t>
      </w:r>
      <m:oMath>
        <m:r>
          <w:rPr>
            <w:rFonts w:ascii="Cambria Math" w:hAnsi="Cambria Math"/>
            <w:szCs w:val="20"/>
          </w:rPr>
          <m:t>finasgra</m:t>
        </m:r>
      </m:oMath>
      <w:r w:rsidRPr="001A0DEB">
        <w:rPr>
          <w:szCs w:val="20"/>
        </w:rPr>
        <w:t xml:space="preserve">) </w:t>
      </w:r>
      <w:r w:rsidR="00DF5506" w:rsidRPr="001A0DEB">
        <w:rPr>
          <w:szCs w:val="20"/>
        </w:rPr>
        <w:tab/>
      </w:r>
      <w:r w:rsidR="00DF5506" w:rsidRPr="001A0DEB">
        <w:rPr>
          <w:szCs w:val="20"/>
        </w:rPr>
        <w:tab/>
      </w:r>
      <w:r w:rsidR="00DF5506" w:rsidRPr="001A0DEB">
        <w:rPr>
          <w:szCs w:val="20"/>
        </w:rPr>
        <w:tab/>
      </w:r>
      <w:r w:rsidR="00DF5506" w:rsidRPr="001A0DEB">
        <w:rPr>
          <w:szCs w:val="20"/>
        </w:rPr>
        <w:tab/>
      </w:r>
      <w:r w:rsidR="00DF5506" w:rsidRPr="001A0DEB">
        <w:rPr>
          <w:szCs w:val="20"/>
        </w:rPr>
        <w:tab/>
      </w:r>
      <w:r w:rsidR="00DF5506" w:rsidRPr="001A0DEB">
        <w:rPr>
          <w:szCs w:val="20"/>
        </w:rPr>
        <w:tab/>
      </w:r>
      <w:r w:rsidRPr="001A0DEB">
        <w:rPr>
          <w:szCs w:val="20"/>
        </w:rPr>
        <w:t>Yes/No</w:t>
      </w:r>
    </w:p>
    <w:p w14:paraId="209E31CF" w14:textId="374ED008" w:rsidR="00A43AFF" w:rsidRPr="001A0DEB" w:rsidRDefault="00A43AFF" w:rsidP="00A43AFF">
      <w:pPr>
        <w:pStyle w:val="BodyText"/>
        <w:rPr>
          <w:szCs w:val="20"/>
        </w:rPr>
      </w:pPr>
      <w:r w:rsidRPr="001A0DEB">
        <w:rPr>
          <w:szCs w:val="20"/>
        </w:rPr>
        <w:t>  on-going funding (</w:t>
      </w:r>
      <m:oMath>
        <m:r>
          <w:rPr>
            <w:rFonts w:ascii="Cambria Math" w:hAnsi="Cambria Math"/>
            <w:szCs w:val="20"/>
          </w:rPr>
          <m:t>finasong</m:t>
        </m:r>
      </m:oMath>
      <w:r w:rsidRPr="001A0DEB">
        <w:rPr>
          <w:szCs w:val="20"/>
        </w:rPr>
        <w:t xml:space="preserve">) </w:t>
      </w:r>
      <w:r w:rsidR="00DF5506" w:rsidRPr="001A0DEB">
        <w:rPr>
          <w:szCs w:val="20"/>
        </w:rPr>
        <w:tab/>
      </w:r>
      <w:r w:rsidR="00DF5506" w:rsidRPr="001A0DEB">
        <w:rPr>
          <w:szCs w:val="20"/>
        </w:rPr>
        <w:tab/>
      </w:r>
      <w:r w:rsidR="00DF5506" w:rsidRPr="001A0DEB">
        <w:rPr>
          <w:szCs w:val="20"/>
        </w:rPr>
        <w:tab/>
      </w:r>
      <w:r w:rsidR="00DF5506" w:rsidRPr="001A0DEB">
        <w:rPr>
          <w:szCs w:val="20"/>
        </w:rPr>
        <w:tab/>
      </w:r>
      <w:r w:rsidR="00DF5506" w:rsidRPr="001A0DEB">
        <w:rPr>
          <w:szCs w:val="20"/>
        </w:rPr>
        <w:tab/>
      </w:r>
      <w:r w:rsidRPr="001A0DEB">
        <w:rPr>
          <w:szCs w:val="20"/>
        </w:rPr>
        <w:t>Yes/No</w:t>
      </w:r>
    </w:p>
    <w:p w14:paraId="209E31D0" w14:textId="1C8C6527" w:rsidR="00A43AFF" w:rsidRPr="001A0DEB" w:rsidRDefault="00A43AFF" w:rsidP="00A43AFF">
      <w:pPr>
        <w:pStyle w:val="BodyText"/>
        <w:rPr>
          <w:szCs w:val="20"/>
        </w:rPr>
      </w:pPr>
      <w:r w:rsidRPr="001A0DEB">
        <w:rPr>
          <w:szCs w:val="20"/>
        </w:rPr>
        <w:t>  Subsidies (</w:t>
      </w:r>
      <m:oMath>
        <m:r>
          <w:rPr>
            <w:rFonts w:ascii="Cambria Math" w:hAnsi="Cambria Math"/>
            <w:szCs w:val="20"/>
          </w:rPr>
          <m:t>finassub</m:t>
        </m:r>
      </m:oMath>
      <w:r w:rsidRPr="001A0DEB">
        <w:rPr>
          <w:szCs w:val="20"/>
        </w:rPr>
        <w:t xml:space="preserve">) </w:t>
      </w:r>
      <w:r w:rsidR="00DF5506" w:rsidRPr="001A0DEB">
        <w:rPr>
          <w:szCs w:val="20"/>
        </w:rPr>
        <w:tab/>
      </w:r>
      <w:r w:rsidR="00DF5506" w:rsidRPr="001A0DEB">
        <w:rPr>
          <w:szCs w:val="20"/>
        </w:rPr>
        <w:tab/>
      </w:r>
      <w:r w:rsidR="00DF5506" w:rsidRPr="001A0DEB">
        <w:rPr>
          <w:szCs w:val="20"/>
        </w:rPr>
        <w:tab/>
      </w:r>
      <w:r w:rsidR="00DF5506" w:rsidRPr="001A0DEB">
        <w:rPr>
          <w:szCs w:val="20"/>
        </w:rPr>
        <w:tab/>
      </w:r>
      <w:r w:rsidR="00DF5506" w:rsidRPr="001A0DEB">
        <w:rPr>
          <w:szCs w:val="20"/>
        </w:rPr>
        <w:tab/>
      </w:r>
      <w:r w:rsidR="00DF5506" w:rsidRPr="001A0DEB">
        <w:rPr>
          <w:szCs w:val="20"/>
        </w:rPr>
        <w:tab/>
      </w:r>
      <w:r w:rsidRPr="001A0DEB">
        <w:rPr>
          <w:szCs w:val="20"/>
        </w:rPr>
        <w:t>Yes/No</w:t>
      </w:r>
    </w:p>
    <w:p w14:paraId="209E31D1" w14:textId="3D2DA640" w:rsidR="00A43AFF" w:rsidRPr="001A0DEB" w:rsidRDefault="00A43AFF" w:rsidP="00A43AFF">
      <w:pPr>
        <w:pStyle w:val="BodyText"/>
        <w:rPr>
          <w:szCs w:val="20"/>
        </w:rPr>
      </w:pPr>
      <w:r w:rsidRPr="001A0DEB">
        <w:rPr>
          <w:szCs w:val="20"/>
        </w:rPr>
        <w:t>  Tax concessions (</w:t>
      </w:r>
      <m:oMath>
        <m:r>
          <w:rPr>
            <w:rFonts w:ascii="Cambria Math" w:hAnsi="Cambria Math"/>
            <w:szCs w:val="20"/>
          </w:rPr>
          <m:t>finastax</m:t>
        </m:r>
      </m:oMath>
      <w:r w:rsidRPr="001A0DEB">
        <w:rPr>
          <w:szCs w:val="20"/>
        </w:rPr>
        <w:t xml:space="preserve">) </w:t>
      </w:r>
      <w:r w:rsidR="00DF5506" w:rsidRPr="001A0DEB">
        <w:rPr>
          <w:szCs w:val="20"/>
        </w:rPr>
        <w:tab/>
      </w:r>
      <w:r w:rsidR="00DF5506" w:rsidRPr="001A0DEB">
        <w:rPr>
          <w:szCs w:val="20"/>
        </w:rPr>
        <w:tab/>
      </w:r>
      <w:r w:rsidR="00DF5506" w:rsidRPr="001A0DEB">
        <w:rPr>
          <w:szCs w:val="20"/>
        </w:rPr>
        <w:tab/>
      </w:r>
      <w:r w:rsidR="00DF5506" w:rsidRPr="001A0DEB">
        <w:rPr>
          <w:szCs w:val="20"/>
        </w:rPr>
        <w:tab/>
      </w:r>
      <w:r w:rsidR="00DF5506" w:rsidRPr="001A0DEB">
        <w:rPr>
          <w:szCs w:val="20"/>
        </w:rPr>
        <w:tab/>
      </w:r>
      <w:r w:rsidRPr="001A0DEB">
        <w:rPr>
          <w:szCs w:val="20"/>
        </w:rPr>
        <w:t>Yes/No</w:t>
      </w:r>
    </w:p>
    <w:p w14:paraId="209E31D2" w14:textId="57E82BE7" w:rsidR="00A43AFF" w:rsidRPr="001A0DEB" w:rsidRDefault="00A43AFF" w:rsidP="00A43AFF">
      <w:pPr>
        <w:pStyle w:val="BodyText"/>
        <w:rPr>
          <w:szCs w:val="20"/>
        </w:rPr>
      </w:pPr>
      <w:r w:rsidRPr="001A0DEB">
        <w:rPr>
          <w:szCs w:val="20"/>
        </w:rPr>
        <w:t>  Rebates (</w:t>
      </w:r>
      <m:oMath>
        <m:r>
          <w:rPr>
            <w:rFonts w:ascii="Cambria Math" w:hAnsi="Cambria Math"/>
            <w:szCs w:val="20"/>
          </w:rPr>
          <m:t>finasreb</m:t>
        </m:r>
      </m:oMath>
      <w:r w:rsidRPr="001A0DEB">
        <w:rPr>
          <w:szCs w:val="20"/>
        </w:rPr>
        <w:t xml:space="preserve">) </w:t>
      </w:r>
      <w:r w:rsidR="00DF5506" w:rsidRPr="001A0DEB">
        <w:rPr>
          <w:szCs w:val="20"/>
        </w:rPr>
        <w:tab/>
      </w:r>
      <w:r w:rsidR="00DF5506" w:rsidRPr="001A0DEB">
        <w:rPr>
          <w:szCs w:val="20"/>
        </w:rPr>
        <w:tab/>
      </w:r>
      <w:r w:rsidR="00DF5506" w:rsidRPr="001A0DEB">
        <w:rPr>
          <w:szCs w:val="20"/>
        </w:rPr>
        <w:tab/>
      </w:r>
      <w:r w:rsidR="00DF5506" w:rsidRPr="001A0DEB">
        <w:rPr>
          <w:szCs w:val="20"/>
        </w:rPr>
        <w:tab/>
      </w:r>
      <w:r w:rsidR="00DF5506" w:rsidRPr="001A0DEB">
        <w:rPr>
          <w:szCs w:val="20"/>
        </w:rPr>
        <w:tab/>
      </w:r>
      <w:r w:rsidR="00DF5506" w:rsidRPr="001A0DEB">
        <w:rPr>
          <w:szCs w:val="20"/>
        </w:rPr>
        <w:tab/>
      </w:r>
      <w:r w:rsidRPr="001A0DEB">
        <w:rPr>
          <w:szCs w:val="20"/>
        </w:rPr>
        <w:t>Yes/No</w:t>
      </w:r>
    </w:p>
    <w:p w14:paraId="209E31D3" w14:textId="02FA72B1" w:rsidR="00A43AFF" w:rsidRPr="001A0DEB" w:rsidRDefault="00A43AFF" w:rsidP="00A43AFF">
      <w:pPr>
        <w:pStyle w:val="BodyText"/>
        <w:rPr>
          <w:szCs w:val="20"/>
        </w:rPr>
      </w:pPr>
      <w:r w:rsidRPr="001A0DEB">
        <w:rPr>
          <w:szCs w:val="20"/>
        </w:rPr>
        <w:t>  Other (</w:t>
      </w:r>
      <m:oMath>
        <m:r>
          <w:rPr>
            <w:rFonts w:ascii="Cambria Math" w:hAnsi="Cambria Math"/>
            <w:szCs w:val="20"/>
          </w:rPr>
          <m:t>finasoth</m:t>
        </m:r>
      </m:oMath>
      <w:r w:rsidRPr="001A0DEB">
        <w:rPr>
          <w:szCs w:val="20"/>
        </w:rPr>
        <w:t xml:space="preserve">) </w:t>
      </w:r>
      <w:r w:rsidR="00DF5506" w:rsidRPr="001A0DEB">
        <w:rPr>
          <w:szCs w:val="20"/>
        </w:rPr>
        <w:tab/>
      </w:r>
      <w:r w:rsidR="00DF5506" w:rsidRPr="001A0DEB">
        <w:rPr>
          <w:szCs w:val="20"/>
        </w:rPr>
        <w:tab/>
      </w:r>
      <w:r w:rsidR="00DF5506" w:rsidRPr="001A0DEB">
        <w:rPr>
          <w:szCs w:val="20"/>
        </w:rPr>
        <w:tab/>
      </w:r>
      <w:r w:rsidR="00DF5506" w:rsidRPr="001A0DEB">
        <w:rPr>
          <w:szCs w:val="20"/>
        </w:rPr>
        <w:tab/>
      </w:r>
      <w:r w:rsidR="00DF5506" w:rsidRPr="001A0DEB">
        <w:rPr>
          <w:szCs w:val="20"/>
        </w:rPr>
        <w:tab/>
      </w:r>
      <w:r w:rsidR="00DF5506" w:rsidRPr="001A0DEB">
        <w:rPr>
          <w:szCs w:val="20"/>
        </w:rPr>
        <w:tab/>
      </w:r>
      <w:r w:rsidRPr="001A0DEB">
        <w:rPr>
          <w:szCs w:val="20"/>
        </w:rPr>
        <w:t>Yes/No</w:t>
      </w:r>
    </w:p>
    <w:p w14:paraId="209E31D4" w14:textId="72A72EF2" w:rsidR="00A43AFF" w:rsidRPr="001A0DEB" w:rsidRDefault="00A43AFF" w:rsidP="00A43AFF">
      <w:pPr>
        <w:pStyle w:val="BodyText"/>
        <w:rPr>
          <w:szCs w:val="20"/>
        </w:rPr>
      </w:pPr>
      <w:r w:rsidRPr="001A0DEB">
        <w:rPr>
          <w:szCs w:val="20"/>
        </w:rPr>
        <w:t>  None (</w:t>
      </w:r>
      <m:oMath>
        <m:r>
          <w:rPr>
            <w:rFonts w:ascii="Cambria Math" w:hAnsi="Cambria Math"/>
            <w:szCs w:val="20"/>
          </w:rPr>
          <m:t>finasist</m:t>
        </m:r>
      </m:oMath>
      <w:r w:rsidRPr="001A0DEB">
        <w:rPr>
          <w:szCs w:val="20"/>
        </w:rPr>
        <w:t xml:space="preserve">) </w:t>
      </w:r>
      <w:r w:rsidR="00DF5506" w:rsidRPr="001A0DEB">
        <w:rPr>
          <w:szCs w:val="20"/>
        </w:rPr>
        <w:tab/>
      </w:r>
      <w:r w:rsidR="00DF5506" w:rsidRPr="001A0DEB">
        <w:rPr>
          <w:szCs w:val="20"/>
        </w:rPr>
        <w:tab/>
      </w:r>
      <w:r w:rsidR="00DF5506" w:rsidRPr="001A0DEB">
        <w:rPr>
          <w:szCs w:val="20"/>
        </w:rPr>
        <w:tab/>
      </w:r>
      <w:r w:rsidR="00DF5506" w:rsidRPr="001A0DEB">
        <w:rPr>
          <w:szCs w:val="20"/>
        </w:rPr>
        <w:tab/>
      </w:r>
      <w:r w:rsidR="00DF5506" w:rsidRPr="001A0DEB">
        <w:rPr>
          <w:szCs w:val="20"/>
        </w:rPr>
        <w:tab/>
      </w:r>
      <w:r w:rsidR="00DF5506" w:rsidRPr="001A0DEB">
        <w:rPr>
          <w:szCs w:val="20"/>
        </w:rPr>
        <w:tab/>
      </w:r>
      <w:r w:rsidRPr="001A0DEB">
        <w:rPr>
          <w:szCs w:val="20"/>
        </w:rPr>
        <w:t>Yes/No</w:t>
      </w:r>
    </w:p>
    <w:p w14:paraId="209E31D5" w14:textId="77777777" w:rsidR="00A43AFF" w:rsidRPr="001A0DEB" w:rsidRDefault="009F431A" w:rsidP="00A43AFF">
      <w:pPr>
        <w:rPr>
          <w:szCs w:val="20"/>
        </w:rPr>
      </w:pPr>
      <w:r>
        <w:rPr>
          <w:szCs w:val="20"/>
        </w:rPr>
        <w:pict w14:anchorId="209E3208">
          <v:rect id="_x0000_i1030" style="width:0;height:1.5pt" o:hralign="center" o:hrstd="t" o:hr="t"/>
        </w:pict>
      </w:r>
    </w:p>
    <w:p w14:paraId="209E31D6" w14:textId="77777777" w:rsidR="00A43AFF" w:rsidRPr="001A0DEB" w:rsidRDefault="00A43AFF" w:rsidP="00A43AFF">
      <w:pPr>
        <w:pStyle w:val="FirstParagraph"/>
        <w:rPr>
          <w:color w:val="373737"/>
          <w:sz w:val="20"/>
          <w:szCs w:val="20"/>
        </w:rPr>
      </w:pPr>
      <w:r w:rsidRPr="001A0DEB">
        <w:rPr>
          <w:color w:val="373737"/>
          <w:sz w:val="20"/>
          <w:szCs w:val="20"/>
        </w:rPr>
        <w:t>Did not abandoned</w:t>
      </w:r>
      <w:r w:rsidR="007F1DB1" w:rsidRPr="001A0DEB">
        <w:rPr>
          <w:color w:val="373737"/>
          <w:sz w:val="20"/>
          <w:szCs w:val="20"/>
        </w:rPr>
        <w:t xml:space="preserve"> development of goods, services</w:t>
      </w:r>
      <w:r w:rsidRPr="001A0DEB">
        <w:rPr>
          <w:color w:val="373737"/>
          <w:sz w:val="20"/>
          <w:szCs w:val="20"/>
        </w:rPr>
        <w:t>, operational/managerial processes, or marketing methods (</w:t>
      </w:r>
      <m:oMath>
        <m:r>
          <w:rPr>
            <w:rFonts w:ascii="Cambria Math" w:hAnsi="Cambria Math"/>
            <w:color w:val="373737"/>
            <w:sz w:val="20"/>
            <w:szCs w:val="20"/>
          </w:rPr>
          <m:t>abandnon</m:t>
        </m:r>
      </m:oMath>
      <w:r w:rsidRPr="001A0DEB">
        <w:rPr>
          <w:color w:val="373737"/>
          <w:sz w:val="20"/>
          <w:szCs w:val="20"/>
        </w:rPr>
        <w:t>) Yes/No</w:t>
      </w:r>
    </w:p>
    <w:p w14:paraId="209E31D7" w14:textId="77777777" w:rsidR="00A43AFF" w:rsidRPr="001A0DEB" w:rsidRDefault="009F431A" w:rsidP="00A43AFF">
      <w:pPr>
        <w:rPr>
          <w:szCs w:val="20"/>
        </w:rPr>
      </w:pPr>
      <w:r>
        <w:rPr>
          <w:szCs w:val="20"/>
        </w:rPr>
        <w:lastRenderedPageBreak/>
        <w:pict w14:anchorId="209E3209">
          <v:rect id="_x0000_i1031" style="width:0;height:1.5pt" o:hralign="center" o:hrstd="t" o:hr="t"/>
        </w:pict>
      </w:r>
    </w:p>
    <w:p w14:paraId="209E31D8" w14:textId="17CB5693" w:rsidR="00A43AFF" w:rsidRPr="001A0DEB" w:rsidRDefault="00A43AFF" w:rsidP="00A43AFF">
      <w:pPr>
        <w:pStyle w:val="FirstParagraph"/>
        <w:rPr>
          <w:color w:val="373737"/>
          <w:sz w:val="20"/>
          <w:szCs w:val="20"/>
        </w:rPr>
      </w:pPr>
      <w:r w:rsidRPr="001A0DEB">
        <w:rPr>
          <w:color w:val="373737"/>
          <w:sz w:val="20"/>
          <w:szCs w:val="20"/>
        </w:rPr>
        <w:t>Factors significantly hampering innovation (lack of funds, skills, knowledge, or costs, regulation, etc.): None (</w:t>
      </w:r>
      <m:oMath>
        <m:r>
          <w:rPr>
            <w:rFonts w:ascii="Cambria Math" w:hAnsi="Cambria Math"/>
            <w:color w:val="373737"/>
            <w:sz w:val="20"/>
            <w:szCs w:val="20"/>
          </w:rPr>
          <m:t>hampgnon</m:t>
        </m:r>
      </m:oMath>
      <w:r w:rsidRPr="001A0DEB">
        <w:rPr>
          <w:color w:val="373737"/>
          <w:sz w:val="20"/>
          <w:szCs w:val="20"/>
        </w:rPr>
        <w:t xml:space="preserve">) </w:t>
      </w:r>
      <w:r w:rsidR="006D61E5" w:rsidRPr="001A0DEB">
        <w:rPr>
          <w:color w:val="373737"/>
          <w:sz w:val="20"/>
          <w:szCs w:val="20"/>
        </w:rPr>
        <w:tab/>
      </w:r>
      <w:r w:rsidR="006D61E5" w:rsidRPr="001A0DEB">
        <w:rPr>
          <w:color w:val="373737"/>
          <w:sz w:val="20"/>
          <w:szCs w:val="20"/>
        </w:rPr>
        <w:tab/>
      </w:r>
      <w:r w:rsidR="006D61E5" w:rsidRPr="001A0DEB">
        <w:rPr>
          <w:color w:val="373737"/>
          <w:sz w:val="20"/>
          <w:szCs w:val="20"/>
        </w:rPr>
        <w:tab/>
      </w:r>
      <w:r w:rsidRPr="001A0DEB">
        <w:rPr>
          <w:color w:val="373737"/>
          <w:sz w:val="20"/>
          <w:szCs w:val="20"/>
        </w:rPr>
        <w:t>Yes/No</w:t>
      </w:r>
    </w:p>
    <w:p w14:paraId="209E31D9" w14:textId="2455D8FE" w:rsidR="00A43AFF" w:rsidRPr="001A0DEB" w:rsidRDefault="00A43AFF" w:rsidP="00A43AFF">
      <w:pPr>
        <w:pStyle w:val="BodyText"/>
        <w:rPr>
          <w:szCs w:val="20"/>
        </w:rPr>
      </w:pPr>
      <w:r w:rsidRPr="001A0DEB">
        <w:rPr>
          <w:szCs w:val="20"/>
        </w:rPr>
        <w:t>Factors significantly hampering other business activities (lack of funds, skills, demand, or costs, regulations etc.): None (</w:t>
      </w:r>
      <m:oMath>
        <m:r>
          <w:rPr>
            <w:rFonts w:ascii="Cambria Math" w:hAnsi="Cambria Math"/>
            <w:szCs w:val="20"/>
          </w:rPr>
          <m:t>hamponon</m:t>
        </m:r>
      </m:oMath>
      <w:r w:rsidRPr="001A0DEB">
        <w:rPr>
          <w:szCs w:val="20"/>
        </w:rPr>
        <w:t xml:space="preserve">) </w:t>
      </w:r>
      <w:r w:rsidR="006D61E5" w:rsidRPr="001A0DEB">
        <w:rPr>
          <w:szCs w:val="20"/>
        </w:rPr>
        <w:tab/>
      </w:r>
      <w:r w:rsidR="006D61E5" w:rsidRPr="001A0DEB">
        <w:rPr>
          <w:szCs w:val="20"/>
        </w:rPr>
        <w:tab/>
      </w:r>
      <w:r w:rsidRPr="001A0DEB">
        <w:rPr>
          <w:szCs w:val="20"/>
        </w:rPr>
        <w:t>Yes/No</w:t>
      </w:r>
    </w:p>
    <w:p w14:paraId="209E31DA" w14:textId="77777777" w:rsidR="00A43AFF" w:rsidRPr="001A0DEB" w:rsidRDefault="009F431A" w:rsidP="00A43AFF">
      <w:pPr>
        <w:rPr>
          <w:szCs w:val="20"/>
        </w:rPr>
      </w:pPr>
      <w:r>
        <w:rPr>
          <w:szCs w:val="20"/>
        </w:rPr>
        <w:pict w14:anchorId="209E320A">
          <v:rect id="_x0000_i1032" style="width:0;height:1.5pt" o:hralign="center" o:hrstd="t" o:hr="t"/>
        </w:pict>
      </w:r>
    </w:p>
    <w:p w14:paraId="209E31DB" w14:textId="77777777" w:rsidR="00A43AFF" w:rsidRPr="001A0DEB" w:rsidRDefault="00A43AFF" w:rsidP="00A43AFF">
      <w:pPr>
        <w:pStyle w:val="FirstParagraph"/>
        <w:rPr>
          <w:color w:val="373737"/>
          <w:sz w:val="20"/>
          <w:szCs w:val="20"/>
        </w:rPr>
      </w:pPr>
      <w:r w:rsidRPr="001A0DEB">
        <w:rPr>
          <w:color w:val="373737"/>
          <w:sz w:val="20"/>
          <w:szCs w:val="20"/>
        </w:rPr>
        <w:t>Years of operation regardless of change in ownership (</w:t>
      </w:r>
      <m:oMath>
        <m:r>
          <w:rPr>
            <w:rFonts w:ascii="Cambria Math" w:hAnsi="Cambria Math"/>
            <w:color w:val="373737"/>
            <w:sz w:val="20"/>
            <w:szCs w:val="20"/>
          </w:rPr>
          <m:t>busopyr</m:t>
        </m:r>
      </m:oMath>
      <w:r w:rsidRPr="001A0DEB">
        <w:rPr>
          <w:color w:val="373737"/>
          <w:sz w:val="20"/>
          <w:szCs w:val="20"/>
        </w:rPr>
        <w:t>) Number</w:t>
      </w:r>
    </w:p>
    <w:p w14:paraId="209E31DC" w14:textId="77777777" w:rsidR="00A43AFF" w:rsidRPr="001A0DEB" w:rsidRDefault="009F431A" w:rsidP="00A43AFF">
      <w:pPr>
        <w:rPr>
          <w:szCs w:val="20"/>
        </w:rPr>
      </w:pPr>
      <w:r>
        <w:rPr>
          <w:szCs w:val="20"/>
        </w:rPr>
        <w:pict w14:anchorId="209E320B">
          <v:rect id="_x0000_i1033" style="width:0;height:1.5pt" o:hralign="center" o:hrstd="t" o:hr="t"/>
        </w:pict>
      </w:r>
    </w:p>
    <w:p w14:paraId="209E31DD" w14:textId="528B46FC" w:rsidR="00A43AFF" w:rsidRPr="001A0DEB" w:rsidRDefault="00A43AFF" w:rsidP="00A43AFF">
      <w:pPr>
        <w:pStyle w:val="FirstParagraph"/>
        <w:rPr>
          <w:color w:val="373737"/>
          <w:sz w:val="20"/>
          <w:szCs w:val="20"/>
        </w:rPr>
      </w:pPr>
      <w:r w:rsidRPr="001A0DEB">
        <w:rPr>
          <w:color w:val="373737"/>
          <w:sz w:val="20"/>
          <w:szCs w:val="20"/>
        </w:rPr>
        <w:t>Income from exporting goods (</w:t>
      </w:r>
      <m:oMath>
        <m:r>
          <w:rPr>
            <w:rFonts w:ascii="Cambria Math" w:hAnsi="Cambria Math"/>
            <w:color w:val="373737"/>
            <w:sz w:val="20"/>
            <w:szCs w:val="20"/>
          </w:rPr>
          <m:t>incexpgs</m:t>
        </m:r>
      </m:oMath>
      <w:r w:rsidRPr="001A0DEB">
        <w:rPr>
          <w:color w:val="373737"/>
          <w:sz w:val="20"/>
          <w:szCs w:val="20"/>
        </w:rPr>
        <w:t xml:space="preserve">) </w:t>
      </w:r>
      <w:r w:rsidR="006D61E5" w:rsidRPr="001A0DEB">
        <w:rPr>
          <w:color w:val="373737"/>
          <w:sz w:val="20"/>
          <w:szCs w:val="20"/>
        </w:rPr>
        <w:tab/>
      </w:r>
      <w:r w:rsidR="006D61E5" w:rsidRPr="001A0DEB">
        <w:rPr>
          <w:color w:val="373737"/>
          <w:sz w:val="20"/>
          <w:szCs w:val="20"/>
        </w:rPr>
        <w:tab/>
      </w:r>
      <w:r w:rsidR="006D61E5" w:rsidRPr="001A0DEB">
        <w:rPr>
          <w:color w:val="373737"/>
          <w:sz w:val="20"/>
          <w:szCs w:val="20"/>
        </w:rPr>
        <w:tab/>
      </w:r>
      <w:r w:rsidRPr="001A0DEB">
        <w:rPr>
          <w:color w:val="373737"/>
          <w:sz w:val="20"/>
          <w:szCs w:val="20"/>
        </w:rPr>
        <w:t>$Value</w:t>
      </w:r>
    </w:p>
    <w:p w14:paraId="209E31DE" w14:textId="020ED98A" w:rsidR="00A43AFF" w:rsidRPr="001A0DEB" w:rsidRDefault="00A43AFF" w:rsidP="00A43AFF">
      <w:pPr>
        <w:pStyle w:val="BodyText"/>
        <w:rPr>
          <w:szCs w:val="20"/>
        </w:rPr>
      </w:pPr>
      <w:r w:rsidRPr="001A0DEB">
        <w:rPr>
          <w:szCs w:val="20"/>
        </w:rPr>
        <w:t>Income from exporting services (</w:t>
      </w:r>
      <m:oMath>
        <m:r>
          <w:rPr>
            <w:rFonts w:ascii="Cambria Math" w:hAnsi="Cambria Math"/>
            <w:szCs w:val="20"/>
          </w:rPr>
          <m:t>incexpsv</m:t>
        </m:r>
      </m:oMath>
      <w:r w:rsidRPr="001A0DEB">
        <w:rPr>
          <w:szCs w:val="20"/>
        </w:rPr>
        <w:t xml:space="preserve">) </w:t>
      </w:r>
      <w:r w:rsidR="006D61E5" w:rsidRPr="001A0DEB">
        <w:rPr>
          <w:szCs w:val="20"/>
        </w:rPr>
        <w:tab/>
      </w:r>
      <w:r w:rsidR="006D61E5" w:rsidRPr="001A0DEB">
        <w:rPr>
          <w:szCs w:val="20"/>
        </w:rPr>
        <w:tab/>
      </w:r>
      <w:r w:rsidR="006D61E5" w:rsidRPr="001A0DEB">
        <w:rPr>
          <w:szCs w:val="20"/>
        </w:rPr>
        <w:tab/>
      </w:r>
      <w:r w:rsidRPr="001A0DEB">
        <w:rPr>
          <w:szCs w:val="20"/>
        </w:rPr>
        <w:t>$Value</w:t>
      </w:r>
    </w:p>
    <w:p w14:paraId="209E31DF" w14:textId="3ADF3A10" w:rsidR="00A43AFF" w:rsidRPr="001A0DEB" w:rsidRDefault="00A43AFF" w:rsidP="00A43AFF">
      <w:pPr>
        <w:pStyle w:val="BodyText"/>
        <w:rPr>
          <w:szCs w:val="20"/>
        </w:rPr>
      </w:pPr>
      <w:r w:rsidRPr="001A0DEB">
        <w:rPr>
          <w:szCs w:val="20"/>
        </w:rPr>
        <w:t>Total income from sales of goods and services (</w:t>
      </w:r>
      <m:oMath>
        <m:r>
          <w:rPr>
            <w:rFonts w:ascii="Cambria Math" w:hAnsi="Cambria Math"/>
            <w:szCs w:val="20"/>
          </w:rPr>
          <m:t>incsalgs</m:t>
        </m:r>
      </m:oMath>
      <w:r w:rsidRPr="001A0DEB">
        <w:rPr>
          <w:szCs w:val="20"/>
        </w:rPr>
        <w:t xml:space="preserve">) </w:t>
      </w:r>
      <w:r w:rsidR="006D61E5" w:rsidRPr="001A0DEB">
        <w:rPr>
          <w:szCs w:val="20"/>
        </w:rPr>
        <w:tab/>
      </w:r>
      <w:r w:rsidRPr="001A0DEB">
        <w:rPr>
          <w:szCs w:val="20"/>
        </w:rPr>
        <w:t>$Value</w:t>
      </w:r>
    </w:p>
    <w:p w14:paraId="209E31E0" w14:textId="77777777" w:rsidR="00A43AFF" w:rsidRPr="001A0DEB" w:rsidRDefault="009F431A" w:rsidP="00A43AFF">
      <w:pPr>
        <w:rPr>
          <w:szCs w:val="20"/>
        </w:rPr>
      </w:pPr>
      <w:r>
        <w:rPr>
          <w:szCs w:val="20"/>
        </w:rPr>
        <w:pict w14:anchorId="209E320C">
          <v:rect id="_x0000_i1034" style="width:231.75pt;height:.05pt" o:hrpct="979" o:hralign="center" o:hrstd="t" o:hr="t"/>
        </w:pict>
      </w:r>
    </w:p>
    <w:p w14:paraId="209E31E1" w14:textId="01B6026F" w:rsidR="00A43AFF" w:rsidRPr="001A0DEB" w:rsidRDefault="00A43AFF" w:rsidP="00A43AFF">
      <w:pPr>
        <w:pStyle w:val="FirstParagraph"/>
        <w:rPr>
          <w:color w:val="373737"/>
          <w:sz w:val="20"/>
          <w:szCs w:val="20"/>
        </w:rPr>
      </w:pPr>
      <w:r w:rsidRPr="001A0DEB">
        <w:rPr>
          <w:color w:val="373737"/>
          <w:sz w:val="20"/>
          <w:szCs w:val="20"/>
        </w:rPr>
        <w:t>Number of persons working for this business during the last pay period (</w:t>
      </w:r>
      <m:oMath>
        <m:r>
          <w:rPr>
            <w:rFonts w:ascii="Cambria Math" w:hAnsi="Cambria Math"/>
            <w:color w:val="373737"/>
            <w:sz w:val="20"/>
            <w:szCs w:val="20"/>
          </w:rPr>
          <m:t>emptotal</m:t>
        </m:r>
      </m:oMath>
      <w:r w:rsidRPr="001A0DEB">
        <w:rPr>
          <w:color w:val="373737"/>
          <w:sz w:val="20"/>
          <w:szCs w:val="20"/>
        </w:rPr>
        <w:t xml:space="preserve">) </w:t>
      </w:r>
      <w:r w:rsidR="006D61E5" w:rsidRPr="001A0DEB">
        <w:rPr>
          <w:color w:val="373737"/>
          <w:sz w:val="20"/>
          <w:szCs w:val="20"/>
        </w:rPr>
        <w:tab/>
      </w:r>
      <w:r w:rsidR="006D61E5" w:rsidRPr="001A0DEB">
        <w:rPr>
          <w:color w:val="373737"/>
          <w:sz w:val="20"/>
          <w:szCs w:val="20"/>
        </w:rPr>
        <w:tab/>
      </w:r>
      <w:r w:rsidR="006D61E5" w:rsidRPr="001A0DEB">
        <w:rPr>
          <w:color w:val="373737"/>
          <w:sz w:val="20"/>
          <w:szCs w:val="20"/>
        </w:rPr>
        <w:tab/>
      </w:r>
      <w:r w:rsidR="006D61E5" w:rsidRPr="001A0DEB">
        <w:rPr>
          <w:color w:val="373737"/>
          <w:sz w:val="20"/>
          <w:szCs w:val="20"/>
        </w:rPr>
        <w:tab/>
      </w:r>
      <w:r w:rsidR="006D61E5" w:rsidRPr="001A0DEB">
        <w:rPr>
          <w:color w:val="373737"/>
          <w:sz w:val="20"/>
          <w:szCs w:val="20"/>
        </w:rPr>
        <w:tab/>
      </w:r>
      <w:r w:rsidR="006D61E5" w:rsidRPr="001A0DEB">
        <w:rPr>
          <w:color w:val="373737"/>
          <w:sz w:val="20"/>
          <w:szCs w:val="20"/>
        </w:rPr>
        <w:tab/>
      </w:r>
      <w:r w:rsidR="006D61E5" w:rsidRPr="001A0DEB">
        <w:rPr>
          <w:color w:val="373737"/>
          <w:sz w:val="20"/>
          <w:szCs w:val="20"/>
        </w:rPr>
        <w:tab/>
      </w:r>
      <w:r w:rsidRPr="001A0DEB">
        <w:rPr>
          <w:color w:val="373737"/>
          <w:sz w:val="20"/>
          <w:szCs w:val="20"/>
        </w:rPr>
        <w:t>number</w:t>
      </w:r>
    </w:p>
    <w:p w14:paraId="209E31E2" w14:textId="77777777" w:rsidR="00A43AFF" w:rsidRPr="001A0DEB" w:rsidRDefault="009F431A" w:rsidP="00A43AFF">
      <w:pPr>
        <w:pStyle w:val="BodyText"/>
        <w:rPr>
          <w:szCs w:val="20"/>
        </w:rPr>
      </w:pPr>
      <w:r>
        <w:rPr>
          <w:szCs w:val="20"/>
        </w:rPr>
        <w:pict w14:anchorId="209E320D">
          <v:rect id="_x0000_i1035" style="width:0;height:1.5pt" o:hralign="center" o:hrstd="t" o:hr="t"/>
        </w:pict>
      </w:r>
    </w:p>
    <w:p w14:paraId="60A5A3F3" w14:textId="77777777" w:rsidR="00F63FE5" w:rsidRDefault="00F63FE5">
      <w:pPr>
        <w:spacing w:after="200" w:line="276" w:lineRule="auto"/>
        <w:rPr>
          <w:rFonts w:eastAsia="Times New Roman" w:cs="Times New Roman"/>
          <w:b/>
          <w:color w:val="005CAF"/>
          <w:kern w:val="32"/>
          <w:sz w:val="32"/>
          <w:szCs w:val="20"/>
        </w:rPr>
      </w:pPr>
      <w:r>
        <w:br w:type="page"/>
      </w:r>
    </w:p>
    <w:p w14:paraId="209E31E4" w14:textId="2B907A04" w:rsidR="00A43AFF" w:rsidRDefault="00A43AFF" w:rsidP="00A43AFF">
      <w:pPr>
        <w:pStyle w:val="UnnumberedHeading"/>
      </w:pPr>
      <w:r>
        <w:lastRenderedPageBreak/>
        <w:t>Disclaimer</w:t>
      </w:r>
    </w:p>
    <w:p w14:paraId="209E31E5" w14:textId="77777777" w:rsidR="00A43AFF" w:rsidRPr="003534BC" w:rsidRDefault="00A43AFF" w:rsidP="003534BC">
      <w:pPr>
        <w:pStyle w:val="FirstParagraph"/>
        <w:spacing w:line="270" w:lineRule="exact"/>
        <w:rPr>
          <w:color w:val="373737"/>
          <w:sz w:val="20"/>
          <w:szCs w:val="20"/>
        </w:rPr>
      </w:pPr>
      <w:r w:rsidRPr="003534BC">
        <w:rPr>
          <w:color w:val="373737"/>
          <w:sz w:val="20"/>
          <w:szCs w:val="20"/>
        </w:rPr>
        <w:t>The results of these studies are based, in part, on ABR data supplied by the Registrar to the ABS under A New Tax System (Australian Business Number) Act 1999 and tax data supplied by the ATO to the ABS under the Taxation Administration Act 1953. These require that such data is only used for the purpose of carrying out functions of the ABS. No individual information collected under the Census and Statistics Act 1905 is provided back to the Registrar or ATO for administrative or regulatory purposes. Any discussion of data limitations or weaknesses is in the context of using the data for statistical purposes, and is not related to the ability of the data to support the ABR or ATO’s core operational requirements. Legislative requirements to ensure privacy and secrecy of this data have been followed. Only people authorised under the Australian Bureau of Statistics Act 1975 have been allowed to view data about any particular firm in conducting these analyses. In accordance with the Census and Statistics Act 1905, results have been confidentialised to ensure that they are not likely to enable identification of a particular person or organisation.</w:t>
      </w:r>
    </w:p>
    <w:p w14:paraId="1193F07F" w14:textId="77777777" w:rsidR="00F63FE5" w:rsidRDefault="00F63FE5">
      <w:pPr>
        <w:spacing w:after="200" w:line="276" w:lineRule="auto"/>
        <w:rPr>
          <w:rFonts w:eastAsia="Times New Roman" w:cs="Times New Roman"/>
          <w:b/>
          <w:color w:val="005CAF"/>
          <w:kern w:val="32"/>
          <w:sz w:val="32"/>
          <w:szCs w:val="20"/>
        </w:rPr>
      </w:pPr>
      <w:r>
        <w:br w:type="page"/>
      </w:r>
    </w:p>
    <w:p w14:paraId="209E31E7" w14:textId="44051218" w:rsidR="00A43AFF" w:rsidRDefault="00A43AFF" w:rsidP="00A43AFF">
      <w:pPr>
        <w:pStyle w:val="UnnumberedHeading"/>
      </w:pPr>
      <w:r>
        <w:t>References</w:t>
      </w:r>
    </w:p>
    <w:p w14:paraId="209E31E8" w14:textId="77777777" w:rsidR="00A43AFF" w:rsidRPr="001A0DEB" w:rsidRDefault="00A43AFF" w:rsidP="00A43AFF">
      <w:pPr>
        <w:pStyle w:val="BodyText"/>
      </w:pPr>
      <w:r w:rsidRPr="001A0DEB">
        <w:t xml:space="preserve">Akerlof, George A. (1970) “The market for ‘Lemons’: Quality Uncertainty and Market Mechanism,” </w:t>
      </w:r>
      <w:r w:rsidRPr="001A0DEB">
        <w:rPr>
          <w:i/>
        </w:rPr>
        <w:t>Quarterly Journal of Economics</w:t>
      </w:r>
      <w:r w:rsidRPr="001A0DEB">
        <w:t xml:space="preserve">, 84(3), 488–500. </w:t>
      </w:r>
    </w:p>
    <w:p w14:paraId="209E31E9" w14:textId="77777777" w:rsidR="00A43AFF" w:rsidRPr="001A0DEB" w:rsidRDefault="00A43AFF" w:rsidP="00A43AFF">
      <w:pPr>
        <w:pStyle w:val="BodyText"/>
      </w:pPr>
      <w:r w:rsidRPr="001A0DEB">
        <w:t xml:space="preserve">Bakhtiari, Sasan (2017) “Entrepreneurship Dynamics in Australia: Lessons from Micro-data,” </w:t>
      </w:r>
      <w:r w:rsidRPr="001A0DEB">
        <w:rPr>
          <w:i/>
        </w:rPr>
        <w:t>Dept. of Industry, Innovation, and Science</w:t>
      </w:r>
      <w:r w:rsidRPr="001A0DEB">
        <w:t xml:space="preserve">, Research Paper. </w:t>
      </w:r>
    </w:p>
    <w:p w14:paraId="209E31EA" w14:textId="77777777" w:rsidR="00A43AFF" w:rsidRPr="001A0DEB" w:rsidRDefault="00A43AFF" w:rsidP="00A43AFF">
      <w:pPr>
        <w:pStyle w:val="BodyText"/>
      </w:pPr>
      <w:r w:rsidRPr="001A0DEB">
        <w:t>Bernard, A.B., Jensen, J.B., Redding, S.J. and Schott, P.K. (2007) “</w:t>
      </w:r>
      <w:hyperlink r:id="rId23">
        <w:r w:rsidRPr="001A0DEB">
          <w:rPr>
            <w:rStyle w:val="Hyperlink"/>
            <w:color w:val="373737"/>
          </w:rPr>
          <w:t>Firms in international trade</w:t>
        </w:r>
      </w:hyperlink>
      <w:r w:rsidRPr="001A0DEB">
        <w:t xml:space="preserve">,” </w:t>
      </w:r>
      <w:r w:rsidRPr="001A0DEB">
        <w:rPr>
          <w:i/>
        </w:rPr>
        <w:t>The Journal of Economic Perspectives</w:t>
      </w:r>
      <w:r w:rsidRPr="001A0DEB">
        <w:t xml:space="preserve">, 21(3), 105–130. </w:t>
      </w:r>
    </w:p>
    <w:p w14:paraId="209E31EB" w14:textId="77777777" w:rsidR="00A43AFF" w:rsidRPr="001A0DEB" w:rsidRDefault="00A43AFF" w:rsidP="00A43AFF">
      <w:pPr>
        <w:pStyle w:val="BodyText"/>
      </w:pPr>
      <w:r w:rsidRPr="001A0DEB">
        <w:t>Buisseret, Timothy J., Hugh M. Cameron, and Luke Georghiou (1995) “</w:t>
      </w:r>
      <w:hyperlink r:id="rId24">
        <w:r w:rsidRPr="001A0DEB">
          <w:rPr>
            <w:rStyle w:val="Hyperlink"/>
            <w:color w:val="373737"/>
          </w:rPr>
          <w:t>What Difference Does It Make? Additionality in the Public Support of R&amp;D in Large Firms</w:t>
        </w:r>
      </w:hyperlink>
      <w:r w:rsidRPr="001A0DEB">
        <w:t xml:space="preserve">,” </w:t>
      </w:r>
      <w:r w:rsidRPr="001A0DEB">
        <w:rPr>
          <w:i/>
        </w:rPr>
        <w:t>International Journal of Technology Management</w:t>
      </w:r>
      <w:r w:rsidRPr="001A0DEB">
        <w:t>, 10(4–6), 587–600.</w:t>
      </w:r>
    </w:p>
    <w:p w14:paraId="209E31EC" w14:textId="77777777" w:rsidR="00A43AFF" w:rsidRPr="001A0DEB" w:rsidRDefault="00A43AFF" w:rsidP="00A43AFF">
      <w:pPr>
        <w:pStyle w:val="BodyText"/>
      </w:pPr>
      <w:r w:rsidRPr="001A0DEB">
        <w:t>Carpenter, Robert E., and Bruce C. Petersen (2002) “</w:t>
      </w:r>
      <w:hyperlink r:id="rId25">
        <w:r w:rsidRPr="001A0DEB">
          <w:rPr>
            <w:rStyle w:val="Hyperlink"/>
            <w:color w:val="373737"/>
          </w:rPr>
          <w:t>Capital Market Imperfections, High-tech Investment, and New Equity Financing</w:t>
        </w:r>
      </w:hyperlink>
      <w:r w:rsidRPr="001A0DEB">
        <w:t xml:space="preserve">,” </w:t>
      </w:r>
      <w:r w:rsidRPr="001A0DEB">
        <w:rPr>
          <w:i/>
        </w:rPr>
        <w:t>Economic Journal</w:t>
      </w:r>
      <w:r w:rsidRPr="001A0DEB">
        <w:t>, 112(477), F54–F72.</w:t>
      </w:r>
    </w:p>
    <w:p w14:paraId="209E31ED" w14:textId="77777777" w:rsidR="00A43AFF" w:rsidRPr="001A0DEB" w:rsidRDefault="00A43AFF" w:rsidP="00A43AFF">
      <w:pPr>
        <w:pStyle w:val="BodyText"/>
      </w:pPr>
      <w:r w:rsidRPr="001A0DEB">
        <w:t xml:space="preserve"> Egger, Peter, and Christian Keuschnigg (2015) “</w:t>
      </w:r>
      <w:hyperlink r:id="rId26">
        <w:r w:rsidRPr="001A0DEB">
          <w:rPr>
            <w:rStyle w:val="Hyperlink"/>
            <w:color w:val="373737"/>
          </w:rPr>
          <w:t>Innovation, Trade, and Finance</w:t>
        </w:r>
      </w:hyperlink>
      <w:r w:rsidRPr="001A0DEB">
        <w:t xml:space="preserve">,” </w:t>
      </w:r>
      <w:r w:rsidRPr="001A0DEB">
        <w:rPr>
          <w:i/>
        </w:rPr>
        <w:t>American Economic Journal: Microeconomics</w:t>
      </w:r>
      <w:r w:rsidRPr="001A0DEB">
        <w:t>, 7(2), 121–157.</w:t>
      </w:r>
    </w:p>
    <w:p w14:paraId="209E31EE" w14:textId="77777777" w:rsidR="00A43AFF" w:rsidRPr="001A0DEB" w:rsidRDefault="00A43AFF" w:rsidP="00A43AFF">
      <w:pPr>
        <w:pStyle w:val="BodyText"/>
      </w:pPr>
      <w:r w:rsidRPr="001A0DEB">
        <w:t xml:space="preserve"> Feldman, Maryann P., and Maryellen R. Kelley (2006) “</w:t>
      </w:r>
      <w:hyperlink r:id="rId27">
        <w:r w:rsidRPr="001A0DEB">
          <w:rPr>
            <w:rStyle w:val="Hyperlink"/>
            <w:color w:val="373737"/>
          </w:rPr>
          <w:t>The Ex Ante Assessment of Knowledge Spillovers: Government R&amp;D Policy, Economic Incentives and Private Firm Behvaior</w:t>
        </w:r>
      </w:hyperlink>
      <w:r w:rsidRPr="001A0DEB">
        <w:t xml:space="preserve">,” </w:t>
      </w:r>
      <w:r w:rsidRPr="001A0DEB">
        <w:rPr>
          <w:i/>
        </w:rPr>
        <w:t>Research Policy</w:t>
      </w:r>
      <w:r w:rsidRPr="001A0DEB">
        <w:t>, 35, 1509–1521.</w:t>
      </w:r>
    </w:p>
    <w:p w14:paraId="209E31EF" w14:textId="77777777" w:rsidR="00A43AFF" w:rsidRPr="001A0DEB" w:rsidRDefault="00A43AFF" w:rsidP="00A43AFF">
      <w:pPr>
        <w:pStyle w:val="BodyText"/>
      </w:pPr>
      <w:r w:rsidRPr="001A0DEB">
        <w:t>Freel, Mark S. (1999) “</w:t>
      </w:r>
      <w:hyperlink r:id="rId28">
        <w:r w:rsidRPr="001A0DEB">
          <w:rPr>
            <w:rStyle w:val="Hyperlink"/>
            <w:color w:val="373737"/>
          </w:rPr>
          <w:t>The Financing of Small Firm Product Innovation within the UK</w:t>
        </w:r>
      </w:hyperlink>
      <w:r w:rsidRPr="001A0DEB">
        <w:t xml:space="preserve">,” </w:t>
      </w:r>
      <w:r w:rsidRPr="001A0DEB">
        <w:rPr>
          <w:i/>
        </w:rPr>
        <w:t>Technovation</w:t>
      </w:r>
      <w:r w:rsidRPr="001A0DEB">
        <w:t xml:space="preserve">, 19(12), 707–719. </w:t>
      </w:r>
    </w:p>
    <w:p w14:paraId="209E31F0" w14:textId="77777777" w:rsidR="00A43AFF" w:rsidRPr="001A0DEB" w:rsidRDefault="00A43AFF" w:rsidP="00A43AFF">
      <w:pPr>
        <w:pStyle w:val="BodyText"/>
      </w:pPr>
      <w:r w:rsidRPr="001A0DEB">
        <w:t>Freel, Mark S. (2007) “</w:t>
      </w:r>
      <w:hyperlink r:id="rId29">
        <w:r w:rsidRPr="001A0DEB">
          <w:rPr>
            <w:rStyle w:val="Hyperlink"/>
            <w:color w:val="373737"/>
          </w:rPr>
          <w:t>Are Small Innovators Credit Rationed?</w:t>
        </w:r>
      </w:hyperlink>
      <w:r w:rsidRPr="001A0DEB">
        <w:t xml:space="preserve">” </w:t>
      </w:r>
      <w:r w:rsidRPr="001A0DEB">
        <w:rPr>
          <w:i/>
        </w:rPr>
        <w:t>Small Business Economics</w:t>
      </w:r>
      <w:r w:rsidRPr="001A0DEB">
        <w:t xml:space="preserve">, 28(1), 23–35. </w:t>
      </w:r>
    </w:p>
    <w:p w14:paraId="209E31F1" w14:textId="77777777" w:rsidR="00A43AFF" w:rsidRPr="001A0DEB" w:rsidRDefault="00A43AFF" w:rsidP="00A43AFF">
      <w:pPr>
        <w:pStyle w:val="BodyText"/>
      </w:pPr>
      <w:r w:rsidRPr="001A0DEB">
        <w:t>Hirano, Keisuke, Guido W. Imbens, and Geert Ridder (2003) “</w:t>
      </w:r>
      <w:hyperlink r:id="rId30">
        <w:r w:rsidRPr="001A0DEB">
          <w:rPr>
            <w:rStyle w:val="Hyperlink"/>
            <w:color w:val="373737"/>
          </w:rPr>
          <w:t>Efficient Estimation of Average Treatment Effects Using the Estimated Propensity Score</w:t>
        </w:r>
      </w:hyperlink>
      <w:r w:rsidRPr="001A0DEB">
        <w:t xml:space="preserve">,” </w:t>
      </w:r>
      <w:r w:rsidRPr="001A0DEB">
        <w:rPr>
          <w:i/>
        </w:rPr>
        <w:t>Econometrica</w:t>
      </w:r>
      <w:r w:rsidRPr="001A0DEB">
        <w:t xml:space="preserve">, 71(4), 1161–1189. </w:t>
      </w:r>
    </w:p>
    <w:p w14:paraId="209E31F2" w14:textId="77777777" w:rsidR="00A43AFF" w:rsidRPr="001A0DEB" w:rsidRDefault="00A43AFF" w:rsidP="00A43AFF">
      <w:pPr>
        <w:pStyle w:val="BodyText"/>
      </w:pPr>
      <w:r w:rsidRPr="001A0DEB">
        <w:t xml:space="preserve">Lerner, J. (1999) “The government as Venture Capitalist: The Long-run Impact of the SBIR Program,” </w:t>
      </w:r>
      <w:r w:rsidRPr="001A0DEB">
        <w:rPr>
          <w:i/>
        </w:rPr>
        <w:t>The Journal of Business</w:t>
      </w:r>
      <w:r w:rsidRPr="001A0DEB">
        <w:t xml:space="preserve">, 72(3), 285–318. </w:t>
      </w:r>
    </w:p>
    <w:p w14:paraId="209E31F3" w14:textId="77777777" w:rsidR="00A43AFF" w:rsidRPr="001A0DEB" w:rsidRDefault="00A43AFF" w:rsidP="00A43AFF">
      <w:pPr>
        <w:pStyle w:val="BodyText"/>
      </w:pPr>
      <w:r w:rsidRPr="001A0DEB">
        <w:t>Melitz, Marc J. (2003) “</w:t>
      </w:r>
      <w:hyperlink r:id="rId31">
        <w:r w:rsidRPr="001A0DEB">
          <w:rPr>
            <w:rStyle w:val="Hyperlink"/>
            <w:color w:val="373737"/>
          </w:rPr>
          <w:t>The Impact of Trade on Intra-Industry Reallocations and Aggregate Industry Productivity</w:t>
        </w:r>
      </w:hyperlink>
      <w:r w:rsidRPr="001A0DEB">
        <w:t xml:space="preserve">,” </w:t>
      </w:r>
      <w:r w:rsidRPr="001A0DEB">
        <w:rPr>
          <w:i/>
        </w:rPr>
        <w:t>Econometrica</w:t>
      </w:r>
      <w:r w:rsidRPr="001A0DEB">
        <w:t xml:space="preserve">, 71(6), 1695–1725. </w:t>
      </w:r>
    </w:p>
    <w:p w14:paraId="209E31F4" w14:textId="77777777" w:rsidR="00A43AFF" w:rsidRPr="001A0DEB" w:rsidRDefault="00A43AFF" w:rsidP="00A43AFF">
      <w:pPr>
        <w:pStyle w:val="BodyText"/>
      </w:pPr>
      <w:r w:rsidRPr="001A0DEB">
        <w:t>Meuleman, Miguel, and Wouter De Maeseneir (2012) “</w:t>
      </w:r>
      <w:hyperlink r:id="rId32">
        <w:r w:rsidRPr="001A0DEB">
          <w:rPr>
            <w:rStyle w:val="Hyperlink"/>
            <w:color w:val="373737"/>
          </w:rPr>
          <w:t>Do R&amp;D Subsidies Affect SME’s Access to External Financing?</w:t>
        </w:r>
      </w:hyperlink>
      <w:r w:rsidRPr="001A0DEB">
        <w:t xml:space="preserve">” </w:t>
      </w:r>
      <w:r w:rsidRPr="001A0DEB">
        <w:rPr>
          <w:i/>
        </w:rPr>
        <w:t>Research Policy</w:t>
      </w:r>
      <w:r w:rsidRPr="001A0DEB">
        <w:t xml:space="preserve">, 41(3), 580–591. </w:t>
      </w:r>
    </w:p>
    <w:p w14:paraId="209E31F5" w14:textId="77777777" w:rsidR="00A43AFF" w:rsidRPr="001A0DEB" w:rsidRDefault="00A43AFF" w:rsidP="00A43AFF">
      <w:pPr>
        <w:pStyle w:val="BodyText"/>
      </w:pPr>
      <w:r w:rsidRPr="001A0DEB">
        <w:t>Myers, Stewart C., and Nicholas S. Majluf (1984) “</w:t>
      </w:r>
      <w:hyperlink r:id="rId33">
        <w:r w:rsidRPr="001A0DEB">
          <w:rPr>
            <w:rStyle w:val="Hyperlink"/>
            <w:color w:val="373737"/>
          </w:rPr>
          <w:t>Corporate Financing and Investment Decisions When Firms Have Information that Investors Do not Have</w:t>
        </w:r>
      </w:hyperlink>
      <w:r w:rsidRPr="001A0DEB">
        <w:t xml:space="preserve">,” </w:t>
      </w:r>
      <w:r w:rsidRPr="001A0DEB">
        <w:rPr>
          <w:i/>
        </w:rPr>
        <w:t>Journal of Financial Economics</w:t>
      </w:r>
      <w:r w:rsidRPr="001A0DEB">
        <w:t xml:space="preserve">, 13(2), 187–221. </w:t>
      </w:r>
    </w:p>
    <w:p w14:paraId="209E31F6" w14:textId="77777777" w:rsidR="00A43AFF" w:rsidRPr="001A0DEB" w:rsidRDefault="00A43AFF" w:rsidP="00A43AFF">
      <w:pPr>
        <w:pStyle w:val="BodyText"/>
      </w:pPr>
      <w:r w:rsidRPr="001A0DEB">
        <w:t>Rodgers, David (2015) “</w:t>
      </w:r>
      <w:hyperlink r:id="rId34">
        <w:r w:rsidRPr="001A0DEB">
          <w:rPr>
            <w:rStyle w:val="Hyperlink"/>
            <w:color w:val="373737"/>
          </w:rPr>
          <w:t>Credit Losses at Austra</w:t>
        </w:r>
        <w:r w:rsidR="00EE350C" w:rsidRPr="001A0DEB">
          <w:rPr>
            <w:rStyle w:val="Hyperlink"/>
            <w:color w:val="373737"/>
          </w:rPr>
          <w:t>l</w:t>
        </w:r>
        <w:r w:rsidRPr="001A0DEB">
          <w:rPr>
            <w:rStyle w:val="Hyperlink"/>
            <w:color w:val="373737"/>
          </w:rPr>
          <w:t>ian Banks: 1980–2013</w:t>
        </w:r>
      </w:hyperlink>
      <w:r w:rsidRPr="001A0DEB">
        <w:t xml:space="preserve">,” </w:t>
      </w:r>
      <w:r w:rsidRPr="001A0DEB">
        <w:rPr>
          <w:i/>
        </w:rPr>
        <w:t>Reserve Bank of Australia</w:t>
      </w:r>
      <w:r w:rsidRPr="001A0DEB">
        <w:t xml:space="preserve"> , Research Discussion Paper 2015-06. </w:t>
      </w:r>
    </w:p>
    <w:p w14:paraId="209E31F7" w14:textId="77777777" w:rsidR="00A43AFF" w:rsidRPr="001A0DEB" w:rsidRDefault="00A43AFF" w:rsidP="00A43AFF">
      <w:pPr>
        <w:pStyle w:val="BodyText"/>
      </w:pPr>
      <w:r w:rsidRPr="001A0DEB">
        <w:t>Takalo, Tuomas, and Tanja Tanayama (2010) “</w:t>
      </w:r>
      <w:hyperlink r:id="rId35">
        <w:r w:rsidRPr="001A0DEB">
          <w:rPr>
            <w:rStyle w:val="Hyperlink"/>
            <w:color w:val="373737"/>
          </w:rPr>
          <w:t>Adverse Selection and Financing of Innovation: Is There a Need for R&amp;D Subsidies</w:t>
        </w:r>
      </w:hyperlink>
      <w:r w:rsidRPr="001A0DEB">
        <w:t xml:space="preserve">?” </w:t>
      </w:r>
      <w:r w:rsidRPr="001A0DEB">
        <w:rPr>
          <w:i/>
        </w:rPr>
        <w:t>Journal of Technology Transfer</w:t>
      </w:r>
      <w:r w:rsidRPr="001A0DEB">
        <w:t xml:space="preserve"> 35(1), 16–41. </w:t>
      </w:r>
    </w:p>
    <w:p w14:paraId="209E31F8" w14:textId="77777777" w:rsidR="00A43AFF" w:rsidRPr="001A0DEB" w:rsidRDefault="00A43AFF" w:rsidP="00A43AFF">
      <w:pPr>
        <w:pStyle w:val="BodyText"/>
      </w:pPr>
      <w:r w:rsidRPr="001A0DEB">
        <w:t>Tuhin, Razib, and Jan A. Swanepoel (2016) “</w:t>
      </w:r>
      <w:hyperlink r:id="rId36">
        <w:r w:rsidRPr="001A0DEB">
          <w:rPr>
            <w:rStyle w:val="Hyperlink"/>
            <w:color w:val="373737"/>
          </w:rPr>
          <w:t>Export Behaviour and Business Performance: Evidence from Australian Microdata</w:t>
        </w:r>
      </w:hyperlink>
      <w:r w:rsidRPr="001A0DEB">
        <w:t xml:space="preserve">,” </w:t>
      </w:r>
      <w:r w:rsidRPr="001A0DEB">
        <w:rPr>
          <w:i/>
        </w:rPr>
        <w:t>Department of Industry, Innovation and Science</w:t>
      </w:r>
      <w:r w:rsidRPr="001A0DEB">
        <w:t xml:space="preserve">, Research Paper 7/2016. </w:t>
      </w:r>
    </w:p>
    <w:p w14:paraId="209E31F9" w14:textId="77777777" w:rsidR="00A43AFF" w:rsidRPr="001A0DEB" w:rsidRDefault="00A43AFF" w:rsidP="00A43AFF">
      <w:pPr>
        <w:pStyle w:val="BodyText"/>
      </w:pPr>
      <w:r w:rsidRPr="001A0DEB">
        <w:t>Van De Ven, Wynand P.M.M., and Bernard M.S. Van Praag (1981) “</w:t>
      </w:r>
      <w:hyperlink r:id="rId37">
        <w:r w:rsidRPr="001A0DEB">
          <w:rPr>
            <w:rStyle w:val="Hyperlink"/>
            <w:color w:val="373737"/>
          </w:rPr>
          <w:t>The Demand for Deductibles in Private Health Insurance</w:t>
        </w:r>
      </w:hyperlink>
      <w:r w:rsidRPr="001A0DEB">
        <w:t xml:space="preserve">,” </w:t>
      </w:r>
      <w:r w:rsidRPr="001A0DEB">
        <w:rPr>
          <w:i/>
        </w:rPr>
        <w:t>Journal of Econometrics</w:t>
      </w:r>
      <w:r w:rsidRPr="001A0DEB">
        <w:t xml:space="preserve">, 17, 229–252. </w:t>
      </w:r>
    </w:p>
    <w:p w14:paraId="209E31FA" w14:textId="77777777" w:rsidR="00A43AFF" w:rsidRPr="001A0DEB" w:rsidRDefault="00A43AFF" w:rsidP="00A43AFF">
      <w:pPr>
        <w:pStyle w:val="BodyText"/>
      </w:pPr>
      <w:r w:rsidRPr="001A0DEB">
        <w:t>Westhead, Paul, and David J. Storey (1997) “</w:t>
      </w:r>
      <w:hyperlink r:id="rId38">
        <w:r w:rsidRPr="001A0DEB">
          <w:rPr>
            <w:rStyle w:val="Hyperlink"/>
            <w:color w:val="373737"/>
          </w:rPr>
          <w:t>Financial Constraints on the Growth of High Technology Small Firms in the United Kingdom</w:t>
        </w:r>
      </w:hyperlink>
      <w:r w:rsidRPr="001A0DEB">
        <w:t xml:space="preserve">,” </w:t>
      </w:r>
      <w:r w:rsidRPr="001A0DEB">
        <w:rPr>
          <w:i/>
        </w:rPr>
        <w:t>Applied Financial Economics</w:t>
      </w:r>
      <w:r w:rsidRPr="001A0DEB">
        <w:t>, 7(2), 197–201.</w:t>
      </w:r>
    </w:p>
    <w:sectPr w:rsidR="00A43AFF" w:rsidRPr="001A0DEB" w:rsidSect="00C821A6">
      <w:headerReference w:type="even" r:id="rId39"/>
      <w:headerReference w:type="default" r:id="rId40"/>
      <w:footerReference w:type="even" r:id="rId41"/>
      <w:footerReference w:type="default" r:id="rId42"/>
      <w:headerReference w:type="first" r:id="rId43"/>
      <w:footerReference w:type="first" r:id="rId44"/>
      <w:pgSz w:w="11906" w:h="16838" w:code="9"/>
      <w:pgMar w:top="1440" w:right="1440" w:bottom="1440" w:left="357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E3210" w14:textId="77777777" w:rsidR="009311F5" w:rsidRDefault="009311F5" w:rsidP="00F244EA">
      <w:pPr>
        <w:spacing w:after="0" w:line="240" w:lineRule="auto"/>
      </w:pPr>
      <w:r>
        <w:separator/>
      </w:r>
    </w:p>
  </w:endnote>
  <w:endnote w:type="continuationSeparator" w:id="0">
    <w:p w14:paraId="209E3211" w14:textId="77777777" w:rsidR="009311F5" w:rsidRDefault="009311F5" w:rsidP="00F2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E3218" w14:textId="77777777" w:rsidR="009311F5" w:rsidRPr="001C2E57" w:rsidRDefault="009311F5" w:rsidP="00301D88">
    <w:pPr>
      <w:pStyle w:val="Footer"/>
      <w:tabs>
        <w:tab w:val="clear" w:pos="9680"/>
      </w:tabs>
    </w:pPr>
    <w:r w:rsidRPr="001C2E57">
      <w:fldChar w:fldCharType="begin"/>
    </w:r>
    <w:r w:rsidRPr="001C2E57">
      <w:instrText>IF</w:instrText>
    </w:r>
    <w:r>
      <w:rPr>
        <w:noProof/>
      </w:rPr>
      <w:fldChar w:fldCharType="begin"/>
    </w:r>
    <w:r>
      <w:rPr>
        <w:noProof/>
      </w:rPr>
      <w:instrText xml:space="preserve"> STYLEREF "Title Heading" \* Charformat </w:instrText>
    </w:r>
    <w:r>
      <w:rPr>
        <w:noProof/>
      </w:rPr>
      <w:fldChar w:fldCharType="separate"/>
    </w:r>
    <w:r w:rsidR="009F431A">
      <w:rPr>
        <w:noProof/>
      </w:rPr>
      <w:instrText>Government financial assistance as catalyst for private financing</w:instrText>
    </w:r>
    <w:r>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sidR="009F431A">
      <w:rPr>
        <w:noProof/>
      </w:rPr>
      <w:instrText>Government financial assistance as catalyst for private financing</w:instrText>
    </w:r>
    <w:r>
      <w:rPr>
        <w:noProof/>
      </w:rPr>
      <w:fldChar w:fldCharType="end"/>
    </w:r>
    <w:r w:rsidRPr="001C2E57">
      <w:instrText xml:space="preserve"> </w:instrText>
    </w:r>
    <w:r w:rsidRPr="001C2E57">
      <w:fldChar w:fldCharType="separate"/>
    </w:r>
    <w:r w:rsidR="009F431A">
      <w:rPr>
        <w:noProof/>
      </w:rPr>
      <w:t>Government financial assistance as catalyst for private financing</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sidR="009F431A">
      <w:rPr>
        <w:noProof/>
      </w:rPr>
      <w:t>10</w:t>
    </w:r>
    <w:r w:rsidRPr="001C2E5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E3219" w14:textId="77777777" w:rsidR="009311F5" w:rsidRPr="001C2E57" w:rsidRDefault="009311F5" w:rsidP="00E35ECE">
    <w:pPr>
      <w:pStyle w:val="Footer"/>
    </w:pPr>
    <w:r w:rsidRPr="001C2E57">
      <w:fldChar w:fldCharType="begin"/>
    </w:r>
    <w:r w:rsidRPr="001C2E57">
      <w:instrText>IF</w:instrText>
    </w:r>
    <w:r>
      <w:rPr>
        <w:noProof/>
      </w:rPr>
      <w:fldChar w:fldCharType="begin"/>
    </w:r>
    <w:r>
      <w:rPr>
        <w:noProof/>
      </w:rPr>
      <w:instrText xml:space="preserve"> STYLEREF "Title Heading" \* Charformat </w:instrText>
    </w:r>
    <w:r>
      <w:rPr>
        <w:noProof/>
      </w:rPr>
      <w:fldChar w:fldCharType="separate"/>
    </w:r>
    <w:r>
      <w:rPr>
        <w:noProof/>
      </w:rPr>
      <w:instrText>Government Financial Assistance as Catalyst for Private Financing</w:instrText>
    </w:r>
    <w:r>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Pr>
        <w:noProof/>
      </w:rPr>
      <w:instrText>Government Financial Assistance as Catalyst for Private Financing</w:instrText>
    </w:r>
    <w:r>
      <w:rPr>
        <w:noProof/>
      </w:rPr>
      <w:fldChar w:fldCharType="end"/>
    </w:r>
    <w:r w:rsidRPr="001C2E57">
      <w:instrText xml:space="preserve"> </w:instrText>
    </w:r>
    <w:r w:rsidRPr="001C2E57">
      <w:fldChar w:fldCharType="separate"/>
    </w:r>
    <w:r>
      <w:rPr>
        <w:noProof/>
      </w:rPr>
      <w:t>Government Financial Assistance as Catalyst for Private Financing</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Pr>
        <w:noProof/>
      </w:rPr>
      <w:t>1</w:t>
    </w:r>
    <w:r w:rsidRPr="001C2E5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E321D" w14:textId="77777777" w:rsidR="009311F5" w:rsidRDefault="009311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E321E" w14:textId="77777777" w:rsidR="009311F5" w:rsidRPr="001C2E57" w:rsidRDefault="009311F5" w:rsidP="00301D88">
    <w:pPr>
      <w:pStyle w:val="Footer"/>
      <w:tabs>
        <w:tab w:val="clear" w:pos="9680"/>
      </w:tabs>
    </w:pPr>
    <w:r w:rsidRPr="001C2E57">
      <w:fldChar w:fldCharType="begin"/>
    </w:r>
    <w:r w:rsidRPr="001C2E57">
      <w:instrText>IF</w:instrText>
    </w:r>
    <w:r>
      <w:rPr>
        <w:noProof/>
      </w:rPr>
      <w:fldChar w:fldCharType="begin"/>
    </w:r>
    <w:r>
      <w:rPr>
        <w:noProof/>
      </w:rPr>
      <w:instrText xml:space="preserve"> STYLEREF "Title Heading" \* Charformat </w:instrText>
    </w:r>
    <w:r>
      <w:rPr>
        <w:noProof/>
      </w:rPr>
      <w:fldChar w:fldCharType="separate"/>
    </w:r>
    <w:r w:rsidR="009F431A">
      <w:rPr>
        <w:noProof/>
      </w:rPr>
      <w:instrText>Government financial assistance as catalyst for private financing</w:instrText>
    </w:r>
    <w:r>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sidR="009F431A">
      <w:rPr>
        <w:noProof/>
      </w:rPr>
      <w:instrText>Government financial assistance as catalyst for private financing</w:instrText>
    </w:r>
    <w:r>
      <w:rPr>
        <w:noProof/>
      </w:rPr>
      <w:fldChar w:fldCharType="end"/>
    </w:r>
    <w:r w:rsidRPr="001C2E57">
      <w:instrText xml:space="preserve"> </w:instrText>
    </w:r>
    <w:r w:rsidRPr="001C2E57">
      <w:fldChar w:fldCharType="separate"/>
    </w:r>
    <w:r w:rsidR="009F431A">
      <w:rPr>
        <w:noProof/>
      </w:rPr>
      <w:t>Government financial assistance as catalyst for private financing</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sidR="009F431A">
      <w:rPr>
        <w:noProof/>
      </w:rPr>
      <w:t>21</w:t>
    </w:r>
    <w:r w:rsidRPr="001C2E57">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E3220" w14:textId="77777777" w:rsidR="009311F5" w:rsidRPr="001C2E57" w:rsidRDefault="009311F5" w:rsidP="00E35ECE">
    <w:pPr>
      <w:pStyle w:val="Footer"/>
    </w:pPr>
    <w:r w:rsidRPr="001C2E57">
      <w:fldChar w:fldCharType="begin"/>
    </w:r>
    <w:r w:rsidRPr="001C2E57">
      <w:instrText>IF</w:instrText>
    </w:r>
    <w:r>
      <w:rPr>
        <w:noProof/>
      </w:rPr>
      <w:fldChar w:fldCharType="begin"/>
    </w:r>
    <w:r>
      <w:rPr>
        <w:noProof/>
      </w:rPr>
      <w:instrText xml:space="preserve"> STYLEREF "Title Heading" \* Charformat </w:instrText>
    </w:r>
    <w:r>
      <w:rPr>
        <w:noProof/>
      </w:rPr>
      <w:fldChar w:fldCharType="separate"/>
    </w:r>
    <w:r>
      <w:rPr>
        <w:noProof/>
      </w:rPr>
      <w:instrText>Government Financial Assistance as Catalyst for Private Financing</w:instrText>
    </w:r>
    <w:r>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Pr>
        <w:noProof/>
      </w:rPr>
      <w:instrText>Government Financial Assistance as Catalyst for Private Financing</w:instrText>
    </w:r>
    <w:r>
      <w:rPr>
        <w:noProof/>
      </w:rPr>
      <w:fldChar w:fldCharType="end"/>
    </w:r>
    <w:r w:rsidRPr="001C2E57">
      <w:instrText xml:space="preserve"> </w:instrText>
    </w:r>
    <w:r w:rsidRPr="001C2E57">
      <w:fldChar w:fldCharType="separate"/>
    </w:r>
    <w:r>
      <w:rPr>
        <w:noProof/>
      </w:rPr>
      <w:t>Government Financial Assistance as Catalyst for Private Financing</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Pr>
        <w:noProof/>
      </w:rPr>
      <w:t>1</w:t>
    </w:r>
    <w:r w:rsidRPr="001C2E5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E320E" w14:textId="42E6BD35" w:rsidR="009311F5" w:rsidRDefault="009311F5" w:rsidP="00FE44B0">
      <w:pPr>
        <w:spacing w:after="0" w:line="240" w:lineRule="auto"/>
      </w:pPr>
      <w:r>
        <w:separator/>
      </w:r>
    </w:p>
  </w:footnote>
  <w:footnote w:type="continuationSeparator" w:id="0">
    <w:p w14:paraId="209E320F" w14:textId="77777777" w:rsidR="009311F5" w:rsidRDefault="009311F5" w:rsidP="00F244EA">
      <w:pPr>
        <w:spacing w:after="0" w:line="240" w:lineRule="auto"/>
      </w:pPr>
      <w:r>
        <w:continuationSeparator/>
      </w:r>
    </w:p>
  </w:footnote>
  <w:footnote w:id="1">
    <w:p w14:paraId="209E3221" w14:textId="2A43A04E" w:rsidR="009311F5" w:rsidRDefault="009311F5" w:rsidP="00D52263">
      <w:pPr>
        <w:pStyle w:val="FootnoteText"/>
        <w:ind w:left="108"/>
      </w:pPr>
      <w:r w:rsidRPr="002E603F">
        <w:rPr>
          <w:rStyle w:val="FootnoteReference"/>
          <w:rFonts w:eastAsiaTheme="majorEastAsia"/>
        </w:rPr>
        <w:footnoteRef/>
      </w:r>
      <w:r>
        <w:t xml:space="preserve"> See </w:t>
      </w:r>
      <w:hyperlink r:id="rId1" w:history="1">
        <w:r w:rsidRPr="00851CD1">
          <w:rPr>
            <w:rFonts w:cstheme="minorHAnsi"/>
            <w:szCs w:val="16"/>
          </w:rPr>
          <w:t>http://www.business.gov.au</w:t>
        </w:r>
      </w:hyperlink>
      <w:r w:rsidRPr="00851CD1">
        <w:t xml:space="preserve"> </w:t>
      </w:r>
      <w:r>
        <w:t>for the full scope of programs currently available from the Australian government to firms.</w:t>
      </w:r>
    </w:p>
  </w:footnote>
  <w:footnote w:id="2">
    <w:p w14:paraId="209E3222" w14:textId="77777777" w:rsidR="009311F5" w:rsidRDefault="009311F5" w:rsidP="00586EC7">
      <w:pPr>
        <w:pStyle w:val="FootnoteText"/>
        <w:ind w:left="108"/>
      </w:pPr>
      <w:r w:rsidRPr="002E603F">
        <w:rPr>
          <w:rStyle w:val="FootnoteReference"/>
          <w:rFonts w:eastAsiaTheme="majorEastAsia"/>
        </w:rPr>
        <w:footnoteRef/>
      </w:r>
      <w:r>
        <w:t xml:space="preserve"> See ABS Cat.No.8168.0.55.001 for the full list of variables and other details about the data methodology and coverage.</w:t>
      </w:r>
    </w:p>
  </w:footnote>
  <w:footnote w:id="3">
    <w:p w14:paraId="209E3223" w14:textId="77777777" w:rsidR="009311F5" w:rsidRDefault="009311F5" w:rsidP="00586EC7">
      <w:pPr>
        <w:pStyle w:val="FootnoteText"/>
        <w:ind w:left="108"/>
      </w:pPr>
      <w:r w:rsidRPr="002E603F">
        <w:rPr>
          <w:rStyle w:val="FootnoteReference"/>
          <w:rFonts w:eastAsiaTheme="majorEastAsia"/>
        </w:rPr>
        <w:footnoteRef/>
      </w:r>
      <w:r>
        <w:t xml:space="preserve"> In 2015–16, Food and beverages manufacturing accounted for almost 28 per cent of total manufacturing income in Australia (ABS Cat.No.8155.0).</w:t>
      </w:r>
    </w:p>
  </w:footnote>
  <w:footnote w:id="4">
    <w:p w14:paraId="209E3224" w14:textId="77777777" w:rsidR="009311F5" w:rsidRDefault="009311F5" w:rsidP="00DD4C1A">
      <w:pPr>
        <w:pStyle w:val="FootnoteText"/>
        <w:ind w:left="108"/>
      </w:pPr>
      <w:r>
        <w:rPr>
          <w:rStyle w:val="FootnoteReference"/>
        </w:rPr>
        <w:footnoteRef/>
      </w:r>
      <w:r>
        <w:t xml:space="preserve"> see Appendix A for the specific survey questions</w:t>
      </w:r>
    </w:p>
  </w:footnote>
  <w:footnote w:id="5">
    <w:p w14:paraId="209E3225" w14:textId="77777777" w:rsidR="009311F5" w:rsidRDefault="009311F5" w:rsidP="00117D8A">
      <w:pPr>
        <w:pStyle w:val="FootnoteText"/>
        <w:ind w:left="108"/>
      </w:pPr>
      <w:r>
        <w:rPr>
          <w:rStyle w:val="FootnoteReference"/>
        </w:rPr>
        <w:footnoteRef/>
      </w:r>
      <w:r>
        <w:t xml:space="preserve"> I also experiment with bootstrapping over a randomly selected subsample of the existing data with about half the total number of observations and a stratification over a number of key variables, excluding government assistance. The exclusion is intentional and is meant to reduce the bias. The results are almost identical to those with inverse propensity weighting, therefore, I am not reporting them.</w:t>
      </w:r>
    </w:p>
  </w:footnote>
  <w:footnote w:id="6">
    <w:p w14:paraId="209E3226" w14:textId="77777777" w:rsidR="009311F5" w:rsidRDefault="009311F5" w:rsidP="002C31E9">
      <w:pPr>
        <w:pStyle w:val="FootnoteText"/>
        <w:ind w:left="108"/>
      </w:pPr>
      <w:r>
        <w:rPr>
          <w:rStyle w:val="FootnoteReference"/>
        </w:rPr>
        <w:footnoteRef/>
      </w:r>
      <w:r>
        <w:t xml:space="preserve"> Since 2012, this program has changed into the R&amp;D Tax Incentive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E321A" w14:textId="77777777" w:rsidR="009311F5" w:rsidRPr="007964F4" w:rsidRDefault="009311F5" w:rsidP="00FD5C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E321B" w14:textId="77777777" w:rsidR="009311F5" w:rsidRDefault="009311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E321C" w14:textId="77777777" w:rsidR="009311F5" w:rsidRDefault="009311F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E321F" w14:textId="77777777" w:rsidR="009311F5" w:rsidRDefault="009311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7F69BA"/>
    <w:multiLevelType w:val="multilevel"/>
    <w:tmpl w:val="4EE6206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3323B38"/>
    <w:multiLevelType w:val="multilevel"/>
    <w:tmpl w:val="D5BAF582"/>
    <w:styleLink w:val="OCEHeadings"/>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none"/>
      <w:pStyle w:val="Heading3"/>
      <w:suff w:val="nothing"/>
      <w:lvlText w:val=""/>
      <w:lvlJc w:val="left"/>
      <w:pPr>
        <w:ind w:left="0" w:firstLine="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upperLetter"/>
      <w:pStyle w:val="Heading6"/>
      <w:lvlText w:val="Appendix %6"/>
      <w:lvlJc w:val="left"/>
      <w:pPr>
        <w:ind w:left="2381" w:hanging="2381"/>
      </w:pPr>
      <w:rPr>
        <w:rFonts w:hint="default"/>
      </w:rPr>
    </w:lvl>
    <w:lvl w:ilvl="6">
      <w:start w:val="1"/>
      <w:numFmt w:val="decimal"/>
      <w:pStyle w:val="Heading7"/>
      <w:lvlText w:val="%6.%7"/>
      <w:lvlJc w:val="left"/>
      <w:pPr>
        <w:ind w:left="709" w:hanging="709"/>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57A3A93"/>
    <w:multiLevelType w:val="multilevel"/>
    <w:tmpl w:val="7D22E52C"/>
    <w:numStyleLink w:val="OCEBulletedList"/>
  </w:abstractNum>
  <w:abstractNum w:abstractNumId="3" w15:restartNumberingAfterBreak="0">
    <w:nsid w:val="05B7681B"/>
    <w:multiLevelType w:val="multilevel"/>
    <w:tmpl w:val="A3F6872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8933F4"/>
    <w:multiLevelType w:val="multilevel"/>
    <w:tmpl w:val="7D22E52C"/>
    <w:numStyleLink w:val="OCEBulletedList"/>
  </w:abstractNum>
  <w:abstractNum w:abstractNumId="5" w15:restartNumberingAfterBreak="0">
    <w:nsid w:val="159A6EC1"/>
    <w:multiLevelType w:val="multilevel"/>
    <w:tmpl w:val="3BFA39A6"/>
    <w:numStyleLink w:val="OCENumberedList"/>
  </w:abstractNum>
  <w:abstractNum w:abstractNumId="6" w15:restartNumberingAfterBreak="0">
    <w:nsid w:val="182859EC"/>
    <w:multiLevelType w:val="multilevel"/>
    <w:tmpl w:val="3684BDEC"/>
    <w:styleLink w:val="OCETableBullets"/>
    <w:lvl w:ilvl="0">
      <w:start w:val="1"/>
      <w:numFmt w:val="bullet"/>
      <w:pStyle w:val="TableListBullet"/>
      <w:lvlText w:val=""/>
      <w:lvlJc w:val="left"/>
      <w:pPr>
        <w:ind w:left="113" w:hanging="113"/>
      </w:pPr>
      <w:rPr>
        <w:rFonts w:ascii="Wingdings" w:hAnsi="Wingding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bullet"/>
      <w:suff w:val="nothing"/>
      <w:lvlText w:val=""/>
      <w:lvlJc w:val="left"/>
      <w:pPr>
        <w:ind w:left="-32767" w:firstLine="0"/>
      </w:pPr>
      <w:rPr>
        <w:rFonts w:ascii="Symbol" w:hAnsi="Symbol" w:hint="default"/>
      </w:rPr>
    </w:lvl>
    <w:lvl w:ilvl="7">
      <w:start w:val="1"/>
      <w:numFmt w:val="bullet"/>
      <w:suff w:val="nothing"/>
      <w:lvlText w:val="o"/>
      <w:lvlJc w:val="left"/>
      <w:pPr>
        <w:ind w:left="-32767" w:firstLine="0"/>
      </w:pPr>
      <w:rPr>
        <w:rFonts w:ascii="Courier New" w:hAnsi="Courier New" w:hint="default"/>
      </w:rPr>
    </w:lvl>
    <w:lvl w:ilvl="8">
      <w:start w:val="1"/>
      <w:numFmt w:val="bullet"/>
      <w:suff w:val="nothing"/>
      <w:lvlText w:val=""/>
      <w:lvlJc w:val="left"/>
      <w:pPr>
        <w:ind w:left="-32767" w:firstLine="0"/>
      </w:pPr>
      <w:rPr>
        <w:rFonts w:ascii="Wingdings" w:hAnsi="Wingdings" w:hint="default"/>
      </w:rPr>
    </w:lvl>
  </w:abstractNum>
  <w:abstractNum w:abstractNumId="7" w15:restartNumberingAfterBreak="0">
    <w:nsid w:val="187029E1"/>
    <w:multiLevelType w:val="multilevel"/>
    <w:tmpl w:val="9E06CAEE"/>
    <w:styleLink w:val="EASDMultilevelList"/>
    <w:lvl w:ilvl="0">
      <w:start w:val="1"/>
      <w:numFmt w:val="decimal"/>
      <w:lvlText w:val="%1."/>
      <w:lvlJc w:val="left"/>
      <w:pPr>
        <w:ind w:left="2520" w:hanging="360"/>
      </w:pPr>
      <w:rPr>
        <w:rFonts w:hint="default"/>
      </w:rPr>
    </w:lvl>
    <w:lvl w:ilvl="1">
      <w:start w:val="1"/>
      <w:numFmt w:val="decimal"/>
      <w:lvlText w:val="%1.%2."/>
      <w:lvlJc w:val="left"/>
      <w:pPr>
        <w:ind w:left="2121" w:firstLine="399"/>
      </w:pPr>
      <w:rPr>
        <w:rFonts w:hint="default"/>
      </w:rPr>
    </w:lvl>
    <w:lvl w:ilvl="2">
      <w:start w:val="1"/>
      <w:numFmt w:val="decimal"/>
      <w:lvlText w:val="%1.%2.%3."/>
      <w:lvlJc w:val="left"/>
      <w:pPr>
        <w:ind w:left="2121" w:firstLine="759"/>
      </w:pPr>
      <w:rPr>
        <w:rFonts w:hint="default"/>
      </w:rPr>
    </w:lvl>
    <w:lvl w:ilvl="3">
      <w:start w:val="1"/>
      <w:numFmt w:val="decimal"/>
      <w:lvlText w:val="%1.%2.%3.%4."/>
      <w:lvlJc w:val="left"/>
      <w:pPr>
        <w:ind w:left="2121" w:firstLine="1119"/>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8" w15:restartNumberingAfterBreak="0">
    <w:nsid w:val="18801DAD"/>
    <w:multiLevelType w:val="multilevel"/>
    <w:tmpl w:val="3BFA39A6"/>
    <w:styleLink w:val="OCENumberedList"/>
    <w:lvl w:ilvl="0">
      <w:start w:val="1"/>
      <w:numFmt w:val="decimal"/>
      <w:pStyle w:val="ListNumber"/>
      <w:lvlText w:val="%1."/>
      <w:lvlJc w:val="left"/>
      <w:pPr>
        <w:ind w:left="425" w:hanging="425"/>
      </w:pPr>
      <w:rPr>
        <w:color w:val="005CAF"/>
      </w:rPr>
    </w:lvl>
    <w:lvl w:ilvl="1">
      <w:start w:val="1"/>
      <w:numFmt w:val="decimal"/>
      <w:pStyle w:val="ListNumber2"/>
      <w:lvlText w:val="%1.%2"/>
      <w:lvlJc w:val="left"/>
      <w:pPr>
        <w:ind w:left="992" w:hanging="567"/>
      </w:pPr>
      <w:rPr>
        <w:color w:val="005CAF"/>
      </w:rPr>
    </w:lvl>
    <w:lvl w:ilvl="2">
      <w:start w:val="1"/>
      <w:numFmt w:val="decimal"/>
      <w:pStyle w:val="ListNumber3"/>
      <w:lvlText w:val="%1.%2.%3"/>
      <w:lvlJc w:val="left"/>
      <w:pPr>
        <w:ind w:left="1701" w:hanging="709"/>
      </w:pPr>
      <w:rPr>
        <w:color w:val="005CAF"/>
      </w:rPr>
    </w:lvl>
    <w:lvl w:ilvl="3">
      <w:start w:val="1"/>
      <w:numFmt w:val="none"/>
      <w:pStyle w:val="ListNumber4"/>
      <w:suff w:val="nothing"/>
      <w:lvlText w:val=""/>
      <w:lvlJc w:val="left"/>
      <w:pPr>
        <w:ind w:left="1701" w:firstLine="0"/>
      </w:pPr>
      <w:rPr>
        <w:rFonts w:hint="default"/>
      </w:rPr>
    </w:lvl>
    <w:lvl w:ilvl="4">
      <w:start w:val="1"/>
      <w:numFmt w:val="none"/>
      <w:lvlRestart w:val="0"/>
      <w:suff w:val="nothing"/>
      <w:lvlText w:val=""/>
      <w:lvlJc w:val="left"/>
      <w:pPr>
        <w:ind w:left="3686" w:firstLine="0"/>
      </w:pPr>
      <w:rPr>
        <w:rFonts w:hint="default"/>
      </w:rPr>
    </w:lvl>
    <w:lvl w:ilvl="5">
      <w:start w:val="1"/>
      <w:numFmt w:val="none"/>
      <w:lvlRestart w:val="0"/>
      <w:suff w:val="nothing"/>
      <w:lvlText w:val=""/>
      <w:lvlJc w:val="left"/>
      <w:pPr>
        <w:ind w:left="3686" w:firstLine="0"/>
      </w:pPr>
      <w:rPr>
        <w:rFonts w:hint="default"/>
      </w:rPr>
    </w:lvl>
    <w:lvl w:ilvl="6">
      <w:start w:val="1"/>
      <w:numFmt w:val="none"/>
      <w:lvlRestart w:val="0"/>
      <w:suff w:val="nothing"/>
      <w:lvlText w:val=""/>
      <w:lvlJc w:val="left"/>
      <w:pPr>
        <w:ind w:left="3686" w:firstLine="0"/>
      </w:pPr>
      <w:rPr>
        <w:rFonts w:hint="default"/>
      </w:rPr>
    </w:lvl>
    <w:lvl w:ilvl="7">
      <w:start w:val="1"/>
      <w:numFmt w:val="none"/>
      <w:lvlRestart w:val="0"/>
      <w:suff w:val="nothing"/>
      <w:lvlText w:val=""/>
      <w:lvlJc w:val="left"/>
      <w:pPr>
        <w:ind w:left="3686" w:firstLine="0"/>
      </w:pPr>
      <w:rPr>
        <w:rFonts w:hint="default"/>
      </w:rPr>
    </w:lvl>
    <w:lvl w:ilvl="8">
      <w:start w:val="1"/>
      <w:numFmt w:val="none"/>
      <w:lvlRestart w:val="0"/>
      <w:suff w:val="nothing"/>
      <w:lvlText w:val=""/>
      <w:lvlJc w:val="left"/>
      <w:pPr>
        <w:ind w:left="3686" w:firstLine="0"/>
      </w:pPr>
      <w:rPr>
        <w:rFonts w:hint="default"/>
      </w:rPr>
    </w:lvl>
  </w:abstractNum>
  <w:abstractNum w:abstractNumId="9" w15:restartNumberingAfterBreak="0">
    <w:nsid w:val="1A572D9B"/>
    <w:multiLevelType w:val="multilevel"/>
    <w:tmpl w:val="2FAC326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9."/>
      <w:lvlJc w:val="left"/>
      <w:pPr>
        <w:ind w:left="-32767" w:firstLine="0"/>
      </w:pPr>
      <w:rPr>
        <w:rFonts w:hint="default"/>
      </w:rPr>
    </w:lvl>
  </w:abstractNum>
  <w:abstractNum w:abstractNumId="10" w15:restartNumberingAfterBreak="0">
    <w:nsid w:val="343D5378"/>
    <w:multiLevelType w:val="multilevel"/>
    <w:tmpl w:val="7D22E52C"/>
    <w:numStyleLink w:val="OCEBulletedList"/>
  </w:abstractNum>
  <w:abstractNum w:abstractNumId="11" w15:restartNumberingAfterBreak="0">
    <w:nsid w:val="3CA8400C"/>
    <w:multiLevelType w:val="singleLevel"/>
    <w:tmpl w:val="D42E603A"/>
    <w:lvl w:ilvl="0">
      <w:start w:val="1"/>
      <w:numFmt w:val="bullet"/>
      <w:pStyle w:val="Bullet2"/>
      <w:lvlText w:val=""/>
      <w:lvlJc w:val="left"/>
      <w:pPr>
        <w:tabs>
          <w:tab w:val="num" w:pos="1418"/>
        </w:tabs>
        <w:ind w:left="1418" w:hanging="709"/>
      </w:pPr>
      <w:rPr>
        <w:rFonts w:ascii="Symbol" w:hAnsi="Symbol" w:hint="default"/>
        <w:b w:val="0"/>
        <w:i w:val="0"/>
        <w:sz w:val="20"/>
      </w:rPr>
    </w:lvl>
  </w:abstractNum>
  <w:abstractNum w:abstractNumId="12" w15:restartNumberingAfterBreak="0">
    <w:nsid w:val="413C507C"/>
    <w:multiLevelType w:val="multilevel"/>
    <w:tmpl w:val="7D22E52C"/>
    <w:numStyleLink w:val="OCEBulletedList"/>
  </w:abstractNum>
  <w:abstractNum w:abstractNumId="13" w15:restartNumberingAfterBreak="0">
    <w:nsid w:val="427C52AC"/>
    <w:multiLevelType w:val="hybridMultilevel"/>
    <w:tmpl w:val="B33EFA24"/>
    <w:lvl w:ilvl="0" w:tplc="421473CC">
      <w:start w:val="1"/>
      <w:numFmt w:val="bullet"/>
      <w:pStyle w:val="Keypointsbullet"/>
      <w:lvlText w:val=""/>
      <w:lvlJc w:val="left"/>
      <w:pPr>
        <w:ind w:left="360" w:hanging="360"/>
      </w:pPr>
      <w:rPr>
        <w:rFonts w:ascii="Wingdings" w:hAnsi="Wingdings" w:hint="default"/>
        <w:color w:val="005CAF"/>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4" w15:restartNumberingAfterBreak="0">
    <w:nsid w:val="4B94390E"/>
    <w:multiLevelType w:val="multilevel"/>
    <w:tmpl w:val="7D22E52C"/>
    <w:styleLink w:val="OCEBulletedList"/>
    <w:lvl w:ilvl="0">
      <w:start w:val="1"/>
      <w:numFmt w:val="bullet"/>
      <w:pStyle w:val="ListBullet"/>
      <w:lvlText w:val=""/>
      <w:lvlJc w:val="left"/>
      <w:pPr>
        <w:ind w:left="340" w:hanging="340"/>
      </w:pPr>
      <w:rPr>
        <w:rFonts w:ascii="Wingdings" w:hAnsi="Wingdings" w:hint="default"/>
        <w:color w:val="005CAF"/>
      </w:rPr>
    </w:lvl>
    <w:lvl w:ilvl="1">
      <w:start w:val="1"/>
      <w:numFmt w:val="bullet"/>
      <w:pStyle w:val="ListBullet2"/>
      <w:lvlText w:val=""/>
      <w:lvlJc w:val="left"/>
      <w:pPr>
        <w:ind w:left="1050" w:hanging="340"/>
      </w:pPr>
      <w:rPr>
        <w:rFonts w:ascii="Wingdings" w:hAnsi="Wingdings" w:hint="default"/>
        <w:b w:val="0"/>
        <w:i w:val="0"/>
        <w:color w:val="005CAF"/>
        <w:w w:val="100"/>
        <w:position w:val="0"/>
        <w:sz w:val="20"/>
        <w:vertAlign w:val="baseline"/>
      </w:rPr>
    </w:lvl>
    <w:lvl w:ilvl="2">
      <w:start w:val="1"/>
      <w:numFmt w:val="bullet"/>
      <w:pStyle w:val="ListBullet3"/>
      <w:lvlText w:val="-"/>
      <w:lvlJc w:val="left"/>
      <w:pPr>
        <w:ind w:left="964" w:hanging="255"/>
      </w:pPr>
      <w:rPr>
        <w:rFonts w:ascii="Courier New" w:hAnsi="Courier New" w:hint="default"/>
        <w:color w:val="005CAF"/>
      </w:rPr>
    </w:lvl>
    <w:lvl w:ilvl="3">
      <w:start w:val="1"/>
      <w:numFmt w:val="none"/>
      <w:pStyle w:val="ListBullet4"/>
      <w:suff w:val="nothing"/>
      <w:lvlText w:val=""/>
      <w:lvlJc w:val="left"/>
      <w:pPr>
        <w:ind w:left="1134"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53813CDC"/>
    <w:multiLevelType w:val="multilevel"/>
    <w:tmpl w:val="D5BAF582"/>
    <w:numStyleLink w:val="OCEHeadings"/>
  </w:abstractNum>
  <w:abstractNum w:abstractNumId="16" w15:restartNumberingAfterBreak="0">
    <w:nsid w:val="69925004"/>
    <w:multiLevelType w:val="multilevel"/>
    <w:tmpl w:val="7D22E52C"/>
    <w:numStyleLink w:val="OCEBulletedList"/>
  </w:abstractNum>
  <w:abstractNum w:abstractNumId="17" w15:restartNumberingAfterBreak="0">
    <w:nsid w:val="755C274A"/>
    <w:multiLevelType w:val="multilevel"/>
    <w:tmpl w:val="7D22E52C"/>
    <w:numStyleLink w:val="OCEBulletedList"/>
  </w:abstractNum>
  <w:abstractNum w:abstractNumId="18" w15:restartNumberingAfterBreak="0">
    <w:nsid w:val="768D4473"/>
    <w:multiLevelType w:val="multilevel"/>
    <w:tmpl w:val="7D22E52C"/>
    <w:numStyleLink w:val="OCEBulletedList"/>
  </w:abstractNum>
  <w:abstractNum w:abstractNumId="19" w15:restartNumberingAfterBreak="0">
    <w:nsid w:val="7AAF61C4"/>
    <w:multiLevelType w:val="multilevel"/>
    <w:tmpl w:val="7D22E52C"/>
    <w:numStyleLink w:val="OCEBulletedList"/>
  </w:abstractNum>
  <w:abstractNum w:abstractNumId="20" w15:restartNumberingAfterBreak="0">
    <w:nsid w:val="7E9912D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20"/>
  </w:num>
  <w:num w:numId="3">
    <w:abstractNumId w:val="1"/>
  </w:num>
  <w:num w:numId="4">
    <w:abstractNumId w:val="14"/>
  </w:num>
  <w:num w:numId="5">
    <w:abstractNumId w:val="8"/>
  </w:num>
  <w:num w:numId="6">
    <w:abstractNumId w:val="7"/>
  </w:num>
  <w:num w:numId="7">
    <w:abstractNumId w:val="13"/>
  </w:num>
  <w:num w:numId="8">
    <w:abstractNumId w:val="6"/>
  </w:num>
  <w:num w:numId="9">
    <w:abstractNumId w:val="15"/>
  </w:num>
  <w:num w:numId="10">
    <w:abstractNumId w:val="15"/>
  </w:num>
  <w:num w:numId="11">
    <w:abstractNumId w:val="17"/>
  </w:num>
  <w:num w:numId="12">
    <w:abstractNumId w:val="5"/>
  </w:num>
  <w:num w:numId="13">
    <w:abstractNumId w:val="14"/>
  </w:num>
  <w:num w:numId="14">
    <w:abstractNumId w:val="13"/>
  </w:num>
  <w:num w:numId="15">
    <w:abstractNumId w:val="13"/>
  </w:num>
  <w:num w:numId="16">
    <w:abstractNumId w:val="5"/>
  </w:num>
  <w:num w:numId="17">
    <w:abstractNumId w:val="6"/>
  </w:num>
  <w:num w:numId="18">
    <w:abstractNumId w:val="15"/>
  </w:num>
  <w:num w:numId="19">
    <w:abstractNumId w:val="15"/>
  </w:num>
  <w:num w:numId="20">
    <w:abstractNumId w:val="15"/>
  </w:num>
  <w:num w:numId="21">
    <w:abstractNumId w:val="9"/>
  </w:num>
  <w:num w:numId="22">
    <w:abstractNumId w:val="3"/>
  </w:num>
  <w:num w:numId="23">
    <w:abstractNumId w:val="16"/>
  </w:num>
  <w:num w:numId="24">
    <w:abstractNumId w:val="2"/>
  </w:num>
  <w:num w:numId="25">
    <w:abstractNumId w:val="14"/>
  </w:num>
  <w:num w:numId="26">
    <w:abstractNumId w:val="14"/>
  </w:num>
  <w:num w:numId="27">
    <w:abstractNumId w:val="12"/>
  </w:num>
  <w:num w:numId="28">
    <w:abstractNumId w:val="10"/>
  </w:num>
  <w:num w:numId="29">
    <w:abstractNumId w:val="18"/>
  </w:num>
  <w:num w:numId="30">
    <w:abstractNumId w:val="19"/>
  </w:num>
  <w:num w:numId="31">
    <w:abstractNumId w:val="4"/>
  </w:num>
  <w:num w:numId="32">
    <w:abstractNumId w:val="13"/>
  </w:num>
  <w:num w:numId="33">
    <w:abstractNumId w:val="13"/>
  </w:num>
  <w:num w:numId="34">
    <w:abstractNumId w:val="14"/>
  </w:num>
  <w:num w:numId="35">
    <w:abstractNumId w:val="14"/>
  </w:num>
  <w:num w:numId="3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38"/>
    <w:rsid w:val="00000A47"/>
    <w:rsid w:val="00002BFD"/>
    <w:rsid w:val="00002F55"/>
    <w:rsid w:val="000036F1"/>
    <w:rsid w:val="00003B81"/>
    <w:rsid w:val="00004365"/>
    <w:rsid w:val="00004BF6"/>
    <w:rsid w:val="00007EBB"/>
    <w:rsid w:val="00010903"/>
    <w:rsid w:val="0001161C"/>
    <w:rsid w:val="00011BE7"/>
    <w:rsid w:val="000122D8"/>
    <w:rsid w:val="00013F4A"/>
    <w:rsid w:val="00013F80"/>
    <w:rsid w:val="000144D5"/>
    <w:rsid w:val="00015DCA"/>
    <w:rsid w:val="00017BB5"/>
    <w:rsid w:val="000238B9"/>
    <w:rsid w:val="0002648C"/>
    <w:rsid w:val="00030E35"/>
    <w:rsid w:val="00035325"/>
    <w:rsid w:val="00037B42"/>
    <w:rsid w:val="00041FE3"/>
    <w:rsid w:val="000424AD"/>
    <w:rsid w:val="00043051"/>
    <w:rsid w:val="00047373"/>
    <w:rsid w:val="00050C37"/>
    <w:rsid w:val="0005753A"/>
    <w:rsid w:val="00060184"/>
    <w:rsid w:val="00060761"/>
    <w:rsid w:val="00060CE1"/>
    <w:rsid w:val="000614AF"/>
    <w:rsid w:val="000618FB"/>
    <w:rsid w:val="000641E0"/>
    <w:rsid w:val="0006492D"/>
    <w:rsid w:val="00067812"/>
    <w:rsid w:val="00070749"/>
    <w:rsid w:val="0007137D"/>
    <w:rsid w:val="000728D2"/>
    <w:rsid w:val="00076541"/>
    <w:rsid w:val="00076E42"/>
    <w:rsid w:val="00082BF4"/>
    <w:rsid w:val="00090174"/>
    <w:rsid w:val="000904D3"/>
    <w:rsid w:val="000920D2"/>
    <w:rsid w:val="0009411D"/>
    <w:rsid w:val="00096F6A"/>
    <w:rsid w:val="000A011E"/>
    <w:rsid w:val="000A29BA"/>
    <w:rsid w:val="000A3D7F"/>
    <w:rsid w:val="000A4E45"/>
    <w:rsid w:val="000A5452"/>
    <w:rsid w:val="000A5CFF"/>
    <w:rsid w:val="000A6370"/>
    <w:rsid w:val="000A63C0"/>
    <w:rsid w:val="000A6F5B"/>
    <w:rsid w:val="000B279E"/>
    <w:rsid w:val="000B2C1B"/>
    <w:rsid w:val="000B2DFC"/>
    <w:rsid w:val="000B5BC7"/>
    <w:rsid w:val="000B7F7A"/>
    <w:rsid w:val="000C03CF"/>
    <w:rsid w:val="000C0DD7"/>
    <w:rsid w:val="000C19CB"/>
    <w:rsid w:val="000C5C3C"/>
    <w:rsid w:val="000C6AD6"/>
    <w:rsid w:val="000D33DA"/>
    <w:rsid w:val="000D3692"/>
    <w:rsid w:val="000D5123"/>
    <w:rsid w:val="000E415F"/>
    <w:rsid w:val="000F0460"/>
    <w:rsid w:val="000F0E5C"/>
    <w:rsid w:val="00100B74"/>
    <w:rsid w:val="00101A29"/>
    <w:rsid w:val="00107A3F"/>
    <w:rsid w:val="00112208"/>
    <w:rsid w:val="001135D0"/>
    <w:rsid w:val="00114BB1"/>
    <w:rsid w:val="00114FD4"/>
    <w:rsid w:val="0011640A"/>
    <w:rsid w:val="00116E58"/>
    <w:rsid w:val="00117D8A"/>
    <w:rsid w:val="00117F8A"/>
    <w:rsid w:val="0012045F"/>
    <w:rsid w:val="00120E94"/>
    <w:rsid w:val="001243D4"/>
    <w:rsid w:val="001246EC"/>
    <w:rsid w:val="00125971"/>
    <w:rsid w:val="0013066A"/>
    <w:rsid w:val="00134B28"/>
    <w:rsid w:val="00135E19"/>
    <w:rsid w:val="00145D7B"/>
    <w:rsid w:val="0014697F"/>
    <w:rsid w:val="0015000D"/>
    <w:rsid w:val="001517A1"/>
    <w:rsid w:val="00156B5B"/>
    <w:rsid w:val="00163D6E"/>
    <w:rsid w:val="001658D2"/>
    <w:rsid w:val="00166576"/>
    <w:rsid w:val="00166996"/>
    <w:rsid w:val="0017293E"/>
    <w:rsid w:val="001732B4"/>
    <w:rsid w:val="00174624"/>
    <w:rsid w:val="0017468E"/>
    <w:rsid w:val="0018083B"/>
    <w:rsid w:val="001809BF"/>
    <w:rsid w:val="00180E4F"/>
    <w:rsid w:val="00182B15"/>
    <w:rsid w:val="00182BC7"/>
    <w:rsid w:val="001862AC"/>
    <w:rsid w:val="00186D3D"/>
    <w:rsid w:val="001900EE"/>
    <w:rsid w:val="0019168F"/>
    <w:rsid w:val="00195C83"/>
    <w:rsid w:val="001A0DEB"/>
    <w:rsid w:val="001A322A"/>
    <w:rsid w:val="001A3451"/>
    <w:rsid w:val="001A48B2"/>
    <w:rsid w:val="001A4E10"/>
    <w:rsid w:val="001A6352"/>
    <w:rsid w:val="001B032F"/>
    <w:rsid w:val="001B345E"/>
    <w:rsid w:val="001B3F96"/>
    <w:rsid w:val="001B54B9"/>
    <w:rsid w:val="001B6316"/>
    <w:rsid w:val="001B6554"/>
    <w:rsid w:val="001C06EF"/>
    <w:rsid w:val="001C3782"/>
    <w:rsid w:val="001C46C3"/>
    <w:rsid w:val="001C4733"/>
    <w:rsid w:val="001C4FFC"/>
    <w:rsid w:val="001C5291"/>
    <w:rsid w:val="001D07A5"/>
    <w:rsid w:val="001D1B60"/>
    <w:rsid w:val="001D204F"/>
    <w:rsid w:val="001D2E2D"/>
    <w:rsid w:val="001D4374"/>
    <w:rsid w:val="001D5304"/>
    <w:rsid w:val="001E2136"/>
    <w:rsid w:val="001E4942"/>
    <w:rsid w:val="001E7838"/>
    <w:rsid w:val="001F1E5D"/>
    <w:rsid w:val="001F551B"/>
    <w:rsid w:val="001F5BC1"/>
    <w:rsid w:val="001F5F85"/>
    <w:rsid w:val="001F61C6"/>
    <w:rsid w:val="001F6276"/>
    <w:rsid w:val="001F6FAB"/>
    <w:rsid w:val="001F7477"/>
    <w:rsid w:val="001F74CA"/>
    <w:rsid w:val="002029E0"/>
    <w:rsid w:val="00202B8F"/>
    <w:rsid w:val="002076C8"/>
    <w:rsid w:val="00207D37"/>
    <w:rsid w:val="00214241"/>
    <w:rsid w:val="00215EFE"/>
    <w:rsid w:val="0022378D"/>
    <w:rsid w:val="00225842"/>
    <w:rsid w:val="002308A5"/>
    <w:rsid w:val="00233570"/>
    <w:rsid w:val="00234CEA"/>
    <w:rsid w:val="00237781"/>
    <w:rsid w:val="002400CF"/>
    <w:rsid w:val="00246F21"/>
    <w:rsid w:val="00247B26"/>
    <w:rsid w:val="00251254"/>
    <w:rsid w:val="00252C28"/>
    <w:rsid w:val="00253D74"/>
    <w:rsid w:val="00255773"/>
    <w:rsid w:val="00256BD3"/>
    <w:rsid w:val="002630DD"/>
    <w:rsid w:val="00264D67"/>
    <w:rsid w:val="002655BC"/>
    <w:rsid w:val="00265645"/>
    <w:rsid w:val="0026576F"/>
    <w:rsid w:val="0026658D"/>
    <w:rsid w:val="00267507"/>
    <w:rsid w:val="00270534"/>
    <w:rsid w:val="00272952"/>
    <w:rsid w:val="002757A5"/>
    <w:rsid w:val="00280EB9"/>
    <w:rsid w:val="002830F6"/>
    <w:rsid w:val="00285A2F"/>
    <w:rsid w:val="002866DE"/>
    <w:rsid w:val="0028768B"/>
    <w:rsid w:val="0029234D"/>
    <w:rsid w:val="00292AE8"/>
    <w:rsid w:val="002A11FE"/>
    <w:rsid w:val="002A33E7"/>
    <w:rsid w:val="002A6979"/>
    <w:rsid w:val="002A6BE2"/>
    <w:rsid w:val="002A7F2D"/>
    <w:rsid w:val="002B1DD2"/>
    <w:rsid w:val="002B3220"/>
    <w:rsid w:val="002B779D"/>
    <w:rsid w:val="002C1206"/>
    <w:rsid w:val="002C31E9"/>
    <w:rsid w:val="002C46C9"/>
    <w:rsid w:val="002C5ED2"/>
    <w:rsid w:val="002C7B38"/>
    <w:rsid w:val="002D0127"/>
    <w:rsid w:val="002D322E"/>
    <w:rsid w:val="002D4188"/>
    <w:rsid w:val="002D4DC6"/>
    <w:rsid w:val="002D56BA"/>
    <w:rsid w:val="002D5C65"/>
    <w:rsid w:val="002E0BB9"/>
    <w:rsid w:val="002E0FF0"/>
    <w:rsid w:val="002E3270"/>
    <w:rsid w:val="002E43BD"/>
    <w:rsid w:val="002F0EEF"/>
    <w:rsid w:val="002F2208"/>
    <w:rsid w:val="002F44BA"/>
    <w:rsid w:val="002F487F"/>
    <w:rsid w:val="002F56EE"/>
    <w:rsid w:val="00300738"/>
    <w:rsid w:val="00301D88"/>
    <w:rsid w:val="0030442F"/>
    <w:rsid w:val="003072A1"/>
    <w:rsid w:val="003076BF"/>
    <w:rsid w:val="00307AD6"/>
    <w:rsid w:val="00311A07"/>
    <w:rsid w:val="00311B71"/>
    <w:rsid w:val="00315AE5"/>
    <w:rsid w:val="00315B65"/>
    <w:rsid w:val="00315C5C"/>
    <w:rsid w:val="00322656"/>
    <w:rsid w:val="003322B1"/>
    <w:rsid w:val="00340E62"/>
    <w:rsid w:val="00345516"/>
    <w:rsid w:val="00347A7F"/>
    <w:rsid w:val="00350C19"/>
    <w:rsid w:val="00352356"/>
    <w:rsid w:val="003534BC"/>
    <w:rsid w:val="00354E7E"/>
    <w:rsid w:val="00354EA2"/>
    <w:rsid w:val="003578A6"/>
    <w:rsid w:val="003641D9"/>
    <w:rsid w:val="00364BAD"/>
    <w:rsid w:val="00364D2F"/>
    <w:rsid w:val="00370CD0"/>
    <w:rsid w:val="003712D9"/>
    <w:rsid w:val="00371F36"/>
    <w:rsid w:val="0037216C"/>
    <w:rsid w:val="0037708E"/>
    <w:rsid w:val="00382BE7"/>
    <w:rsid w:val="00385BB6"/>
    <w:rsid w:val="00387F73"/>
    <w:rsid w:val="003960C5"/>
    <w:rsid w:val="003967EE"/>
    <w:rsid w:val="00396E87"/>
    <w:rsid w:val="003A253A"/>
    <w:rsid w:val="003A33D9"/>
    <w:rsid w:val="003A564E"/>
    <w:rsid w:val="003A5A88"/>
    <w:rsid w:val="003A5AD0"/>
    <w:rsid w:val="003B12F3"/>
    <w:rsid w:val="003B141B"/>
    <w:rsid w:val="003B59CF"/>
    <w:rsid w:val="003B7ABC"/>
    <w:rsid w:val="003B7C70"/>
    <w:rsid w:val="003C0FAA"/>
    <w:rsid w:val="003C5819"/>
    <w:rsid w:val="003C587D"/>
    <w:rsid w:val="003D0E4F"/>
    <w:rsid w:val="003D1CCE"/>
    <w:rsid w:val="003D6536"/>
    <w:rsid w:val="003D7074"/>
    <w:rsid w:val="003E246C"/>
    <w:rsid w:val="003E32D9"/>
    <w:rsid w:val="003E3664"/>
    <w:rsid w:val="003E50C4"/>
    <w:rsid w:val="003E559F"/>
    <w:rsid w:val="003E762E"/>
    <w:rsid w:val="003F7E51"/>
    <w:rsid w:val="00402D55"/>
    <w:rsid w:val="00407BFB"/>
    <w:rsid w:val="00410B42"/>
    <w:rsid w:val="0041256E"/>
    <w:rsid w:val="00420059"/>
    <w:rsid w:val="004253A5"/>
    <w:rsid w:val="00426883"/>
    <w:rsid w:val="00426ACA"/>
    <w:rsid w:val="00430E39"/>
    <w:rsid w:val="00431C6A"/>
    <w:rsid w:val="00432ABB"/>
    <w:rsid w:val="00434C78"/>
    <w:rsid w:val="00435FDB"/>
    <w:rsid w:val="00436D7F"/>
    <w:rsid w:val="00442C07"/>
    <w:rsid w:val="0044360D"/>
    <w:rsid w:val="004459B3"/>
    <w:rsid w:val="00445DE2"/>
    <w:rsid w:val="00446C1F"/>
    <w:rsid w:val="00447193"/>
    <w:rsid w:val="00447972"/>
    <w:rsid w:val="00447B15"/>
    <w:rsid w:val="00453DB8"/>
    <w:rsid w:val="00454500"/>
    <w:rsid w:val="004561DA"/>
    <w:rsid w:val="0045635D"/>
    <w:rsid w:val="00457D05"/>
    <w:rsid w:val="0046406C"/>
    <w:rsid w:val="00464C8C"/>
    <w:rsid w:val="00464F71"/>
    <w:rsid w:val="00466793"/>
    <w:rsid w:val="0047180F"/>
    <w:rsid w:val="00474C4B"/>
    <w:rsid w:val="0047563C"/>
    <w:rsid w:val="00477C01"/>
    <w:rsid w:val="0048023B"/>
    <w:rsid w:val="00480CAF"/>
    <w:rsid w:val="004812C0"/>
    <w:rsid w:val="00483169"/>
    <w:rsid w:val="00483F96"/>
    <w:rsid w:val="00493446"/>
    <w:rsid w:val="004939EA"/>
    <w:rsid w:val="004942C4"/>
    <w:rsid w:val="00495C1B"/>
    <w:rsid w:val="00496236"/>
    <w:rsid w:val="00496875"/>
    <w:rsid w:val="00496DA4"/>
    <w:rsid w:val="004A46E3"/>
    <w:rsid w:val="004A5598"/>
    <w:rsid w:val="004A6042"/>
    <w:rsid w:val="004A752B"/>
    <w:rsid w:val="004A756B"/>
    <w:rsid w:val="004B0E4F"/>
    <w:rsid w:val="004B2663"/>
    <w:rsid w:val="004B2C98"/>
    <w:rsid w:val="004B2FEA"/>
    <w:rsid w:val="004B3DA9"/>
    <w:rsid w:val="004B4E62"/>
    <w:rsid w:val="004B53E7"/>
    <w:rsid w:val="004B67E6"/>
    <w:rsid w:val="004B70E3"/>
    <w:rsid w:val="004B784D"/>
    <w:rsid w:val="004B7AEA"/>
    <w:rsid w:val="004C1602"/>
    <w:rsid w:val="004C2892"/>
    <w:rsid w:val="004C3A58"/>
    <w:rsid w:val="004C7203"/>
    <w:rsid w:val="004E0B4D"/>
    <w:rsid w:val="004E1CA5"/>
    <w:rsid w:val="004E2E6A"/>
    <w:rsid w:val="004E33DE"/>
    <w:rsid w:val="004E3D67"/>
    <w:rsid w:val="004E744E"/>
    <w:rsid w:val="004F0959"/>
    <w:rsid w:val="004F3AB0"/>
    <w:rsid w:val="004F4212"/>
    <w:rsid w:val="004F679C"/>
    <w:rsid w:val="004F7D5E"/>
    <w:rsid w:val="00502804"/>
    <w:rsid w:val="00503C02"/>
    <w:rsid w:val="00505701"/>
    <w:rsid w:val="0051017B"/>
    <w:rsid w:val="0051079B"/>
    <w:rsid w:val="0051099B"/>
    <w:rsid w:val="00511756"/>
    <w:rsid w:val="005126DB"/>
    <w:rsid w:val="005127E1"/>
    <w:rsid w:val="00513F90"/>
    <w:rsid w:val="005141A1"/>
    <w:rsid w:val="00516A09"/>
    <w:rsid w:val="00516D57"/>
    <w:rsid w:val="00521151"/>
    <w:rsid w:val="00522523"/>
    <w:rsid w:val="00522EBD"/>
    <w:rsid w:val="00523B54"/>
    <w:rsid w:val="00525CAD"/>
    <w:rsid w:val="00527CD7"/>
    <w:rsid w:val="00530869"/>
    <w:rsid w:val="00532498"/>
    <w:rsid w:val="00535FBC"/>
    <w:rsid w:val="0054197B"/>
    <w:rsid w:val="005453E2"/>
    <w:rsid w:val="00550C82"/>
    <w:rsid w:val="00556CF7"/>
    <w:rsid w:val="005577F2"/>
    <w:rsid w:val="00562489"/>
    <w:rsid w:val="00570C8E"/>
    <w:rsid w:val="0057169D"/>
    <w:rsid w:val="00573F05"/>
    <w:rsid w:val="00576504"/>
    <w:rsid w:val="0057657B"/>
    <w:rsid w:val="00576B53"/>
    <w:rsid w:val="00584542"/>
    <w:rsid w:val="00585BB3"/>
    <w:rsid w:val="005862E9"/>
    <w:rsid w:val="00586915"/>
    <w:rsid w:val="00586EC7"/>
    <w:rsid w:val="00587701"/>
    <w:rsid w:val="00591C9A"/>
    <w:rsid w:val="005971FA"/>
    <w:rsid w:val="005A09DF"/>
    <w:rsid w:val="005A39A1"/>
    <w:rsid w:val="005A409E"/>
    <w:rsid w:val="005A65AA"/>
    <w:rsid w:val="005B525D"/>
    <w:rsid w:val="005C4185"/>
    <w:rsid w:val="005C5D37"/>
    <w:rsid w:val="005C6FB9"/>
    <w:rsid w:val="005D0BB0"/>
    <w:rsid w:val="005D0DE5"/>
    <w:rsid w:val="005D3502"/>
    <w:rsid w:val="005D7981"/>
    <w:rsid w:val="005E121F"/>
    <w:rsid w:val="005E5AE3"/>
    <w:rsid w:val="005E6AC0"/>
    <w:rsid w:val="005E7981"/>
    <w:rsid w:val="005F4627"/>
    <w:rsid w:val="005F5226"/>
    <w:rsid w:val="005F6067"/>
    <w:rsid w:val="005F74B5"/>
    <w:rsid w:val="00603F30"/>
    <w:rsid w:val="00604241"/>
    <w:rsid w:val="006043C0"/>
    <w:rsid w:val="00605E94"/>
    <w:rsid w:val="00611312"/>
    <w:rsid w:val="0061140B"/>
    <w:rsid w:val="006128D9"/>
    <w:rsid w:val="006169F9"/>
    <w:rsid w:val="00616A03"/>
    <w:rsid w:val="0062058C"/>
    <w:rsid w:val="00620945"/>
    <w:rsid w:val="0063036B"/>
    <w:rsid w:val="006321E5"/>
    <w:rsid w:val="00632C94"/>
    <w:rsid w:val="006346A5"/>
    <w:rsid w:val="00635987"/>
    <w:rsid w:val="006370E6"/>
    <w:rsid w:val="00637D53"/>
    <w:rsid w:val="00640B00"/>
    <w:rsid w:val="00641BBD"/>
    <w:rsid w:val="006446EF"/>
    <w:rsid w:val="00646834"/>
    <w:rsid w:val="00647C33"/>
    <w:rsid w:val="0065093E"/>
    <w:rsid w:val="0065213F"/>
    <w:rsid w:val="00652811"/>
    <w:rsid w:val="00652B85"/>
    <w:rsid w:val="0065696F"/>
    <w:rsid w:val="006576BE"/>
    <w:rsid w:val="00665B3D"/>
    <w:rsid w:val="00670810"/>
    <w:rsid w:val="00671B11"/>
    <w:rsid w:val="00672152"/>
    <w:rsid w:val="006721A2"/>
    <w:rsid w:val="00676460"/>
    <w:rsid w:val="0068393A"/>
    <w:rsid w:val="00684893"/>
    <w:rsid w:val="00685F6E"/>
    <w:rsid w:val="00686E61"/>
    <w:rsid w:val="00687E8F"/>
    <w:rsid w:val="006915ED"/>
    <w:rsid w:val="00692166"/>
    <w:rsid w:val="006933A3"/>
    <w:rsid w:val="006948AC"/>
    <w:rsid w:val="006A12D8"/>
    <w:rsid w:val="006A3983"/>
    <w:rsid w:val="006A553E"/>
    <w:rsid w:val="006A6873"/>
    <w:rsid w:val="006B206C"/>
    <w:rsid w:val="006C0A8C"/>
    <w:rsid w:val="006C295D"/>
    <w:rsid w:val="006C5E1A"/>
    <w:rsid w:val="006C604E"/>
    <w:rsid w:val="006D3274"/>
    <w:rsid w:val="006D61E5"/>
    <w:rsid w:val="006D6C5F"/>
    <w:rsid w:val="006D7511"/>
    <w:rsid w:val="006D7B80"/>
    <w:rsid w:val="006D7DF4"/>
    <w:rsid w:val="006E1824"/>
    <w:rsid w:val="006E4627"/>
    <w:rsid w:val="006F1F8D"/>
    <w:rsid w:val="006F398D"/>
    <w:rsid w:val="00703105"/>
    <w:rsid w:val="00712467"/>
    <w:rsid w:val="00712F84"/>
    <w:rsid w:val="0071365E"/>
    <w:rsid w:val="00717C28"/>
    <w:rsid w:val="00722986"/>
    <w:rsid w:val="0072328B"/>
    <w:rsid w:val="007259B2"/>
    <w:rsid w:val="00727D3D"/>
    <w:rsid w:val="00730ADA"/>
    <w:rsid w:val="00731E8B"/>
    <w:rsid w:val="00732BB5"/>
    <w:rsid w:val="007334F7"/>
    <w:rsid w:val="0073384B"/>
    <w:rsid w:val="00746272"/>
    <w:rsid w:val="00746291"/>
    <w:rsid w:val="00746DCC"/>
    <w:rsid w:val="00751128"/>
    <w:rsid w:val="00752049"/>
    <w:rsid w:val="007529B4"/>
    <w:rsid w:val="00754819"/>
    <w:rsid w:val="007602FD"/>
    <w:rsid w:val="00765582"/>
    <w:rsid w:val="00765BAA"/>
    <w:rsid w:val="00766E58"/>
    <w:rsid w:val="00767248"/>
    <w:rsid w:val="007719E5"/>
    <w:rsid w:val="007765E4"/>
    <w:rsid w:val="007812AE"/>
    <w:rsid w:val="0079046B"/>
    <w:rsid w:val="00792D85"/>
    <w:rsid w:val="00795CA9"/>
    <w:rsid w:val="00796467"/>
    <w:rsid w:val="007A59E6"/>
    <w:rsid w:val="007A6224"/>
    <w:rsid w:val="007A6BA0"/>
    <w:rsid w:val="007A7202"/>
    <w:rsid w:val="007A7D5A"/>
    <w:rsid w:val="007B315F"/>
    <w:rsid w:val="007B31BF"/>
    <w:rsid w:val="007B3AAC"/>
    <w:rsid w:val="007B6487"/>
    <w:rsid w:val="007C594E"/>
    <w:rsid w:val="007C6F2D"/>
    <w:rsid w:val="007D1F1C"/>
    <w:rsid w:val="007D5E09"/>
    <w:rsid w:val="007D7031"/>
    <w:rsid w:val="007D7C0B"/>
    <w:rsid w:val="007D7D86"/>
    <w:rsid w:val="007E42AC"/>
    <w:rsid w:val="007E6036"/>
    <w:rsid w:val="007F026B"/>
    <w:rsid w:val="007F13C4"/>
    <w:rsid w:val="007F194E"/>
    <w:rsid w:val="007F1DB1"/>
    <w:rsid w:val="007F5BB5"/>
    <w:rsid w:val="007F75D3"/>
    <w:rsid w:val="008006BA"/>
    <w:rsid w:val="00802621"/>
    <w:rsid w:val="008057E6"/>
    <w:rsid w:val="00810F3D"/>
    <w:rsid w:val="00811315"/>
    <w:rsid w:val="008174F6"/>
    <w:rsid w:val="00817A6A"/>
    <w:rsid w:val="00820F49"/>
    <w:rsid w:val="008233B0"/>
    <w:rsid w:val="0082355B"/>
    <w:rsid w:val="00823F43"/>
    <w:rsid w:val="008240FF"/>
    <w:rsid w:val="00831870"/>
    <w:rsid w:val="00832CAA"/>
    <w:rsid w:val="008338C6"/>
    <w:rsid w:val="00836BF4"/>
    <w:rsid w:val="0084296C"/>
    <w:rsid w:val="00847122"/>
    <w:rsid w:val="00850C5D"/>
    <w:rsid w:val="008515B0"/>
    <w:rsid w:val="00851CD1"/>
    <w:rsid w:val="00855182"/>
    <w:rsid w:val="00856D4D"/>
    <w:rsid w:val="00861B19"/>
    <w:rsid w:val="008620BF"/>
    <w:rsid w:val="0086611B"/>
    <w:rsid w:val="0087267D"/>
    <w:rsid w:val="008729B5"/>
    <w:rsid w:val="008735F6"/>
    <w:rsid w:val="00876BAA"/>
    <w:rsid w:val="00881C1C"/>
    <w:rsid w:val="0088317C"/>
    <w:rsid w:val="00890F2D"/>
    <w:rsid w:val="0089465B"/>
    <w:rsid w:val="00895006"/>
    <w:rsid w:val="00895030"/>
    <w:rsid w:val="00896189"/>
    <w:rsid w:val="008A1F4D"/>
    <w:rsid w:val="008A25C6"/>
    <w:rsid w:val="008A3077"/>
    <w:rsid w:val="008A3D49"/>
    <w:rsid w:val="008B4FA8"/>
    <w:rsid w:val="008B5EA3"/>
    <w:rsid w:val="008C3E24"/>
    <w:rsid w:val="008C6145"/>
    <w:rsid w:val="008C7439"/>
    <w:rsid w:val="008D0685"/>
    <w:rsid w:val="008D1F5D"/>
    <w:rsid w:val="008D2E53"/>
    <w:rsid w:val="008D4E56"/>
    <w:rsid w:val="008D5B59"/>
    <w:rsid w:val="008E4D04"/>
    <w:rsid w:val="008F03FE"/>
    <w:rsid w:val="008F28CD"/>
    <w:rsid w:val="008F3372"/>
    <w:rsid w:val="008F4093"/>
    <w:rsid w:val="008F55F3"/>
    <w:rsid w:val="008F5AC4"/>
    <w:rsid w:val="0090240E"/>
    <w:rsid w:val="00903E9B"/>
    <w:rsid w:val="00917C8D"/>
    <w:rsid w:val="00917F97"/>
    <w:rsid w:val="00921365"/>
    <w:rsid w:val="00921942"/>
    <w:rsid w:val="00922AF8"/>
    <w:rsid w:val="0092504F"/>
    <w:rsid w:val="009268C0"/>
    <w:rsid w:val="009301C2"/>
    <w:rsid w:val="009311F5"/>
    <w:rsid w:val="0093309C"/>
    <w:rsid w:val="00935433"/>
    <w:rsid w:val="009366BF"/>
    <w:rsid w:val="00940A3B"/>
    <w:rsid w:val="00944C03"/>
    <w:rsid w:val="00947AD1"/>
    <w:rsid w:val="00950C9A"/>
    <w:rsid w:val="00951561"/>
    <w:rsid w:val="009547E5"/>
    <w:rsid w:val="009555B6"/>
    <w:rsid w:val="00960F04"/>
    <w:rsid w:val="009635EF"/>
    <w:rsid w:val="00973C7C"/>
    <w:rsid w:val="009828CA"/>
    <w:rsid w:val="009861EC"/>
    <w:rsid w:val="0099012D"/>
    <w:rsid w:val="009A1F0B"/>
    <w:rsid w:val="009A3B62"/>
    <w:rsid w:val="009B0702"/>
    <w:rsid w:val="009B33AE"/>
    <w:rsid w:val="009B3448"/>
    <w:rsid w:val="009B5C1C"/>
    <w:rsid w:val="009C187E"/>
    <w:rsid w:val="009C25FD"/>
    <w:rsid w:val="009C3B91"/>
    <w:rsid w:val="009D0DF1"/>
    <w:rsid w:val="009D1323"/>
    <w:rsid w:val="009D2673"/>
    <w:rsid w:val="009D6B76"/>
    <w:rsid w:val="009D6D28"/>
    <w:rsid w:val="009E01B6"/>
    <w:rsid w:val="009E16E5"/>
    <w:rsid w:val="009E29F9"/>
    <w:rsid w:val="009E410B"/>
    <w:rsid w:val="009E42B5"/>
    <w:rsid w:val="009E5DBE"/>
    <w:rsid w:val="009F02A0"/>
    <w:rsid w:val="009F2590"/>
    <w:rsid w:val="009F2F2F"/>
    <w:rsid w:val="009F431A"/>
    <w:rsid w:val="009F5FB3"/>
    <w:rsid w:val="009F78F1"/>
    <w:rsid w:val="00A00177"/>
    <w:rsid w:val="00A001C7"/>
    <w:rsid w:val="00A01741"/>
    <w:rsid w:val="00A03095"/>
    <w:rsid w:val="00A03212"/>
    <w:rsid w:val="00A03C28"/>
    <w:rsid w:val="00A05049"/>
    <w:rsid w:val="00A05086"/>
    <w:rsid w:val="00A0712A"/>
    <w:rsid w:val="00A07FE5"/>
    <w:rsid w:val="00A11D17"/>
    <w:rsid w:val="00A13119"/>
    <w:rsid w:val="00A15233"/>
    <w:rsid w:val="00A15A6F"/>
    <w:rsid w:val="00A22938"/>
    <w:rsid w:val="00A25395"/>
    <w:rsid w:val="00A30089"/>
    <w:rsid w:val="00A32C6A"/>
    <w:rsid w:val="00A371FD"/>
    <w:rsid w:val="00A3749F"/>
    <w:rsid w:val="00A374F9"/>
    <w:rsid w:val="00A426CF"/>
    <w:rsid w:val="00A43AFF"/>
    <w:rsid w:val="00A43EC9"/>
    <w:rsid w:val="00A45C3D"/>
    <w:rsid w:val="00A46192"/>
    <w:rsid w:val="00A470A8"/>
    <w:rsid w:val="00A4763A"/>
    <w:rsid w:val="00A503BF"/>
    <w:rsid w:val="00A527F7"/>
    <w:rsid w:val="00A52AFD"/>
    <w:rsid w:val="00A54B55"/>
    <w:rsid w:val="00A56D66"/>
    <w:rsid w:val="00A5742D"/>
    <w:rsid w:val="00A61083"/>
    <w:rsid w:val="00A62806"/>
    <w:rsid w:val="00A646CC"/>
    <w:rsid w:val="00A65155"/>
    <w:rsid w:val="00A67E97"/>
    <w:rsid w:val="00A7049C"/>
    <w:rsid w:val="00A70ECE"/>
    <w:rsid w:val="00A71905"/>
    <w:rsid w:val="00A71A91"/>
    <w:rsid w:val="00A7245B"/>
    <w:rsid w:val="00A84879"/>
    <w:rsid w:val="00A84D04"/>
    <w:rsid w:val="00A87C5A"/>
    <w:rsid w:val="00A902F9"/>
    <w:rsid w:val="00A905F0"/>
    <w:rsid w:val="00A90D4B"/>
    <w:rsid w:val="00A9133A"/>
    <w:rsid w:val="00A955B9"/>
    <w:rsid w:val="00A95F9C"/>
    <w:rsid w:val="00A9777F"/>
    <w:rsid w:val="00AA62BA"/>
    <w:rsid w:val="00AA71B0"/>
    <w:rsid w:val="00AA7485"/>
    <w:rsid w:val="00AA785F"/>
    <w:rsid w:val="00AB28E0"/>
    <w:rsid w:val="00AB3F23"/>
    <w:rsid w:val="00AB46B7"/>
    <w:rsid w:val="00AB4844"/>
    <w:rsid w:val="00AB4C03"/>
    <w:rsid w:val="00AB4D42"/>
    <w:rsid w:val="00AC0A27"/>
    <w:rsid w:val="00AC0EE4"/>
    <w:rsid w:val="00AC6252"/>
    <w:rsid w:val="00AD0224"/>
    <w:rsid w:val="00AD6004"/>
    <w:rsid w:val="00AD6E41"/>
    <w:rsid w:val="00AE3349"/>
    <w:rsid w:val="00AE46E9"/>
    <w:rsid w:val="00AF0526"/>
    <w:rsid w:val="00AF1D6E"/>
    <w:rsid w:val="00AF2F00"/>
    <w:rsid w:val="00B0306F"/>
    <w:rsid w:val="00B0602D"/>
    <w:rsid w:val="00B10091"/>
    <w:rsid w:val="00B124FA"/>
    <w:rsid w:val="00B15477"/>
    <w:rsid w:val="00B16326"/>
    <w:rsid w:val="00B16F86"/>
    <w:rsid w:val="00B2365E"/>
    <w:rsid w:val="00B27CBF"/>
    <w:rsid w:val="00B31763"/>
    <w:rsid w:val="00B3291A"/>
    <w:rsid w:val="00B343CA"/>
    <w:rsid w:val="00B42D88"/>
    <w:rsid w:val="00B438A3"/>
    <w:rsid w:val="00B44F7B"/>
    <w:rsid w:val="00B51CF2"/>
    <w:rsid w:val="00B527E1"/>
    <w:rsid w:val="00B5752F"/>
    <w:rsid w:val="00B6022F"/>
    <w:rsid w:val="00B64AE8"/>
    <w:rsid w:val="00B67202"/>
    <w:rsid w:val="00B67312"/>
    <w:rsid w:val="00B67813"/>
    <w:rsid w:val="00B72E9A"/>
    <w:rsid w:val="00B76076"/>
    <w:rsid w:val="00B762FC"/>
    <w:rsid w:val="00B766F7"/>
    <w:rsid w:val="00B76E6A"/>
    <w:rsid w:val="00B77FC2"/>
    <w:rsid w:val="00B80788"/>
    <w:rsid w:val="00B80B54"/>
    <w:rsid w:val="00B84180"/>
    <w:rsid w:val="00B857CA"/>
    <w:rsid w:val="00B9127E"/>
    <w:rsid w:val="00B924F0"/>
    <w:rsid w:val="00B940DA"/>
    <w:rsid w:val="00B96F46"/>
    <w:rsid w:val="00BA05AA"/>
    <w:rsid w:val="00BA31B0"/>
    <w:rsid w:val="00BA478A"/>
    <w:rsid w:val="00BB087B"/>
    <w:rsid w:val="00BB394D"/>
    <w:rsid w:val="00BB4A84"/>
    <w:rsid w:val="00BC05D4"/>
    <w:rsid w:val="00BC1EBA"/>
    <w:rsid w:val="00BC412E"/>
    <w:rsid w:val="00BD1765"/>
    <w:rsid w:val="00BD771A"/>
    <w:rsid w:val="00BD7D60"/>
    <w:rsid w:val="00BE5D7B"/>
    <w:rsid w:val="00BF281B"/>
    <w:rsid w:val="00BF7420"/>
    <w:rsid w:val="00C003CB"/>
    <w:rsid w:val="00C00493"/>
    <w:rsid w:val="00C005AE"/>
    <w:rsid w:val="00C0070E"/>
    <w:rsid w:val="00C05DA9"/>
    <w:rsid w:val="00C105E5"/>
    <w:rsid w:val="00C109E5"/>
    <w:rsid w:val="00C16EC7"/>
    <w:rsid w:val="00C21AAD"/>
    <w:rsid w:val="00C2262E"/>
    <w:rsid w:val="00C238A8"/>
    <w:rsid w:val="00C3014C"/>
    <w:rsid w:val="00C325FC"/>
    <w:rsid w:val="00C347B5"/>
    <w:rsid w:val="00C36E29"/>
    <w:rsid w:val="00C36EE4"/>
    <w:rsid w:val="00C3720E"/>
    <w:rsid w:val="00C41AE4"/>
    <w:rsid w:val="00C41FE3"/>
    <w:rsid w:val="00C4445F"/>
    <w:rsid w:val="00C44A93"/>
    <w:rsid w:val="00C474C2"/>
    <w:rsid w:val="00C50571"/>
    <w:rsid w:val="00C51C68"/>
    <w:rsid w:val="00C51D12"/>
    <w:rsid w:val="00C527E6"/>
    <w:rsid w:val="00C55C83"/>
    <w:rsid w:val="00C57069"/>
    <w:rsid w:val="00C5799E"/>
    <w:rsid w:val="00C648E0"/>
    <w:rsid w:val="00C65595"/>
    <w:rsid w:val="00C726CD"/>
    <w:rsid w:val="00C73580"/>
    <w:rsid w:val="00C8039D"/>
    <w:rsid w:val="00C821A6"/>
    <w:rsid w:val="00C85480"/>
    <w:rsid w:val="00C8621D"/>
    <w:rsid w:val="00C903E8"/>
    <w:rsid w:val="00C9326C"/>
    <w:rsid w:val="00C93972"/>
    <w:rsid w:val="00CA001F"/>
    <w:rsid w:val="00CA1216"/>
    <w:rsid w:val="00CA2ABF"/>
    <w:rsid w:val="00CB267B"/>
    <w:rsid w:val="00CB448F"/>
    <w:rsid w:val="00CC2CAB"/>
    <w:rsid w:val="00CC38E3"/>
    <w:rsid w:val="00CC611D"/>
    <w:rsid w:val="00CC6865"/>
    <w:rsid w:val="00CD00E3"/>
    <w:rsid w:val="00CD3477"/>
    <w:rsid w:val="00CD595F"/>
    <w:rsid w:val="00CE2C82"/>
    <w:rsid w:val="00CE4D8E"/>
    <w:rsid w:val="00CE51A0"/>
    <w:rsid w:val="00CF0B96"/>
    <w:rsid w:val="00CF0D8C"/>
    <w:rsid w:val="00CF0FB2"/>
    <w:rsid w:val="00CF30D8"/>
    <w:rsid w:val="00CF357C"/>
    <w:rsid w:val="00CF4AB1"/>
    <w:rsid w:val="00CF4D53"/>
    <w:rsid w:val="00CF52CC"/>
    <w:rsid w:val="00CF6976"/>
    <w:rsid w:val="00D006FC"/>
    <w:rsid w:val="00D010F6"/>
    <w:rsid w:val="00D01FAB"/>
    <w:rsid w:val="00D0306E"/>
    <w:rsid w:val="00D03244"/>
    <w:rsid w:val="00D078C6"/>
    <w:rsid w:val="00D12B36"/>
    <w:rsid w:val="00D1580C"/>
    <w:rsid w:val="00D15F7F"/>
    <w:rsid w:val="00D1663A"/>
    <w:rsid w:val="00D16DBB"/>
    <w:rsid w:val="00D30438"/>
    <w:rsid w:val="00D35A58"/>
    <w:rsid w:val="00D35D6F"/>
    <w:rsid w:val="00D367B5"/>
    <w:rsid w:val="00D37E46"/>
    <w:rsid w:val="00D43764"/>
    <w:rsid w:val="00D437D7"/>
    <w:rsid w:val="00D45BAF"/>
    <w:rsid w:val="00D45F2A"/>
    <w:rsid w:val="00D50174"/>
    <w:rsid w:val="00D5121F"/>
    <w:rsid w:val="00D519D2"/>
    <w:rsid w:val="00D51BB1"/>
    <w:rsid w:val="00D52263"/>
    <w:rsid w:val="00D53B4E"/>
    <w:rsid w:val="00D53B84"/>
    <w:rsid w:val="00D56EFB"/>
    <w:rsid w:val="00D620AE"/>
    <w:rsid w:val="00D66610"/>
    <w:rsid w:val="00D66B6D"/>
    <w:rsid w:val="00D67873"/>
    <w:rsid w:val="00D70AF6"/>
    <w:rsid w:val="00D71A31"/>
    <w:rsid w:val="00D71BBF"/>
    <w:rsid w:val="00D755C0"/>
    <w:rsid w:val="00D77D5B"/>
    <w:rsid w:val="00D81B55"/>
    <w:rsid w:val="00D84868"/>
    <w:rsid w:val="00D84AAE"/>
    <w:rsid w:val="00D8534F"/>
    <w:rsid w:val="00D85F56"/>
    <w:rsid w:val="00D86453"/>
    <w:rsid w:val="00D86837"/>
    <w:rsid w:val="00D869EB"/>
    <w:rsid w:val="00D924A8"/>
    <w:rsid w:val="00D9288D"/>
    <w:rsid w:val="00D96258"/>
    <w:rsid w:val="00D9649E"/>
    <w:rsid w:val="00DA018D"/>
    <w:rsid w:val="00DA046E"/>
    <w:rsid w:val="00DA04D0"/>
    <w:rsid w:val="00DA052E"/>
    <w:rsid w:val="00DA2DBF"/>
    <w:rsid w:val="00DA7831"/>
    <w:rsid w:val="00DB2638"/>
    <w:rsid w:val="00DB6D06"/>
    <w:rsid w:val="00DC0E9F"/>
    <w:rsid w:val="00DC10F5"/>
    <w:rsid w:val="00DC5EFA"/>
    <w:rsid w:val="00DC637E"/>
    <w:rsid w:val="00DC6A46"/>
    <w:rsid w:val="00DD2175"/>
    <w:rsid w:val="00DD2763"/>
    <w:rsid w:val="00DD43BB"/>
    <w:rsid w:val="00DD45B5"/>
    <w:rsid w:val="00DD4AAB"/>
    <w:rsid w:val="00DD4C1A"/>
    <w:rsid w:val="00DD50F8"/>
    <w:rsid w:val="00DE1337"/>
    <w:rsid w:val="00DE1F3C"/>
    <w:rsid w:val="00DE40EE"/>
    <w:rsid w:val="00DE4703"/>
    <w:rsid w:val="00DE7755"/>
    <w:rsid w:val="00DF1E20"/>
    <w:rsid w:val="00DF53F2"/>
    <w:rsid w:val="00DF5506"/>
    <w:rsid w:val="00DF64BA"/>
    <w:rsid w:val="00DF7BBA"/>
    <w:rsid w:val="00E03969"/>
    <w:rsid w:val="00E07E66"/>
    <w:rsid w:val="00E122F2"/>
    <w:rsid w:val="00E12B1D"/>
    <w:rsid w:val="00E147EC"/>
    <w:rsid w:val="00E2097B"/>
    <w:rsid w:val="00E255C4"/>
    <w:rsid w:val="00E26E73"/>
    <w:rsid w:val="00E27448"/>
    <w:rsid w:val="00E2785A"/>
    <w:rsid w:val="00E278C0"/>
    <w:rsid w:val="00E32D2C"/>
    <w:rsid w:val="00E3314E"/>
    <w:rsid w:val="00E35ECE"/>
    <w:rsid w:val="00E379FD"/>
    <w:rsid w:val="00E37C47"/>
    <w:rsid w:val="00E4080F"/>
    <w:rsid w:val="00E42758"/>
    <w:rsid w:val="00E429B4"/>
    <w:rsid w:val="00E42BF0"/>
    <w:rsid w:val="00E45C78"/>
    <w:rsid w:val="00E46010"/>
    <w:rsid w:val="00E501EA"/>
    <w:rsid w:val="00E52C9F"/>
    <w:rsid w:val="00E530CD"/>
    <w:rsid w:val="00E57835"/>
    <w:rsid w:val="00E609D5"/>
    <w:rsid w:val="00E60AF7"/>
    <w:rsid w:val="00E614C0"/>
    <w:rsid w:val="00E6385A"/>
    <w:rsid w:val="00E64624"/>
    <w:rsid w:val="00E66DFD"/>
    <w:rsid w:val="00E702BF"/>
    <w:rsid w:val="00E70C38"/>
    <w:rsid w:val="00E776DF"/>
    <w:rsid w:val="00E77B01"/>
    <w:rsid w:val="00E80CBC"/>
    <w:rsid w:val="00E8157A"/>
    <w:rsid w:val="00E81C89"/>
    <w:rsid w:val="00E827BF"/>
    <w:rsid w:val="00E82990"/>
    <w:rsid w:val="00E830C8"/>
    <w:rsid w:val="00E83525"/>
    <w:rsid w:val="00E845F8"/>
    <w:rsid w:val="00E84DF0"/>
    <w:rsid w:val="00E85A86"/>
    <w:rsid w:val="00E9567E"/>
    <w:rsid w:val="00EA34B8"/>
    <w:rsid w:val="00EB38F2"/>
    <w:rsid w:val="00EB68CB"/>
    <w:rsid w:val="00EB736A"/>
    <w:rsid w:val="00EC0098"/>
    <w:rsid w:val="00EC0548"/>
    <w:rsid w:val="00EC3441"/>
    <w:rsid w:val="00EC700F"/>
    <w:rsid w:val="00ED1389"/>
    <w:rsid w:val="00ED16EF"/>
    <w:rsid w:val="00EE0A8B"/>
    <w:rsid w:val="00EE350C"/>
    <w:rsid w:val="00EF054B"/>
    <w:rsid w:val="00EF0AB2"/>
    <w:rsid w:val="00EF37A3"/>
    <w:rsid w:val="00EF37CC"/>
    <w:rsid w:val="00EF3E4B"/>
    <w:rsid w:val="00F00CB5"/>
    <w:rsid w:val="00F04158"/>
    <w:rsid w:val="00F04CC2"/>
    <w:rsid w:val="00F057A8"/>
    <w:rsid w:val="00F07260"/>
    <w:rsid w:val="00F1195C"/>
    <w:rsid w:val="00F12AAF"/>
    <w:rsid w:val="00F132F5"/>
    <w:rsid w:val="00F17117"/>
    <w:rsid w:val="00F1782E"/>
    <w:rsid w:val="00F20A86"/>
    <w:rsid w:val="00F20F51"/>
    <w:rsid w:val="00F21453"/>
    <w:rsid w:val="00F228DB"/>
    <w:rsid w:val="00F244EA"/>
    <w:rsid w:val="00F26232"/>
    <w:rsid w:val="00F27390"/>
    <w:rsid w:val="00F317E0"/>
    <w:rsid w:val="00F32A6C"/>
    <w:rsid w:val="00F334D2"/>
    <w:rsid w:val="00F34137"/>
    <w:rsid w:val="00F37625"/>
    <w:rsid w:val="00F4347E"/>
    <w:rsid w:val="00F45969"/>
    <w:rsid w:val="00F4635C"/>
    <w:rsid w:val="00F558B0"/>
    <w:rsid w:val="00F56A1E"/>
    <w:rsid w:val="00F61ECB"/>
    <w:rsid w:val="00F627B1"/>
    <w:rsid w:val="00F63FE5"/>
    <w:rsid w:val="00F67D7A"/>
    <w:rsid w:val="00F73CF2"/>
    <w:rsid w:val="00F87674"/>
    <w:rsid w:val="00F87BD3"/>
    <w:rsid w:val="00F91239"/>
    <w:rsid w:val="00F93FC9"/>
    <w:rsid w:val="00F94061"/>
    <w:rsid w:val="00F946CA"/>
    <w:rsid w:val="00FB1482"/>
    <w:rsid w:val="00FB28D2"/>
    <w:rsid w:val="00FB2996"/>
    <w:rsid w:val="00FB3DCF"/>
    <w:rsid w:val="00FB61D7"/>
    <w:rsid w:val="00FB61FB"/>
    <w:rsid w:val="00FC05A6"/>
    <w:rsid w:val="00FC1457"/>
    <w:rsid w:val="00FC33ED"/>
    <w:rsid w:val="00FC4D5C"/>
    <w:rsid w:val="00FD0B43"/>
    <w:rsid w:val="00FD13F9"/>
    <w:rsid w:val="00FD3EBC"/>
    <w:rsid w:val="00FD5C18"/>
    <w:rsid w:val="00FD62ED"/>
    <w:rsid w:val="00FD652F"/>
    <w:rsid w:val="00FD6F22"/>
    <w:rsid w:val="00FD78A6"/>
    <w:rsid w:val="00FE046E"/>
    <w:rsid w:val="00FE08FC"/>
    <w:rsid w:val="00FE44B0"/>
    <w:rsid w:val="00FE4A3C"/>
    <w:rsid w:val="00FE748A"/>
    <w:rsid w:val="00FE78CB"/>
    <w:rsid w:val="00FF3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209E2CF0"/>
  <w15:docId w15:val="{1B5C46AF-D8AA-4256-A043-BEFD31ED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lsdException w:name="heading 5" w:semiHidden="1" w:uiPriority="9"/>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9" w:unhideWhenUsed="1" w:qFormat="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nhideWhenUsed="1"/>
    <w:lsdException w:name="table of figures" w:semiHidden="1" w:uiPriority="99" w:unhideWhenUsed="1"/>
    <w:lsdException w:name="envelope address" w:semiHidden="1" w:uiPriority="19" w:unhideWhenUsed="1"/>
    <w:lsdException w:name="envelope return" w:semiHidden="1" w:uiPriority="19" w:unhideWhenUsed="1"/>
    <w:lsdException w:name="footnote reference" w:semiHidden="1" w:uiPriority="19" w:unhideWhenUsed="1"/>
    <w:lsdException w:name="annotation reference" w:semiHidden="1"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4" w:unhideWhenUsed="1" w:qFormat="1"/>
    <w:lsdException w:name="List Number" w:uiPriority="4" w:qFormat="1"/>
    <w:lsdException w:name="List 2" w:semiHidden="1" w:uiPriority="29" w:unhideWhenUsed="1"/>
    <w:lsdException w:name="List 3" w:semiHidden="1" w:uiPriority="29" w:unhideWhenUsed="1"/>
    <w:lsdException w:name="List 4" w:uiPriority="29"/>
    <w:lsdException w:name="List 5" w:uiPriority="29"/>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9" w:unhideWhenUsed="1"/>
    <w:lsdException w:name="Emphasis" w:uiPriority="19"/>
    <w:lsdException w:name="Document Map" w:semiHidden="1" w:uiPriority="19" w:unhideWhenUsed="1"/>
    <w:lsdException w:name="Plain Text" w:semiHidden="1"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31A"/>
    <w:pPr>
      <w:spacing w:after="160" w:line="259" w:lineRule="auto"/>
    </w:pPr>
  </w:style>
  <w:style w:type="paragraph" w:styleId="Heading1">
    <w:name w:val="heading 1"/>
    <w:basedOn w:val="Normal"/>
    <w:next w:val="BodyText"/>
    <w:link w:val="Heading1Char"/>
    <w:qFormat/>
    <w:rsid w:val="00050C37"/>
    <w:pPr>
      <w:keepNext/>
      <w:numPr>
        <w:numId w:val="9"/>
      </w:numPr>
      <w:spacing w:before="300" w:line="280" w:lineRule="atLeast"/>
      <w:outlineLvl w:val="0"/>
    </w:pPr>
    <w:rPr>
      <w:rFonts w:asciiTheme="majorHAnsi" w:eastAsia="Times New Roman" w:hAnsiTheme="majorHAnsi" w:cs="Arial"/>
      <w:b/>
      <w:bCs/>
      <w:color w:val="005CAF"/>
      <w:kern w:val="32"/>
      <w:sz w:val="32"/>
      <w:szCs w:val="32"/>
    </w:rPr>
  </w:style>
  <w:style w:type="paragraph" w:styleId="Heading2">
    <w:name w:val="heading 2"/>
    <w:basedOn w:val="Heading1"/>
    <w:next w:val="BodyText"/>
    <w:link w:val="Heading2Char"/>
    <w:qFormat/>
    <w:rsid w:val="00050C37"/>
    <w:pPr>
      <w:numPr>
        <w:ilvl w:val="1"/>
      </w:numPr>
      <w:outlineLvl w:val="1"/>
    </w:pPr>
    <w:rPr>
      <w:bCs w:val="0"/>
      <w:iCs/>
      <w:color w:val="56B4DF"/>
      <w:sz w:val="22"/>
      <w:szCs w:val="28"/>
    </w:rPr>
  </w:style>
  <w:style w:type="paragraph" w:styleId="Heading3">
    <w:name w:val="heading 3"/>
    <w:basedOn w:val="BodyText"/>
    <w:next w:val="BodyText"/>
    <w:link w:val="Heading3Char"/>
    <w:qFormat/>
    <w:rsid w:val="00050C37"/>
    <w:pPr>
      <w:keepNext/>
      <w:numPr>
        <w:ilvl w:val="2"/>
        <w:numId w:val="9"/>
      </w:numPr>
      <w:spacing w:before="300" w:line="280" w:lineRule="atLeast"/>
      <w:jc w:val="left"/>
      <w:outlineLvl w:val="2"/>
    </w:pPr>
    <w:rPr>
      <w:rFonts w:asciiTheme="majorHAnsi" w:eastAsia="Times New Roman" w:hAnsiTheme="majorHAnsi" w:cs="Arial"/>
      <w:bCs/>
      <w:color w:val="005CAF"/>
      <w:sz w:val="22"/>
    </w:rPr>
  </w:style>
  <w:style w:type="paragraph" w:styleId="Heading4">
    <w:name w:val="heading 4"/>
    <w:basedOn w:val="BodyText"/>
    <w:next w:val="BodyText"/>
    <w:link w:val="Heading4Char"/>
    <w:uiPriority w:val="9"/>
    <w:unhideWhenUsed/>
    <w:rsid w:val="00050C37"/>
    <w:pPr>
      <w:keepNext/>
      <w:keepLines/>
      <w:spacing w:before="200" w:after="0"/>
      <w:outlineLvl w:val="3"/>
    </w:pPr>
    <w:rPr>
      <w:rFonts w:asciiTheme="majorHAnsi" w:eastAsiaTheme="majorEastAsia" w:hAnsiTheme="majorHAnsi" w:cstheme="majorBidi"/>
      <w:b/>
      <w:bCs/>
      <w:i/>
      <w:iCs/>
      <w:color w:val="auto"/>
    </w:rPr>
  </w:style>
  <w:style w:type="paragraph" w:styleId="Heading6">
    <w:name w:val="heading 6"/>
    <w:basedOn w:val="Normal"/>
    <w:next w:val="BodyText"/>
    <w:link w:val="Heading6Char"/>
    <w:uiPriority w:val="1"/>
    <w:qFormat/>
    <w:rsid w:val="00050C37"/>
    <w:pPr>
      <w:keepNext/>
      <w:pageBreakBefore/>
      <w:numPr>
        <w:ilvl w:val="5"/>
        <w:numId w:val="9"/>
      </w:numPr>
      <w:spacing w:before="300" w:line="280" w:lineRule="atLeast"/>
      <w:outlineLvl w:val="5"/>
    </w:pPr>
    <w:rPr>
      <w:rFonts w:asciiTheme="majorHAnsi" w:eastAsiaTheme="majorEastAsia" w:hAnsiTheme="majorHAnsi" w:cstheme="majorBidi"/>
      <w:b/>
      <w:iCs/>
      <w:color w:val="005CAF"/>
      <w:sz w:val="32"/>
    </w:rPr>
  </w:style>
  <w:style w:type="paragraph" w:styleId="Heading7">
    <w:name w:val="heading 7"/>
    <w:basedOn w:val="Normal"/>
    <w:next w:val="BodyText"/>
    <w:link w:val="Heading7Char"/>
    <w:uiPriority w:val="1"/>
    <w:qFormat/>
    <w:rsid w:val="00050C37"/>
    <w:pPr>
      <w:keepNext/>
      <w:keepLines/>
      <w:numPr>
        <w:ilvl w:val="6"/>
        <w:numId w:val="9"/>
      </w:numPr>
      <w:spacing w:before="300" w:line="280" w:lineRule="atLeast"/>
      <w:outlineLvl w:val="6"/>
    </w:pPr>
    <w:rPr>
      <w:rFonts w:asciiTheme="majorHAnsi" w:eastAsiaTheme="majorEastAsia" w:hAnsiTheme="majorHAnsi" w:cstheme="majorBidi"/>
      <w:b/>
      <w:iCs/>
      <w:color w:val="56B4DF"/>
    </w:rPr>
  </w:style>
  <w:style w:type="paragraph" w:styleId="Heading8">
    <w:name w:val="heading 8"/>
    <w:basedOn w:val="Normal"/>
    <w:next w:val="BodyText"/>
    <w:link w:val="Heading8Char"/>
    <w:uiPriority w:val="1"/>
    <w:qFormat/>
    <w:rsid w:val="00050C37"/>
    <w:pPr>
      <w:keepNext/>
      <w:keepLines/>
      <w:numPr>
        <w:ilvl w:val="7"/>
        <w:numId w:val="9"/>
      </w:numPr>
      <w:spacing w:before="300"/>
      <w:outlineLvl w:val="7"/>
    </w:pPr>
    <w:rPr>
      <w:rFonts w:asciiTheme="majorHAnsi" w:eastAsiaTheme="majorEastAsia" w:hAnsiTheme="majorHAnsi" w:cstheme="majorBidi"/>
      <w:color w:val="005CAF"/>
      <w:szCs w:val="20"/>
    </w:rPr>
  </w:style>
  <w:style w:type="character" w:default="1" w:styleId="DefaultParagraphFont">
    <w:name w:val="Default Paragraph Font"/>
    <w:uiPriority w:val="1"/>
    <w:semiHidden/>
    <w:unhideWhenUsed/>
    <w:rsid w:val="009F43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431A"/>
  </w:style>
  <w:style w:type="table" w:styleId="TableContemporary">
    <w:name w:val="Table Contemporary"/>
    <w:basedOn w:val="TableNormal"/>
    <w:rsid w:val="00050C37"/>
    <w:rPr>
      <w:rFonts w:eastAsia="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2">
    <w:name w:val="Bullet 2"/>
    <w:basedOn w:val="Normal"/>
    <w:semiHidden/>
    <w:rsid w:val="00050C37"/>
    <w:pPr>
      <w:numPr>
        <w:numId w:val="1"/>
      </w:numPr>
      <w:tabs>
        <w:tab w:val="clear" w:pos="1418"/>
        <w:tab w:val="num" w:pos="360"/>
      </w:tabs>
      <w:spacing w:before="100" w:line="312" w:lineRule="auto"/>
      <w:ind w:left="2160" w:firstLine="0"/>
    </w:pPr>
    <w:rPr>
      <w:rFonts w:eastAsia="Times New Roman"/>
      <w:lang w:eastAsia="en-AU"/>
    </w:rPr>
  </w:style>
  <w:style w:type="character" w:customStyle="1" w:styleId="Heading1Char">
    <w:name w:val="Heading 1 Char"/>
    <w:basedOn w:val="DefaultParagraphFont"/>
    <w:link w:val="Heading1"/>
    <w:rsid w:val="00050C37"/>
    <w:rPr>
      <w:rFonts w:asciiTheme="majorHAnsi" w:eastAsia="Times New Roman" w:hAnsiTheme="majorHAnsi" w:cs="Arial"/>
      <w:b/>
      <w:bCs/>
      <w:color w:val="005CAF"/>
      <w:kern w:val="32"/>
      <w:sz w:val="32"/>
      <w:szCs w:val="32"/>
    </w:rPr>
  </w:style>
  <w:style w:type="character" w:customStyle="1" w:styleId="Heading2Char">
    <w:name w:val="Heading 2 Char"/>
    <w:basedOn w:val="DefaultParagraphFont"/>
    <w:link w:val="Heading2"/>
    <w:rsid w:val="00050C37"/>
    <w:rPr>
      <w:rFonts w:asciiTheme="majorHAnsi" w:eastAsia="Times New Roman" w:hAnsiTheme="majorHAnsi" w:cs="Arial"/>
      <w:b/>
      <w:iCs/>
      <w:color w:val="56B4DF"/>
      <w:kern w:val="32"/>
      <w:szCs w:val="28"/>
    </w:rPr>
  </w:style>
  <w:style w:type="character" w:customStyle="1" w:styleId="Heading3Char">
    <w:name w:val="Heading 3 Char"/>
    <w:basedOn w:val="DefaultParagraphFont"/>
    <w:link w:val="Heading3"/>
    <w:rsid w:val="00050C37"/>
    <w:rPr>
      <w:rFonts w:asciiTheme="majorHAnsi" w:eastAsia="Times New Roman" w:hAnsiTheme="majorHAnsi" w:cs="Arial"/>
      <w:bCs/>
      <w:color w:val="005CAF"/>
    </w:rPr>
  </w:style>
  <w:style w:type="paragraph" w:styleId="TOC1">
    <w:name w:val="toc 1"/>
    <w:basedOn w:val="Normal"/>
    <w:next w:val="Normal"/>
    <w:autoRedefine/>
    <w:uiPriority w:val="39"/>
    <w:rsid w:val="00050C37"/>
    <w:pPr>
      <w:tabs>
        <w:tab w:val="right" w:pos="8931"/>
      </w:tabs>
      <w:spacing w:before="240" w:after="120"/>
      <w:ind w:left="1276" w:right="804" w:hanging="567"/>
    </w:pPr>
    <w:rPr>
      <w:rFonts w:eastAsia="Times New Roman"/>
      <w:b/>
      <w:noProof/>
      <w:szCs w:val="24"/>
    </w:rPr>
  </w:style>
  <w:style w:type="paragraph" w:styleId="FootnoteText">
    <w:name w:val="footnote text"/>
    <w:basedOn w:val="Normal"/>
    <w:link w:val="FootnoteTextChar"/>
    <w:uiPriority w:val="19"/>
    <w:rsid w:val="00050C37"/>
    <w:pPr>
      <w:ind w:left="2268" w:hanging="108"/>
    </w:pPr>
    <w:rPr>
      <w:rFonts w:eastAsia="Times New Roman"/>
      <w:sz w:val="16"/>
    </w:rPr>
  </w:style>
  <w:style w:type="character" w:customStyle="1" w:styleId="FootnoteTextChar">
    <w:name w:val="Footnote Text Char"/>
    <w:basedOn w:val="DefaultParagraphFont"/>
    <w:link w:val="FootnoteText"/>
    <w:uiPriority w:val="19"/>
    <w:rsid w:val="00050C37"/>
    <w:rPr>
      <w:rFonts w:ascii="Arial" w:eastAsia="Times New Roman" w:hAnsi="Arial"/>
      <w:color w:val="373737"/>
      <w:sz w:val="16"/>
    </w:rPr>
  </w:style>
  <w:style w:type="paragraph" w:styleId="Footer">
    <w:name w:val="footer"/>
    <w:basedOn w:val="Normal"/>
    <w:link w:val="FooterChar"/>
    <w:uiPriority w:val="9"/>
    <w:rsid w:val="00050C37"/>
    <w:pPr>
      <w:tabs>
        <w:tab w:val="right" w:pos="9680"/>
      </w:tabs>
    </w:pPr>
    <w:rPr>
      <w:rFonts w:eastAsia="Times New Roman"/>
      <w:sz w:val="16"/>
      <w:szCs w:val="16"/>
    </w:rPr>
  </w:style>
  <w:style w:type="character" w:customStyle="1" w:styleId="FooterChar">
    <w:name w:val="Footer Char"/>
    <w:basedOn w:val="DefaultParagraphFont"/>
    <w:link w:val="Footer"/>
    <w:uiPriority w:val="9"/>
    <w:rsid w:val="00050C37"/>
    <w:rPr>
      <w:rFonts w:ascii="Arial" w:eastAsia="Times New Roman" w:hAnsi="Arial"/>
      <w:color w:val="373737"/>
      <w:sz w:val="16"/>
      <w:szCs w:val="16"/>
    </w:rPr>
  </w:style>
  <w:style w:type="paragraph" w:styleId="TableofFigures">
    <w:name w:val="table of figures"/>
    <w:basedOn w:val="Normal"/>
    <w:next w:val="Normal"/>
    <w:uiPriority w:val="99"/>
    <w:rsid w:val="00050C37"/>
    <w:pPr>
      <w:tabs>
        <w:tab w:val="right" w:pos="8930"/>
      </w:tabs>
      <w:ind w:left="1134" w:right="804" w:hanging="440"/>
    </w:pPr>
    <w:rPr>
      <w:rFonts w:eastAsia="Times New Roman"/>
      <w:b/>
      <w:bCs/>
      <w:noProof/>
      <w:lang w:val="en-US"/>
    </w:rPr>
  </w:style>
  <w:style w:type="character" w:styleId="FootnoteReference">
    <w:name w:val="footnote reference"/>
    <w:basedOn w:val="DefaultParagraphFont"/>
    <w:uiPriority w:val="19"/>
    <w:rsid w:val="00050C37"/>
    <w:rPr>
      <w:vertAlign w:val="superscript"/>
    </w:rPr>
  </w:style>
  <w:style w:type="character" w:styleId="PageNumber">
    <w:name w:val="page number"/>
    <w:rsid w:val="00050C37"/>
    <w:rPr>
      <w:rFonts w:ascii="Arial" w:hAnsi="Arial"/>
      <w:sz w:val="18"/>
    </w:rPr>
  </w:style>
  <w:style w:type="paragraph" w:styleId="BodyText">
    <w:name w:val="Body Text"/>
    <w:link w:val="BodyTextChar"/>
    <w:qFormat/>
    <w:rsid w:val="00050C37"/>
    <w:pPr>
      <w:spacing w:after="180" w:line="270" w:lineRule="exact"/>
      <w:jc w:val="both"/>
    </w:pPr>
    <w:rPr>
      <w:color w:val="373737"/>
      <w:sz w:val="20"/>
    </w:rPr>
  </w:style>
  <w:style w:type="character" w:customStyle="1" w:styleId="BodyTextChar">
    <w:name w:val="Body Text Char"/>
    <w:basedOn w:val="DefaultParagraphFont"/>
    <w:link w:val="BodyText"/>
    <w:rsid w:val="00050C37"/>
    <w:rPr>
      <w:color w:val="373737"/>
      <w:sz w:val="20"/>
    </w:rPr>
  </w:style>
  <w:style w:type="paragraph" w:styleId="Subtitle">
    <w:name w:val="Subtitle"/>
    <w:basedOn w:val="Normal"/>
    <w:next w:val="Normal"/>
    <w:link w:val="SubtitleChar"/>
    <w:rsid w:val="00050C37"/>
    <w:pPr>
      <w:numPr>
        <w:ilvl w:val="1"/>
      </w:numPr>
      <w:ind w:left="2160"/>
    </w:pPr>
    <w:rPr>
      <w:rFonts w:asciiTheme="majorHAnsi" w:eastAsiaTheme="majorEastAsia" w:hAnsiTheme="majorHAnsi" w:cstheme="majorBidi"/>
      <w:i/>
      <w:iCs/>
      <w:color w:val="005CAF" w:themeColor="accent1"/>
      <w:spacing w:val="15"/>
      <w:sz w:val="24"/>
      <w:szCs w:val="24"/>
    </w:rPr>
  </w:style>
  <w:style w:type="character" w:customStyle="1" w:styleId="SubtitleChar">
    <w:name w:val="Subtitle Char"/>
    <w:basedOn w:val="DefaultParagraphFont"/>
    <w:link w:val="Subtitle"/>
    <w:rsid w:val="00050C37"/>
    <w:rPr>
      <w:rFonts w:asciiTheme="majorHAnsi" w:eastAsiaTheme="majorEastAsia" w:hAnsiTheme="majorHAnsi" w:cstheme="majorBidi"/>
      <w:i/>
      <w:iCs/>
      <w:color w:val="005CAF" w:themeColor="accent1"/>
      <w:spacing w:val="15"/>
      <w:sz w:val="24"/>
      <w:szCs w:val="24"/>
    </w:rPr>
  </w:style>
  <w:style w:type="character" w:styleId="Hyperlink">
    <w:name w:val="Hyperlink"/>
    <w:rsid w:val="00050C37"/>
    <w:rPr>
      <w:color w:val="005CAF"/>
      <w:u w:val="none"/>
    </w:rPr>
  </w:style>
  <w:style w:type="table" w:styleId="Table3Deffects1">
    <w:name w:val="Table 3D effects 1"/>
    <w:basedOn w:val="TableNormal"/>
    <w:rsid w:val="00050C37"/>
    <w:rPr>
      <w:rFonts w:eastAsia="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050C37"/>
    <w:rPr>
      <w:rFonts w:ascii="Tahoma" w:eastAsia="Times New Roman" w:hAnsi="Tahoma" w:cs="Tahoma"/>
      <w:sz w:val="16"/>
      <w:szCs w:val="16"/>
    </w:rPr>
  </w:style>
  <w:style w:type="character" w:customStyle="1" w:styleId="BalloonTextChar">
    <w:name w:val="Balloon Text Char"/>
    <w:basedOn w:val="DefaultParagraphFont"/>
    <w:link w:val="BalloonText"/>
    <w:rsid w:val="00050C37"/>
    <w:rPr>
      <w:rFonts w:ascii="Tahoma" w:eastAsia="Times New Roman" w:hAnsi="Tahoma" w:cs="Tahoma"/>
      <w:color w:val="373737"/>
      <w:sz w:val="16"/>
      <w:szCs w:val="16"/>
    </w:rPr>
  </w:style>
  <w:style w:type="table" w:styleId="TableGrid">
    <w:name w:val="Table Grid"/>
    <w:basedOn w:val="TableNormal"/>
    <w:uiPriority w:val="59"/>
    <w:rsid w:val="00050C37"/>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0C37"/>
    <w:rPr>
      <w:color w:val="808080"/>
    </w:rPr>
  </w:style>
  <w:style w:type="table" w:styleId="MediumGrid3-Accent1">
    <w:name w:val="Medium Grid 3 Accent 1"/>
    <w:basedOn w:val="TableNormal"/>
    <w:uiPriority w:val="69"/>
    <w:rsid w:val="00050C37"/>
    <w:rPr>
      <w:rFonts w:eastAsia="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D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CA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CA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CA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CA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A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AFFF" w:themeFill="accent1" w:themeFillTint="7F"/>
      </w:tcPr>
    </w:tblStylePr>
  </w:style>
  <w:style w:type="table" w:styleId="ColorfulGrid-Accent1">
    <w:name w:val="Colorful Grid Accent 1"/>
    <w:basedOn w:val="TableNormal"/>
    <w:uiPriority w:val="73"/>
    <w:rsid w:val="00050C37"/>
    <w:rPr>
      <w:rFonts w:eastAsia="Times New Roman"/>
      <w:color w:val="373737" w:themeColor="text1"/>
      <w:lang w:eastAsia="en-AU"/>
    </w:rPr>
    <w:tblPr>
      <w:tblStyleRowBandSize w:val="1"/>
      <w:tblStyleColBandSize w:val="1"/>
      <w:tblBorders>
        <w:insideH w:val="single" w:sz="4" w:space="0" w:color="FFFFFF" w:themeColor="background1"/>
      </w:tblBorders>
    </w:tblPr>
    <w:tcPr>
      <w:shd w:val="clear" w:color="auto" w:fill="BCDFFF" w:themeFill="accent1" w:themeFillTint="33"/>
    </w:tcPr>
    <w:tblStylePr w:type="firstRow">
      <w:rPr>
        <w:b/>
        <w:bCs/>
      </w:rPr>
      <w:tblPr/>
      <w:tcPr>
        <w:shd w:val="clear" w:color="auto" w:fill="79BFFF" w:themeFill="accent1" w:themeFillTint="66"/>
      </w:tcPr>
    </w:tblStylePr>
    <w:tblStylePr w:type="lastRow">
      <w:rPr>
        <w:b/>
        <w:bCs/>
        <w:color w:val="373737" w:themeColor="text1"/>
      </w:rPr>
      <w:tblPr/>
      <w:tcPr>
        <w:shd w:val="clear" w:color="auto" w:fill="79BFFF" w:themeFill="accent1" w:themeFillTint="66"/>
      </w:tcPr>
    </w:tblStylePr>
    <w:tblStylePr w:type="firstCol">
      <w:rPr>
        <w:color w:val="FFFFFF" w:themeColor="background1"/>
      </w:rPr>
      <w:tblPr/>
      <w:tcPr>
        <w:shd w:val="clear" w:color="auto" w:fill="004483" w:themeFill="accent1" w:themeFillShade="BF"/>
      </w:tcPr>
    </w:tblStylePr>
    <w:tblStylePr w:type="lastCol">
      <w:rPr>
        <w:color w:val="FFFFFF" w:themeColor="background1"/>
      </w:rPr>
      <w:tblPr/>
      <w:tcPr>
        <w:shd w:val="clear" w:color="auto" w:fill="004483" w:themeFill="accent1" w:themeFillShade="BF"/>
      </w:tcPr>
    </w:tblStylePr>
    <w:tblStylePr w:type="band1Vert">
      <w:tblPr/>
      <w:tcPr>
        <w:shd w:val="clear" w:color="auto" w:fill="58AFFF" w:themeFill="accent1" w:themeFillTint="7F"/>
      </w:tcPr>
    </w:tblStylePr>
    <w:tblStylePr w:type="band1Horz">
      <w:tblPr/>
      <w:tcPr>
        <w:shd w:val="clear" w:color="auto" w:fill="58AFFF" w:themeFill="accent1" w:themeFillTint="7F"/>
      </w:tcPr>
    </w:tblStylePr>
  </w:style>
  <w:style w:type="character" w:styleId="IntenseEmphasis">
    <w:name w:val="Intense Emphasis"/>
    <w:basedOn w:val="DefaultParagraphFont"/>
    <w:uiPriority w:val="21"/>
    <w:rsid w:val="00050C37"/>
    <w:rPr>
      <w:b/>
      <w:bCs/>
      <w:i/>
      <w:iCs/>
      <w:color w:val="005CAF" w:themeColor="accent1"/>
    </w:rPr>
  </w:style>
  <w:style w:type="paragraph" w:styleId="Bibliography">
    <w:name w:val="Bibliography"/>
    <w:basedOn w:val="Normal"/>
    <w:next w:val="Normal"/>
    <w:uiPriority w:val="37"/>
    <w:unhideWhenUsed/>
    <w:rsid w:val="00050C37"/>
    <w:rPr>
      <w:rFonts w:eastAsia="Times New Roman"/>
    </w:rPr>
  </w:style>
  <w:style w:type="paragraph" w:styleId="TOCHeading">
    <w:name w:val="TOC Heading"/>
    <w:basedOn w:val="Heading1"/>
    <w:next w:val="Normal"/>
    <w:uiPriority w:val="39"/>
    <w:semiHidden/>
    <w:unhideWhenUsed/>
    <w:qFormat/>
    <w:rsid w:val="00050C37"/>
    <w:pPr>
      <w:keepLines/>
      <w:spacing w:before="480" w:after="0" w:line="276" w:lineRule="auto"/>
      <w:outlineLvl w:val="9"/>
    </w:pPr>
    <w:rPr>
      <w:rFonts w:eastAsiaTheme="majorEastAsia" w:cstheme="majorBidi"/>
      <w:color w:val="004483" w:themeColor="accent1" w:themeShade="BF"/>
      <w:kern w:val="0"/>
      <w:sz w:val="28"/>
      <w:szCs w:val="28"/>
      <w:lang w:eastAsia="ja-JP"/>
    </w:rPr>
  </w:style>
  <w:style w:type="table" w:styleId="Table3Deffects2">
    <w:name w:val="Table 3D effects 2"/>
    <w:basedOn w:val="TableNormal"/>
    <w:rsid w:val="00050C37"/>
    <w:rPr>
      <w:rFonts w:eastAsia="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OCEHeadings">
    <w:name w:val="OCE Headings"/>
    <w:uiPriority w:val="99"/>
    <w:rsid w:val="00050C37"/>
    <w:pPr>
      <w:numPr>
        <w:numId w:val="3"/>
      </w:numPr>
    </w:pPr>
  </w:style>
  <w:style w:type="character" w:customStyle="1" w:styleId="Heading4Char">
    <w:name w:val="Heading 4 Char"/>
    <w:basedOn w:val="DefaultParagraphFont"/>
    <w:link w:val="Heading4"/>
    <w:uiPriority w:val="9"/>
    <w:rsid w:val="00050C37"/>
    <w:rPr>
      <w:rFonts w:asciiTheme="majorHAnsi" w:eastAsiaTheme="majorEastAsia" w:hAnsiTheme="majorHAnsi" w:cstheme="majorBidi"/>
      <w:b/>
      <w:bCs/>
      <w:i/>
      <w:iCs/>
      <w:sz w:val="20"/>
    </w:rPr>
  </w:style>
  <w:style w:type="character" w:customStyle="1" w:styleId="Heading6Char">
    <w:name w:val="Heading 6 Char"/>
    <w:basedOn w:val="DefaultParagraphFont"/>
    <w:link w:val="Heading6"/>
    <w:uiPriority w:val="1"/>
    <w:rsid w:val="00050C37"/>
    <w:rPr>
      <w:rFonts w:asciiTheme="majorHAnsi" w:eastAsiaTheme="majorEastAsia" w:hAnsiTheme="majorHAnsi" w:cstheme="majorBidi"/>
      <w:b/>
      <w:iCs/>
      <w:color w:val="005CAF"/>
      <w:sz w:val="32"/>
    </w:rPr>
  </w:style>
  <w:style w:type="paragraph" w:styleId="ListParagraph">
    <w:name w:val="List Paragraph"/>
    <w:basedOn w:val="ListBullet"/>
    <w:link w:val="ListParagraphChar"/>
    <w:uiPriority w:val="34"/>
    <w:rsid w:val="00050C37"/>
    <w:rPr>
      <w:lang w:val="en"/>
    </w:rPr>
  </w:style>
  <w:style w:type="character" w:customStyle="1" w:styleId="ListParagraphChar">
    <w:name w:val="List Paragraph Char"/>
    <w:basedOn w:val="DefaultParagraphFont"/>
    <w:link w:val="ListParagraph"/>
    <w:uiPriority w:val="34"/>
    <w:rsid w:val="00050C37"/>
    <w:rPr>
      <w:color w:val="373737"/>
      <w:sz w:val="20"/>
      <w:lang w:val="en"/>
    </w:rPr>
  </w:style>
  <w:style w:type="numbering" w:customStyle="1" w:styleId="OCEBulletedList">
    <w:name w:val="OCE Bulleted List"/>
    <w:uiPriority w:val="99"/>
    <w:rsid w:val="00050C37"/>
    <w:pPr>
      <w:numPr>
        <w:numId w:val="4"/>
      </w:numPr>
    </w:pPr>
  </w:style>
  <w:style w:type="paragraph" w:styleId="ListBullet">
    <w:name w:val="List Bullet"/>
    <w:basedOn w:val="BodyText"/>
    <w:uiPriority w:val="4"/>
    <w:qFormat/>
    <w:rsid w:val="00050C37"/>
    <w:pPr>
      <w:numPr>
        <w:numId w:val="4"/>
      </w:numPr>
      <w:spacing w:after="120"/>
    </w:pPr>
  </w:style>
  <w:style w:type="paragraph" w:styleId="ListContinue2">
    <w:name w:val="List Continue 2"/>
    <w:basedOn w:val="Normal"/>
    <w:rsid w:val="00050C37"/>
    <w:pPr>
      <w:spacing w:after="120"/>
      <w:ind w:left="566"/>
      <w:contextualSpacing/>
    </w:pPr>
  </w:style>
  <w:style w:type="paragraph" w:styleId="ListBullet2">
    <w:name w:val="List Bullet 2"/>
    <w:basedOn w:val="ListBullet"/>
    <w:uiPriority w:val="4"/>
    <w:qFormat/>
    <w:rsid w:val="00050C37"/>
    <w:pPr>
      <w:numPr>
        <w:ilvl w:val="1"/>
      </w:numPr>
      <w:ind w:left="709"/>
    </w:pPr>
  </w:style>
  <w:style w:type="paragraph" w:styleId="ListBullet4">
    <w:name w:val="List Bullet 4"/>
    <w:basedOn w:val="ListBullet3"/>
    <w:rsid w:val="00050C37"/>
    <w:pPr>
      <w:numPr>
        <w:ilvl w:val="3"/>
      </w:numPr>
    </w:pPr>
  </w:style>
  <w:style w:type="paragraph" w:styleId="ListBullet3">
    <w:name w:val="List Bullet 3"/>
    <w:basedOn w:val="ListBullet2"/>
    <w:uiPriority w:val="4"/>
    <w:qFormat/>
    <w:rsid w:val="00050C37"/>
    <w:pPr>
      <w:numPr>
        <w:ilvl w:val="2"/>
      </w:numPr>
    </w:pPr>
  </w:style>
  <w:style w:type="paragraph" w:styleId="ListNumber">
    <w:name w:val="List Number"/>
    <w:basedOn w:val="Normal"/>
    <w:uiPriority w:val="4"/>
    <w:qFormat/>
    <w:rsid w:val="00050C37"/>
    <w:pPr>
      <w:numPr>
        <w:numId w:val="12"/>
      </w:numPr>
      <w:spacing w:after="120"/>
    </w:pPr>
  </w:style>
  <w:style w:type="paragraph" w:styleId="ListNumber2">
    <w:name w:val="List Number 2"/>
    <w:basedOn w:val="ListNumber"/>
    <w:uiPriority w:val="4"/>
    <w:qFormat/>
    <w:rsid w:val="00050C37"/>
    <w:pPr>
      <w:numPr>
        <w:ilvl w:val="1"/>
      </w:numPr>
    </w:pPr>
  </w:style>
  <w:style w:type="paragraph" w:styleId="ListNumber3">
    <w:name w:val="List Number 3"/>
    <w:basedOn w:val="ListNumber2"/>
    <w:uiPriority w:val="4"/>
    <w:qFormat/>
    <w:rsid w:val="00050C37"/>
    <w:pPr>
      <w:numPr>
        <w:ilvl w:val="2"/>
      </w:numPr>
    </w:pPr>
  </w:style>
  <w:style w:type="character" w:customStyle="1" w:styleId="Heading7Char">
    <w:name w:val="Heading 7 Char"/>
    <w:basedOn w:val="DefaultParagraphFont"/>
    <w:link w:val="Heading7"/>
    <w:uiPriority w:val="1"/>
    <w:rsid w:val="00050C37"/>
    <w:rPr>
      <w:rFonts w:asciiTheme="majorHAnsi" w:eastAsiaTheme="majorEastAsia" w:hAnsiTheme="majorHAnsi" w:cstheme="majorBidi"/>
      <w:b/>
      <w:iCs/>
      <w:color w:val="56B4DF"/>
    </w:rPr>
  </w:style>
  <w:style w:type="paragraph" w:styleId="BodyTextFirstIndent">
    <w:name w:val="Body Text First Indent"/>
    <w:basedOn w:val="BodyText"/>
    <w:link w:val="BodyTextFirstIndentChar"/>
    <w:semiHidden/>
    <w:rsid w:val="00050C37"/>
    <w:pPr>
      <w:ind w:firstLine="360"/>
    </w:pPr>
    <w:rPr>
      <w:rFonts w:ascii="Arial" w:hAnsi="Arial"/>
    </w:rPr>
  </w:style>
  <w:style w:type="character" w:customStyle="1" w:styleId="BodyTextFirstIndentChar">
    <w:name w:val="Body Text First Indent Char"/>
    <w:basedOn w:val="BodyTextChar"/>
    <w:link w:val="BodyTextFirstIndent"/>
    <w:semiHidden/>
    <w:rsid w:val="00050C37"/>
    <w:rPr>
      <w:rFonts w:ascii="Arial" w:hAnsi="Arial"/>
      <w:color w:val="373737"/>
      <w:sz w:val="20"/>
    </w:rPr>
  </w:style>
  <w:style w:type="paragraph" w:styleId="BodyTextIndent">
    <w:name w:val="Body Text Indent"/>
    <w:basedOn w:val="Normal"/>
    <w:link w:val="BodyTextIndentChar"/>
    <w:semiHidden/>
    <w:unhideWhenUsed/>
    <w:rsid w:val="00050C37"/>
    <w:pPr>
      <w:spacing w:after="120"/>
      <w:ind w:left="283"/>
    </w:pPr>
  </w:style>
  <w:style w:type="character" w:customStyle="1" w:styleId="BodyTextIndentChar">
    <w:name w:val="Body Text Indent Char"/>
    <w:basedOn w:val="DefaultParagraphFont"/>
    <w:link w:val="BodyTextIndent"/>
    <w:semiHidden/>
    <w:rsid w:val="00050C37"/>
    <w:rPr>
      <w:rFonts w:ascii="Arial" w:hAnsi="Arial"/>
      <w:color w:val="373737"/>
      <w:sz w:val="20"/>
    </w:rPr>
  </w:style>
  <w:style w:type="paragraph" w:styleId="BodyTextFirstIndent2">
    <w:name w:val="Body Text First Indent 2"/>
    <w:basedOn w:val="BodyTextIndent"/>
    <w:link w:val="BodyTextFirstIndent2Char"/>
    <w:semiHidden/>
    <w:rsid w:val="00050C37"/>
    <w:pPr>
      <w:spacing w:after="180"/>
      <w:ind w:left="360" w:firstLine="360"/>
    </w:pPr>
  </w:style>
  <w:style w:type="character" w:customStyle="1" w:styleId="BodyTextFirstIndent2Char">
    <w:name w:val="Body Text First Indent 2 Char"/>
    <w:basedOn w:val="BodyTextIndentChar"/>
    <w:link w:val="BodyTextFirstIndent2"/>
    <w:semiHidden/>
    <w:rsid w:val="00050C37"/>
    <w:rPr>
      <w:rFonts w:ascii="Arial" w:hAnsi="Arial"/>
      <w:color w:val="373737"/>
      <w:sz w:val="20"/>
    </w:rPr>
  </w:style>
  <w:style w:type="character" w:customStyle="1" w:styleId="Heading8Char">
    <w:name w:val="Heading 8 Char"/>
    <w:basedOn w:val="DefaultParagraphFont"/>
    <w:link w:val="Heading8"/>
    <w:uiPriority w:val="1"/>
    <w:rsid w:val="00050C37"/>
    <w:rPr>
      <w:rFonts w:asciiTheme="majorHAnsi" w:eastAsiaTheme="majorEastAsia" w:hAnsiTheme="majorHAnsi" w:cstheme="majorBidi"/>
      <w:color w:val="005CAF"/>
      <w:szCs w:val="20"/>
    </w:rPr>
  </w:style>
  <w:style w:type="paragraph" w:customStyle="1" w:styleId="Source">
    <w:name w:val="Source"/>
    <w:basedOn w:val="Normal"/>
    <w:next w:val="BodyText"/>
    <w:link w:val="SourceChar"/>
    <w:qFormat/>
    <w:rsid w:val="00050C37"/>
    <w:pPr>
      <w:keepLines/>
      <w:pBdr>
        <w:bottom w:val="single" w:sz="4" w:space="1" w:color="595A5B"/>
      </w:pBdr>
      <w:spacing w:before="60" w:after="360" w:line="270" w:lineRule="exact"/>
    </w:pPr>
    <w:rPr>
      <w:rFonts w:eastAsia="Times New Roman" w:cs="Arial"/>
      <w:color w:val="005CAF"/>
      <w:sz w:val="16"/>
      <w:szCs w:val="20"/>
      <w:lang w:val="en"/>
    </w:rPr>
  </w:style>
  <w:style w:type="character" w:customStyle="1" w:styleId="SourceChar">
    <w:name w:val="Source Char"/>
    <w:basedOn w:val="DefaultParagraphFont"/>
    <w:link w:val="Source"/>
    <w:rsid w:val="00050C37"/>
    <w:rPr>
      <w:rFonts w:ascii="Arial" w:eastAsia="Times New Roman" w:hAnsi="Arial" w:cs="Arial"/>
      <w:color w:val="005CAF"/>
      <w:sz w:val="16"/>
      <w:szCs w:val="20"/>
      <w:lang w:val="en"/>
    </w:rPr>
  </w:style>
  <w:style w:type="paragraph" w:customStyle="1" w:styleId="Tabletext">
    <w:name w:val="Table text"/>
    <w:basedOn w:val="Normal"/>
    <w:link w:val="TabletextChar"/>
    <w:qFormat/>
    <w:rsid w:val="00050C37"/>
    <w:pPr>
      <w:keepNext/>
      <w:keepLines/>
      <w:spacing w:before="60" w:after="60" w:line="240" w:lineRule="auto"/>
    </w:pPr>
    <w:rPr>
      <w:rFonts w:cs="Arial"/>
      <w:sz w:val="18"/>
      <w:szCs w:val="18"/>
    </w:rPr>
  </w:style>
  <w:style w:type="character" w:customStyle="1" w:styleId="TabletextChar">
    <w:name w:val="Table text Char"/>
    <w:basedOn w:val="DefaultParagraphFont"/>
    <w:link w:val="Tabletext"/>
    <w:rsid w:val="00050C37"/>
    <w:rPr>
      <w:rFonts w:ascii="Arial" w:hAnsi="Arial" w:cs="Arial"/>
      <w:color w:val="373737"/>
      <w:sz w:val="18"/>
      <w:szCs w:val="18"/>
    </w:rPr>
  </w:style>
  <w:style w:type="paragraph" w:customStyle="1" w:styleId="Tableheader">
    <w:name w:val="Table header"/>
    <w:basedOn w:val="Normal"/>
    <w:link w:val="TableheaderChar"/>
    <w:qFormat/>
    <w:rsid w:val="00050C37"/>
    <w:pPr>
      <w:keepNext/>
      <w:spacing w:before="120" w:after="120" w:line="240" w:lineRule="auto"/>
    </w:pPr>
    <w:rPr>
      <w:rFonts w:cs="Arial"/>
      <w:b/>
      <w:color w:val="FFFFFF"/>
      <w:sz w:val="18"/>
      <w:szCs w:val="18"/>
    </w:rPr>
  </w:style>
  <w:style w:type="character" w:customStyle="1" w:styleId="TableheaderChar">
    <w:name w:val="Table header Char"/>
    <w:basedOn w:val="DefaultParagraphFont"/>
    <w:link w:val="Tableheader"/>
    <w:rsid w:val="00050C37"/>
    <w:rPr>
      <w:rFonts w:ascii="Arial" w:hAnsi="Arial" w:cs="Arial"/>
      <w:b/>
      <w:color w:val="FFFFFF"/>
      <w:sz w:val="18"/>
      <w:szCs w:val="18"/>
    </w:rPr>
  </w:style>
  <w:style w:type="paragraph" w:styleId="Caption">
    <w:name w:val="caption"/>
    <w:basedOn w:val="Normal"/>
    <w:next w:val="Placeholder"/>
    <w:link w:val="CaptionChar"/>
    <w:rsid w:val="00050C37"/>
    <w:pPr>
      <w:keepNext/>
      <w:keepLines/>
      <w:pBdr>
        <w:top w:val="single" w:sz="2" w:space="1" w:color="595A5B"/>
      </w:pBdr>
      <w:spacing w:before="360" w:after="240" w:line="240" w:lineRule="atLeast"/>
    </w:pPr>
    <w:rPr>
      <w:bCs/>
      <w:color w:val="005CAF"/>
      <w:sz w:val="18"/>
      <w:szCs w:val="18"/>
    </w:rPr>
  </w:style>
  <w:style w:type="paragraph" w:customStyle="1" w:styleId="Note">
    <w:name w:val="Note"/>
    <w:basedOn w:val="Source"/>
    <w:rsid w:val="00050C37"/>
    <w:pPr>
      <w:keepNext/>
      <w:pBdr>
        <w:bottom w:val="none" w:sz="0" w:space="0" w:color="auto"/>
      </w:pBdr>
      <w:spacing w:after="60"/>
    </w:pPr>
  </w:style>
  <w:style w:type="table" w:customStyle="1" w:styleId="OCETable">
    <w:name w:val="OCE Table"/>
    <w:basedOn w:val="TableNormal"/>
    <w:uiPriority w:val="99"/>
    <w:rsid w:val="00050C37"/>
    <w:pPr>
      <w:spacing w:after="0" w:line="240" w:lineRule="auto"/>
    </w:pPr>
    <w:rPr>
      <w:color w:val="373737"/>
      <w:sz w:val="18"/>
    </w:rPr>
    <w:tblPr>
      <w:tblStyleRowBandSize w:val="1"/>
    </w:tblPr>
    <w:tcPr>
      <w:shd w:val="clear" w:color="auto" w:fill="CAE7F3"/>
    </w:tcPr>
    <w:tblStylePr w:type="firstRow">
      <w:rPr>
        <w:rFonts w:asciiTheme="minorHAnsi" w:hAnsiTheme="minorHAnsi"/>
        <w:b w:val="0"/>
        <w:i w:val="0"/>
        <w:color w:val="FFFFFF"/>
        <w:sz w:val="18"/>
      </w:rPr>
      <w:tblPr/>
      <w:tcPr>
        <w:tcBorders>
          <w:top w:val="nil"/>
          <w:left w:val="nil"/>
          <w:bottom w:val="nil"/>
          <w:right w:val="nil"/>
          <w:insideH w:val="nil"/>
          <w:insideV w:val="nil"/>
          <w:tl2br w:val="nil"/>
          <w:tr2bl w:val="nil"/>
        </w:tcBorders>
        <w:shd w:val="clear" w:color="auto" w:fill="005CAF"/>
      </w:tcPr>
    </w:tblStylePr>
    <w:tblStylePr w:type="band1Horz">
      <w:tblPr/>
      <w:tcPr>
        <w:shd w:val="clear" w:color="auto" w:fill="DEE8F1"/>
      </w:tcPr>
    </w:tblStylePr>
    <w:tblStylePr w:type="band2Horz">
      <w:tblPr/>
      <w:tcPr>
        <w:shd w:val="clear" w:color="auto" w:fill="FFFFFF" w:themeFill="background1"/>
      </w:tcPr>
    </w:tblStylePr>
  </w:style>
  <w:style w:type="paragraph" w:customStyle="1" w:styleId="CaptionWide">
    <w:name w:val="Caption Wide"/>
    <w:basedOn w:val="Caption"/>
    <w:next w:val="PlaceholderWide"/>
    <w:rsid w:val="00050C37"/>
    <w:pPr>
      <w:ind w:left="-1985"/>
    </w:pPr>
  </w:style>
  <w:style w:type="paragraph" w:customStyle="1" w:styleId="NoteWide">
    <w:name w:val="Note Wide"/>
    <w:basedOn w:val="Note"/>
    <w:rsid w:val="00050C37"/>
    <w:pPr>
      <w:ind w:left="-1985"/>
    </w:pPr>
  </w:style>
  <w:style w:type="paragraph" w:customStyle="1" w:styleId="SourceWide">
    <w:name w:val="Source Wide"/>
    <w:basedOn w:val="Source"/>
    <w:next w:val="BodyText"/>
    <w:rsid w:val="00050C37"/>
    <w:pPr>
      <w:ind w:left="-1985"/>
    </w:pPr>
  </w:style>
  <w:style w:type="paragraph" w:customStyle="1" w:styleId="Placeholder">
    <w:name w:val="Placeholder"/>
    <w:basedOn w:val="Normal"/>
    <w:rsid w:val="00050C37"/>
    <w:pPr>
      <w:keepNext/>
      <w:keepLines/>
      <w:spacing w:after="0" w:line="240" w:lineRule="auto"/>
      <w:jc w:val="center"/>
    </w:pPr>
    <w:rPr>
      <w:sz w:val="18"/>
    </w:rPr>
  </w:style>
  <w:style w:type="paragraph" w:customStyle="1" w:styleId="PlaceholderWide">
    <w:name w:val="Placeholder Wide"/>
    <w:basedOn w:val="Placeholder"/>
    <w:rsid w:val="00050C37"/>
  </w:style>
  <w:style w:type="paragraph" w:customStyle="1" w:styleId="Boxtext">
    <w:name w:val="Box text"/>
    <w:basedOn w:val="Placeholder"/>
    <w:rsid w:val="00050C37"/>
    <w:pPr>
      <w:spacing w:before="120" w:after="120" w:line="260" w:lineRule="atLeast"/>
      <w:jc w:val="left"/>
    </w:pPr>
    <w:rPr>
      <w:rFonts w:eastAsia="Times New Roman" w:cs="Arial"/>
      <w:szCs w:val="18"/>
      <w:lang w:val="en"/>
    </w:rPr>
  </w:style>
  <w:style w:type="numbering" w:customStyle="1" w:styleId="OCENumberedList">
    <w:name w:val="OCE Numbered List"/>
    <w:uiPriority w:val="99"/>
    <w:rsid w:val="00050C37"/>
    <w:pPr>
      <w:numPr>
        <w:numId w:val="5"/>
      </w:numPr>
    </w:pPr>
  </w:style>
  <w:style w:type="paragraph" w:customStyle="1" w:styleId="UnnumberedHeading">
    <w:name w:val="Unnumbered Heading"/>
    <w:next w:val="BodyText"/>
    <w:link w:val="UnnumberedHeadingChar"/>
    <w:rsid w:val="00050C37"/>
    <w:pPr>
      <w:keepNext/>
      <w:spacing w:before="300" w:after="180" w:line="280" w:lineRule="exact"/>
    </w:pPr>
    <w:rPr>
      <w:rFonts w:ascii="Arial" w:eastAsia="Times New Roman" w:hAnsi="Arial" w:cs="Times New Roman"/>
      <w:b/>
      <w:color w:val="005CAF"/>
      <w:kern w:val="32"/>
      <w:sz w:val="32"/>
      <w:szCs w:val="20"/>
    </w:rPr>
  </w:style>
  <w:style w:type="character" w:customStyle="1" w:styleId="UnnumberedHeadingChar">
    <w:name w:val="Unnumbered Heading Char"/>
    <w:basedOn w:val="Heading1Char"/>
    <w:link w:val="UnnumberedHeading"/>
    <w:rsid w:val="00050C37"/>
    <w:rPr>
      <w:rFonts w:ascii="Arial" w:eastAsia="Times New Roman" w:hAnsi="Arial" w:cs="Times New Roman"/>
      <w:b/>
      <w:bCs w:val="0"/>
      <w:color w:val="005CAF"/>
      <w:kern w:val="32"/>
      <w:sz w:val="32"/>
      <w:szCs w:val="20"/>
    </w:rPr>
  </w:style>
  <w:style w:type="paragraph" w:styleId="Title">
    <w:name w:val="Title"/>
    <w:basedOn w:val="ResearchPaper"/>
    <w:next w:val="Normal"/>
    <w:link w:val="TitleChar"/>
    <w:rsid w:val="00050C37"/>
    <w:pPr>
      <w:spacing w:before="600" w:after="600" w:line="240" w:lineRule="auto"/>
    </w:pPr>
    <w:rPr>
      <w:rFonts w:asciiTheme="majorHAnsi" w:hAnsiTheme="majorHAnsi"/>
      <w:b w:val="0"/>
      <w:color w:val="22789A"/>
      <w:sz w:val="72"/>
    </w:rPr>
  </w:style>
  <w:style w:type="character" w:customStyle="1" w:styleId="TitleChar">
    <w:name w:val="Title Char"/>
    <w:basedOn w:val="DefaultParagraphFont"/>
    <w:link w:val="Title"/>
    <w:rsid w:val="00050C37"/>
    <w:rPr>
      <w:rFonts w:asciiTheme="majorHAnsi" w:eastAsia="Times New Roman" w:hAnsiTheme="majorHAnsi" w:cs="Arial"/>
      <w:caps/>
      <w:color w:val="22789A"/>
      <w:sz w:val="72"/>
      <w:szCs w:val="20"/>
    </w:rPr>
  </w:style>
  <w:style w:type="paragraph" w:customStyle="1" w:styleId="ResearchPaper">
    <w:name w:val="Research Paper #"/>
    <w:basedOn w:val="CoverNormal"/>
    <w:next w:val="CoverNormal"/>
    <w:link w:val="ResearchPaperChar"/>
    <w:rsid w:val="00050C37"/>
    <w:pPr>
      <w:spacing w:before="240" w:line="270" w:lineRule="exact"/>
    </w:pPr>
    <w:rPr>
      <w:rFonts w:eastAsia="Times New Roman" w:cs="Arial"/>
      <w:b/>
      <w:caps/>
      <w:sz w:val="21"/>
      <w:szCs w:val="20"/>
    </w:rPr>
  </w:style>
  <w:style w:type="character" w:customStyle="1" w:styleId="ResearchPaperChar">
    <w:name w:val="Research Paper # Char"/>
    <w:link w:val="ResearchPaper"/>
    <w:rsid w:val="00050C37"/>
    <w:rPr>
      <w:rFonts w:eastAsia="Times New Roman" w:cs="Arial"/>
      <w:b/>
      <w:caps/>
      <w:color w:val="373737"/>
      <w:sz w:val="21"/>
      <w:szCs w:val="20"/>
    </w:rPr>
  </w:style>
  <w:style w:type="paragraph" w:customStyle="1" w:styleId="Author">
    <w:name w:val="Author"/>
    <w:basedOn w:val="Normal"/>
    <w:link w:val="AuthorChar"/>
    <w:rsid w:val="00050C37"/>
    <w:pPr>
      <w:spacing w:before="180" w:line="270" w:lineRule="exact"/>
    </w:pPr>
    <w:rPr>
      <w:rFonts w:eastAsia="Times New Roman" w:cs="Arial"/>
      <w:b/>
      <w:color w:val="005CAF"/>
      <w:sz w:val="32"/>
      <w:szCs w:val="20"/>
    </w:rPr>
  </w:style>
  <w:style w:type="character" w:customStyle="1" w:styleId="AuthorChar">
    <w:name w:val="Author Char"/>
    <w:basedOn w:val="DefaultParagraphFont"/>
    <w:link w:val="Author"/>
    <w:rsid w:val="00050C37"/>
    <w:rPr>
      <w:rFonts w:ascii="Arial" w:eastAsia="Times New Roman" w:hAnsi="Arial" w:cs="Arial"/>
      <w:b/>
      <w:color w:val="005CAF"/>
      <w:sz w:val="32"/>
      <w:szCs w:val="20"/>
    </w:rPr>
  </w:style>
  <w:style w:type="paragraph" w:customStyle="1" w:styleId="MonthYear">
    <w:name w:val="Month Year"/>
    <w:basedOn w:val="Normal"/>
    <w:link w:val="MonthYearChar"/>
    <w:qFormat/>
    <w:rsid w:val="00050C37"/>
    <w:pPr>
      <w:spacing w:before="720" w:line="270" w:lineRule="exact"/>
    </w:pPr>
    <w:rPr>
      <w:rFonts w:eastAsia="Times New Roman" w:cs="Arial"/>
      <w:b/>
      <w:color w:val="56B4DF"/>
      <w:szCs w:val="20"/>
    </w:rPr>
  </w:style>
  <w:style w:type="character" w:customStyle="1" w:styleId="MonthYearChar">
    <w:name w:val="Month Year Char"/>
    <w:basedOn w:val="DefaultParagraphFont"/>
    <w:link w:val="MonthYear"/>
    <w:rsid w:val="00050C37"/>
    <w:rPr>
      <w:rFonts w:eastAsia="Times New Roman" w:cs="Arial"/>
      <w:b/>
      <w:color w:val="56B4DF"/>
      <w:sz w:val="20"/>
      <w:szCs w:val="20"/>
    </w:rPr>
  </w:style>
  <w:style w:type="paragraph" w:customStyle="1" w:styleId="AbstractHeader">
    <w:name w:val="Abstract Header"/>
    <w:basedOn w:val="Normal"/>
    <w:link w:val="AbstractHeaderChar"/>
    <w:qFormat/>
    <w:rsid w:val="00050C37"/>
    <w:pPr>
      <w:spacing w:before="360" w:line="270" w:lineRule="exact"/>
    </w:pPr>
    <w:rPr>
      <w:rFonts w:eastAsia="Times New Roman" w:cs="Arial"/>
      <w:color w:val="005CAF"/>
      <w:sz w:val="32"/>
      <w:szCs w:val="20"/>
    </w:rPr>
  </w:style>
  <w:style w:type="character" w:customStyle="1" w:styleId="AbstractHeaderChar">
    <w:name w:val="Abstract Header Char"/>
    <w:basedOn w:val="DefaultParagraphFont"/>
    <w:link w:val="AbstractHeader"/>
    <w:rsid w:val="00050C37"/>
    <w:rPr>
      <w:rFonts w:ascii="Arial" w:eastAsia="Times New Roman" w:hAnsi="Arial" w:cs="Arial"/>
      <w:color w:val="005CAF"/>
      <w:sz w:val="32"/>
      <w:szCs w:val="20"/>
    </w:rPr>
  </w:style>
  <w:style w:type="numbering" w:customStyle="1" w:styleId="EASDMultilevelList">
    <w:name w:val="EASD Multilevel List"/>
    <w:uiPriority w:val="99"/>
    <w:rsid w:val="00050C37"/>
    <w:pPr>
      <w:numPr>
        <w:numId w:val="6"/>
      </w:numPr>
    </w:pPr>
  </w:style>
  <w:style w:type="numbering" w:styleId="111111">
    <w:name w:val="Outline List 2"/>
    <w:basedOn w:val="NoList"/>
    <w:rsid w:val="00050C37"/>
    <w:pPr>
      <w:numPr>
        <w:numId w:val="2"/>
      </w:numPr>
    </w:pPr>
  </w:style>
  <w:style w:type="paragraph" w:customStyle="1" w:styleId="Abstractbodytext">
    <w:name w:val="Abstract body text"/>
    <w:basedOn w:val="CoverNormal"/>
    <w:link w:val="AbstractbodytextChar"/>
    <w:uiPriority w:val="9"/>
    <w:semiHidden/>
    <w:rsid w:val="00050C37"/>
    <w:pPr>
      <w:spacing w:before="60" w:after="60" w:line="270" w:lineRule="exact"/>
      <w:jc w:val="both"/>
    </w:pPr>
    <w:rPr>
      <w:rFonts w:eastAsia="Times New Roman" w:cs="Arial"/>
      <w:szCs w:val="20"/>
      <w:lang w:val="en"/>
    </w:rPr>
  </w:style>
  <w:style w:type="character" w:customStyle="1" w:styleId="AbstractbodytextChar">
    <w:name w:val="Abstract body text Char"/>
    <w:basedOn w:val="DefaultParagraphFont"/>
    <w:link w:val="Abstractbodytext"/>
    <w:uiPriority w:val="9"/>
    <w:semiHidden/>
    <w:rsid w:val="00050C37"/>
    <w:rPr>
      <w:rFonts w:eastAsia="Times New Roman" w:cs="Arial"/>
      <w:color w:val="373737"/>
      <w:sz w:val="20"/>
      <w:szCs w:val="20"/>
      <w:lang w:val="en"/>
    </w:rPr>
  </w:style>
  <w:style w:type="paragraph" w:customStyle="1" w:styleId="CoverNormal">
    <w:name w:val="Cover Normal"/>
    <w:rsid w:val="00050C37"/>
    <w:pPr>
      <w:spacing w:line="240" w:lineRule="auto"/>
    </w:pPr>
    <w:rPr>
      <w:color w:val="373737"/>
      <w:sz w:val="20"/>
    </w:rPr>
  </w:style>
  <w:style w:type="paragraph" w:customStyle="1" w:styleId="TitleHeading">
    <w:name w:val="Title Heading"/>
    <w:link w:val="TitleHeadingChar"/>
    <w:qFormat/>
    <w:rsid w:val="00050C37"/>
    <w:pPr>
      <w:keepNext/>
      <w:spacing w:before="600" w:after="600" w:line="240" w:lineRule="auto"/>
      <w:ind w:right="57"/>
    </w:pPr>
    <w:rPr>
      <w:rFonts w:ascii="Arial" w:eastAsia="Times New Roman" w:hAnsi="Arial" w:cs="Times New Roman"/>
      <w:color w:val="005CAF"/>
      <w:kern w:val="32"/>
      <w:sz w:val="72"/>
      <w:szCs w:val="20"/>
    </w:rPr>
  </w:style>
  <w:style w:type="character" w:customStyle="1" w:styleId="TitleHeadingChar">
    <w:name w:val="Title Heading Char"/>
    <w:basedOn w:val="Heading2Char"/>
    <w:link w:val="TitleHeading"/>
    <w:rsid w:val="00050C37"/>
    <w:rPr>
      <w:rFonts w:ascii="Arial" w:eastAsia="Times New Roman" w:hAnsi="Arial" w:cs="Times New Roman"/>
      <w:b w:val="0"/>
      <w:iCs w:val="0"/>
      <w:color w:val="005CAF"/>
      <w:kern w:val="32"/>
      <w:sz w:val="72"/>
      <w:szCs w:val="20"/>
    </w:rPr>
  </w:style>
  <w:style w:type="paragraph" w:customStyle="1" w:styleId="Keypointsbullet">
    <w:name w:val="Key points bullet"/>
    <w:basedOn w:val="BodyText"/>
    <w:link w:val="KeypointsbulletChar"/>
    <w:qFormat/>
    <w:rsid w:val="00050C37"/>
    <w:pPr>
      <w:numPr>
        <w:numId w:val="7"/>
      </w:numPr>
      <w:ind w:left="311" w:right="153" w:hanging="249"/>
    </w:pPr>
    <w:rPr>
      <w:rFonts w:eastAsia="Times New Roman" w:cs="Arial"/>
      <w:b/>
      <w:szCs w:val="20"/>
      <w:lang w:val="en"/>
    </w:rPr>
  </w:style>
  <w:style w:type="character" w:customStyle="1" w:styleId="KeypointsbulletChar">
    <w:name w:val="Key points bullet Char"/>
    <w:basedOn w:val="ListParagraphChar"/>
    <w:link w:val="Keypointsbullet"/>
    <w:rsid w:val="00050C37"/>
    <w:rPr>
      <w:rFonts w:eastAsia="Times New Roman" w:cs="Arial"/>
      <w:b/>
      <w:color w:val="373737"/>
      <w:sz w:val="20"/>
      <w:szCs w:val="20"/>
      <w:lang w:val="en"/>
    </w:rPr>
  </w:style>
  <w:style w:type="paragraph" w:styleId="Header">
    <w:name w:val="header"/>
    <w:aliases w:val="HeaderPort"/>
    <w:basedOn w:val="Normal"/>
    <w:link w:val="HeaderChar"/>
    <w:unhideWhenUsed/>
    <w:rsid w:val="00050C37"/>
    <w:pPr>
      <w:spacing w:after="0" w:line="240" w:lineRule="auto"/>
    </w:pPr>
  </w:style>
  <w:style w:type="character" w:customStyle="1" w:styleId="HeaderChar">
    <w:name w:val="Header Char"/>
    <w:aliases w:val="HeaderPort Char"/>
    <w:basedOn w:val="DefaultParagraphFont"/>
    <w:link w:val="Header"/>
    <w:rsid w:val="00050C37"/>
    <w:rPr>
      <w:rFonts w:ascii="Arial" w:hAnsi="Arial"/>
      <w:color w:val="373737"/>
      <w:sz w:val="20"/>
    </w:rPr>
  </w:style>
  <w:style w:type="paragraph" w:customStyle="1" w:styleId="CoverAbstract">
    <w:name w:val="Cover Abstract"/>
    <w:basedOn w:val="Normal"/>
    <w:uiPriority w:val="10"/>
    <w:rsid w:val="00050C37"/>
    <w:pPr>
      <w:spacing w:line="270" w:lineRule="exact"/>
    </w:pPr>
    <w:rPr>
      <w:lang w:val="en"/>
    </w:rPr>
  </w:style>
  <w:style w:type="paragraph" w:customStyle="1" w:styleId="ReportCoverContact">
    <w:name w:val="Report Cover Contact"/>
    <w:basedOn w:val="Normal"/>
    <w:rsid w:val="00050C37"/>
    <w:pPr>
      <w:spacing w:after="60" w:line="270" w:lineRule="exact"/>
    </w:pPr>
    <w:rPr>
      <w:rFonts w:eastAsia="Calibri" w:cs="Arial"/>
      <w:sz w:val="16"/>
      <w:szCs w:val="18"/>
      <w:lang w:val="en"/>
    </w:rPr>
  </w:style>
  <w:style w:type="paragraph" w:customStyle="1" w:styleId="ReportCoverInformation">
    <w:name w:val="Report Cover Information"/>
    <w:basedOn w:val="Normal"/>
    <w:rsid w:val="00050C37"/>
    <w:pPr>
      <w:keepNext/>
      <w:pBdr>
        <w:top w:val="single" w:sz="4" w:space="1" w:color="595A5B"/>
      </w:pBdr>
      <w:spacing w:before="600" w:after="120" w:line="240" w:lineRule="atLeast"/>
      <w:ind w:right="57"/>
      <w:outlineLvl w:val="7"/>
    </w:pPr>
    <w:rPr>
      <w:rFonts w:eastAsia="Times New Roman" w:cs="Times New Roman"/>
      <w:color w:val="005CAF"/>
      <w:sz w:val="16"/>
      <w:szCs w:val="20"/>
      <w:lang w:val="en"/>
    </w:rPr>
  </w:style>
  <w:style w:type="paragraph" w:styleId="TOC2">
    <w:name w:val="toc 2"/>
    <w:basedOn w:val="Normal"/>
    <w:next w:val="Normal"/>
    <w:autoRedefine/>
    <w:uiPriority w:val="39"/>
    <w:rsid w:val="00050C37"/>
    <w:pPr>
      <w:tabs>
        <w:tab w:val="right" w:pos="8931"/>
      </w:tabs>
      <w:spacing w:after="100"/>
      <w:ind w:left="1843" w:right="804" w:hanging="567"/>
    </w:pPr>
    <w:rPr>
      <w:noProof/>
    </w:rPr>
  </w:style>
  <w:style w:type="paragraph" w:styleId="TOC3">
    <w:name w:val="toc 3"/>
    <w:basedOn w:val="Normal"/>
    <w:next w:val="Normal"/>
    <w:autoRedefine/>
    <w:uiPriority w:val="39"/>
    <w:rsid w:val="00050C37"/>
    <w:pPr>
      <w:tabs>
        <w:tab w:val="right" w:pos="8931"/>
      </w:tabs>
      <w:spacing w:after="100"/>
      <w:ind w:left="1843" w:right="804"/>
    </w:pPr>
    <w:rPr>
      <w:noProof/>
    </w:rPr>
  </w:style>
  <w:style w:type="paragraph" w:styleId="TOC6">
    <w:name w:val="toc 6"/>
    <w:basedOn w:val="Normal"/>
    <w:next w:val="Normal"/>
    <w:autoRedefine/>
    <w:uiPriority w:val="39"/>
    <w:rsid w:val="00050C37"/>
    <w:pPr>
      <w:tabs>
        <w:tab w:val="right" w:pos="8931"/>
      </w:tabs>
      <w:spacing w:after="100"/>
      <w:ind w:left="2127" w:right="804" w:hanging="1418"/>
    </w:pPr>
    <w:rPr>
      <w:b/>
    </w:rPr>
  </w:style>
  <w:style w:type="paragraph" w:customStyle="1" w:styleId="Contents">
    <w:name w:val="Contents"/>
    <w:basedOn w:val="CoverNormal"/>
    <w:rsid w:val="00050C37"/>
    <w:pPr>
      <w:pageBreakBefore/>
      <w:ind w:left="567"/>
      <w:jc w:val="center"/>
    </w:pPr>
    <w:rPr>
      <w:rFonts w:asciiTheme="majorHAnsi" w:hAnsiTheme="majorHAnsi" w:cstheme="majorHAnsi"/>
      <w:b/>
      <w:color w:val="005CAF"/>
      <w:sz w:val="52"/>
      <w:szCs w:val="52"/>
    </w:rPr>
  </w:style>
  <w:style w:type="paragraph" w:customStyle="1" w:styleId="CreativeCommonsLicence">
    <w:name w:val="Creative Commons Licence"/>
    <w:basedOn w:val="DisclaimerHeading"/>
    <w:next w:val="DisclaimerandAcknowledgement"/>
    <w:rsid w:val="00050C37"/>
    <w:pPr>
      <w:keepNext/>
      <w:outlineLvl w:val="7"/>
    </w:pPr>
  </w:style>
  <w:style w:type="paragraph" w:customStyle="1" w:styleId="Keypointsheader">
    <w:name w:val="Key points header"/>
    <w:basedOn w:val="BodyText"/>
    <w:link w:val="KeypointsheaderChar"/>
    <w:qFormat/>
    <w:rsid w:val="00050C37"/>
    <w:pPr>
      <w:keepNext/>
      <w:pageBreakBefore/>
      <w:spacing w:before="300" w:line="280" w:lineRule="atLeast"/>
      <w:ind w:left="34" w:right="57"/>
      <w:jc w:val="left"/>
    </w:pPr>
    <w:rPr>
      <w:rFonts w:eastAsia="Times New Roman" w:cs="Times New Roman"/>
      <w:b/>
      <w:color w:val="005CAF"/>
      <w:sz w:val="32"/>
      <w:szCs w:val="20"/>
    </w:rPr>
  </w:style>
  <w:style w:type="character" w:customStyle="1" w:styleId="KeypointsheaderChar">
    <w:name w:val="Key points header Char"/>
    <w:basedOn w:val="DefaultParagraphFont"/>
    <w:link w:val="Keypointsheader"/>
    <w:rsid w:val="00050C37"/>
    <w:rPr>
      <w:rFonts w:eastAsia="Times New Roman" w:cs="Times New Roman"/>
      <w:b/>
      <w:color w:val="005CAF"/>
      <w:sz w:val="32"/>
      <w:szCs w:val="20"/>
    </w:rPr>
  </w:style>
  <w:style w:type="paragraph" w:customStyle="1" w:styleId="AbstractText">
    <w:name w:val="Abstract Text"/>
    <w:basedOn w:val="CoverNormal"/>
    <w:rsid w:val="00050C37"/>
    <w:pPr>
      <w:spacing w:before="60" w:after="60" w:line="260" w:lineRule="exact"/>
    </w:pPr>
  </w:style>
  <w:style w:type="paragraph" w:customStyle="1" w:styleId="JELCodeheader">
    <w:name w:val="JEL Code header"/>
    <w:link w:val="JELCodeheaderChar"/>
    <w:qFormat/>
    <w:rsid w:val="00050C37"/>
    <w:pPr>
      <w:spacing w:after="0" w:line="270" w:lineRule="exact"/>
      <w:jc w:val="both"/>
    </w:pPr>
    <w:rPr>
      <w:rFonts w:ascii="Arial" w:eastAsia="Times New Roman" w:hAnsi="Arial" w:cs="Arial"/>
      <w:b/>
      <w:color w:val="373737"/>
      <w:sz w:val="20"/>
      <w:szCs w:val="20"/>
      <w:lang w:val="en"/>
    </w:rPr>
  </w:style>
  <w:style w:type="character" w:customStyle="1" w:styleId="JELCodeheaderChar">
    <w:name w:val="JEL Code header Char"/>
    <w:basedOn w:val="DefaultParagraphFont"/>
    <w:link w:val="JELCodeheader"/>
    <w:rsid w:val="00050C37"/>
    <w:rPr>
      <w:rFonts w:ascii="Arial" w:eastAsia="Times New Roman" w:hAnsi="Arial" w:cs="Arial"/>
      <w:b/>
      <w:color w:val="373737"/>
      <w:sz w:val="20"/>
      <w:szCs w:val="20"/>
      <w:lang w:val="en"/>
    </w:rPr>
  </w:style>
  <w:style w:type="paragraph" w:customStyle="1" w:styleId="DisclaimerandAcknowledgement">
    <w:name w:val="Disclaimer and Acknowledgement"/>
    <w:basedOn w:val="Normal"/>
    <w:link w:val="DisclaimerandAcknowledgementChar"/>
    <w:qFormat/>
    <w:rsid w:val="00050C37"/>
    <w:pPr>
      <w:spacing w:after="140" w:line="270" w:lineRule="exact"/>
    </w:pPr>
    <w:rPr>
      <w:rFonts w:eastAsia="Calibri" w:cs="Arial"/>
      <w:sz w:val="16"/>
      <w:szCs w:val="18"/>
      <w:lang w:val="en"/>
    </w:rPr>
  </w:style>
  <w:style w:type="character" w:customStyle="1" w:styleId="DisclaimerandAcknowledgementChar">
    <w:name w:val="Disclaimer and Acknowledgement Char"/>
    <w:link w:val="DisclaimerandAcknowledgement"/>
    <w:rsid w:val="00050C37"/>
    <w:rPr>
      <w:rFonts w:ascii="Arial" w:eastAsia="Calibri" w:hAnsi="Arial" w:cs="Arial"/>
      <w:color w:val="373737"/>
      <w:sz w:val="16"/>
      <w:szCs w:val="18"/>
      <w:lang w:val="en"/>
    </w:rPr>
  </w:style>
  <w:style w:type="paragraph" w:customStyle="1" w:styleId="HyperlinkStyle">
    <w:name w:val="Hyperlink Style"/>
    <w:basedOn w:val="Normal"/>
    <w:link w:val="HyperlinkStyleChar"/>
    <w:qFormat/>
    <w:rsid w:val="00050C37"/>
    <w:pPr>
      <w:spacing w:line="270" w:lineRule="exact"/>
    </w:pPr>
    <w:rPr>
      <w:rFonts w:eastAsia="Calibri" w:cs="Times New Roman"/>
      <w:color w:val="005CAF"/>
      <w:szCs w:val="20"/>
    </w:rPr>
  </w:style>
  <w:style w:type="character" w:customStyle="1" w:styleId="HyperlinkStyleChar">
    <w:name w:val="Hyperlink Style Char"/>
    <w:link w:val="HyperlinkStyle"/>
    <w:rsid w:val="00050C37"/>
    <w:rPr>
      <w:rFonts w:ascii="Arial" w:eastAsia="Calibri" w:hAnsi="Arial" w:cs="Times New Roman"/>
      <w:color w:val="005CAF"/>
      <w:sz w:val="20"/>
      <w:szCs w:val="20"/>
    </w:rPr>
  </w:style>
  <w:style w:type="paragraph" w:customStyle="1" w:styleId="DisclaimerHeading">
    <w:name w:val="Disclaimer Heading"/>
    <w:next w:val="DisclaimerandAcknowledgement"/>
    <w:link w:val="DisclaimerHeadingChar"/>
    <w:qFormat/>
    <w:rsid w:val="00050C37"/>
    <w:pPr>
      <w:pBdr>
        <w:top w:val="single" w:sz="4" w:space="1" w:color="595A5B"/>
      </w:pBdr>
      <w:spacing w:before="360" w:after="120" w:line="240" w:lineRule="atLeast"/>
      <w:ind w:left="2160" w:right="57"/>
    </w:pPr>
    <w:rPr>
      <w:rFonts w:ascii="Arial" w:eastAsia="Times New Roman" w:hAnsi="Arial" w:cs="Times New Roman"/>
      <w:color w:val="005CAF"/>
      <w:sz w:val="16"/>
      <w:szCs w:val="20"/>
      <w:lang w:val="en"/>
    </w:rPr>
  </w:style>
  <w:style w:type="character" w:customStyle="1" w:styleId="DisclaimerHeadingChar">
    <w:name w:val="Disclaimer Heading Char"/>
    <w:basedOn w:val="DefaultParagraphFont"/>
    <w:link w:val="DisclaimerHeading"/>
    <w:rsid w:val="00050C37"/>
    <w:rPr>
      <w:rFonts w:ascii="Arial" w:eastAsia="Times New Roman" w:hAnsi="Arial" w:cs="Times New Roman"/>
      <w:color w:val="005CAF"/>
      <w:sz w:val="16"/>
      <w:szCs w:val="20"/>
      <w:lang w:val="en"/>
    </w:rPr>
  </w:style>
  <w:style w:type="paragraph" w:styleId="Quote">
    <w:name w:val="Quote"/>
    <w:basedOn w:val="Normal"/>
    <w:next w:val="Normal"/>
    <w:link w:val="QuoteChar"/>
    <w:uiPriority w:val="29"/>
    <w:rsid w:val="00050C37"/>
    <w:pPr>
      <w:ind w:left="284" w:right="522"/>
    </w:pPr>
    <w:rPr>
      <w:iCs/>
      <w:sz w:val="18"/>
    </w:rPr>
  </w:style>
  <w:style w:type="character" w:customStyle="1" w:styleId="QuoteChar">
    <w:name w:val="Quote Char"/>
    <w:basedOn w:val="DefaultParagraphFont"/>
    <w:link w:val="Quote"/>
    <w:uiPriority w:val="29"/>
    <w:rsid w:val="00050C37"/>
    <w:rPr>
      <w:iCs/>
      <w:color w:val="373737"/>
      <w:sz w:val="18"/>
    </w:rPr>
  </w:style>
  <w:style w:type="paragraph" w:customStyle="1" w:styleId="TableListBullet">
    <w:name w:val="Table List Bullet"/>
    <w:basedOn w:val="Tabletext"/>
    <w:rsid w:val="00050C37"/>
    <w:pPr>
      <w:numPr>
        <w:numId w:val="8"/>
      </w:numPr>
    </w:pPr>
    <w:rPr>
      <w:rFonts w:eastAsia="Times New Roman"/>
      <w:lang w:eastAsia="en-AU"/>
    </w:rPr>
  </w:style>
  <w:style w:type="numbering" w:customStyle="1" w:styleId="OCETableBullets">
    <w:name w:val="OCE Table Bullets"/>
    <w:uiPriority w:val="99"/>
    <w:rsid w:val="00050C37"/>
    <w:pPr>
      <w:numPr>
        <w:numId w:val="8"/>
      </w:numPr>
    </w:pPr>
  </w:style>
  <w:style w:type="paragraph" w:customStyle="1" w:styleId="Logo">
    <w:name w:val="Logo"/>
    <w:basedOn w:val="Normal"/>
    <w:next w:val="DisclaimerHeading"/>
    <w:rsid w:val="00050C37"/>
    <w:pPr>
      <w:spacing w:before="600"/>
    </w:pPr>
    <w:rPr>
      <w:noProof/>
      <w:lang w:eastAsia="en-AU"/>
    </w:rPr>
  </w:style>
  <w:style w:type="paragraph" w:customStyle="1" w:styleId="SideQuote">
    <w:name w:val="Side Quote"/>
    <w:basedOn w:val="Normal"/>
    <w:next w:val="SideQuoteSource"/>
    <w:link w:val="SideQuoteChar"/>
    <w:rsid w:val="00050C37"/>
    <w:pPr>
      <w:keepNext/>
      <w:framePr w:w="1701" w:hSpace="113" w:vSpace="113" w:wrap="around" w:vAnchor="text" w:hAnchor="margin" w:x="-1984" w:y="1"/>
      <w:pBdr>
        <w:top w:val="single" w:sz="12" w:space="3" w:color="005CAF"/>
        <w:bottom w:val="single" w:sz="12" w:space="3" w:color="005CAF"/>
      </w:pBdr>
      <w:spacing w:before="60" w:after="40" w:line="220" w:lineRule="exact"/>
    </w:pPr>
    <w:rPr>
      <w:rFonts w:asciiTheme="majorHAnsi" w:eastAsia="Times New Roman" w:hAnsiTheme="majorHAnsi" w:cs="Times New Roman"/>
      <w:sz w:val="16"/>
      <w:lang w:eastAsia="en-AU"/>
    </w:rPr>
  </w:style>
  <w:style w:type="character" w:customStyle="1" w:styleId="SideQuoteChar">
    <w:name w:val="Side Quote Char"/>
    <w:basedOn w:val="DefaultParagraphFont"/>
    <w:link w:val="SideQuote"/>
    <w:rsid w:val="00050C37"/>
    <w:rPr>
      <w:rFonts w:asciiTheme="majorHAnsi" w:eastAsia="Times New Roman" w:hAnsiTheme="majorHAnsi" w:cs="Times New Roman"/>
      <w:color w:val="373737"/>
      <w:sz w:val="16"/>
      <w:lang w:eastAsia="en-AU"/>
    </w:rPr>
  </w:style>
  <w:style w:type="paragraph" w:customStyle="1" w:styleId="SideQuoteSource">
    <w:name w:val="Side Quote Source"/>
    <w:basedOn w:val="SideQuote"/>
    <w:next w:val="BodyText"/>
    <w:rsid w:val="00050C37"/>
    <w:pPr>
      <w:framePr w:wrap="around"/>
      <w:jc w:val="right"/>
    </w:pPr>
    <w:rPr>
      <w:i/>
      <w:color w:val="005CAF"/>
    </w:rPr>
  </w:style>
  <w:style w:type="paragraph" w:customStyle="1" w:styleId="LetterBody">
    <w:name w:val="Letter Body"/>
    <w:qFormat/>
    <w:rsid w:val="00050C37"/>
    <w:rPr>
      <w:rFonts w:ascii="Arial" w:eastAsia="Times New Roman" w:hAnsi="Arial" w:cs="Times New Roman"/>
      <w:color w:val="373737"/>
      <w:sz w:val="20"/>
      <w:szCs w:val="20"/>
      <w:lang w:eastAsia="en-AU"/>
    </w:rPr>
  </w:style>
  <w:style w:type="paragraph" w:customStyle="1" w:styleId="LetterAddress">
    <w:name w:val="Letter Address"/>
    <w:basedOn w:val="LetterNormal"/>
    <w:qFormat/>
    <w:rsid w:val="00050C37"/>
    <w:pPr>
      <w:spacing w:after="80"/>
      <w:ind w:left="1701"/>
    </w:pPr>
    <w:rPr>
      <w:sz w:val="16"/>
      <w:szCs w:val="16"/>
    </w:rPr>
  </w:style>
  <w:style w:type="paragraph" w:customStyle="1" w:styleId="Addressee">
    <w:name w:val="Addressee"/>
    <w:qFormat/>
    <w:rsid w:val="00050C37"/>
    <w:pPr>
      <w:spacing w:after="0"/>
    </w:pPr>
    <w:rPr>
      <w:rFonts w:ascii="Arial" w:eastAsia="Times New Roman" w:hAnsi="Arial" w:cs="Times New Roman"/>
      <w:sz w:val="20"/>
      <w:szCs w:val="20"/>
      <w:lang w:eastAsia="en-AU"/>
    </w:rPr>
  </w:style>
  <w:style w:type="paragraph" w:customStyle="1" w:styleId="LetterAddressee">
    <w:name w:val="Letter Addressee"/>
    <w:basedOn w:val="LetterNormal"/>
    <w:qFormat/>
    <w:rsid w:val="00050C37"/>
  </w:style>
  <w:style w:type="paragraph" w:customStyle="1" w:styleId="LetterSalutation">
    <w:name w:val="Letter Salutation"/>
    <w:basedOn w:val="LetterBody"/>
    <w:qFormat/>
    <w:rsid w:val="00050C37"/>
  </w:style>
  <w:style w:type="paragraph" w:customStyle="1" w:styleId="LetterSignature">
    <w:name w:val="Letter Signature"/>
    <w:basedOn w:val="LetterNormal"/>
    <w:qFormat/>
    <w:rsid w:val="00050C37"/>
    <w:pPr>
      <w:tabs>
        <w:tab w:val="left" w:pos="6200"/>
      </w:tabs>
    </w:pPr>
  </w:style>
  <w:style w:type="paragraph" w:customStyle="1" w:styleId="LetterNormal">
    <w:name w:val="Letter Normal"/>
    <w:basedOn w:val="Normal"/>
    <w:qFormat/>
    <w:rsid w:val="00050C37"/>
    <w:pPr>
      <w:suppressAutoHyphens/>
      <w:spacing w:after="0" w:line="240" w:lineRule="auto"/>
    </w:pPr>
    <w:rPr>
      <w:rFonts w:eastAsia="Times New Roman" w:cs="Times New Roman"/>
      <w:szCs w:val="20"/>
      <w:lang w:eastAsia="en-AU"/>
    </w:rPr>
  </w:style>
  <w:style w:type="paragraph" w:customStyle="1" w:styleId="LetterAddressBlock">
    <w:name w:val="Letter Address Block"/>
    <w:basedOn w:val="LetterNormal"/>
    <w:qFormat/>
    <w:rsid w:val="00050C37"/>
    <w:pPr>
      <w:spacing w:after="80"/>
    </w:pPr>
    <w:rPr>
      <w:sz w:val="16"/>
      <w:szCs w:val="16"/>
    </w:rPr>
  </w:style>
  <w:style w:type="paragraph" w:customStyle="1" w:styleId="AgendaBodyText">
    <w:name w:val="Agenda Body Text"/>
    <w:qFormat/>
    <w:rsid w:val="00050C37"/>
    <w:pPr>
      <w:spacing w:before="120" w:after="0" w:line="240" w:lineRule="auto"/>
    </w:pPr>
    <w:rPr>
      <w:rFonts w:ascii="Arial" w:hAnsi="Arial"/>
      <w:color w:val="373737"/>
      <w:sz w:val="18"/>
      <w:lang w:eastAsia="en-AU"/>
    </w:rPr>
  </w:style>
  <w:style w:type="paragraph" w:customStyle="1" w:styleId="AgendaTableColHeading">
    <w:name w:val="Agenda Table Co lHeading"/>
    <w:next w:val="AgendaBodyText"/>
    <w:qFormat/>
    <w:rsid w:val="00050C37"/>
    <w:pPr>
      <w:spacing w:before="200" w:after="0" w:line="240" w:lineRule="auto"/>
    </w:pPr>
    <w:rPr>
      <w:rFonts w:ascii="Arial" w:hAnsi="Arial"/>
      <w:b/>
      <w:color w:val="22789A"/>
    </w:rPr>
  </w:style>
  <w:style w:type="paragraph" w:customStyle="1" w:styleId="AgendaTableSubHeading">
    <w:name w:val="Agenda Table Sub Heading"/>
    <w:qFormat/>
    <w:rsid w:val="00050C37"/>
    <w:pPr>
      <w:spacing w:after="120" w:line="240" w:lineRule="auto"/>
    </w:pPr>
    <w:rPr>
      <w:rFonts w:ascii="Arial" w:hAnsi="Arial"/>
      <w:b/>
      <w:color w:val="373737"/>
      <w:sz w:val="18"/>
      <w:lang w:eastAsia="en-AU"/>
    </w:rPr>
  </w:style>
  <w:style w:type="paragraph" w:customStyle="1" w:styleId="AgendaTableColHeading0">
    <w:name w:val="Agenda Table Col Heading"/>
    <w:next w:val="AgendaBodyText"/>
    <w:qFormat/>
    <w:rsid w:val="00050C37"/>
    <w:pPr>
      <w:spacing w:before="200" w:after="0" w:line="240" w:lineRule="auto"/>
    </w:pPr>
    <w:rPr>
      <w:rFonts w:ascii="Arial" w:eastAsia="Times New Roman" w:hAnsi="Arial"/>
      <w:b/>
      <w:color w:val="005CAF"/>
      <w:lang w:eastAsia="en-AU"/>
    </w:rPr>
  </w:style>
  <w:style w:type="paragraph" w:customStyle="1" w:styleId="address">
    <w:name w:val="address"/>
    <w:basedOn w:val="Normal"/>
    <w:rsid w:val="00050C37"/>
    <w:pPr>
      <w:widowControl w:val="0"/>
      <w:suppressAutoHyphens/>
      <w:spacing w:after="240" w:line="240" w:lineRule="auto"/>
    </w:pPr>
    <w:rPr>
      <w:rFonts w:eastAsia="Times New Roman" w:cs="Times New Roman"/>
      <w:sz w:val="16"/>
      <w:szCs w:val="16"/>
      <w:lang w:val="en-GB" w:eastAsia="en-AU"/>
    </w:rPr>
  </w:style>
  <w:style w:type="paragraph" w:styleId="ListNumber4">
    <w:name w:val="List Number 4"/>
    <w:basedOn w:val="Normal"/>
    <w:rsid w:val="00050C37"/>
    <w:pPr>
      <w:numPr>
        <w:ilvl w:val="3"/>
        <w:numId w:val="12"/>
      </w:numPr>
      <w:contextualSpacing/>
    </w:pPr>
  </w:style>
  <w:style w:type="paragraph" w:customStyle="1" w:styleId="BriefingTitle">
    <w:name w:val="Briefing Title"/>
    <w:basedOn w:val="BodyText"/>
    <w:rsid w:val="00050C37"/>
    <w:pPr>
      <w:spacing w:before="180" w:line="240" w:lineRule="auto"/>
    </w:pPr>
    <w:rPr>
      <w:color w:val="005CAF"/>
      <w:sz w:val="56"/>
    </w:rPr>
  </w:style>
  <w:style w:type="paragraph" w:customStyle="1" w:styleId="OnePagerLinks">
    <w:name w:val="OnePagerLinks"/>
    <w:basedOn w:val="Normal"/>
    <w:rsid w:val="00050C37"/>
    <w:pPr>
      <w:spacing w:after="0" w:line="240" w:lineRule="auto"/>
      <w:ind w:left="114"/>
    </w:pPr>
    <w:rPr>
      <w:color w:val="005CAF"/>
    </w:rPr>
  </w:style>
  <w:style w:type="paragraph" w:customStyle="1" w:styleId="OnePagerLink">
    <w:name w:val="OnePagerLink"/>
    <w:basedOn w:val="Normal"/>
    <w:rsid w:val="00050C37"/>
    <w:pPr>
      <w:spacing w:after="0" w:line="240" w:lineRule="auto"/>
      <w:ind w:left="114"/>
    </w:pPr>
    <w:rPr>
      <w:color w:val="005CAF"/>
    </w:rPr>
  </w:style>
  <w:style w:type="character" w:customStyle="1" w:styleId="BriefingDate">
    <w:name w:val="Briefing Date"/>
    <w:basedOn w:val="DefaultParagraphFont"/>
    <w:uiPriority w:val="1"/>
    <w:rsid w:val="00050C37"/>
    <w:rPr>
      <w:rFonts w:ascii="Arial" w:hAnsi="Arial"/>
      <w:color w:val="FFFFFF" w:themeColor="background1"/>
      <w:sz w:val="18"/>
    </w:rPr>
  </w:style>
  <w:style w:type="paragraph" w:customStyle="1" w:styleId="Tableheadertext">
    <w:name w:val="Table header text"/>
    <w:basedOn w:val="Normal"/>
    <w:link w:val="TableheadertextChar"/>
    <w:qFormat/>
    <w:rsid w:val="00050C37"/>
    <w:pPr>
      <w:keepNext/>
      <w:spacing w:before="120" w:after="120" w:line="240" w:lineRule="auto"/>
    </w:pPr>
    <w:rPr>
      <w:rFonts w:cs="Arial"/>
      <w:b/>
      <w:color w:val="FFFFFF"/>
      <w:sz w:val="18"/>
      <w:szCs w:val="18"/>
    </w:rPr>
  </w:style>
  <w:style w:type="character" w:customStyle="1" w:styleId="TableheadertextChar">
    <w:name w:val="Table header text Char"/>
    <w:basedOn w:val="DefaultParagraphFont"/>
    <w:link w:val="Tableheadertext"/>
    <w:rsid w:val="00050C37"/>
    <w:rPr>
      <w:rFonts w:ascii="Arial" w:hAnsi="Arial" w:cs="Arial"/>
      <w:b/>
      <w:color w:val="FFFFFF"/>
      <w:sz w:val="18"/>
      <w:szCs w:val="18"/>
    </w:rPr>
  </w:style>
  <w:style w:type="paragraph" w:customStyle="1" w:styleId="Tablebodytext">
    <w:name w:val="Table body text"/>
    <w:basedOn w:val="Normal"/>
    <w:link w:val="TablebodytextChar"/>
    <w:qFormat/>
    <w:rsid w:val="00050C37"/>
    <w:pPr>
      <w:keepNext/>
      <w:keepLines/>
      <w:spacing w:before="60" w:after="60" w:line="240" w:lineRule="auto"/>
    </w:pPr>
    <w:rPr>
      <w:rFonts w:cs="Arial"/>
      <w:sz w:val="18"/>
      <w:szCs w:val="18"/>
    </w:rPr>
  </w:style>
  <w:style w:type="character" w:customStyle="1" w:styleId="TablebodytextChar">
    <w:name w:val="Table body text Char"/>
    <w:basedOn w:val="DefaultParagraphFont"/>
    <w:link w:val="Tablebodytext"/>
    <w:rsid w:val="00050C37"/>
    <w:rPr>
      <w:rFonts w:ascii="Arial" w:hAnsi="Arial" w:cs="Arial"/>
      <w:color w:val="373737"/>
      <w:sz w:val="18"/>
      <w:szCs w:val="18"/>
    </w:rPr>
  </w:style>
  <w:style w:type="paragraph" w:customStyle="1" w:styleId="Abstract">
    <w:name w:val="Abstract"/>
    <w:basedOn w:val="Normal"/>
    <w:next w:val="BodyText"/>
    <w:qFormat/>
    <w:rsid w:val="001E7838"/>
    <w:pPr>
      <w:keepNext/>
      <w:keepLines/>
      <w:spacing w:before="300" w:after="300" w:line="240" w:lineRule="auto"/>
    </w:pPr>
    <w:rPr>
      <w:szCs w:val="20"/>
      <w:lang w:val="en-US"/>
    </w:rPr>
  </w:style>
  <w:style w:type="paragraph" w:customStyle="1" w:styleId="Compact">
    <w:name w:val="Compact"/>
    <w:basedOn w:val="BodyText"/>
    <w:qFormat/>
    <w:rsid w:val="00202B8F"/>
    <w:pPr>
      <w:spacing w:before="36" w:after="36" w:line="240" w:lineRule="auto"/>
      <w:jc w:val="left"/>
    </w:pPr>
    <w:rPr>
      <w:color w:val="auto"/>
      <w:sz w:val="24"/>
      <w:szCs w:val="24"/>
      <w:lang w:val="en-US"/>
    </w:rPr>
  </w:style>
  <w:style w:type="paragraph" w:customStyle="1" w:styleId="FirstParagraph">
    <w:name w:val="First Paragraph"/>
    <w:basedOn w:val="BodyText"/>
    <w:next w:val="BodyText"/>
    <w:qFormat/>
    <w:rsid w:val="00C105E5"/>
    <w:pPr>
      <w:spacing w:before="180" w:line="240" w:lineRule="auto"/>
      <w:jc w:val="left"/>
    </w:pPr>
    <w:rPr>
      <w:color w:val="auto"/>
      <w:sz w:val="24"/>
      <w:szCs w:val="24"/>
      <w:lang w:val="en-US"/>
    </w:rPr>
  </w:style>
  <w:style w:type="character" w:customStyle="1" w:styleId="CaptionChar">
    <w:name w:val="Caption Char"/>
    <w:basedOn w:val="DefaultParagraphFont"/>
    <w:link w:val="Caption"/>
    <w:rsid w:val="002C31E9"/>
    <w:rPr>
      <w:rFonts w:ascii="Arial" w:hAnsi="Arial"/>
      <w:bCs/>
      <w:color w:val="005CA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05712">
      <w:bodyDiv w:val="1"/>
      <w:marLeft w:val="0"/>
      <w:marRight w:val="0"/>
      <w:marTop w:val="0"/>
      <w:marBottom w:val="0"/>
      <w:divBdr>
        <w:top w:val="none" w:sz="0" w:space="0" w:color="auto"/>
        <w:left w:val="none" w:sz="0" w:space="0" w:color="auto"/>
        <w:bottom w:val="none" w:sz="0" w:space="0" w:color="auto"/>
        <w:right w:val="none" w:sz="0" w:space="0" w:color="auto"/>
      </w:divBdr>
    </w:div>
    <w:div w:id="811798125">
      <w:bodyDiv w:val="1"/>
      <w:marLeft w:val="0"/>
      <w:marRight w:val="0"/>
      <w:marTop w:val="0"/>
      <w:marBottom w:val="0"/>
      <w:divBdr>
        <w:top w:val="none" w:sz="0" w:space="0" w:color="auto"/>
        <w:left w:val="none" w:sz="0" w:space="0" w:color="auto"/>
        <w:bottom w:val="none" w:sz="0" w:space="0" w:color="auto"/>
        <w:right w:val="none" w:sz="0" w:space="0" w:color="auto"/>
      </w:divBdr>
    </w:div>
    <w:div w:id="192213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creativecommons.org/licenses/by/3.0/au/legalcode." TargetMode="External"/><Relationship Id="rId26" Type="http://schemas.openxmlformats.org/officeDocument/2006/relationships/hyperlink" Target="http://doi.org/10.1257/jep.21.3.105"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www.rba.gov.au/publications/rdp/2015/pdf/rdp2015-06.pdf" TargetMode="External"/><Relationship Id="rId42" Type="http://schemas.openxmlformats.org/officeDocument/2006/relationships/footer" Target="footer4.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creativecommons.org/licenses/by/3.0/au/deed.en" TargetMode="External"/><Relationship Id="rId25" Type="http://schemas.openxmlformats.org/officeDocument/2006/relationships/hyperlink" Target="https://doi.org/10.1111/1468-0297.00683" TargetMode="External"/><Relationship Id="rId33" Type="http://schemas.openxmlformats.org/officeDocument/2006/relationships/hyperlink" Target="https://doi.org/10.1016/0304-405X(84)90023-0" TargetMode="External"/><Relationship Id="rId38" Type="http://schemas.openxmlformats.org/officeDocument/2006/relationships/hyperlink" Target="https://doi.org/10.1080/096031097333763"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industry.gov.au/OCE" TargetMode="External"/><Relationship Id="rId20" Type="http://schemas.openxmlformats.org/officeDocument/2006/relationships/footer" Target="footer2.xml"/><Relationship Id="rId29" Type="http://schemas.openxmlformats.org/officeDocument/2006/relationships/hyperlink" Target="https://doi.org/10.1007/s11187-005-6058-6"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i.org/10.1504/IJTM.1995.025644%20" TargetMode="External"/><Relationship Id="rId32" Type="http://schemas.openxmlformats.org/officeDocument/2006/relationships/hyperlink" Target="https://doi.org/10.1016/j.respol.2012.01.001" TargetMode="External"/><Relationship Id="rId37" Type="http://schemas.openxmlformats.org/officeDocument/2006/relationships/hyperlink" Target="https://doi.org/10.1016/0304-4076(81)90028-2" TargetMode="External"/><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hiefeconomist@industry.gov.au" TargetMode="External"/><Relationship Id="rId23" Type="http://schemas.openxmlformats.org/officeDocument/2006/relationships/hyperlink" Target="https://doi.org/10.1257/jep.21.3.105" TargetMode="External"/><Relationship Id="rId28" Type="http://schemas.openxmlformats.org/officeDocument/2006/relationships/hyperlink" Target="https://doi.org/10.1016/S0166-4972(99)00082-6" TargetMode="External"/><Relationship Id="rId36" Type="http://schemas.openxmlformats.org/officeDocument/2006/relationships/hyperlink" Target="https://industry.gov.au/Office-of-the-Chief-Economist/Research-Papers/Pages/Export-behaviour-and-business-performance-evidence-from-Australian-microdata.aspx"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doi.org/10.1111/1468-0262.00467"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4.jpeg"/><Relationship Id="rId27" Type="http://schemas.openxmlformats.org/officeDocument/2006/relationships/hyperlink" Target="https://doi.org/10.1016/j.respol.2006.09.019" TargetMode="External"/><Relationship Id="rId30" Type="http://schemas.openxmlformats.org/officeDocument/2006/relationships/hyperlink" Target="https://doi.org/10.1111/1468-0262.00442" TargetMode="External"/><Relationship Id="rId35" Type="http://schemas.openxmlformats.org/officeDocument/2006/relationships/hyperlink" Target="https://doi.org/10.1007/s10961-009-9112-8" TargetMode="External"/><Relationship Id="rId43"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business.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F75690A9854D7AB443A7DC6A5962F4"/>
        <w:category>
          <w:name w:val="General"/>
          <w:gallery w:val="placeholder"/>
        </w:category>
        <w:types>
          <w:type w:val="bbPlcHdr"/>
        </w:types>
        <w:behaviors>
          <w:behavior w:val="content"/>
        </w:behaviors>
        <w:guid w:val="{0B66F5EE-5A50-45CD-A640-A4AFD13956BA}"/>
      </w:docPartPr>
      <w:docPartBody>
        <w:p w:rsidR="00A76BB2" w:rsidRDefault="00A76BB2" w:rsidP="00A76BB2">
          <w:pPr>
            <w:pStyle w:val="CDF75690A9854D7AB443A7DC6A5962F4"/>
          </w:pPr>
          <w:r w:rsidRPr="0016199E">
            <w:rPr>
              <w:rStyle w:val="PlaceholderText"/>
              <w:color w:val="22789A"/>
            </w:rPr>
            <w:t>Type Research Paper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BB2"/>
    <w:rsid w:val="00227125"/>
    <w:rsid w:val="00255AB1"/>
    <w:rsid w:val="00512E57"/>
    <w:rsid w:val="00565A1C"/>
    <w:rsid w:val="00767B4E"/>
    <w:rsid w:val="00A3550B"/>
    <w:rsid w:val="00A76BB2"/>
    <w:rsid w:val="00F342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6BB2"/>
    <w:rPr>
      <w:color w:val="808080"/>
    </w:rPr>
  </w:style>
  <w:style w:type="paragraph" w:customStyle="1" w:styleId="CDF75690A9854D7AB443A7DC6A5962F4">
    <w:name w:val="CDF75690A9854D7AB443A7DC6A5962F4"/>
    <w:rsid w:val="00A76B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CE">
  <a:themeElements>
    <a:clrScheme name="OCE May 2017">
      <a:dk1>
        <a:srgbClr val="373737"/>
      </a:dk1>
      <a:lt1>
        <a:srgbClr val="FFFFFF"/>
      </a:lt1>
      <a:dk2>
        <a:srgbClr val="373737"/>
      </a:dk2>
      <a:lt2>
        <a:srgbClr val="FFFFFF"/>
      </a:lt2>
      <a:accent1>
        <a:srgbClr val="005CAF"/>
      </a:accent1>
      <a:accent2>
        <a:srgbClr val="56B4DF"/>
      </a:accent2>
      <a:accent3>
        <a:srgbClr val="9ED9DF"/>
      </a:accent3>
      <a:accent4>
        <a:srgbClr val="BCBFC1"/>
      </a:accent4>
      <a:accent5>
        <a:srgbClr val="51B7A4"/>
      </a:accent5>
      <a:accent6>
        <a:srgbClr val="0A7568"/>
      </a:accent6>
      <a:hlink>
        <a:srgbClr val="005CAF"/>
      </a:hlink>
      <a:folHlink>
        <a:srgbClr val="56B4E9"/>
      </a:folHlink>
    </a:clrScheme>
    <a:fontScheme name="O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ABE2D4EDB3C45BCCA6C138F7C803F" ma:contentTypeVersion="13" ma:contentTypeDescription="Create a new document." ma:contentTypeScope="" ma:versionID="e3126c604c76e54e3eb2d9ee7f5a9183">
  <xsd:schema xmlns:xsd="http://www.w3.org/2001/XMLSchema" xmlns:xs="http://www.w3.org/2001/XMLSchema" xmlns:p="http://schemas.microsoft.com/office/2006/metadata/properties" xmlns:ns1="http://schemas.microsoft.com/sharepoint/v3" xmlns:ns2="46486fd5-fff8-4cbe-a2d1-89ce7ea547a7" xmlns:ns3="e47d1c65-9f6c-49e5-a774-2c92ccb46d02" targetNamespace="http://schemas.microsoft.com/office/2006/metadata/properties" ma:root="true" ma:fieldsID="b6d96a828f635981de61a75ca72f0890" ns1:_="" ns2:_="" ns3:_="">
    <xsd:import namespace="http://schemas.microsoft.com/sharepoint/v3"/>
    <xsd:import namespace="46486fd5-fff8-4cbe-a2d1-89ce7ea547a7"/>
    <xsd:import namespace="e47d1c65-9f6c-49e5-a774-2c92ccb46d02"/>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86fd5-fff8-4cbe-a2d1-89ce7ea547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5f851f-72f6-498a-a802-dc52b0f6bebd}" ma:internalName="TaxCatchAll" ma:showField="CatchAllData" ma:web="e47d1c65-9f6c-49e5-a774-2c92ccb46d02">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990c95c-aaef-4b88-979c-1afb69c61976"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7d1c65-9f6c-49e5-a774-2c92ccb46d02"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46486fd5-fff8-4cbe-a2d1-89ce7ea547a7">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46486fd5-fff8-4cbe-a2d1-89ce7ea547a7">
      <Terms xmlns="http://schemas.microsoft.com/office/infopath/2007/PartnerControls">
        <TermInfo xmlns="http://schemas.microsoft.com/office/infopath/2007/PartnerControls">
          <TermName xmlns="http://schemas.microsoft.com/office/infopath/2007/PartnerControls">EASD</TermName>
          <TermId xmlns="http://schemas.microsoft.com/office/infopath/2007/PartnerControls">1266620e-6595-4ae2-a8cd-6f84eea2d88d</TermId>
        </TermInfo>
        <TermInfo xmlns="http://schemas.microsoft.com/office/infopath/2007/PartnerControls">
          <TermName xmlns="http://schemas.microsoft.com/office/infopath/2007/PartnerControls">IFA</TermName>
          <TermId xmlns="http://schemas.microsoft.com/office/infopath/2007/PartnerControls">a464322f-3cec-48f5-841c-7f7cfb4b0c6c</TermId>
        </TermInfo>
        <TermInfo xmlns="http://schemas.microsoft.com/office/infopath/2007/PartnerControls">
          <TermName xmlns="http://schemas.microsoft.com/office/infopath/2007/PartnerControls">Insights and Evaluation</TermName>
          <TermId xmlns="http://schemas.microsoft.com/office/infopath/2007/PartnerControls">9a9381ef-581b-445d-bc5d-f5b14cc9c93d</TermId>
        </TermInfo>
      </Terms>
    </adb9bed2e36e4a93af574aeb444da63e>
    <pe2555c81638466f9eb614edb9ecde52 xmlns="46486fd5-fff8-4cbe-a2d1-89ce7ea547a7">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b28facd8-3dc8-46bf-a2b8-d55c169e0df6</TermId>
        </TermInfo>
      </Terms>
    </pe2555c81638466f9eb614edb9ecde52>
    <TaxCatchAll xmlns="46486fd5-fff8-4cbe-a2d1-89ce7ea547a7">
      <Value>31</Value>
      <Value>1067</Value>
      <Value>1304</Value>
      <Value>1959</Value>
      <Value>3</Value>
      <Value>121</Value>
      <Value>1480</Value>
    </TaxCatchAll>
    <aa25a1a23adf4c92a153145de6afe324 xmlns="46486fd5-fff8-4cbe-a2d1-89ce7ea547a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g7bcb40ba23249a78edca7d43a67c1c9 xmlns="46486fd5-fff8-4cbe-a2d1-89ce7ea547a7">
      <Terms xmlns="http://schemas.microsoft.com/office/infopath/2007/PartnerControls">
        <TermInfo xmlns="http://schemas.microsoft.com/office/infopath/2007/PartnerControls">
          <TermName xmlns="http://schemas.microsoft.com/office/infopath/2007/PartnerControls">Policy Research</TermName>
          <TermId xmlns="http://schemas.microsoft.com/office/infopath/2007/PartnerControls">e37dcd1c-eb92-4942-9b42-d64910ae459a</TermId>
        </TermInfo>
      </Terms>
    </g7bcb40ba23249a78edca7d43a67c1c9>
    <_dlc_DocId xmlns="46486fd5-fff8-4cbe-a2d1-89ce7ea547a7">EUCW2WRC2PUD-1165618940-37</_dlc_DocId>
    <_dlc_DocIdUrl xmlns="46486fd5-fff8-4cbe-a2d1-89ce7ea547a7">
      <Url>https://dochub/div/economicanalyticalservices/_layouts/15/DocIdRedir.aspx?ID=EUCW2WRC2PUD-1165618940-37</Url>
      <Description>EUCW2WRC2PUD-1165618940-37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ABB78-5D62-4525-89E7-F292A0CF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486fd5-fff8-4cbe-a2d1-89ce7ea547a7"/>
    <ds:schemaRef ds:uri="e47d1c65-9f6c-49e5-a774-2c92ccb4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C7CA0-AA6D-4329-ABFA-524510614192}">
  <ds:schemaRefs>
    <ds:schemaRef ds:uri="http://schemas.microsoft.com/sharepoint/events"/>
  </ds:schemaRefs>
</ds:datastoreItem>
</file>

<file path=customXml/itemProps3.xml><?xml version="1.0" encoding="utf-8"?>
<ds:datastoreItem xmlns:ds="http://schemas.openxmlformats.org/officeDocument/2006/customXml" ds:itemID="{BA902024-C005-4DC0-B358-BDFF341AD36E}">
  <ds:schemaRefs>
    <ds:schemaRef ds:uri="http://schemas.microsoft.com/sharepoint/v3/contenttype/forms"/>
  </ds:schemaRefs>
</ds:datastoreItem>
</file>

<file path=customXml/itemProps4.xml><?xml version="1.0" encoding="utf-8"?>
<ds:datastoreItem xmlns:ds="http://schemas.openxmlformats.org/officeDocument/2006/customXml" ds:itemID="{7C82E28D-6947-480F-BBF1-3DFDF858D2E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47d1c65-9f6c-49e5-a774-2c92ccb46d02"/>
    <ds:schemaRef ds:uri="46486fd5-fff8-4cbe-a2d1-89ce7ea547a7"/>
    <ds:schemaRef ds:uri="http://www.w3.org/XML/1998/namespace"/>
    <ds:schemaRef ds:uri="http://purl.org/dc/dcmitype/"/>
  </ds:schemaRefs>
</ds:datastoreItem>
</file>

<file path=customXml/itemProps5.xml><?xml version="1.0" encoding="utf-8"?>
<ds:datastoreItem xmlns:ds="http://schemas.openxmlformats.org/officeDocument/2006/customXml" ds:itemID="{703B4B12-ADB0-4472-8901-632227DEA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8271</Words>
  <Characters>47151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OCE Report Template</vt:lpstr>
    </vt:vector>
  </TitlesOfParts>
  <Company>INDUSTRY</Company>
  <LinksUpToDate>false</LinksUpToDate>
  <CharactersWithSpaces>55312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 Report Template</dc:title>
  <dc:creator>Bakhtiari, Sasan</dc:creator>
  <cp:lastModifiedBy>Brooks, Lou</cp:lastModifiedBy>
  <cp:revision>3</cp:revision>
  <cp:lastPrinted>2018-08-30T00:36:00Z</cp:lastPrinted>
  <dcterms:created xsi:type="dcterms:W3CDTF">2019-07-04T00:48:00Z</dcterms:created>
  <dcterms:modified xsi:type="dcterms:W3CDTF">2019-07-04T00:55:00Z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0x010100642ABE2D4EDB3C45BCCA6C138F7C803F</vt:lpwstr>
  </property>
  <property fmtid="{D5CDD505-2E9C-101B-9397-08002B2CF9AE}" pid="3" name="VersionNumber">
    <vt:i4>0</vt:i4>
  </property>
  <property fmtid="{D5CDD505-2E9C-101B-9397-08002B2CF9AE}" pid="4" name="ClassificationPty">
    <vt:lpwstr/>
  </property>
  <property fmtid="{D5CDD505-2E9C-101B-9397-08002B2CF9AE}" pid="5" name="FileNumberPty">
    <vt:lpwstr/>
  </property>
  <property fmtid="{D5CDD505-2E9C-101B-9397-08002B2CF9AE}" pid="6" name="CorporateTmplBased">
    <vt:lpwstr>No</vt:lpwstr>
  </property>
  <property fmtid="{D5CDD505-2E9C-101B-9397-08002B2CF9AE}" pid="7" name="_dlc_DocIdItemGuid">
    <vt:lpwstr>01095eb1-a9e1-4617-9c79-6eeefe7e754b</vt:lpwstr>
  </property>
  <property fmtid="{D5CDD505-2E9C-101B-9397-08002B2CF9AE}" pid="8" name="DocHub_Year">
    <vt:lpwstr>1480;#2018|224abc7b-6f7e-4064-b773-6750976429b5</vt:lpwstr>
  </property>
  <property fmtid="{D5CDD505-2E9C-101B-9397-08002B2CF9AE}" pid="9" name="DocHub_DocumentType">
    <vt:lpwstr>121;#Research|b28facd8-3dc8-46bf-a2b8-d55c169e0df6</vt:lpwstr>
  </property>
  <property fmtid="{D5CDD505-2E9C-101B-9397-08002B2CF9AE}" pid="10" name="DocHub_SecurityClassification">
    <vt:lpwstr>3;#UNCLASSIFIED|6106d03b-a1a0-4e30-9d91-d5e9fb4314f9</vt:lpwstr>
  </property>
  <property fmtid="{D5CDD505-2E9C-101B-9397-08002B2CF9AE}" pid="11" name="DocHub_Keywords">
    <vt:lpwstr>31;#EASD|1266620e-6595-4ae2-a8cd-6f84eea2d88d;#1959;#IFA|a464322f-3cec-48f5-841c-7f7cfb4b0c6c;#1067;#Insights and Evaluation|9a9381ef-581b-445d-bc5d-f5b14cc9c93d</vt:lpwstr>
  </property>
  <property fmtid="{D5CDD505-2E9C-101B-9397-08002B2CF9AE}" pid="12" name="DocHub_WorkActivity">
    <vt:lpwstr>1304;#Policy Research|e37dcd1c-eb92-4942-9b42-d64910ae459a</vt:lpwstr>
  </property>
</Properties>
</file>