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2.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1FD9" w14:textId="10418620" w:rsidR="00493324" w:rsidRDefault="00BE6881" w:rsidP="00493324">
      <w:pPr>
        <w:pStyle w:val="BodyText"/>
        <w:rPr>
          <w:rStyle w:val="A2"/>
        </w:rPr>
      </w:pPr>
      <w:r>
        <w:rPr>
          <w:noProof/>
          <w:lang w:eastAsia="en-AU"/>
        </w:rPr>
        <w:drawing>
          <wp:anchor distT="0" distB="0" distL="114300" distR="114300" simplePos="0" relativeHeight="251658257" behindDoc="1" locked="0" layoutInCell="1" allowOverlap="1" wp14:anchorId="41FBD116" wp14:editId="5D6A3A49">
            <wp:simplePos x="0" y="0"/>
            <wp:positionH relativeFrom="column">
              <wp:posOffset>-973010</wp:posOffset>
            </wp:positionH>
            <wp:positionV relativeFrom="paragraph">
              <wp:posOffset>-914400</wp:posOffset>
            </wp:positionV>
            <wp:extent cx="7609174" cy="10687792"/>
            <wp:effectExtent l="0" t="0" r="0" b="0"/>
            <wp:wrapNone/>
            <wp:docPr id="29" name="Picture 29" descr="Image shows a picture of black coal. This image also contains the Office of the Chief economist logo, the writing reads Coal in India 2019 www.industry.gov.au/o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2621\AppData\Local\Microsoft\Windows\INetCache\Content.Word\Coal in India cover-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9174" cy="10687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41613" w14:textId="6BE22369" w:rsidR="00493324" w:rsidRDefault="00493324" w:rsidP="00493324">
      <w:pPr>
        <w:pStyle w:val="Heading3"/>
        <w:rPr>
          <w:rStyle w:val="A2"/>
          <w:bCs/>
        </w:rPr>
      </w:pPr>
      <w:r>
        <w:rPr>
          <w:rStyle w:val="A2"/>
        </w:rPr>
        <w:br w:type="page"/>
      </w:r>
    </w:p>
    <w:p w14:paraId="649B3B25" w14:textId="064A1F76" w:rsidR="00493324" w:rsidRPr="00493324" w:rsidRDefault="00493324" w:rsidP="00493324">
      <w:pPr>
        <w:pStyle w:val="Heading3"/>
        <w:rPr>
          <w:rFonts w:ascii="Arial" w:eastAsiaTheme="minorHAnsi" w:hAnsi="Arial" w:cstheme="minorBidi"/>
          <w:sz w:val="18"/>
          <w:szCs w:val="18"/>
        </w:rPr>
      </w:pPr>
      <w:r w:rsidRPr="00493324">
        <w:rPr>
          <w:rFonts w:ascii="Arial" w:eastAsiaTheme="minorHAnsi" w:hAnsi="Arial" w:cstheme="minorBidi"/>
          <w:b/>
          <w:bCs w:val="0"/>
          <w:sz w:val="18"/>
          <w:szCs w:val="18"/>
        </w:rPr>
        <w:lastRenderedPageBreak/>
        <w:t>Further information</w:t>
      </w:r>
    </w:p>
    <w:p w14:paraId="62F8F489" w14:textId="77777777" w:rsidR="00493324" w:rsidRDefault="00493324" w:rsidP="00493324">
      <w:pPr>
        <w:pStyle w:val="BodyText"/>
      </w:pPr>
      <w:r>
        <w:rPr>
          <w:rStyle w:val="A3"/>
        </w:rPr>
        <w:t>For more information or to comment on this publication, please email: chiefeconomist@industry.gov.au</w:t>
      </w:r>
    </w:p>
    <w:p w14:paraId="58C88AEE" w14:textId="73B6DEAC" w:rsidR="00493324" w:rsidRPr="00493324" w:rsidRDefault="00493324" w:rsidP="00493324">
      <w:pPr>
        <w:pStyle w:val="Heading3"/>
        <w:rPr>
          <w:rFonts w:ascii="Arial" w:eastAsiaTheme="minorHAnsi" w:hAnsi="Arial" w:cstheme="minorBidi"/>
          <w:b/>
          <w:bCs w:val="0"/>
          <w:sz w:val="18"/>
          <w:szCs w:val="18"/>
        </w:rPr>
      </w:pPr>
      <w:r w:rsidRPr="00493324">
        <w:rPr>
          <w:rFonts w:ascii="Arial" w:eastAsiaTheme="minorHAnsi" w:hAnsi="Arial" w:cstheme="minorBidi"/>
          <w:b/>
          <w:sz w:val="18"/>
          <w:szCs w:val="18"/>
        </w:rPr>
        <w:t>Project team</w:t>
      </w:r>
    </w:p>
    <w:p w14:paraId="6CE538C2" w14:textId="50847BB0" w:rsidR="00493324" w:rsidRDefault="00493324" w:rsidP="00493324">
      <w:pPr>
        <w:pStyle w:val="BodyText"/>
      </w:pPr>
      <w:r>
        <w:rPr>
          <w:rStyle w:val="A3"/>
        </w:rPr>
        <w:t>Monica Philalay</w:t>
      </w:r>
      <w:r w:rsidR="006B045C">
        <w:rPr>
          <w:rStyle w:val="A3"/>
        </w:rPr>
        <w:t>, Nikolai Drahos</w:t>
      </w:r>
      <w:r>
        <w:rPr>
          <w:rStyle w:val="A3"/>
        </w:rPr>
        <w:t xml:space="preserve"> and David Thurtell</w:t>
      </w:r>
    </w:p>
    <w:p w14:paraId="30BF5301" w14:textId="77777777" w:rsidR="00493324" w:rsidRPr="00493324" w:rsidRDefault="00493324" w:rsidP="00493324">
      <w:pPr>
        <w:pStyle w:val="Heading3"/>
        <w:rPr>
          <w:rFonts w:ascii="Arial" w:eastAsiaTheme="minorHAnsi" w:hAnsi="Arial" w:cstheme="minorBidi"/>
          <w:b/>
          <w:bCs w:val="0"/>
          <w:sz w:val="18"/>
          <w:szCs w:val="18"/>
        </w:rPr>
      </w:pPr>
      <w:r w:rsidRPr="00493324">
        <w:rPr>
          <w:rFonts w:ascii="Arial" w:eastAsiaTheme="minorHAnsi" w:hAnsi="Arial" w:cstheme="minorBidi"/>
          <w:b/>
          <w:sz w:val="18"/>
          <w:szCs w:val="18"/>
        </w:rPr>
        <w:t>Acknowledgements</w:t>
      </w:r>
    </w:p>
    <w:p w14:paraId="46AC48B3" w14:textId="09B0DD60" w:rsidR="00493324" w:rsidRPr="00493324" w:rsidRDefault="00493324" w:rsidP="00493324">
      <w:pPr>
        <w:pStyle w:val="BodyText"/>
        <w:rPr>
          <w:color w:val="000000"/>
          <w:sz w:val="16"/>
          <w:szCs w:val="16"/>
        </w:rPr>
      </w:pPr>
      <w:r>
        <w:rPr>
          <w:rStyle w:val="A3"/>
        </w:rPr>
        <w:t xml:space="preserve">The authors would like to acknowledge the contributions of: Lauren Pratley, Lou Brooks, Thuong Nguyen, Joseph Moloney, Elke Wakefield, Melissa Bray, Richard Samuels and Radhika Tomar. </w:t>
      </w:r>
    </w:p>
    <w:p w14:paraId="5A6DC834" w14:textId="77777777" w:rsidR="00493324" w:rsidRDefault="00493324" w:rsidP="00493324">
      <w:pPr>
        <w:pStyle w:val="BodyText"/>
      </w:pPr>
      <w:r>
        <w:rPr>
          <w:rStyle w:val="A3"/>
        </w:rPr>
        <w:t>© Commonwealth of Australia 2019</w:t>
      </w:r>
    </w:p>
    <w:p w14:paraId="40A6502D" w14:textId="77777777" w:rsidR="00493324" w:rsidRDefault="00493324" w:rsidP="00493324">
      <w:pPr>
        <w:pStyle w:val="BodyText"/>
      </w:pPr>
      <w:r>
        <w:rPr>
          <w:rStyle w:val="A3"/>
        </w:rPr>
        <w:t>ISBN 978-1-925050-10-3 (print)</w:t>
      </w:r>
    </w:p>
    <w:p w14:paraId="475EADA8" w14:textId="77777777" w:rsidR="00493324" w:rsidRDefault="00493324" w:rsidP="00493324">
      <w:pPr>
        <w:pStyle w:val="BodyText"/>
      </w:pPr>
      <w:r>
        <w:rPr>
          <w:rStyle w:val="A3"/>
        </w:rPr>
        <w:t>ISBN 978-1-925050-11-0 (online)</w:t>
      </w:r>
    </w:p>
    <w:p w14:paraId="1638E1AC" w14:textId="09FE1CAC" w:rsidR="00493324" w:rsidRPr="00493324" w:rsidRDefault="00493324" w:rsidP="00493324">
      <w:pPr>
        <w:pStyle w:val="Heading3"/>
        <w:rPr>
          <w:rFonts w:ascii="Arial" w:eastAsiaTheme="minorHAnsi" w:hAnsi="Arial" w:cstheme="minorBidi"/>
          <w:b/>
          <w:sz w:val="18"/>
          <w:szCs w:val="18"/>
        </w:rPr>
      </w:pPr>
      <w:r w:rsidRPr="00493324">
        <w:rPr>
          <w:rFonts w:ascii="Arial" w:eastAsiaTheme="minorHAnsi" w:hAnsi="Arial" w:cstheme="minorBidi"/>
          <w:b/>
          <w:bCs w:val="0"/>
          <w:sz w:val="18"/>
          <w:szCs w:val="18"/>
        </w:rPr>
        <w:t>Ownership of intellectual property rights</w:t>
      </w:r>
    </w:p>
    <w:p w14:paraId="1F363C95" w14:textId="52CAAFD3" w:rsidR="00493324" w:rsidRDefault="00493324" w:rsidP="00493324">
      <w:pPr>
        <w:pStyle w:val="BodyText"/>
        <w:rPr>
          <w:sz w:val="16"/>
          <w:szCs w:val="16"/>
        </w:rPr>
      </w:pPr>
      <w:r>
        <w:rPr>
          <w:rStyle w:val="A3"/>
        </w:rPr>
        <w:t>Unless otherwise noted, copyright (and any other intellectual property rights, if any) in this publication is owned by the Commonwealth of Australia.</w:t>
      </w:r>
    </w:p>
    <w:p w14:paraId="7EBEE356" w14:textId="026A5DA2" w:rsidR="00493324" w:rsidRDefault="00493324" w:rsidP="00493324">
      <w:pPr>
        <w:pStyle w:val="Heading3"/>
        <w:rPr>
          <w:rFonts w:ascii="Arial" w:eastAsiaTheme="minorHAnsi" w:hAnsi="Arial" w:cstheme="minorBidi"/>
          <w:b/>
          <w:sz w:val="18"/>
          <w:szCs w:val="18"/>
        </w:rPr>
      </w:pPr>
      <w:r>
        <w:rPr>
          <w:noProof/>
          <w:lang w:eastAsia="en-AU"/>
        </w:rPr>
        <w:drawing>
          <wp:anchor distT="0" distB="0" distL="114300" distR="114300" simplePos="0" relativeHeight="251658254" behindDoc="0" locked="0" layoutInCell="1" allowOverlap="1" wp14:anchorId="36EF8CA3" wp14:editId="7485BBB7">
            <wp:simplePos x="0" y="0"/>
            <wp:positionH relativeFrom="margin">
              <wp:align>left</wp:align>
            </wp:positionH>
            <wp:positionV relativeFrom="paragraph">
              <wp:posOffset>355600</wp:posOffset>
            </wp:positionV>
            <wp:extent cx="1143000" cy="400050"/>
            <wp:effectExtent l="0" t="0" r="0" b="0"/>
            <wp:wrapTopAndBottom/>
            <wp:docPr id="20" name="Picture 20" descr="Image shows the 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400050"/>
                    </a:xfrm>
                    <a:prstGeom prst="rect">
                      <a:avLst/>
                    </a:prstGeom>
                  </pic:spPr>
                </pic:pic>
              </a:graphicData>
            </a:graphic>
            <wp14:sizeRelH relativeFrom="margin">
              <wp14:pctWidth>0</wp14:pctWidth>
            </wp14:sizeRelH>
            <wp14:sizeRelV relativeFrom="margin">
              <wp14:pctHeight>0</wp14:pctHeight>
            </wp14:sizeRelV>
          </wp:anchor>
        </w:drawing>
      </w:r>
      <w:r w:rsidRPr="00493324">
        <w:rPr>
          <w:rFonts w:ascii="Arial" w:eastAsiaTheme="minorHAnsi" w:hAnsi="Arial" w:cstheme="minorBidi"/>
          <w:b/>
          <w:sz w:val="18"/>
          <w:szCs w:val="18"/>
        </w:rPr>
        <w:t>Creative Commons licence</w:t>
      </w:r>
    </w:p>
    <w:p w14:paraId="7C2457D2" w14:textId="3A3A8262" w:rsidR="00493324" w:rsidRDefault="00493324" w:rsidP="00493324">
      <w:pPr>
        <w:pStyle w:val="BodyText"/>
      </w:pPr>
      <w:r>
        <w:rPr>
          <w:rStyle w:val="A3"/>
        </w:rP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1949FD9D" w14:textId="3E797603" w:rsidR="00493324" w:rsidRDefault="00493324" w:rsidP="00493324">
      <w:pPr>
        <w:pStyle w:val="BodyText"/>
      </w:pPr>
      <w:r>
        <w:rPr>
          <w:rStyle w:val="A3"/>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4" w:history="1">
        <w:r w:rsidR="00C5195A" w:rsidRPr="007C1A3B">
          <w:rPr>
            <w:rStyle w:val="Hyperlink"/>
            <w:sz w:val="16"/>
            <w:szCs w:val="16"/>
          </w:rPr>
          <w:t>https://creativecommons.org/licenses/by/4.0/</w:t>
        </w:r>
      </w:hyperlink>
      <w:r w:rsidR="00C5195A">
        <w:rPr>
          <w:rStyle w:val="A3"/>
        </w:rPr>
        <w:t xml:space="preserve"> </w:t>
      </w:r>
    </w:p>
    <w:p w14:paraId="46934049" w14:textId="77777777" w:rsidR="00493324" w:rsidRDefault="00493324" w:rsidP="00493324">
      <w:pPr>
        <w:pStyle w:val="BodyText"/>
      </w:pPr>
      <w:r>
        <w:rPr>
          <w:rStyle w:val="A3"/>
        </w:rPr>
        <w:t>The full licence terms are available from https://creativecommons.org/licenses/by/4.0/legalcode</w:t>
      </w:r>
    </w:p>
    <w:p w14:paraId="1A15F89A" w14:textId="77777777" w:rsidR="00493324" w:rsidRDefault="00493324" w:rsidP="00493324">
      <w:pPr>
        <w:pStyle w:val="BodyText"/>
      </w:pPr>
      <w:r>
        <w:rPr>
          <w:rStyle w:val="A3"/>
        </w:rPr>
        <w:t>Content contained herein should be attributed as Coal in India 2019.</w:t>
      </w:r>
    </w:p>
    <w:p w14:paraId="57EEFBBE" w14:textId="77777777" w:rsidR="00493324" w:rsidRPr="00493324" w:rsidRDefault="00493324" w:rsidP="00493324">
      <w:pPr>
        <w:pStyle w:val="Heading3"/>
        <w:rPr>
          <w:rFonts w:ascii="Arial" w:eastAsiaTheme="minorHAnsi" w:hAnsi="Arial" w:cstheme="minorBidi"/>
          <w:b/>
          <w:sz w:val="18"/>
          <w:szCs w:val="18"/>
        </w:rPr>
      </w:pPr>
      <w:r w:rsidRPr="00493324">
        <w:rPr>
          <w:rFonts w:ascii="Arial" w:eastAsiaTheme="minorHAnsi" w:hAnsi="Arial" w:cstheme="minorBidi"/>
          <w:b/>
          <w:bCs w:val="0"/>
          <w:sz w:val="18"/>
          <w:szCs w:val="18"/>
        </w:rPr>
        <w:t>Disclaimer</w:t>
      </w:r>
    </w:p>
    <w:p w14:paraId="376E542E" w14:textId="77777777" w:rsidR="00493324" w:rsidRPr="00493324" w:rsidRDefault="00493324" w:rsidP="00493324">
      <w:pPr>
        <w:pStyle w:val="BodyText"/>
        <w:rPr>
          <w:rStyle w:val="A3"/>
        </w:rPr>
      </w:pPr>
      <w:r w:rsidRPr="00493324">
        <w:rPr>
          <w:rStyle w:val="A3"/>
        </w:rPr>
        <w:t>The Australian Government as represented by the Department of Industry, Innovation and Science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14:paraId="1B99781E" w14:textId="70ACC6D2" w:rsidR="00493324" w:rsidRPr="00493324" w:rsidRDefault="00493324">
      <w:pPr>
        <w:spacing w:after="200" w:line="276" w:lineRule="auto"/>
        <w:ind w:left="0"/>
        <w:jc w:val="left"/>
        <w:rPr>
          <w:rStyle w:val="A3"/>
          <w:rFonts w:eastAsia="Times New Roman" w:cs="Times New Roman"/>
          <w:kern w:val="32"/>
        </w:rPr>
      </w:pPr>
      <w:r w:rsidRPr="00493324">
        <w:rPr>
          <w:rStyle w:val="A3"/>
        </w:rPr>
        <w:br w:type="page"/>
      </w:r>
    </w:p>
    <w:p w14:paraId="1A80D199" w14:textId="09C8620A" w:rsidR="00DD0D9A" w:rsidRDefault="00DD0D9A" w:rsidP="007E2884">
      <w:pPr>
        <w:pStyle w:val="Heading1"/>
      </w:pPr>
      <w:bookmarkStart w:id="0" w:name="_Toc15645836"/>
      <w:bookmarkStart w:id="1" w:name="_Toc16247568"/>
      <w:bookmarkStart w:id="2" w:name="_Toc16250031"/>
      <w:bookmarkStart w:id="3" w:name="_Toc16256886"/>
      <w:bookmarkStart w:id="4" w:name="_Toc17210761"/>
      <w:r>
        <w:lastRenderedPageBreak/>
        <w:t>Foreword</w:t>
      </w:r>
      <w:bookmarkEnd w:id="0"/>
      <w:bookmarkEnd w:id="1"/>
      <w:bookmarkEnd w:id="2"/>
      <w:bookmarkEnd w:id="3"/>
      <w:bookmarkEnd w:id="4"/>
    </w:p>
    <w:p w14:paraId="3E03704E" w14:textId="5051BCDB" w:rsidR="006662A6" w:rsidRDefault="00A14C00" w:rsidP="00BD5022">
      <w:pPr>
        <w:pStyle w:val="BodyText"/>
      </w:pPr>
      <w:r>
        <w:t xml:space="preserve">This report provides an update to the </w:t>
      </w:r>
      <w:r w:rsidRPr="00BD5022">
        <w:rPr>
          <w:i/>
        </w:rPr>
        <w:t>Coal in India</w:t>
      </w:r>
      <w:r w:rsidR="006662A6">
        <w:rPr>
          <w:rStyle w:val="EndnoteReference"/>
        </w:rPr>
        <w:endnoteReference w:id="2"/>
      </w:r>
      <w:r w:rsidR="006662A6">
        <w:t xml:space="preserve"> report that we released in 2015. </w:t>
      </w:r>
    </w:p>
    <w:p w14:paraId="49F6CC95" w14:textId="46672E2E" w:rsidR="006662A6" w:rsidRDefault="006662A6" w:rsidP="00BD5022">
      <w:pPr>
        <w:pStyle w:val="BodyText"/>
      </w:pPr>
      <w:r>
        <w:t xml:space="preserve">Since the 2015 report, India has emerged as the world’s second largest producer and consumer of thermal coal, and coal continues to play a key role in India’s economic growth and development. </w:t>
      </w:r>
      <w:r>
        <w:br/>
        <w:t>The 2015 report provides a source of reference material for coal fundamentals and the baseline for this report, which includes an update on the latest statistics and developments underpinning the outlook for Indian thermal coal consumption, production and imports.</w:t>
      </w:r>
    </w:p>
    <w:p w14:paraId="5EB2F248" w14:textId="5A033E63" w:rsidR="006662A6" w:rsidRDefault="006662A6" w:rsidP="00BD5022">
      <w:pPr>
        <w:pStyle w:val="BodyText"/>
      </w:pPr>
      <w:r>
        <w:t>We examine the latest developments in India’s energy, electricity and mining policies and regulatory settings, and how these could impact on the future of thermal coal in India. In doing so, we discuss the opportunities for Australian producers and mining equipment and technology services companies in meeting India’s growing demand for coal.</w:t>
      </w:r>
    </w:p>
    <w:p w14:paraId="7B1D4561" w14:textId="5278B70C" w:rsidR="006662A6" w:rsidRDefault="006662A6" w:rsidP="00BD5022">
      <w:pPr>
        <w:pStyle w:val="BodyText"/>
      </w:pPr>
      <w:r>
        <w:t>The role of coal in future energy systems will be determined by the balancing of the priorities of energy security, energy equity, and environmental sustainability. Nowhere do these issues come more to the forefront than in India. India is experiencing rapid economic and population growth, and consequently rising demand for energy. Emissions are growing at a faster rate than any other major nation, but per capita emissions remain low, and access to reliable energy remains a key challenge.</w:t>
      </w:r>
    </w:p>
    <w:p w14:paraId="2E5C9178" w14:textId="59DE2683" w:rsidR="00493324" w:rsidRDefault="006662A6" w:rsidP="00BD5022">
      <w:pPr>
        <w:pStyle w:val="BodyText"/>
      </w:pPr>
      <w:r>
        <w:t xml:space="preserve">As always, anticipating the future is underpinned by considerable uncertainties and risks. Consistent with the 2015 report, there remain several factors that will influence the outlook for coal in India over the longer term. This report contributes to the debate by examining the </w:t>
      </w:r>
      <w:r w:rsidRPr="002960CA">
        <w:t>key drivers, current trajectory and main uncertainties</w:t>
      </w:r>
      <w:r>
        <w:t xml:space="preserve"> that could</w:t>
      </w:r>
      <w:r w:rsidR="00493324">
        <w:t xml:space="preserve"> impact on future developments.</w:t>
      </w:r>
    </w:p>
    <w:p w14:paraId="4DB87DBC" w14:textId="77777777" w:rsidR="00493324" w:rsidRDefault="00493324" w:rsidP="00BD5022">
      <w:pPr>
        <w:pStyle w:val="BodyText"/>
      </w:pPr>
    </w:p>
    <w:p w14:paraId="13760E42" w14:textId="77777777" w:rsidR="006662A6" w:rsidRDefault="006662A6" w:rsidP="003460B6">
      <w:pPr>
        <w:pStyle w:val="BodyText"/>
        <w:spacing w:after="0"/>
        <w:jc w:val="left"/>
      </w:pPr>
      <w:r>
        <w:t>David Turvey</w:t>
      </w:r>
    </w:p>
    <w:p w14:paraId="2CB4CE75" w14:textId="330DAAC2" w:rsidR="006662A6" w:rsidRDefault="006662A6" w:rsidP="003460B6">
      <w:pPr>
        <w:pStyle w:val="BodyText"/>
        <w:spacing w:after="0"/>
        <w:jc w:val="left"/>
      </w:pPr>
      <w:r>
        <w:br/>
        <w:t>Acting Division Head</w:t>
      </w:r>
    </w:p>
    <w:p w14:paraId="07A46985" w14:textId="0093527E" w:rsidR="006662A6" w:rsidRDefault="006662A6" w:rsidP="003460B6">
      <w:pPr>
        <w:pStyle w:val="BodyText"/>
        <w:spacing w:after="0"/>
        <w:jc w:val="left"/>
      </w:pPr>
      <w:r>
        <w:t>Analysis and Insights Division</w:t>
      </w:r>
    </w:p>
    <w:p w14:paraId="5B344DA3" w14:textId="51B9532B" w:rsidR="006662A6" w:rsidRPr="00DD0D9A" w:rsidRDefault="006662A6" w:rsidP="003460B6">
      <w:pPr>
        <w:pStyle w:val="BodyText"/>
        <w:spacing w:after="0"/>
        <w:jc w:val="left"/>
      </w:pPr>
      <w:r>
        <w:t>Department of Industry, Innovation and Science</w:t>
      </w:r>
    </w:p>
    <w:p w14:paraId="2128D66F" w14:textId="77777777" w:rsidR="006662A6" w:rsidRDefault="006662A6" w:rsidP="003460B6">
      <w:pPr>
        <w:spacing w:after="0" w:line="276" w:lineRule="auto"/>
        <w:ind w:left="0"/>
        <w:jc w:val="left"/>
        <w:rPr>
          <w:rFonts w:asciiTheme="minorHAnsi" w:hAnsiTheme="minorHAnsi"/>
        </w:rPr>
      </w:pPr>
      <w:r>
        <w:br w:type="page"/>
      </w:r>
    </w:p>
    <w:p w14:paraId="711FF3DB" w14:textId="5AF5A057" w:rsidR="006662A6" w:rsidRDefault="006662A6" w:rsidP="007E2884">
      <w:pPr>
        <w:pStyle w:val="Heading1"/>
      </w:pPr>
      <w:bookmarkStart w:id="5" w:name="_Toc15645837"/>
      <w:bookmarkStart w:id="6" w:name="_Toc16247569"/>
      <w:bookmarkStart w:id="7" w:name="_Toc16250032"/>
      <w:bookmarkStart w:id="8" w:name="_Toc16256887"/>
      <w:bookmarkStart w:id="9" w:name="_Toc17210762"/>
      <w:r>
        <w:lastRenderedPageBreak/>
        <w:t>Executive Summary</w:t>
      </w:r>
      <w:bookmarkEnd w:id="5"/>
      <w:bookmarkEnd w:id="6"/>
      <w:bookmarkEnd w:id="7"/>
      <w:bookmarkEnd w:id="8"/>
      <w:bookmarkEnd w:id="9"/>
    </w:p>
    <w:p w14:paraId="3761AA17" w14:textId="33FBBA82" w:rsidR="006662A6" w:rsidRDefault="006662A6" w:rsidP="00D9674A">
      <w:pPr>
        <w:pStyle w:val="BodyText"/>
      </w:pPr>
      <w:r>
        <w:rPr>
          <w:b/>
        </w:rPr>
        <w:t>India’s energy future will help shape seaborne thermal coal markets for decades to come</w:t>
      </w:r>
      <w:r w:rsidRPr="00B933D4">
        <w:rPr>
          <w:b/>
        </w:rPr>
        <w:t>.</w:t>
      </w:r>
      <w:r>
        <w:t xml:space="preserve"> India is the world’s second largest importer of thermal coal, and has the potential to be an ongoing</w:t>
      </w:r>
      <w:r w:rsidDel="001E63FF">
        <w:t xml:space="preserve"> </w:t>
      </w:r>
      <w:r>
        <w:t>source of</w:t>
      </w:r>
      <w:r w:rsidDel="001E63FF">
        <w:t xml:space="preserve"> </w:t>
      </w:r>
      <w:r>
        <w:t>demand growth — a bright light for thermal coal exporters confronted with falling demand in Europe, North America and North East Asia. But while India is one of the great hopes for thermal coal exporters (alongside Southeast Asia), it also presents significant risk. If India’s thermal coal imports decline, there could be substantial implications for seaborne markets. As Australia already exports large volumes of metallurgical coal to India, this report primarily focusses on the more uncertain, but much larger, thermal coal market.</w:t>
      </w:r>
    </w:p>
    <w:p w14:paraId="1752781F" w14:textId="3A121B94" w:rsidR="006662A6" w:rsidRDefault="006662A6" w:rsidP="00597359">
      <w:pPr>
        <w:pStyle w:val="BodyText"/>
      </w:pPr>
      <w:r w:rsidRPr="00597359">
        <w:rPr>
          <w:b/>
        </w:rPr>
        <w:t>India</w:t>
      </w:r>
      <w:r>
        <w:rPr>
          <w:b/>
        </w:rPr>
        <w:t>’s future energy needs are difficult to understate.</w:t>
      </w:r>
      <w:r>
        <w:t xml:space="preserve"> India is the world’s third largest energy consumer. It has the world’s second largest population and is one of world’s fastest growing economies. The twin pressures of economic and population growth are expected to propel future energy demand in India. The country has made significant progress in reducing energy poverty, but there were still 168 million people without access to electricity in 2017, and reliability remains an ongoing issue. India also faces a range of other challenges in its electricity market, which have flow on effects to the coal sector. These include</w:t>
      </w:r>
      <w:r w:rsidRPr="007254C2">
        <w:t xml:space="preserve"> inefficient</w:t>
      </w:r>
      <w:r>
        <w:t xml:space="preserve"> state-owned</w:t>
      </w:r>
      <w:r w:rsidRPr="007254C2">
        <w:t xml:space="preserve"> generators,</w:t>
      </w:r>
      <w:r>
        <w:t xml:space="preserve"> overcapacity in power generation, </w:t>
      </w:r>
      <w:r w:rsidRPr="007254C2">
        <w:t>bottlenecks in transmission, distortionary subsidies</w:t>
      </w:r>
      <w:r>
        <w:t>, and</w:t>
      </w:r>
      <w:r w:rsidRPr="007254C2">
        <w:t xml:space="preserve"> financial pressure on distribution companies</w:t>
      </w:r>
      <w:r>
        <w:t>,</w:t>
      </w:r>
      <w:r w:rsidRPr="007254C2">
        <w:t xml:space="preserve"> due to losses and </w:t>
      </w:r>
      <w:r>
        <w:t xml:space="preserve">the </w:t>
      </w:r>
      <w:r w:rsidRPr="007254C2">
        <w:t>underpricing of electricity.</w:t>
      </w:r>
    </w:p>
    <w:p w14:paraId="6663E820" w14:textId="24FB7F49" w:rsidR="006662A6" w:rsidRDefault="006662A6" w:rsidP="00237C10">
      <w:pPr>
        <w:pStyle w:val="BodyText"/>
      </w:pPr>
      <w:r w:rsidRPr="00B200FD">
        <w:rPr>
          <w:b/>
        </w:rPr>
        <w:t xml:space="preserve">India’s </w:t>
      </w:r>
      <w:r>
        <w:rPr>
          <w:b/>
        </w:rPr>
        <w:t>thermal coal</w:t>
      </w:r>
      <w:r w:rsidRPr="00B14C8B">
        <w:rPr>
          <w:b/>
        </w:rPr>
        <w:t xml:space="preserve"> consumption </w:t>
      </w:r>
      <w:r>
        <w:rPr>
          <w:b/>
        </w:rPr>
        <w:t>is likely to continue to increase</w:t>
      </w:r>
      <w:r w:rsidRPr="00B14C8B">
        <w:rPr>
          <w:b/>
        </w:rPr>
        <w:t xml:space="preserve"> next decade, and possibly beyond, in</w:t>
      </w:r>
      <w:r w:rsidRPr="00CE7FDC">
        <w:rPr>
          <w:b/>
        </w:rPr>
        <w:t xml:space="preserve"> </w:t>
      </w:r>
      <w:r w:rsidRPr="00B14C8B">
        <w:rPr>
          <w:b/>
        </w:rPr>
        <w:t>order to meet India’s increasing energy requirements.</w:t>
      </w:r>
      <w:r>
        <w:t xml:space="preserve"> Since we released the first </w:t>
      </w:r>
      <w:r w:rsidRPr="00955E6F">
        <w:rPr>
          <w:i/>
        </w:rPr>
        <w:t>Coal in India</w:t>
      </w:r>
      <w:r>
        <w:t xml:space="preserve"> report in 2015, India has become the world’s second largest coal consumer. Further growth in thermal coal consumption is likely, despite India’s authorities indicating that no new coal-fired power stations beyond the ones already under construction are needed over the next five years. Given India has overbuilt its coal-fired power capacity for current levels of electricity demand, and coal-fired power generators are running well below capacity, India already has sufficient coal-fired power capacity for coal consumption to lift during the 2020s.</w:t>
      </w:r>
      <w:r w:rsidRPr="007254C2">
        <w:rPr>
          <w:b/>
        </w:rPr>
        <w:t xml:space="preserve"> </w:t>
      </w:r>
      <w:r>
        <w:t>A reversal of this trend would require India to prematurely close coal power stations before the end of their planned lives, and to rapidly address the huge challenges in regards to grid stability that these closures would bring.</w:t>
      </w:r>
      <w:r w:rsidRPr="00B14C8B">
        <w:t xml:space="preserve"> Thermal coal is expected to remain an important part of India’s energy mix for </w:t>
      </w:r>
      <w:r>
        <w:t>decades</w:t>
      </w:r>
      <w:r w:rsidRPr="00B14C8B">
        <w:t xml:space="preserve"> to come.</w:t>
      </w:r>
    </w:p>
    <w:p w14:paraId="7E473866" w14:textId="1DE76BC7" w:rsidR="006662A6" w:rsidRDefault="006662A6" w:rsidP="00D9674A">
      <w:pPr>
        <w:pStyle w:val="BodyText"/>
      </w:pPr>
      <w:r>
        <w:t>In the long term, t</w:t>
      </w:r>
      <w:r w:rsidRPr="00993105">
        <w:t>he</w:t>
      </w:r>
      <w:r>
        <w:t xml:space="preserve"> outlook for thermal coal consumption in India depends heavily on the prospects for other energy sources, particularly the pace of expansion in renewable generation in India. India has set itself ambitious renewable energy targets, and recently signalled a potential target of 500 GW of installed renewable capacity (excluding large-scale hydro) in 2028, up from 79 GW in mid-2019. To achieve its target for renewable generation, India would need to overcome significant technical, political and economic challenges.</w:t>
      </w:r>
      <w:r w:rsidRPr="00B14C8B">
        <w:t xml:space="preserve"> </w:t>
      </w:r>
    </w:p>
    <w:p w14:paraId="25AD53C3" w14:textId="69E1D0A4" w:rsidR="006662A6" w:rsidRDefault="006662A6" w:rsidP="00D9674A">
      <w:pPr>
        <w:pStyle w:val="BodyText"/>
      </w:pPr>
      <w:r w:rsidRPr="003C4D24">
        <w:rPr>
          <w:b/>
        </w:rPr>
        <w:t>The pace of India’s coal production growth will be the key driver of its future thermal coal import needs.</w:t>
      </w:r>
      <w:r>
        <w:t xml:space="preserve"> India is the world’s second largest producer of thermal coal, and production is dominated by the state-owned company Coal India Limited, the world’s largest coal producer. Coal India has ambitious targets to increase domestic coal production to 1 </w:t>
      </w:r>
      <w:r w:rsidRPr="00367082">
        <w:t>billion tonnes</w:t>
      </w:r>
      <w:r>
        <w:t xml:space="preserve"> by 2025–26. While India has lifted growth in thermal coal production over the last few years, it is still tracking well short of the production levels required to meet this target. </w:t>
      </w:r>
      <w:r w:rsidRPr="007A4B32">
        <w:t>India’s coal production is expected to grow, but at a slower pace than government targets.</w:t>
      </w:r>
    </w:p>
    <w:p w14:paraId="42A995B7" w14:textId="0B593966" w:rsidR="006662A6" w:rsidRDefault="006662A6" w:rsidP="00D9674A">
      <w:pPr>
        <w:pStyle w:val="BodyText"/>
      </w:pPr>
      <w:r w:rsidRPr="000E6456">
        <w:t>India’s coal sector continues to face substantial challenges,</w:t>
      </w:r>
      <w:r>
        <w:rPr>
          <w:b/>
        </w:rPr>
        <w:t xml:space="preserve"> </w:t>
      </w:r>
      <w:r>
        <w:t>and although reforms have moved in a positive direction, the pace of change remains slow. India’s complex bureaucracy, socioeconomic issues, and financially-strained power sector are all impacting negatively on production growth.</w:t>
      </w:r>
      <w:r w:rsidRPr="00996F80">
        <w:t xml:space="preserve"> </w:t>
      </w:r>
      <w:r>
        <w:t xml:space="preserve">Approvals and land acquisition remain the primary factors weighing on production growth, with other issues — productivity, competition, investment, transport and domestic pricing schemes — further </w:t>
      </w:r>
      <w:r>
        <w:lastRenderedPageBreak/>
        <w:t>compounding the challenges. The Indian government will need to continue to pursue reforms and policy changes to address remaining barriers to production growth.</w:t>
      </w:r>
    </w:p>
    <w:p w14:paraId="04C47C40" w14:textId="1F1C5506" w:rsidR="006662A6" w:rsidRPr="002960CA" w:rsidRDefault="006662A6" w:rsidP="00D9674A">
      <w:pPr>
        <w:pStyle w:val="BodyText"/>
      </w:pPr>
      <w:r w:rsidRPr="002960CA">
        <w:rPr>
          <w:b/>
        </w:rPr>
        <w:t xml:space="preserve">The outlook for India’s thermal coal imports is finely balanced. </w:t>
      </w:r>
      <w:r>
        <w:t>W</w:t>
      </w:r>
      <w:r w:rsidRPr="002960CA">
        <w:t xml:space="preserve">ith </w:t>
      </w:r>
      <w:r>
        <w:t>around 80</w:t>
      </w:r>
      <w:r w:rsidRPr="002960CA">
        <w:t xml:space="preserve"> per cent of India’s thermal coal </w:t>
      </w:r>
      <w:r>
        <w:t xml:space="preserve">requirements </w:t>
      </w:r>
      <w:r w:rsidRPr="002960CA">
        <w:t xml:space="preserve">satisfied domestically, the future for India’s thermal coal imports depends on small movements in the balance of </w:t>
      </w:r>
      <w:r>
        <w:t xml:space="preserve">India’s </w:t>
      </w:r>
      <w:r w:rsidRPr="002960CA">
        <w:t xml:space="preserve">future coal production and </w:t>
      </w:r>
      <w:r>
        <w:t>consumption</w:t>
      </w:r>
      <w:r w:rsidRPr="002960CA">
        <w:t>.</w:t>
      </w:r>
      <w:r>
        <w:t xml:space="preserve"> In the short-term, imports are likely to remain high, as domestic production falls short of demand. In the longer term, there are more uncertainties.</w:t>
      </w:r>
      <w:r w:rsidRPr="002960CA">
        <w:t xml:space="preserve"> It is </w:t>
      </w:r>
      <w:r>
        <w:t>possible</w:t>
      </w:r>
      <w:r w:rsidRPr="002960CA">
        <w:t xml:space="preserve"> to imagine a scenario where India’s imports lift rapidly on the back of strong </w:t>
      </w:r>
      <w:r>
        <w:t>growth in</w:t>
      </w:r>
      <w:r w:rsidRPr="002960CA">
        <w:t xml:space="preserve"> energy demand</w:t>
      </w:r>
      <w:r>
        <w:t>,</w:t>
      </w:r>
      <w:r w:rsidRPr="002960CA">
        <w:t xml:space="preserve"> challenges integrating renewable generation into the electricity grid</w:t>
      </w:r>
      <w:r>
        <w:t>,</w:t>
      </w:r>
      <w:r w:rsidRPr="002960CA">
        <w:t xml:space="preserve"> and barriers to increasing domestic coal production. But it</w:t>
      </w:r>
      <w:r>
        <w:t xml:space="preserve"> is</w:t>
      </w:r>
      <w:r w:rsidRPr="002960CA">
        <w:t xml:space="preserve"> also possible to see a scenario where imports fall due to lower than expected energy demand, the </w:t>
      </w:r>
      <w:r>
        <w:t xml:space="preserve">rapid reduction </w:t>
      </w:r>
      <w:r w:rsidRPr="002960CA">
        <w:t xml:space="preserve">of barriers to </w:t>
      </w:r>
      <w:r>
        <w:t>higher</w:t>
      </w:r>
      <w:r w:rsidRPr="002960CA">
        <w:t xml:space="preserve"> domestic coal production, and a </w:t>
      </w:r>
      <w:r>
        <w:t>faster than expected</w:t>
      </w:r>
      <w:r w:rsidRPr="002960CA">
        <w:t xml:space="preserve"> uptake of renewables. We reach no firm conclusions in this report.</w:t>
      </w:r>
      <w:r>
        <w:t xml:space="preserve"> Rather,</w:t>
      </w:r>
      <w:r w:rsidRPr="002960CA">
        <w:t xml:space="preserve"> we highlight the key drivers, current trajectory and main uncertainties</w:t>
      </w:r>
      <w:r>
        <w:t xml:space="preserve"> likely to influence</w:t>
      </w:r>
      <w:r w:rsidRPr="002960CA" w:rsidDel="00F3671B">
        <w:t xml:space="preserve"> </w:t>
      </w:r>
      <w:r w:rsidRPr="002960CA">
        <w:t>future developments.</w:t>
      </w:r>
    </w:p>
    <w:p w14:paraId="0D525500" w14:textId="1CF6817A" w:rsidR="006662A6" w:rsidRPr="002960CA" w:rsidRDefault="006662A6" w:rsidP="00D9674A">
      <w:pPr>
        <w:pStyle w:val="BodyText"/>
      </w:pPr>
      <w:r w:rsidRPr="000E6456">
        <w:rPr>
          <w:b/>
        </w:rPr>
        <w:t xml:space="preserve">The Indian </w:t>
      </w:r>
      <w:r>
        <w:rPr>
          <w:b/>
        </w:rPr>
        <w:t>g</w:t>
      </w:r>
      <w:r w:rsidRPr="000E6456">
        <w:rPr>
          <w:b/>
        </w:rPr>
        <w:t>overnment is aiming for self-sufficiency in thermal coal, but faces considerable barriers to achieving this goal.</w:t>
      </w:r>
      <w:r>
        <w:t xml:space="preserve"> Illustrative of these challenges are statements</w:t>
      </w:r>
      <w:r w:rsidDel="00F3671B">
        <w:t xml:space="preserve"> </w:t>
      </w:r>
      <w:r>
        <w:t>in November 2014 by the Indian energy minister that India would stop importing thermal coal within two or three years. While India’s thermal coal imports did fall back after peaking in 2014, they recovered to near their previous levels</w:t>
      </w:r>
      <w:r w:rsidRPr="0088744A">
        <w:t xml:space="preserve"> </w:t>
      </w:r>
      <w:r>
        <w:t>in 2018.</w:t>
      </w:r>
    </w:p>
    <w:p w14:paraId="5FC31F54" w14:textId="63F8F243" w:rsidR="006662A6" w:rsidRDefault="006662A6" w:rsidP="00D9674A">
      <w:pPr>
        <w:pStyle w:val="BodyText"/>
      </w:pPr>
      <w:r w:rsidRPr="000E6456">
        <w:rPr>
          <w:b/>
        </w:rPr>
        <w:t>Australia is currently not a significant supplier of thermal coal to India.</w:t>
      </w:r>
      <w:r>
        <w:t xml:space="preserve"> In 2018, Australia exported just 5 million tonnes of thermal coal to India — just 2.3 per cent of Australia’s thermal coal exports, and just 4.5 per cent of India’s thermal coal imports. There are a number of reasons for limited Australian thermal coal exports to India. These include regulated electricity prices in India (which make it difficult for utilities to pay price premiums for higher quality Australian coal), compatibility issues between Australian coal and India’s largely sub-critical coal fleet, and limited Indian investment in Australian thermal coal mines (with the notable</w:t>
      </w:r>
      <w:r w:rsidRPr="00B91D11">
        <w:t xml:space="preserve"> </w:t>
      </w:r>
      <w:r>
        <w:t>exception of Adani’s Carmichael coal mine in the Galilee Basin in Queensland). Indian investment has the potential to lift thermal coal exports by vertically integrating coal mines overseas with power plants in India, thereby reducing market risks.</w:t>
      </w:r>
    </w:p>
    <w:p w14:paraId="00D24FEC" w14:textId="557B050C" w:rsidR="006662A6" w:rsidRDefault="006662A6" w:rsidP="00D9674A">
      <w:pPr>
        <w:pStyle w:val="BodyText"/>
      </w:pPr>
      <w:r>
        <w:rPr>
          <w:b/>
        </w:rPr>
        <w:t xml:space="preserve">There are opportunities for Australia to lift thermal coal exports to India, although barriers will remain. </w:t>
      </w:r>
      <w:r>
        <w:t>The commencement of Adani’s 10 million tonne Carmichael mine could triple Australia’s thermal coal exports to India — although from a low base. The development of other Indian-owned mines in Australia, and the possibility that Indonesia and South Africa may not meet all of India’s thermal coal import requirements, could further boost Australian thermal coal exports to India. India</w:t>
      </w:r>
      <w:r w:rsidDel="00F34668">
        <w:t xml:space="preserve"> </w:t>
      </w:r>
      <w:r>
        <w:t xml:space="preserve">has also made changes to plant efficiency and coal quality standards, which should be more favourable for Australian suppliers of high-energy, low-ash coal. There are also other opportunities for Australia’s mining and coal sector in India, particularly in the </w:t>
      </w:r>
      <w:r w:rsidRPr="002903D5">
        <w:t>mining equipment, technology and services (METS) sector</w:t>
      </w:r>
      <w:r>
        <w:t xml:space="preserve">. Australian METS companies are well placed to assist with India’s desire to improve the productivity of domestic coal mines through advanced technology. </w:t>
      </w:r>
    </w:p>
    <w:p w14:paraId="44B4727C" w14:textId="2A246D0A" w:rsidR="004E0086" w:rsidRDefault="006662A6" w:rsidP="00DD0D9A">
      <w:pPr>
        <w:pStyle w:val="BodyText"/>
      </w:pPr>
      <w:r>
        <w:rPr>
          <w:b/>
        </w:rPr>
        <w:t xml:space="preserve">India’s metallurgical coal demand and imports are expected to grow, and the outlook is characterised by fewer uncertainties. </w:t>
      </w:r>
      <w:r>
        <w:t>While our analysis is focused on thermal coal, we also consider metallurgical coal at various points in this report. The outlook for metallurgical coal in India is less uncertain than for thermal coal. India has ambitious targets to increase its steel production, and little in the way of domestic metallurgical coal resources. As such, India will likely need to increase its metallurgical coal imports over the next few decades. For Australia — the world’s largest metallurgical coal producer and the supplier of over 70 per cent of India’s metallurgical coal imports — growing Indian demand will continue to represent a major opportunity.</w:t>
      </w:r>
    </w:p>
    <w:p w14:paraId="5277EB0E" w14:textId="77777777" w:rsidR="004E0086" w:rsidRDefault="004E0086">
      <w:pPr>
        <w:spacing w:after="200" w:line="276" w:lineRule="auto"/>
        <w:ind w:left="0"/>
        <w:jc w:val="left"/>
        <w:rPr>
          <w:rFonts w:asciiTheme="minorHAnsi" w:hAnsiTheme="minorHAnsi"/>
        </w:rPr>
      </w:pPr>
      <w:r>
        <w:br w:type="page"/>
      </w:r>
    </w:p>
    <w:p w14:paraId="6BE7E5E7" w14:textId="2866CE7F" w:rsidR="004E0086" w:rsidRDefault="004E0086">
      <w:pPr>
        <w:spacing w:after="200" w:line="276" w:lineRule="auto"/>
        <w:ind w:left="0"/>
        <w:jc w:val="left"/>
        <w:rPr>
          <w:rFonts w:asciiTheme="minorHAnsi" w:hAnsiTheme="minorHAnsi"/>
        </w:rPr>
      </w:pPr>
      <w:r>
        <w:rPr>
          <w:noProof/>
          <w:lang w:eastAsia="en-AU"/>
        </w:rPr>
        <w:lastRenderedPageBreak/>
        <w:drawing>
          <wp:anchor distT="0" distB="0" distL="114300" distR="114300" simplePos="0" relativeHeight="251658258" behindDoc="0" locked="0" layoutInCell="1" allowOverlap="1" wp14:anchorId="09C13779" wp14:editId="7A3E30FC">
            <wp:simplePos x="0" y="0"/>
            <wp:positionH relativeFrom="margin">
              <wp:align>center</wp:align>
            </wp:positionH>
            <wp:positionV relativeFrom="margin">
              <wp:align>top</wp:align>
            </wp:positionV>
            <wp:extent cx="6300000" cy="9179538"/>
            <wp:effectExtent l="0" t="0" r="5715" b="3175"/>
            <wp:wrapSquare wrapText="bothSides"/>
            <wp:docPr id="26" name="Picture 26" descr="The infographic shows India has large and rapidly growing energy needs. The country is the world’s seventh largest economy and third largest energy consumer. Growing population and economic growth will drive demand for energy. Around half a billion people have gained access to electricity since 2000 but 168 million people are still without access. Coal dominates India’s energy mix, at 44 per cent. Complex institutional arrangements make market operation and reforms difficult in the power and coal sectors.&#10;&#10;&#10;&#10;India’s thermal coal consumption is set to increase over the next decade and possibly beyond. Coal will remain a major source of electricity generation but its share will fall. Of the coal-fired power capacity under construction, 68 per cent employs supercrticial technology and 20 per cent employs ultra-supercritical technology. The more advanced technology reduces coal use and CO2 emissions.&#10;&#10;" title="This images shows infographic with the follow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734" t="3195" r="5307" b="5140"/>
                    <a:stretch/>
                  </pic:blipFill>
                  <pic:spPr bwMode="auto">
                    <a:xfrm>
                      <a:off x="0" y="0"/>
                      <a:ext cx="6300000" cy="9179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4195026" w14:textId="0F681E80" w:rsidR="006662A6" w:rsidRPr="00DD0D9A" w:rsidRDefault="008C321B" w:rsidP="00DD0D9A">
      <w:pPr>
        <w:pStyle w:val="BodyText"/>
      </w:pPr>
      <w:r>
        <w:rPr>
          <w:noProof/>
          <w:lang w:eastAsia="en-AU"/>
        </w:rPr>
        <w:lastRenderedPageBreak/>
        <w:drawing>
          <wp:anchor distT="0" distB="0" distL="114300" distR="114300" simplePos="0" relativeHeight="251658260" behindDoc="0" locked="0" layoutInCell="1" allowOverlap="1" wp14:anchorId="7D975EE5" wp14:editId="267F5054">
            <wp:simplePos x="0" y="0"/>
            <wp:positionH relativeFrom="margin">
              <wp:align>center</wp:align>
            </wp:positionH>
            <wp:positionV relativeFrom="margin">
              <wp:align>top</wp:align>
            </wp:positionV>
            <wp:extent cx="6300000" cy="9185996"/>
            <wp:effectExtent l="0" t="0" r="5715" b="0"/>
            <wp:wrapSquare wrapText="bothSides"/>
            <wp:docPr id="30" name="Picture 30" descr="The infographic shows India’s production of thermal coal is increasing, but it remains to be seen whether it can catch up with demand. India is the world’s second largest producer of thermal coal, but there are several challenges facing India’s coal sector.&#10;&#10;&#10;&#10;The outlook for India’s thermal coal imports is finely balanced and uncertain. India is the second largest importer of thermal coal, and relies on imports for around one fifth of its thermal coal consumption. Imports could fall or climb, depending on domestic production, but is unlikely to achieve its goal of self-sufficiency in the short temr.&#10;&#10;&#10;&#10;While Australia is not currently a significant supplier of thermal coal to India, there are opportunities. Australia could triple thermal coal exports to India, and fruther growth is possible if barriers are reduced. There are also opportunities for metallurgical coal producers and Australian METS companies.&#10;&#10;" title="This image shows an infographic with the follow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082" t="3318" r="5132" b="5134"/>
                    <a:stretch/>
                  </pic:blipFill>
                  <pic:spPr bwMode="auto">
                    <a:xfrm>
                      <a:off x="0" y="0"/>
                      <a:ext cx="6300000" cy="9185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BD5F4" w14:textId="77777777" w:rsidR="006662A6" w:rsidRPr="00FD4F2D" w:rsidRDefault="006662A6" w:rsidP="008C321B">
      <w:pPr>
        <w:pStyle w:val="Contents"/>
        <w:jc w:val="left"/>
      </w:pPr>
      <w:bookmarkStart w:id="10" w:name="ContentsHeading"/>
      <w:r w:rsidRPr="005548B4">
        <w:lastRenderedPageBreak/>
        <w:t>Contents</w:t>
      </w:r>
    </w:p>
    <w:bookmarkEnd w:id="10"/>
    <w:p w14:paraId="3AC49CF5" w14:textId="77777777" w:rsidR="00E91467" w:rsidRDefault="006662A6">
      <w:pPr>
        <w:pStyle w:val="TOC1"/>
        <w:rPr>
          <w:rFonts w:asciiTheme="minorHAnsi" w:eastAsiaTheme="minorEastAsia" w:hAnsiTheme="minorHAnsi"/>
          <w:b w:val="0"/>
          <w:color w:val="auto"/>
          <w:sz w:val="22"/>
          <w:szCs w:val="22"/>
          <w:lang w:eastAsia="en-AU"/>
        </w:rPr>
      </w:pPr>
      <w:r>
        <w:rPr>
          <w:b w:val="0"/>
          <w:noProof w:val="0"/>
        </w:rPr>
        <w:fldChar w:fldCharType="begin"/>
      </w:r>
      <w:r>
        <w:instrText xml:space="preserve"> TOC \o "1-1" \t "Heading 2,2,Heading 6,6" </w:instrText>
      </w:r>
      <w:r>
        <w:rPr>
          <w:b w:val="0"/>
          <w:noProof w:val="0"/>
        </w:rPr>
        <w:fldChar w:fldCharType="separate"/>
      </w:r>
      <w:r w:rsidR="00E91467">
        <w:t>Coal in India  2019</w:t>
      </w:r>
      <w:r w:rsidR="00E91467">
        <w:tab/>
      </w:r>
      <w:r w:rsidR="00E91467">
        <w:fldChar w:fldCharType="begin"/>
      </w:r>
      <w:r w:rsidR="00E91467">
        <w:instrText xml:space="preserve"> PAGEREF _Toc17210760 \h </w:instrText>
      </w:r>
      <w:r w:rsidR="00E91467">
        <w:fldChar w:fldCharType="separate"/>
      </w:r>
      <w:r w:rsidR="00E91467">
        <w:t>i</w:t>
      </w:r>
      <w:r w:rsidR="00E91467">
        <w:fldChar w:fldCharType="end"/>
      </w:r>
    </w:p>
    <w:p w14:paraId="23C630A2" w14:textId="77777777" w:rsidR="00E91467" w:rsidRDefault="00E91467">
      <w:pPr>
        <w:pStyle w:val="TOC1"/>
        <w:rPr>
          <w:rFonts w:asciiTheme="minorHAnsi" w:eastAsiaTheme="minorEastAsia" w:hAnsiTheme="minorHAnsi"/>
          <w:b w:val="0"/>
          <w:color w:val="auto"/>
          <w:sz w:val="22"/>
          <w:szCs w:val="22"/>
          <w:lang w:eastAsia="en-AU"/>
        </w:rPr>
      </w:pPr>
      <w:r>
        <w:t>Foreword</w:t>
      </w:r>
      <w:r>
        <w:tab/>
      </w:r>
      <w:r>
        <w:fldChar w:fldCharType="begin"/>
      </w:r>
      <w:r>
        <w:instrText xml:space="preserve"> PAGEREF _Toc17210761 \h </w:instrText>
      </w:r>
      <w:r>
        <w:fldChar w:fldCharType="separate"/>
      </w:r>
      <w:r>
        <w:t>iii</w:t>
      </w:r>
      <w:r>
        <w:fldChar w:fldCharType="end"/>
      </w:r>
    </w:p>
    <w:p w14:paraId="0544713A" w14:textId="77777777" w:rsidR="00E91467" w:rsidRDefault="00E91467">
      <w:pPr>
        <w:pStyle w:val="TOC1"/>
        <w:rPr>
          <w:rFonts w:asciiTheme="minorHAnsi" w:eastAsiaTheme="minorEastAsia" w:hAnsiTheme="minorHAnsi"/>
          <w:b w:val="0"/>
          <w:color w:val="auto"/>
          <w:sz w:val="22"/>
          <w:szCs w:val="22"/>
          <w:lang w:eastAsia="en-AU"/>
        </w:rPr>
      </w:pPr>
      <w:r>
        <w:t>Executive Summary</w:t>
      </w:r>
      <w:r>
        <w:tab/>
      </w:r>
      <w:r>
        <w:fldChar w:fldCharType="begin"/>
      </w:r>
      <w:r>
        <w:instrText xml:space="preserve"> PAGEREF _Toc17210762 \h </w:instrText>
      </w:r>
      <w:r>
        <w:fldChar w:fldCharType="separate"/>
      </w:r>
      <w:r>
        <w:t>iv</w:t>
      </w:r>
      <w:r>
        <w:fldChar w:fldCharType="end"/>
      </w:r>
    </w:p>
    <w:p w14:paraId="2DB85E4A" w14:textId="77777777" w:rsidR="00E91467" w:rsidRDefault="00E91467">
      <w:pPr>
        <w:pStyle w:val="TOC1"/>
        <w:rPr>
          <w:rFonts w:asciiTheme="minorHAnsi" w:eastAsiaTheme="minorEastAsia" w:hAnsiTheme="minorHAnsi"/>
          <w:b w:val="0"/>
          <w:color w:val="auto"/>
          <w:sz w:val="22"/>
          <w:szCs w:val="22"/>
          <w:lang w:eastAsia="en-AU"/>
        </w:rPr>
      </w:pPr>
      <w:r>
        <w:t>Glossary</w:t>
      </w:r>
      <w:r>
        <w:tab/>
      </w:r>
      <w:r>
        <w:fldChar w:fldCharType="begin"/>
      </w:r>
      <w:r>
        <w:instrText xml:space="preserve"> PAGEREF _Toc17210763 \h </w:instrText>
      </w:r>
      <w:r>
        <w:fldChar w:fldCharType="separate"/>
      </w:r>
      <w:r>
        <w:t>xi</w:t>
      </w:r>
      <w:r>
        <w:fldChar w:fldCharType="end"/>
      </w:r>
    </w:p>
    <w:p w14:paraId="15061AC5" w14:textId="77777777" w:rsidR="00E91467" w:rsidRDefault="00E91467">
      <w:pPr>
        <w:pStyle w:val="TOC1"/>
        <w:rPr>
          <w:rFonts w:asciiTheme="minorHAnsi" w:eastAsiaTheme="minorEastAsia" w:hAnsiTheme="minorHAnsi"/>
          <w:b w:val="0"/>
          <w:color w:val="auto"/>
          <w:sz w:val="22"/>
          <w:szCs w:val="22"/>
          <w:lang w:eastAsia="en-AU"/>
        </w:rPr>
      </w:pPr>
      <w:r>
        <w:t>Chapter 1: India’s energy sector</w:t>
      </w:r>
      <w:r>
        <w:tab/>
      </w:r>
      <w:r>
        <w:fldChar w:fldCharType="begin"/>
      </w:r>
      <w:r>
        <w:instrText xml:space="preserve"> PAGEREF _Toc17210764 \h </w:instrText>
      </w:r>
      <w:r>
        <w:fldChar w:fldCharType="separate"/>
      </w:r>
      <w:r>
        <w:t>1</w:t>
      </w:r>
      <w:r>
        <w:fldChar w:fldCharType="end"/>
      </w:r>
    </w:p>
    <w:p w14:paraId="263DC1E6" w14:textId="77777777" w:rsidR="00E91467" w:rsidRDefault="00E91467">
      <w:pPr>
        <w:pStyle w:val="TOC1"/>
        <w:rPr>
          <w:rFonts w:asciiTheme="minorHAnsi" w:eastAsiaTheme="minorEastAsia" w:hAnsiTheme="minorHAnsi"/>
          <w:b w:val="0"/>
          <w:color w:val="auto"/>
          <w:sz w:val="22"/>
          <w:szCs w:val="22"/>
          <w:lang w:eastAsia="en-AU"/>
        </w:rPr>
      </w:pPr>
      <w:r>
        <w:t>1.1 India’s energy and electricity use</w:t>
      </w:r>
      <w:r>
        <w:tab/>
      </w:r>
      <w:r>
        <w:fldChar w:fldCharType="begin"/>
      </w:r>
      <w:r>
        <w:instrText xml:space="preserve"> PAGEREF _Toc17210765 \h </w:instrText>
      </w:r>
      <w:r>
        <w:fldChar w:fldCharType="separate"/>
      </w:r>
      <w:r>
        <w:t>1</w:t>
      </w:r>
      <w:r>
        <w:fldChar w:fldCharType="end"/>
      </w:r>
    </w:p>
    <w:p w14:paraId="2A444F3A" w14:textId="77777777" w:rsidR="00E91467" w:rsidRDefault="00E91467">
      <w:pPr>
        <w:pStyle w:val="TOC2"/>
        <w:rPr>
          <w:rFonts w:asciiTheme="minorHAnsi" w:eastAsiaTheme="minorEastAsia" w:hAnsiTheme="minorHAnsi"/>
          <w:color w:val="auto"/>
          <w:sz w:val="22"/>
          <w:lang w:eastAsia="en-AU"/>
        </w:rPr>
      </w:pPr>
      <w:r>
        <w:t>India’s energy consumption</w:t>
      </w:r>
      <w:r>
        <w:tab/>
      </w:r>
      <w:r>
        <w:fldChar w:fldCharType="begin"/>
      </w:r>
      <w:r>
        <w:instrText xml:space="preserve"> PAGEREF _Toc17210766 \h </w:instrText>
      </w:r>
      <w:r>
        <w:fldChar w:fldCharType="separate"/>
      </w:r>
      <w:r>
        <w:t>1</w:t>
      </w:r>
      <w:r>
        <w:fldChar w:fldCharType="end"/>
      </w:r>
    </w:p>
    <w:p w14:paraId="19A0202A" w14:textId="77777777" w:rsidR="00E91467" w:rsidRDefault="00E91467">
      <w:pPr>
        <w:pStyle w:val="TOC2"/>
        <w:rPr>
          <w:rFonts w:asciiTheme="minorHAnsi" w:eastAsiaTheme="minorEastAsia" w:hAnsiTheme="minorHAnsi"/>
          <w:color w:val="auto"/>
          <w:sz w:val="22"/>
          <w:lang w:eastAsia="en-AU"/>
        </w:rPr>
      </w:pPr>
      <w:r>
        <w:t>Electricity consumption in India</w:t>
      </w:r>
      <w:r>
        <w:tab/>
      </w:r>
      <w:r>
        <w:fldChar w:fldCharType="begin"/>
      </w:r>
      <w:r>
        <w:instrText xml:space="preserve"> PAGEREF _Toc17210767 \h </w:instrText>
      </w:r>
      <w:r>
        <w:fldChar w:fldCharType="separate"/>
      </w:r>
      <w:r>
        <w:t>3</w:t>
      </w:r>
      <w:r>
        <w:fldChar w:fldCharType="end"/>
      </w:r>
    </w:p>
    <w:p w14:paraId="2EFEB8A9" w14:textId="77777777" w:rsidR="00E91467" w:rsidRDefault="00E91467">
      <w:pPr>
        <w:pStyle w:val="TOC1"/>
        <w:rPr>
          <w:rFonts w:asciiTheme="minorHAnsi" w:eastAsiaTheme="minorEastAsia" w:hAnsiTheme="minorHAnsi"/>
          <w:b w:val="0"/>
          <w:color w:val="auto"/>
          <w:sz w:val="22"/>
          <w:szCs w:val="22"/>
          <w:lang w:eastAsia="en-AU"/>
        </w:rPr>
      </w:pPr>
      <w:r>
        <w:t>1.2 Structure of India’s energy and electricity sectors</w:t>
      </w:r>
      <w:r>
        <w:tab/>
      </w:r>
      <w:r>
        <w:fldChar w:fldCharType="begin"/>
      </w:r>
      <w:r>
        <w:instrText xml:space="preserve"> PAGEREF _Toc17210768 \h </w:instrText>
      </w:r>
      <w:r>
        <w:fldChar w:fldCharType="separate"/>
      </w:r>
      <w:r>
        <w:t>6</w:t>
      </w:r>
      <w:r>
        <w:fldChar w:fldCharType="end"/>
      </w:r>
    </w:p>
    <w:p w14:paraId="7CFEF738" w14:textId="77777777" w:rsidR="00E91467" w:rsidRDefault="00E91467">
      <w:pPr>
        <w:pStyle w:val="TOC2"/>
        <w:rPr>
          <w:rFonts w:asciiTheme="minorHAnsi" w:eastAsiaTheme="minorEastAsia" w:hAnsiTheme="minorHAnsi"/>
          <w:color w:val="auto"/>
          <w:sz w:val="22"/>
          <w:lang w:eastAsia="en-AU"/>
        </w:rPr>
      </w:pPr>
      <w:r>
        <w:t>India’s energy sector</w:t>
      </w:r>
      <w:r>
        <w:tab/>
      </w:r>
      <w:r>
        <w:fldChar w:fldCharType="begin"/>
      </w:r>
      <w:r>
        <w:instrText xml:space="preserve"> PAGEREF _Toc17210769 \h </w:instrText>
      </w:r>
      <w:r>
        <w:fldChar w:fldCharType="separate"/>
      </w:r>
      <w:r>
        <w:t>6</w:t>
      </w:r>
      <w:r>
        <w:fldChar w:fldCharType="end"/>
      </w:r>
    </w:p>
    <w:p w14:paraId="5C5F18A7" w14:textId="77777777" w:rsidR="00E91467" w:rsidRDefault="00E91467">
      <w:pPr>
        <w:pStyle w:val="TOC2"/>
        <w:rPr>
          <w:rFonts w:asciiTheme="minorHAnsi" w:eastAsiaTheme="minorEastAsia" w:hAnsiTheme="minorHAnsi"/>
          <w:color w:val="auto"/>
          <w:sz w:val="22"/>
          <w:lang w:eastAsia="en-AU"/>
        </w:rPr>
      </w:pPr>
      <w:r>
        <w:t>India’s electricity sector</w:t>
      </w:r>
      <w:r>
        <w:tab/>
      </w:r>
      <w:r>
        <w:fldChar w:fldCharType="begin"/>
      </w:r>
      <w:r>
        <w:instrText xml:space="preserve"> PAGEREF _Toc17210770 \h </w:instrText>
      </w:r>
      <w:r>
        <w:fldChar w:fldCharType="separate"/>
      </w:r>
      <w:r>
        <w:t>7</w:t>
      </w:r>
      <w:r>
        <w:fldChar w:fldCharType="end"/>
      </w:r>
    </w:p>
    <w:p w14:paraId="47419B81" w14:textId="77777777" w:rsidR="00E91467" w:rsidRDefault="00E91467">
      <w:pPr>
        <w:pStyle w:val="TOC2"/>
        <w:rPr>
          <w:rFonts w:asciiTheme="minorHAnsi" w:eastAsiaTheme="minorEastAsia" w:hAnsiTheme="minorHAnsi"/>
          <w:color w:val="auto"/>
          <w:sz w:val="22"/>
          <w:lang w:eastAsia="en-AU"/>
        </w:rPr>
      </w:pPr>
      <w:r>
        <w:t>India’s electricity challenges</w:t>
      </w:r>
      <w:r>
        <w:tab/>
      </w:r>
      <w:r>
        <w:fldChar w:fldCharType="begin"/>
      </w:r>
      <w:r>
        <w:instrText xml:space="preserve"> PAGEREF _Toc17210771 \h </w:instrText>
      </w:r>
      <w:r>
        <w:fldChar w:fldCharType="separate"/>
      </w:r>
      <w:r>
        <w:t>9</w:t>
      </w:r>
      <w:r>
        <w:fldChar w:fldCharType="end"/>
      </w:r>
    </w:p>
    <w:p w14:paraId="3AF77FBA" w14:textId="77777777" w:rsidR="00E91467" w:rsidRDefault="00E91467">
      <w:pPr>
        <w:pStyle w:val="TOC1"/>
        <w:rPr>
          <w:rFonts w:asciiTheme="minorHAnsi" w:eastAsiaTheme="minorEastAsia" w:hAnsiTheme="minorHAnsi"/>
          <w:b w:val="0"/>
          <w:color w:val="auto"/>
          <w:sz w:val="22"/>
          <w:szCs w:val="22"/>
          <w:lang w:eastAsia="en-AU"/>
        </w:rPr>
      </w:pPr>
      <w:r>
        <w:t>1.3 Government policies and reforms</w:t>
      </w:r>
      <w:r>
        <w:tab/>
      </w:r>
      <w:r>
        <w:fldChar w:fldCharType="begin"/>
      </w:r>
      <w:r>
        <w:instrText xml:space="preserve"> PAGEREF _Toc17210772 \h </w:instrText>
      </w:r>
      <w:r>
        <w:fldChar w:fldCharType="separate"/>
      </w:r>
      <w:r>
        <w:t>11</w:t>
      </w:r>
      <w:r>
        <w:fldChar w:fldCharType="end"/>
      </w:r>
    </w:p>
    <w:p w14:paraId="43EBD092" w14:textId="77777777" w:rsidR="00E91467" w:rsidRDefault="00E91467">
      <w:pPr>
        <w:pStyle w:val="TOC2"/>
        <w:rPr>
          <w:rFonts w:asciiTheme="minorHAnsi" w:eastAsiaTheme="minorEastAsia" w:hAnsiTheme="minorHAnsi"/>
          <w:color w:val="auto"/>
          <w:sz w:val="22"/>
          <w:lang w:eastAsia="en-AU"/>
        </w:rPr>
      </w:pPr>
      <w:r>
        <w:t>Economic policy</w:t>
      </w:r>
      <w:r>
        <w:tab/>
      </w:r>
      <w:r>
        <w:fldChar w:fldCharType="begin"/>
      </w:r>
      <w:r>
        <w:instrText xml:space="preserve"> PAGEREF _Toc17210773 \h </w:instrText>
      </w:r>
      <w:r>
        <w:fldChar w:fldCharType="separate"/>
      </w:r>
      <w:r>
        <w:t>11</w:t>
      </w:r>
      <w:r>
        <w:fldChar w:fldCharType="end"/>
      </w:r>
    </w:p>
    <w:p w14:paraId="48AD4E40" w14:textId="77777777" w:rsidR="00E91467" w:rsidRDefault="00E91467">
      <w:pPr>
        <w:pStyle w:val="TOC2"/>
        <w:rPr>
          <w:rFonts w:asciiTheme="minorHAnsi" w:eastAsiaTheme="minorEastAsia" w:hAnsiTheme="minorHAnsi"/>
          <w:color w:val="auto"/>
          <w:sz w:val="22"/>
          <w:lang w:eastAsia="en-AU"/>
        </w:rPr>
      </w:pPr>
      <w:r>
        <w:t>National energy policy</w:t>
      </w:r>
      <w:r>
        <w:tab/>
      </w:r>
      <w:r>
        <w:fldChar w:fldCharType="begin"/>
      </w:r>
      <w:r>
        <w:instrText xml:space="preserve"> PAGEREF _Toc17210774 \h </w:instrText>
      </w:r>
      <w:r>
        <w:fldChar w:fldCharType="separate"/>
      </w:r>
      <w:r>
        <w:t>11</w:t>
      </w:r>
      <w:r>
        <w:fldChar w:fldCharType="end"/>
      </w:r>
    </w:p>
    <w:p w14:paraId="3B9FC597" w14:textId="77777777" w:rsidR="00E91467" w:rsidRDefault="00E91467">
      <w:pPr>
        <w:pStyle w:val="TOC2"/>
        <w:rPr>
          <w:rFonts w:asciiTheme="minorHAnsi" w:eastAsiaTheme="minorEastAsia" w:hAnsiTheme="minorHAnsi"/>
          <w:color w:val="auto"/>
          <w:sz w:val="22"/>
          <w:lang w:eastAsia="en-AU"/>
        </w:rPr>
      </w:pPr>
      <w:r>
        <w:t>National electricity plan and electricity market reform</w:t>
      </w:r>
      <w:r>
        <w:tab/>
      </w:r>
      <w:r>
        <w:fldChar w:fldCharType="begin"/>
      </w:r>
      <w:r>
        <w:instrText xml:space="preserve"> PAGEREF _Toc17210775 \h </w:instrText>
      </w:r>
      <w:r>
        <w:fldChar w:fldCharType="separate"/>
      </w:r>
      <w:r>
        <w:t>12</w:t>
      </w:r>
      <w:r>
        <w:fldChar w:fldCharType="end"/>
      </w:r>
    </w:p>
    <w:p w14:paraId="7B6C119C" w14:textId="77777777" w:rsidR="00E91467" w:rsidRDefault="00E91467">
      <w:pPr>
        <w:pStyle w:val="TOC2"/>
        <w:rPr>
          <w:rFonts w:asciiTheme="minorHAnsi" w:eastAsiaTheme="minorEastAsia" w:hAnsiTheme="minorHAnsi"/>
          <w:color w:val="auto"/>
          <w:sz w:val="22"/>
          <w:lang w:eastAsia="en-AU"/>
        </w:rPr>
      </w:pPr>
      <w:r>
        <w:t>Climate change, renewables and air pollution</w:t>
      </w:r>
      <w:r>
        <w:tab/>
      </w:r>
      <w:r>
        <w:fldChar w:fldCharType="begin"/>
      </w:r>
      <w:r>
        <w:instrText xml:space="preserve"> PAGEREF _Toc17210776 \h </w:instrText>
      </w:r>
      <w:r>
        <w:fldChar w:fldCharType="separate"/>
      </w:r>
      <w:r>
        <w:t>12</w:t>
      </w:r>
      <w:r>
        <w:fldChar w:fldCharType="end"/>
      </w:r>
    </w:p>
    <w:p w14:paraId="7BEC931E" w14:textId="77777777" w:rsidR="00E91467" w:rsidRDefault="00E91467">
      <w:pPr>
        <w:pStyle w:val="TOC1"/>
        <w:rPr>
          <w:rFonts w:asciiTheme="minorHAnsi" w:eastAsiaTheme="minorEastAsia" w:hAnsiTheme="minorHAnsi"/>
          <w:b w:val="0"/>
          <w:color w:val="auto"/>
          <w:sz w:val="22"/>
          <w:szCs w:val="22"/>
          <w:lang w:eastAsia="en-AU"/>
        </w:rPr>
      </w:pPr>
      <w:r>
        <w:t>1.4 India’s coal sector</w:t>
      </w:r>
      <w:r>
        <w:tab/>
      </w:r>
      <w:r>
        <w:fldChar w:fldCharType="begin"/>
      </w:r>
      <w:r>
        <w:instrText xml:space="preserve"> PAGEREF _Toc17210777 \h </w:instrText>
      </w:r>
      <w:r>
        <w:fldChar w:fldCharType="separate"/>
      </w:r>
      <w:r>
        <w:t>14</w:t>
      </w:r>
      <w:r>
        <w:fldChar w:fldCharType="end"/>
      </w:r>
    </w:p>
    <w:p w14:paraId="3DD4D312" w14:textId="77777777" w:rsidR="00E91467" w:rsidRDefault="00E91467">
      <w:pPr>
        <w:pStyle w:val="TOC2"/>
        <w:rPr>
          <w:rFonts w:asciiTheme="minorHAnsi" w:eastAsiaTheme="minorEastAsia" w:hAnsiTheme="minorHAnsi"/>
          <w:color w:val="auto"/>
          <w:sz w:val="22"/>
          <w:lang w:eastAsia="en-AU"/>
        </w:rPr>
      </w:pPr>
      <w:r>
        <w:t>India’s coal supply</w:t>
      </w:r>
      <w:r>
        <w:tab/>
      </w:r>
      <w:r>
        <w:fldChar w:fldCharType="begin"/>
      </w:r>
      <w:r>
        <w:instrText xml:space="preserve"> PAGEREF _Toc17210778 \h </w:instrText>
      </w:r>
      <w:r>
        <w:fldChar w:fldCharType="separate"/>
      </w:r>
      <w:r>
        <w:t>14</w:t>
      </w:r>
      <w:r>
        <w:fldChar w:fldCharType="end"/>
      </w:r>
    </w:p>
    <w:p w14:paraId="28B2260B" w14:textId="77777777" w:rsidR="00E91467" w:rsidRDefault="00E91467">
      <w:pPr>
        <w:pStyle w:val="TOC2"/>
        <w:rPr>
          <w:rFonts w:asciiTheme="minorHAnsi" w:eastAsiaTheme="minorEastAsia" w:hAnsiTheme="minorHAnsi"/>
          <w:color w:val="auto"/>
          <w:sz w:val="22"/>
          <w:lang w:eastAsia="en-AU"/>
        </w:rPr>
      </w:pPr>
      <w:r>
        <w:t>Coal imports</w:t>
      </w:r>
      <w:r>
        <w:tab/>
      </w:r>
      <w:r>
        <w:fldChar w:fldCharType="begin"/>
      </w:r>
      <w:r>
        <w:instrText xml:space="preserve"> PAGEREF _Toc17210779 \h </w:instrText>
      </w:r>
      <w:r>
        <w:fldChar w:fldCharType="separate"/>
      </w:r>
      <w:r>
        <w:t>18</w:t>
      </w:r>
      <w:r>
        <w:fldChar w:fldCharType="end"/>
      </w:r>
    </w:p>
    <w:p w14:paraId="556A38EE" w14:textId="77777777" w:rsidR="00E91467" w:rsidRDefault="00E91467">
      <w:pPr>
        <w:pStyle w:val="TOC2"/>
        <w:rPr>
          <w:rFonts w:asciiTheme="minorHAnsi" w:eastAsiaTheme="minorEastAsia" w:hAnsiTheme="minorHAnsi"/>
          <w:color w:val="auto"/>
          <w:sz w:val="22"/>
          <w:lang w:eastAsia="en-AU"/>
        </w:rPr>
      </w:pPr>
      <w:r>
        <w:t>Coal consumption</w:t>
      </w:r>
      <w:r>
        <w:tab/>
      </w:r>
      <w:r>
        <w:fldChar w:fldCharType="begin"/>
      </w:r>
      <w:r>
        <w:instrText xml:space="preserve"> PAGEREF _Toc17210780 \h </w:instrText>
      </w:r>
      <w:r>
        <w:fldChar w:fldCharType="separate"/>
      </w:r>
      <w:r>
        <w:t>20</w:t>
      </w:r>
      <w:r>
        <w:fldChar w:fldCharType="end"/>
      </w:r>
    </w:p>
    <w:p w14:paraId="6716E07E" w14:textId="77777777" w:rsidR="00E91467" w:rsidRDefault="00E91467">
      <w:pPr>
        <w:pStyle w:val="TOC1"/>
        <w:rPr>
          <w:rFonts w:asciiTheme="minorHAnsi" w:eastAsiaTheme="minorEastAsia" w:hAnsiTheme="minorHAnsi"/>
          <w:b w:val="0"/>
          <w:color w:val="auto"/>
          <w:sz w:val="22"/>
          <w:szCs w:val="22"/>
          <w:lang w:eastAsia="en-AU"/>
        </w:rPr>
      </w:pPr>
      <w:r>
        <w:t>Chapter 2: Outlook for coal in India</w:t>
      </w:r>
      <w:r>
        <w:tab/>
      </w:r>
      <w:r>
        <w:fldChar w:fldCharType="begin"/>
      </w:r>
      <w:r>
        <w:instrText xml:space="preserve"> PAGEREF _Toc17210781 \h </w:instrText>
      </w:r>
      <w:r>
        <w:fldChar w:fldCharType="separate"/>
      </w:r>
      <w:r>
        <w:t>23</w:t>
      </w:r>
      <w:r>
        <w:fldChar w:fldCharType="end"/>
      </w:r>
    </w:p>
    <w:p w14:paraId="73AF4066" w14:textId="77777777" w:rsidR="00E91467" w:rsidRDefault="00E91467">
      <w:pPr>
        <w:pStyle w:val="TOC1"/>
        <w:rPr>
          <w:rFonts w:asciiTheme="minorHAnsi" w:eastAsiaTheme="minorEastAsia" w:hAnsiTheme="minorHAnsi"/>
          <w:b w:val="0"/>
          <w:color w:val="auto"/>
          <w:sz w:val="22"/>
          <w:szCs w:val="22"/>
          <w:lang w:eastAsia="en-AU"/>
        </w:rPr>
      </w:pPr>
      <w:r>
        <w:t>2.1 India’s energy mix</w:t>
      </w:r>
      <w:r>
        <w:tab/>
      </w:r>
      <w:r>
        <w:fldChar w:fldCharType="begin"/>
      </w:r>
      <w:r>
        <w:instrText xml:space="preserve"> PAGEREF _Toc17210782 \h </w:instrText>
      </w:r>
      <w:r>
        <w:fldChar w:fldCharType="separate"/>
      </w:r>
      <w:r>
        <w:t>23</w:t>
      </w:r>
      <w:r>
        <w:fldChar w:fldCharType="end"/>
      </w:r>
    </w:p>
    <w:p w14:paraId="25468836" w14:textId="77777777" w:rsidR="00E91467" w:rsidRDefault="00E91467">
      <w:pPr>
        <w:pStyle w:val="TOC1"/>
        <w:rPr>
          <w:rFonts w:asciiTheme="minorHAnsi" w:eastAsiaTheme="minorEastAsia" w:hAnsiTheme="minorHAnsi"/>
          <w:b w:val="0"/>
          <w:color w:val="auto"/>
          <w:sz w:val="22"/>
          <w:szCs w:val="22"/>
          <w:lang w:eastAsia="en-AU"/>
        </w:rPr>
      </w:pPr>
      <w:r>
        <w:t>2.2 India’s coal consumption</w:t>
      </w:r>
      <w:r>
        <w:tab/>
      </w:r>
      <w:r>
        <w:fldChar w:fldCharType="begin"/>
      </w:r>
      <w:r>
        <w:instrText xml:space="preserve"> PAGEREF _Toc17210783 \h </w:instrText>
      </w:r>
      <w:r>
        <w:fldChar w:fldCharType="separate"/>
      </w:r>
      <w:r>
        <w:t>26</w:t>
      </w:r>
      <w:r>
        <w:fldChar w:fldCharType="end"/>
      </w:r>
    </w:p>
    <w:p w14:paraId="1DE43C89" w14:textId="77777777" w:rsidR="00E91467" w:rsidRDefault="00E91467">
      <w:pPr>
        <w:pStyle w:val="TOC2"/>
        <w:rPr>
          <w:rFonts w:asciiTheme="minorHAnsi" w:eastAsiaTheme="minorEastAsia" w:hAnsiTheme="minorHAnsi"/>
          <w:color w:val="auto"/>
          <w:sz w:val="22"/>
          <w:lang w:eastAsia="en-AU"/>
        </w:rPr>
      </w:pPr>
      <w:r>
        <w:t>Government policies</w:t>
      </w:r>
      <w:r>
        <w:tab/>
      </w:r>
      <w:r>
        <w:fldChar w:fldCharType="begin"/>
      </w:r>
      <w:r>
        <w:instrText xml:space="preserve"> PAGEREF _Toc17210784 \h </w:instrText>
      </w:r>
      <w:r>
        <w:fldChar w:fldCharType="separate"/>
      </w:r>
      <w:r>
        <w:t>26</w:t>
      </w:r>
      <w:r>
        <w:fldChar w:fldCharType="end"/>
      </w:r>
    </w:p>
    <w:p w14:paraId="57F32118" w14:textId="77777777" w:rsidR="00E91467" w:rsidRDefault="00E91467">
      <w:pPr>
        <w:pStyle w:val="TOC2"/>
        <w:rPr>
          <w:rFonts w:asciiTheme="minorHAnsi" w:eastAsiaTheme="minorEastAsia" w:hAnsiTheme="minorHAnsi"/>
          <w:color w:val="auto"/>
          <w:sz w:val="22"/>
          <w:lang w:eastAsia="en-AU"/>
        </w:rPr>
      </w:pPr>
      <w:r>
        <w:t>IEA World Energy Outlook</w:t>
      </w:r>
      <w:r>
        <w:tab/>
      </w:r>
      <w:r>
        <w:fldChar w:fldCharType="begin"/>
      </w:r>
      <w:r>
        <w:instrText xml:space="preserve"> PAGEREF _Toc17210785 \h </w:instrText>
      </w:r>
      <w:r>
        <w:fldChar w:fldCharType="separate"/>
      </w:r>
      <w:r>
        <w:t>26</w:t>
      </w:r>
      <w:r>
        <w:fldChar w:fldCharType="end"/>
      </w:r>
    </w:p>
    <w:p w14:paraId="254980F1" w14:textId="77777777" w:rsidR="00E91467" w:rsidRDefault="00E91467">
      <w:pPr>
        <w:pStyle w:val="TOC1"/>
        <w:rPr>
          <w:rFonts w:asciiTheme="minorHAnsi" w:eastAsiaTheme="minorEastAsia" w:hAnsiTheme="minorHAnsi"/>
          <w:b w:val="0"/>
          <w:color w:val="auto"/>
          <w:sz w:val="22"/>
          <w:szCs w:val="22"/>
          <w:lang w:eastAsia="en-AU"/>
        </w:rPr>
      </w:pPr>
      <w:r>
        <w:t>2.3 Coal-fired power capacity and generation</w:t>
      </w:r>
      <w:r>
        <w:tab/>
      </w:r>
      <w:r>
        <w:fldChar w:fldCharType="begin"/>
      </w:r>
      <w:r>
        <w:instrText xml:space="preserve"> PAGEREF _Toc17210786 \h </w:instrText>
      </w:r>
      <w:r>
        <w:fldChar w:fldCharType="separate"/>
      </w:r>
      <w:r>
        <w:t>27</w:t>
      </w:r>
      <w:r>
        <w:fldChar w:fldCharType="end"/>
      </w:r>
    </w:p>
    <w:p w14:paraId="0FE4749F" w14:textId="77777777" w:rsidR="00E91467" w:rsidRDefault="00E91467">
      <w:pPr>
        <w:pStyle w:val="TOC2"/>
        <w:rPr>
          <w:rFonts w:asciiTheme="minorHAnsi" w:eastAsiaTheme="minorEastAsia" w:hAnsiTheme="minorHAnsi"/>
          <w:color w:val="auto"/>
          <w:sz w:val="22"/>
          <w:lang w:eastAsia="en-AU"/>
        </w:rPr>
      </w:pPr>
      <w:r>
        <w:t>Coal-fired power capacity</w:t>
      </w:r>
      <w:r>
        <w:tab/>
      </w:r>
      <w:r>
        <w:fldChar w:fldCharType="begin"/>
      </w:r>
      <w:r>
        <w:instrText xml:space="preserve"> PAGEREF _Toc17210787 \h </w:instrText>
      </w:r>
      <w:r>
        <w:fldChar w:fldCharType="separate"/>
      </w:r>
      <w:r>
        <w:t>27</w:t>
      </w:r>
      <w:r>
        <w:fldChar w:fldCharType="end"/>
      </w:r>
    </w:p>
    <w:p w14:paraId="4A5AADC9" w14:textId="77777777" w:rsidR="00E91467" w:rsidRDefault="00E91467">
      <w:pPr>
        <w:pStyle w:val="TOC2"/>
        <w:rPr>
          <w:rFonts w:asciiTheme="minorHAnsi" w:eastAsiaTheme="minorEastAsia" w:hAnsiTheme="minorHAnsi"/>
          <w:color w:val="auto"/>
          <w:sz w:val="22"/>
          <w:lang w:eastAsia="en-AU"/>
        </w:rPr>
      </w:pPr>
      <w:r>
        <w:t>Coal-fired power generation</w:t>
      </w:r>
      <w:r>
        <w:tab/>
      </w:r>
      <w:r>
        <w:fldChar w:fldCharType="begin"/>
      </w:r>
      <w:r>
        <w:instrText xml:space="preserve"> PAGEREF _Toc17210788 \h </w:instrText>
      </w:r>
      <w:r>
        <w:fldChar w:fldCharType="separate"/>
      </w:r>
      <w:r>
        <w:t>29</w:t>
      </w:r>
      <w:r>
        <w:fldChar w:fldCharType="end"/>
      </w:r>
    </w:p>
    <w:p w14:paraId="13C9D070" w14:textId="77777777" w:rsidR="00E91467" w:rsidRDefault="00E91467">
      <w:pPr>
        <w:pStyle w:val="TOC2"/>
        <w:rPr>
          <w:rFonts w:asciiTheme="minorHAnsi" w:eastAsiaTheme="minorEastAsia" w:hAnsiTheme="minorHAnsi"/>
          <w:color w:val="auto"/>
          <w:sz w:val="22"/>
          <w:lang w:eastAsia="en-AU"/>
        </w:rPr>
      </w:pPr>
      <w:r>
        <w:t>Key factors influencing coal-fired power capacity and generation</w:t>
      </w:r>
      <w:r>
        <w:tab/>
      </w:r>
      <w:r>
        <w:fldChar w:fldCharType="begin"/>
      </w:r>
      <w:r>
        <w:instrText xml:space="preserve"> PAGEREF _Toc17210789 \h </w:instrText>
      </w:r>
      <w:r>
        <w:fldChar w:fldCharType="separate"/>
      </w:r>
      <w:r>
        <w:t>31</w:t>
      </w:r>
      <w:r>
        <w:fldChar w:fldCharType="end"/>
      </w:r>
    </w:p>
    <w:p w14:paraId="404E190D" w14:textId="77777777" w:rsidR="00E91467" w:rsidRDefault="00E91467">
      <w:pPr>
        <w:pStyle w:val="TOC1"/>
        <w:rPr>
          <w:rFonts w:asciiTheme="minorHAnsi" w:eastAsiaTheme="minorEastAsia" w:hAnsiTheme="minorHAnsi"/>
          <w:b w:val="0"/>
          <w:color w:val="auto"/>
          <w:sz w:val="22"/>
          <w:szCs w:val="22"/>
          <w:lang w:eastAsia="en-AU"/>
        </w:rPr>
      </w:pPr>
      <w:r>
        <w:t>2.4 India’s coal production</w:t>
      </w:r>
      <w:r>
        <w:tab/>
      </w:r>
      <w:r>
        <w:fldChar w:fldCharType="begin"/>
      </w:r>
      <w:r>
        <w:instrText xml:space="preserve"> PAGEREF _Toc17210790 \h </w:instrText>
      </w:r>
      <w:r>
        <w:fldChar w:fldCharType="separate"/>
      </w:r>
      <w:r>
        <w:t>34</w:t>
      </w:r>
      <w:r>
        <w:fldChar w:fldCharType="end"/>
      </w:r>
    </w:p>
    <w:p w14:paraId="0F23E2B0" w14:textId="77777777" w:rsidR="00E91467" w:rsidRDefault="00E91467">
      <w:pPr>
        <w:pStyle w:val="TOC2"/>
        <w:rPr>
          <w:rFonts w:asciiTheme="minorHAnsi" w:eastAsiaTheme="minorEastAsia" w:hAnsiTheme="minorHAnsi"/>
          <w:color w:val="auto"/>
          <w:sz w:val="22"/>
          <w:lang w:eastAsia="en-AU"/>
        </w:rPr>
      </w:pPr>
      <w:r>
        <w:lastRenderedPageBreak/>
        <w:t>Outlook for India’s coal production</w:t>
      </w:r>
      <w:r>
        <w:tab/>
      </w:r>
      <w:r>
        <w:fldChar w:fldCharType="begin"/>
      </w:r>
      <w:r>
        <w:instrText xml:space="preserve"> PAGEREF _Toc17210791 \h </w:instrText>
      </w:r>
      <w:r>
        <w:fldChar w:fldCharType="separate"/>
      </w:r>
      <w:r>
        <w:t>34</w:t>
      </w:r>
      <w:r>
        <w:fldChar w:fldCharType="end"/>
      </w:r>
    </w:p>
    <w:p w14:paraId="6EBC410B" w14:textId="77777777" w:rsidR="00E91467" w:rsidRDefault="00E91467">
      <w:pPr>
        <w:pStyle w:val="TOC2"/>
        <w:rPr>
          <w:rFonts w:asciiTheme="minorHAnsi" w:eastAsiaTheme="minorEastAsia" w:hAnsiTheme="minorHAnsi"/>
          <w:color w:val="auto"/>
          <w:sz w:val="22"/>
          <w:lang w:eastAsia="en-AU"/>
        </w:rPr>
      </w:pPr>
      <w:r>
        <w:t>India’s coal production: challenges and recent reforms</w:t>
      </w:r>
      <w:r>
        <w:tab/>
      </w:r>
      <w:r>
        <w:fldChar w:fldCharType="begin"/>
      </w:r>
      <w:r>
        <w:instrText xml:space="preserve"> PAGEREF _Toc17210792 \h </w:instrText>
      </w:r>
      <w:r>
        <w:fldChar w:fldCharType="separate"/>
      </w:r>
      <w:r>
        <w:t>35</w:t>
      </w:r>
      <w:r>
        <w:fldChar w:fldCharType="end"/>
      </w:r>
    </w:p>
    <w:p w14:paraId="47182B4C" w14:textId="77777777" w:rsidR="00E91467" w:rsidRDefault="00E91467">
      <w:pPr>
        <w:pStyle w:val="TOC1"/>
        <w:rPr>
          <w:rFonts w:asciiTheme="minorHAnsi" w:eastAsiaTheme="minorEastAsia" w:hAnsiTheme="minorHAnsi"/>
          <w:b w:val="0"/>
          <w:color w:val="auto"/>
          <w:sz w:val="22"/>
          <w:szCs w:val="22"/>
          <w:lang w:eastAsia="en-AU"/>
        </w:rPr>
      </w:pPr>
      <w:r>
        <w:t>2.5 India’s coal imports</w:t>
      </w:r>
      <w:r>
        <w:tab/>
      </w:r>
      <w:r>
        <w:fldChar w:fldCharType="begin"/>
      </w:r>
      <w:r>
        <w:instrText xml:space="preserve"> PAGEREF _Toc17210793 \h </w:instrText>
      </w:r>
      <w:r>
        <w:fldChar w:fldCharType="separate"/>
      </w:r>
      <w:r>
        <w:t>39</w:t>
      </w:r>
      <w:r>
        <w:fldChar w:fldCharType="end"/>
      </w:r>
    </w:p>
    <w:p w14:paraId="0541D675" w14:textId="77777777" w:rsidR="00E91467" w:rsidRDefault="00E91467">
      <w:pPr>
        <w:pStyle w:val="TOC2"/>
        <w:rPr>
          <w:rFonts w:asciiTheme="minorHAnsi" w:eastAsiaTheme="minorEastAsia" w:hAnsiTheme="minorHAnsi"/>
          <w:color w:val="auto"/>
          <w:sz w:val="22"/>
          <w:lang w:eastAsia="en-AU"/>
        </w:rPr>
      </w:pPr>
      <w:r>
        <w:t>IEA World Energy Outlook</w:t>
      </w:r>
      <w:r>
        <w:tab/>
      </w:r>
      <w:r>
        <w:fldChar w:fldCharType="begin"/>
      </w:r>
      <w:r>
        <w:instrText xml:space="preserve"> PAGEREF _Toc17210794 \h </w:instrText>
      </w:r>
      <w:r>
        <w:fldChar w:fldCharType="separate"/>
      </w:r>
      <w:r>
        <w:t>39</w:t>
      </w:r>
      <w:r>
        <w:fldChar w:fldCharType="end"/>
      </w:r>
    </w:p>
    <w:p w14:paraId="49CD03CC" w14:textId="77777777" w:rsidR="00E91467" w:rsidRDefault="00E91467">
      <w:pPr>
        <w:pStyle w:val="TOC2"/>
        <w:rPr>
          <w:rFonts w:asciiTheme="minorHAnsi" w:eastAsiaTheme="minorEastAsia" w:hAnsiTheme="minorHAnsi"/>
          <w:color w:val="auto"/>
          <w:sz w:val="22"/>
          <w:lang w:eastAsia="en-AU"/>
        </w:rPr>
      </w:pPr>
      <w:r>
        <w:t>IEA Coal Market Report</w:t>
      </w:r>
      <w:r>
        <w:tab/>
      </w:r>
      <w:r>
        <w:fldChar w:fldCharType="begin"/>
      </w:r>
      <w:r>
        <w:instrText xml:space="preserve"> PAGEREF _Toc17210795 \h </w:instrText>
      </w:r>
      <w:r>
        <w:fldChar w:fldCharType="separate"/>
      </w:r>
      <w:r>
        <w:t>39</w:t>
      </w:r>
      <w:r>
        <w:fldChar w:fldCharType="end"/>
      </w:r>
    </w:p>
    <w:p w14:paraId="591772EA" w14:textId="77777777" w:rsidR="00E91467" w:rsidRDefault="00E91467">
      <w:pPr>
        <w:pStyle w:val="TOC2"/>
        <w:rPr>
          <w:rFonts w:asciiTheme="minorHAnsi" w:eastAsiaTheme="minorEastAsia" w:hAnsiTheme="minorHAnsi"/>
          <w:color w:val="auto"/>
          <w:sz w:val="22"/>
          <w:lang w:eastAsia="en-AU"/>
        </w:rPr>
      </w:pPr>
      <w:r>
        <w:t>Key factors influencing India’s thermal coal imports</w:t>
      </w:r>
      <w:r>
        <w:tab/>
      </w:r>
      <w:r>
        <w:fldChar w:fldCharType="begin"/>
      </w:r>
      <w:r>
        <w:instrText xml:space="preserve"> PAGEREF _Toc17210796 \h </w:instrText>
      </w:r>
      <w:r>
        <w:fldChar w:fldCharType="separate"/>
      </w:r>
      <w:r>
        <w:t>40</w:t>
      </w:r>
      <w:r>
        <w:fldChar w:fldCharType="end"/>
      </w:r>
    </w:p>
    <w:p w14:paraId="73A0519F" w14:textId="77777777" w:rsidR="00E91467" w:rsidRDefault="00E91467">
      <w:pPr>
        <w:pStyle w:val="TOC1"/>
        <w:rPr>
          <w:rFonts w:asciiTheme="minorHAnsi" w:eastAsiaTheme="minorEastAsia" w:hAnsiTheme="minorHAnsi"/>
          <w:b w:val="0"/>
          <w:color w:val="auto"/>
          <w:sz w:val="22"/>
          <w:szCs w:val="22"/>
          <w:lang w:eastAsia="en-AU"/>
        </w:rPr>
      </w:pPr>
      <w:r>
        <w:t>Chapter 3: Implications for Australia</w:t>
      </w:r>
      <w:r>
        <w:tab/>
      </w:r>
      <w:r>
        <w:fldChar w:fldCharType="begin"/>
      </w:r>
      <w:r>
        <w:instrText xml:space="preserve"> PAGEREF _Toc17210797 \h </w:instrText>
      </w:r>
      <w:r>
        <w:fldChar w:fldCharType="separate"/>
      </w:r>
      <w:r>
        <w:t>43</w:t>
      </w:r>
      <w:r>
        <w:fldChar w:fldCharType="end"/>
      </w:r>
    </w:p>
    <w:p w14:paraId="68684010" w14:textId="77777777" w:rsidR="00E91467" w:rsidRDefault="00E91467">
      <w:pPr>
        <w:pStyle w:val="TOC1"/>
        <w:rPr>
          <w:rFonts w:asciiTheme="minorHAnsi" w:eastAsiaTheme="minorEastAsia" w:hAnsiTheme="minorHAnsi"/>
          <w:b w:val="0"/>
          <w:color w:val="auto"/>
          <w:sz w:val="22"/>
          <w:szCs w:val="22"/>
          <w:lang w:eastAsia="en-AU"/>
        </w:rPr>
      </w:pPr>
      <w:r>
        <w:t>3.1 Australia’s coal exports to India</w:t>
      </w:r>
      <w:r>
        <w:tab/>
      </w:r>
      <w:r>
        <w:fldChar w:fldCharType="begin"/>
      </w:r>
      <w:r>
        <w:instrText xml:space="preserve"> PAGEREF _Toc17210798 \h </w:instrText>
      </w:r>
      <w:r>
        <w:fldChar w:fldCharType="separate"/>
      </w:r>
      <w:r>
        <w:t>43</w:t>
      </w:r>
      <w:r>
        <w:fldChar w:fldCharType="end"/>
      </w:r>
    </w:p>
    <w:p w14:paraId="026E9709" w14:textId="77777777" w:rsidR="00E91467" w:rsidRDefault="00E91467">
      <w:pPr>
        <w:pStyle w:val="TOC2"/>
        <w:rPr>
          <w:rFonts w:asciiTheme="minorHAnsi" w:eastAsiaTheme="minorEastAsia" w:hAnsiTheme="minorHAnsi"/>
          <w:color w:val="auto"/>
          <w:sz w:val="22"/>
          <w:lang w:eastAsia="en-AU"/>
        </w:rPr>
      </w:pPr>
      <w:r>
        <w:t>Metallurgical coal</w:t>
      </w:r>
      <w:r>
        <w:tab/>
      </w:r>
      <w:r>
        <w:fldChar w:fldCharType="begin"/>
      </w:r>
      <w:r>
        <w:instrText xml:space="preserve"> PAGEREF _Toc17210799 \h </w:instrText>
      </w:r>
      <w:r>
        <w:fldChar w:fldCharType="separate"/>
      </w:r>
      <w:r>
        <w:t>43</w:t>
      </w:r>
      <w:r>
        <w:fldChar w:fldCharType="end"/>
      </w:r>
    </w:p>
    <w:p w14:paraId="67A4D2FD" w14:textId="77777777" w:rsidR="00E91467" w:rsidRDefault="00E91467">
      <w:pPr>
        <w:pStyle w:val="TOC2"/>
        <w:rPr>
          <w:rFonts w:asciiTheme="minorHAnsi" w:eastAsiaTheme="minorEastAsia" w:hAnsiTheme="minorHAnsi"/>
          <w:color w:val="auto"/>
          <w:sz w:val="22"/>
          <w:lang w:eastAsia="en-AU"/>
        </w:rPr>
      </w:pPr>
      <w:r>
        <w:t>Thermal coal</w:t>
      </w:r>
      <w:r>
        <w:tab/>
      </w:r>
      <w:r>
        <w:fldChar w:fldCharType="begin"/>
      </w:r>
      <w:r>
        <w:instrText xml:space="preserve"> PAGEREF _Toc17210800 \h </w:instrText>
      </w:r>
      <w:r>
        <w:fldChar w:fldCharType="separate"/>
      </w:r>
      <w:r>
        <w:t>45</w:t>
      </w:r>
      <w:r>
        <w:fldChar w:fldCharType="end"/>
      </w:r>
    </w:p>
    <w:p w14:paraId="393F1FE3" w14:textId="77777777" w:rsidR="00E91467" w:rsidRDefault="00E91467">
      <w:pPr>
        <w:pStyle w:val="TOC1"/>
        <w:rPr>
          <w:rFonts w:asciiTheme="minorHAnsi" w:eastAsiaTheme="minorEastAsia" w:hAnsiTheme="minorHAnsi"/>
          <w:b w:val="0"/>
          <w:color w:val="auto"/>
          <w:sz w:val="22"/>
          <w:szCs w:val="22"/>
          <w:lang w:eastAsia="en-AU"/>
        </w:rPr>
      </w:pPr>
      <w:r>
        <w:t>3.2 Australian thermal coal exports to India: opportunities and barriers</w:t>
      </w:r>
      <w:r>
        <w:tab/>
      </w:r>
      <w:r>
        <w:fldChar w:fldCharType="begin"/>
      </w:r>
      <w:r>
        <w:instrText xml:space="preserve"> PAGEREF _Toc17210801 \h </w:instrText>
      </w:r>
      <w:r>
        <w:fldChar w:fldCharType="separate"/>
      </w:r>
      <w:r>
        <w:t>46</w:t>
      </w:r>
      <w:r>
        <w:fldChar w:fldCharType="end"/>
      </w:r>
    </w:p>
    <w:p w14:paraId="45B70821" w14:textId="77777777" w:rsidR="00E91467" w:rsidRDefault="00E91467">
      <w:pPr>
        <w:pStyle w:val="TOC2"/>
        <w:rPr>
          <w:rFonts w:asciiTheme="minorHAnsi" w:eastAsiaTheme="minorEastAsia" w:hAnsiTheme="minorHAnsi"/>
          <w:color w:val="auto"/>
          <w:sz w:val="22"/>
          <w:lang w:eastAsia="en-AU"/>
        </w:rPr>
      </w:pPr>
      <w:r>
        <w:t>Australia’s METS sector</w:t>
      </w:r>
      <w:r>
        <w:tab/>
      </w:r>
      <w:r>
        <w:fldChar w:fldCharType="begin"/>
      </w:r>
      <w:r>
        <w:instrText xml:space="preserve"> PAGEREF _Toc17210802 \h </w:instrText>
      </w:r>
      <w:r>
        <w:fldChar w:fldCharType="separate"/>
      </w:r>
      <w:r>
        <w:t>46</w:t>
      </w:r>
      <w:r>
        <w:fldChar w:fldCharType="end"/>
      </w:r>
    </w:p>
    <w:p w14:paraId="19BFAA77" w14:textId="26E23566" w:rsidR="00E91467" w:rsidRDefault="00E91467">
      <w:pPr>
        <w:pStyle w:val="TOC2"/>
        <w:rPr>
          <w:rFonts w:asciiTheme="minorHAnsi" w:eastAsiaTheme="minorEastAsia" w:hAnsiTheme="minorHAnsi"/>
          <w:color w:val="auto"/>
          <w:sz w:val="22"/>
          <w:lang w:eastAsia="en-AU"/>
        </w:rPr>
      </w:pPr>
      <w:r>
        <w:t>Price</w:t>
      </w:r>
      <w:r>
        <w:tab/>
      </w:r>
      <w:r>
        <w:tab/>
      </w:r>
      <w:r>
        <w:fldChar w:fldCharType="begin"/>
      </w:r>
      <w:r>
        <w:instrText xml:space="preserve"> PAGEREF _Toc17210803 \h </w:instrText>
      </w:r>
      <w:r>
        <w:fldChar w:fldCharType="separate"/>
      </w:r>
      <w:r>
        <w:t>47</w:t>
      </w:r>
      <w:r>
        <w:fldChar w:fldCharType="end"/>
      </w:r>
    </w:p>
    <w:p w14:paraId="68FB4DDA" w14:textId="77777777" w:rsidR="00E91467" w:rsidRDefault="00E91467">
      <w:pPr>
        <w:pStyle w:val="TOC2"/>
        <w:rPr>
          <w:rFonts w:asciiTheme="minorHAnsi" w:eastAsiaTheme="minorEastAsia" w:hAnsiTheme="minorHAnsi"/>
          <w:color w:val="auto"/>
          <w:sz w:val="22"/>
          <w:lang w:eastAsia="en-AU"/>
        </w:rPr>
      </w:pPr>
      <w:r>
        <w:t>Compatibility</w:t>
      </w:r>
      <w:r>
        <w:tab/>
      </w:r>
      <w:r>
        <w:fldChar w:fldCharType="begin"/>
      </w:r>
      <w:r>
        <w:instrText xml:space="preserve"> PAGEREF _Toc17210804 \h </w:instrText>
      </w:r>
      <w:r>
        <w:fldChar w:fldCharType="separate"/>
      </w:r>
      <w:r>
        <w:t>50</w:t>
      </w:r>
      <w:r>
        <w:fldChar w:fldCharType="end"/>
      </w:r>
    </w:p>
    <w:p w14:paraId="0BE68DFF" w14:textId="77777777" w:rsidR="00E91467" w:rsidRDefault="00E91467">
      <w:pPr>
        <w:pStyle w:val="TOC2"/>
        <w:rPr>
          <w:rFonts w:asciiTheme="minorHAnsi" w:eastAsiaTheme="minorEastAsia" w:hAnsiTheme="minorHAnsi"/>
          <w:color w:val="auto"/>
          <w:sz w:val="22"/>
          <w:lang w:eastAsia="en-AU"/>
        </w:rPr>
      </w:pPr>
      <w:r>
        <w:t>Indian investment in Australia</w:t>
      </w:r>
      <w:r>
        <w:tab/>
      </w:r>
      <w:r>
        <w:fldChar w:fldCharType="begin"/>
      </w:r>
      <w:r>
        <w:instrText xml:space="preserve"> PAGEREF _Toc17210805 \h </w:instrText>
      </w:r>
      <w:r>
        <w:fldChar w:fldCharType="separate"/>
      </w:r>
      <w:r>
        <w:t>52</w:t>
      </w:r>
      <w:r>
        <w:fldChar w:fldCharType="end"/>
      </w:r>
    </w:p>
    <w:p w14:paraId="4C4AFC10" w14:textId="2DCEB2EB" w:rsidR="006662A6" w:rsidRDefault="006662A6" w:rsidP="009348C9">
      <w:pPr>
        <w:pStyle w:val="BodyText"/>
        <w:rPr>
          <w:noProof/>
        </w:rPr>
      </w:pPr>
      <w:r>
        <w:rPr>
          <w:noProof/>
        </w:rPr>
        <w:fldChar w:fldCharType="end"/>
      </w:r>
    </w:p>
    <w:p w14:paraId="73B4BF83" w14:textId="77777777" w:rsidR="006662A6" w:rsidRPr="00570F0F" w:rsidRDefault="006662A6" w:rsidP="009348C9">
      <w:pPr>
        <w:sectPr w:rsidR="006662A6" w:rsidRPr="00570F0F" w:rsidSect="00F54456">
          <w:footerReference w:type="default" r:id="rId17"/>
          <w:endnotePr>
            <w:numFmt w:val="decimal"/>
          </w:endnotePr>
          <w:pgSz w:w="11906" w:h="16838" w:code="9"/>
          <w:pgMar w:top="1440" w:right="1440" w:bottom="1440" w:left="1440" w:header="709" w:footer="709" w:gutter="0"/>
          <w:pgNumType w:fmt="lowerRoman" w:start="1"/>
          <w:cols w:space="708"/>
          <w:docGrid w:linePitch="360"/>
        </w:sectPr>
      </w:pPr>
    </w:p>
    <w:p w14:paraId="2137BCD3" w14:textId="77777777" w:rsidR="006662A6" w:rsidRDefault="006662A6" w:rsidP="00F2257D">
      <w:pPr>
        <w:ind w:left="0"/>
        <w:rPr>
          <w:b/>
        </w:rPr>
      </w:pPr>
      <w:bookmarkStart w:id="11" w:name="_Toc16247570"/>
      <w:bookmarkStart w:id="12" w:name="_Toc16250033"/>
      <w:bookmarkStart w:id="13" w:name="_Toc16256888"/>
      <w:r>
        <w:rPr>
          <w:b/>
        </w:rPr>
        <w:lastRenderedPageBreak/>
        <w:t>List of tables</w:t>
      </w:r>
    </w:p>
    <w:p w14:paraId="7253C191" w14:textId="77777777" w:rsidR="006662A6" w:rsidRDefault="006662A6" w:rsidP="00F2257D">
      <w:pPr>
        <w:ind w:left="0"/>
      </w:pPr>
      <w:r w:rsidRPr="002538FF">
        <w:t>Table 1.1: Conversion equivalents between units of energy</w:t>
      </w:r>
    </w:p>
    <w:p w14:paraId="1235CC7E" w14:textId="77777777" w:rsidR="006662A6" w:rsidRDefault="006662A6" w:rsidP="00F2257D">
      <w:pPr>
        <w:ind w:left="0"/>
      </w:pPr>
      <w:r w:rsidRPr="008C3AF8">
        <w:t>Table 1.2: India’s installed electricity generation capacity, June 2019</w:t>
      </w:r>
    </w:p>
    <w:p w14:paraId="34F2B825" w14:textId="77777777" w:rsidR="006662A6" w:rsidRDefault="006662A6" w:rsidP="00F2257D">
      <w:pPr>
        <w:ind w:left="0"/>
      </w:pPr>
      <w:r>
        <w:t>Table 1.3: Key power providers in India</w:t>
      </w:r>
    </w:p>
    <w:p w14:paraId="5E8F2A06" w14:textId="77777777" w:rsidR="006662A6" w:rsidRDefault="006662A6" w:rsidP="00F2257D">
      <w:pPr>
        <w:ind w:left="0"/>
      </w:pPr>
      <w:r w:rsidRPr="008C3AF8">
        <w:t>Table 1.4: India’s projected installed capacity</w:t>
      </w:r>
    </w:p>
    <w:p w14:paraId="354C0611" w14:textId="77777777" w:rsidR="006662A6" w:rsidRDefault="006662A6" w:rsidP="00F2257D">
      <w:pPr>
        <w:ind w:left="0"/>
      </w:pPr>
      <w:r w:rsidRPr="006A58D7">
        <w:t>Table 2.1: Key IEA WEO assumptions for India</w:t>
      </w:r>
    </w:p>
    <w:p w14:paraId="40918481" w14:textId="77777777" w:rsidR="006662A6" w:rsidRDefault="006662A6" w:rsidP="00F2257D">
      <w:pPr>
        <w:ind w:left="0"/>
      </w:pPr>
      <w:r w:rsidRPr="006A58D7">
        <w:t>Table 2.2: Projected coal requirements in India’s National Electricity Plan</w:t>
      </w:r>
    </w:p>
    <w:p w14:paraId="299529E6" w14:textId="77777777" w:rsidR="006662A6" w:rsidRDefault="006662A6" w:rsidP="00F2257D">
      <w:pPr>
        <w:ind w:left="0"/>
      </w:pPr>
      <w:r w:rsidRPr="006A58D7">
        <w:t>Table 2.3: Coal-fired power station status in India</w:t>
      </w:r>
    </w:p>
    <w:p w14:paraId="5A7518A5" w14:textId="77777777" w:rsidR="006662A6" w:rsidRDefault="006662A6" w:rsidP="00F2257D">
      <w:pPr>
        <w:ind w:left="0"/>
      </w:pPr>
      <w:r w:rsidRPr="009C522E">
        <w:t>Table 3.1: Australia’s metallurgical coal exports by destination (million tonnes)</w:t>
      </w:r>
    </w:p>
    <w:p w14:paraId="593F65B4" w14:textId="77777777" w:rsidR="006662A6" w:rsidRDefault="006662A6" w:rsidP="00F2257D">
      <w:pPr>
        <w:ind w:left="0"/>
      </w:pPr>
      <w:r w:rsidRPr="009C522E">
        <w:t>Table 3.2: India’s metallurgical coal imports by destination (million tonnes)</w:t>
      </w:r>
    </w:p>
    <w:p w14:paraId="702D9C94" w14:textId="77777777" w:rsidR="006662A6" w:rsidRDefault="006662A6" w:rsidP="00F2257D">
      <w:pPr>
        <w:ind w:left="0"/>
      </w:pPr>
      <w:r w:rsidRPr="009C522E">
        <w:t>Table 3.3: Australia’s thermal coal exports by destination (million tonnes)</w:t>
      </w:r>
    </w:p>
    <w:p w14:paraId="20DCD314" w14:textId="77777777" w:rsidR="006662A6" w:rsidRDefault="006662A6" w:rsidP="00F2257D">
      <w:pPr>
        <w:ind w:left="0"/>
      </w:pPr>
      <w:r w:rsidRPr="009C522E">
        <w:t>Table 3.4: India’s thermal coal imports by destination (million tonnes)</w:t>
      </w:r>
    </w:p>
    <w:p w14:paraId="529A5CBD" w14:textId="77777777" w:rsidR="006662A6" w:rsidRPr="002538FF" w:rsidRDefault="006662A6" w:rsidP="00F2257D">
      <w:pPr>
        <w:ind w:left="0"/>
      </w:pPr>
      <w:r w:rsidRPr="00543E54">
        <w:t>Table 3.5: Invest</w:t>
      </w:r>
      <w:r>
        <w:t>ment in Australian thermal coal projects</w:t>
      </w:r>
      <w:r w:rsidRPr="00543E54">
        <w:t xml:space="preserve"> by Indian companies</w:t>
      </w:r>
    </w:p>
    <w:p w14:paraId="06E49A87" w14:textId="77777777" w:rsidR="006662A6" w:rsidRDefault="006662A6" w:rsidP="00F2257D">
      <w:pPr>
        <w:ind w:left="0"/>
        <w:rPr>
          <w:b/>
        </w:rPr>
      </w:pPr>
      <w:r>
        <w:rPr>
          <w:b/>
        </w:rPr>
        <w:t>List of boxes</w:t>
      </w:r>
    </w:p>
    <w:p w14:paraId="0B08D4AF" w14:textId="77777777" w:rsidR="006662A6" w:rsidRDefault="006662A6" w:rsidP="00F2257D">
      <w:pPr>
        <w:ind w:left="0"/>
      </w:pPr>
      <w:r w:rsidRPr="002538FF">
        <w:t>Box 1.1: Energy measurement</w:t>
      </w:r>
    </w:p>
    <w:p w14:paraId="6CD3F46B" w14:textId="77777777" w:rsidR="006662A6" w:rsidRDefault="006662A6" w:rsidP="00F2257D">
      <w:pPr>
        <w:ind w:left="0"/>
      </w:pPr>
      <w:r w:rsidRPr="00DF3AFB">
        <w:t>Box 1.2: India’s coal market structure</w:t>
      </w:r>
    </w:p>
    <w:p w14:paraId="1A54AB94" w14:textId="77777777" w:rsidR="006662A6" w:rsidRDefault="006662A6" w:rsidP="00F2257D">
      <w:pPr>
        <w:ind w:left="0"/>
      </w:pPr>
      <w:r w:rsidRPr="006A58D7">
        <w:t>Box 2.1: IEA World Energy Outlook scenarios and assumptions</w:t>
      </w:r>
    </w:p>
    <w:p w14:paraId="40532DE5" w14:textId="77777777" w:rsidR="006662A6" w:rsidRDefault="006662A6" w:rsidP="00F2257D">
      <w:pPr>
        <w:spacing w:after="200" w:line="276" w:lineRule="auto"/>
        <w:ind w:left="0"/>
        <w:jc w:val="left"/>
      </w:pPr>
      <w:r w:rsidRPr="00573BE7">
        <w:t>Box 2.2: Electricity technology costs in India</w:t>
      </w:r>
    </w:p>
    <w:p w14:paraId="42662B87" w14:textId="363257E9" w:rsidR="006662A6" w:rsidRDefault="006662A6" w:rsidP="00F2257D">
      <w:pPr>
        <w:spacing w:after="200" w:line="276" w:lineRule="auto"/>
        <w:ind w:left="0"/>
        <w:jc w:val="left"/>
        <w:rPr>
          <w:rFonts w:asciiTheme="majorHAnsi" w:eastAsia="Times New Roman" w:hAnsiTheme="majorHAnsi" w:cs="Arial"/>
          <w:b/>
          <w:bCs/>
          <w:color w:val="005CAF"/>
          <w:kern w:val="32"/>
          <w:sz w:val="32"/>
          <w:szCs w:val="32"/>
        </w:rPr>
      </w:pPr>
      <w:r w:rsidRPr="00F2257D">
        <w:t xml:space="preserve">Box 3.1: Coal-fired electricity generation technologies </w:t>
      </w:r>
      <w:r>
        <w:br w:type="page"/>
      </w:r>
    </w:p>
    <w:p w14:paraId="376A6794" w14:textId="3F91BC68" w:rsidR="006662A6" w:rsidRDefault="006662A6" w:rsidP="00A93E84">
      <w:pPr>
        <w:pStyle w:val="Heading1"/>
      </w:pPr>
      <w:bookmarkStart w:id="14" w:name="_Toc17210763"/>
      <w:r>
        <w:lastRenderedPageBreak/>
        <w:t>Glossary</w:t>
      </w:r>
      <w:bookmarkEnd w:id="11"/>
      <w:bookmarkEnd w:id="12"/>
      <w:bookmarkEnd w:id="13"/>
      <w:bookmarkEnd w:id="14"/>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Table shows glossary of acronyms used within the report"/>
      </w:tblPr>
      <w:tblGrid>
        <w:gridCol w:w="1383"/>
        <w:gridCol w:w="7643"/>
      </w:tblGrid>
      <w:tr w:rsidR="006662A6" w:rsidRPr="00A93E84" w14:paraId="04124931" w14:textId="77777777" w:rsidTr="00BA254A">
        <w:trPr>
          <w:tblHeader/>
        </w:trPr>
        <w:tc>
          <w:tcPr>
            <w:tcW w:w="1384" w:type="dxa"/>
          </w:tcPr>
          <w:p w14:paraId="09207DD5"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AUSC</w:t>
            </w:r>
          </w:p>
        </w:tc>
        <w:tc>
          <w:tcPr>
            <w:tcW w:w="7655" w:type="dxa"/>
          </w:tcPr>
          <w:p w14:paraId="3E880AC7" w14:textId="2181B060" w:rsidR="006662A6" w:rsidRPr="00FF3347" w:rsidRDefault="00F37030" w:rsidP="000E6456">
            <w:pPr>
              <w:spacing w:before="60" w:after="60" w:line="240" w:lineRule="auto"/>
              <w:ind w:left="0"/>
              <w:jc w:val="left"/>
              <w:rPr>
                <w:rFonts w:eastAsia="Calibri" w:cs="Arial"/>
                <w:szCs w:val="20"/>
              </w:rPr>
            </w:pPr>
            <w:r>
              <w:rPr>
                <w:rFonts w:eastAsia="Calibri" w:cs="Arial"/>
                <w:szCs w:val="20"/>
              </w:rPr>
              <w:t>A</w:t>
            </w:r>
            <w:r w:rsidR="006662A6" w:rsidRPr="00FF3347">
              <w:rPr>
                <w:rFonts w:eastAsia="Calibri" w:cs="Arial"/>
                <w:szCs w:val="20"/>
              </w:rPr>
              <w:t>dvanced ultra-supercritical (coal plant)</w:t>
            </w:r>
          </w:p>
        </w:tc>
      </w:tr>
      <w:tr w:rsidR="006662A6" w:rsidRPr="00A93E84" w14:paraId="63958913" w14:textId="77777777" w:rsidTr="002F7289">
        <w:tc>
          <w:tcPr>
            <w:tcW w:w="1384" w:type="dxa"/>
          </w:tcPr>
          <w:p w14:paraId="262AD102" w14:textId="2EC74916" w:rsidR="006662A6" w:rsidRPr="00FF3347" w:rsidRDefault="006662A6" w:rsidP="005C2F9D">
            <w:pPr>
              <w:spacing w:before="60" w:after="60" w:line="240" w:lineRule="auto"/>
              <w:ind w:left="0"/>
              <w:jc w:val="left"/>
              <w:rPr>
                <w:rFonts w:eastAsia="Calibri" w:cs="Arial"/>
                <w:szCs w:val="20"/>
              </w:rPr>
            </w:pPr>
            <w:r>
              <w:rPr>
                <w:rFonts w:eastAsia="Calibri" w:cs="Arial"/>
                <w:szCs w:val="20"/>
              </w:rPr>
              <w:t>BNEF</w:t>
            </w:r>
          </w:p>
        </w:tc>
        <w:tc>
          <w:tcPr>
            <w:tcW w:w="7655" w:type="dxa"/>
          </w:tcPr>
          <w:p w14:paraId="53A106FA" w14:textId="2E4BA5F6" w:rsidR="006662A6" w:rsidRPr="00FF3347" w:rsidRDefault="006662A6" w:rsidP="005C2F9D">
            <w:pPr>
              <w:spacing w:before="60" w:after="60" w:line="240" w:lineRule="auto"/>
              <w:ind w:left="0"/>
              <w:jc w:val="left"/>
              <w:rPr>
                <w:rFonts w:eastAsia="Calibri" w:cs="Arial"/>
                <w:szCs w:val="20"/>
              </w:rPr>
            </w:pPr>
            <w:r>
              <w:rPr>
                <w:rFonts w:eastAsia="Calibri" w:cs="Arial"/>
                <w:szCs w:val="20"/>
              </w:rPr>
              <w:t>Bloomberg New Energy Finance</w:t>
            </w:r>
          </w:p>
        </w:tc>
      </w:tr>
      <w:tr w:rsidR="006662A6" w:rsidRPr="00A93E84" w14:paraId="63246B99" w14:textId="77777777" w:rsidTr="002F7289">
        <w:tc>
          <w:tcPr>
            <w:tcW w:w="1384" w:type="dxa"/>
          </w:tcPr>
          <w:p w14:paraId="4906F0F6" w14:textId="18BC889D" w:rsidR="006662A6" w:rsidRPr="00FF3347" w:rsidRDefault="006662A6" w:rsidP="000E6456">
            <w:pPr>
              <w:spacing w:before="60" w:after="60" w:line="240" w:lineRule="auto"/>
              <w:ind w:left="0"/>
              <w:jc w:val="left"/>
              <w:rPr>
                <w:rFonts w:eastAsia="Calibri" w:cs="Arial"/>
                <w:szCs w:val="20"/>
              </w:rPr>
            </w:pPr>
            <w:r>
              <w:rPr>
                <w:rFonts w:eastAsia="Calibri" w:cs="Arial"/>
                <w:szCs w:val="20"/>
              </w:rPr>
              <w:t>CAGR</w:t>
            </w:r>
          </w:p>
        </w:tc>
        <w:tc>
          <w:tcPr>
            <w:tcW w:w="7655" w:type="dxa"/>
          </w:tcPr>
          <w:p w14:paraId="2A56E88E" w14:textId="13D1A164" w:rsidR="006662A6" w:rsidRPr="00FF3347" w:rsidRDefault="006662A6" w:rsidP="000E6456">
            <w:pPr>
              <w:spacing w:before="60" w:after="60" w:line="240" w:lineRule="auto"/>
              <w:ind w:left="0"/>
              <w:jc w:val="left"/>
              <w:rPr>
                <w:rFonts w:eastAsia="Calibri" w:cs="Arial"/>
                <w:szCs w:val="20"/>
              </w:rPr>
            </w:pPr>
            <w:r>
              <w:rPr>
                <w:rFonts w:eastAsia="Calibri" w:cs="Arial"/>
                <w:szCs w:val="20"/>
              </w:rPr>
              <w:t>Compound average growth rate</w:t>
            </w:r>
          </w:p>
        </w:tc>
      </w:tr>
      <w:tr w:rsidR="006662A6" w:rsidRPr="00A93E84" w14:paraId="5BECA4E1" w14:textId="77777777" w:rsidTr="002F7289">
        <w:trPr>
          <w:trHeight w:val="228"/>
        </w:trPr>
        <w:tc>
          <w:tcPr>
            <w:tcW w:w="1384" w:type="dxa"/>
          </w:tcPr>
          <w:p w14:paraId="4C8E888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CCS</w:t>
            </w:r>
          </w:p>
        </w:tc>
        <w:tc>
          <w:tcPr>
            <w:tcW w:w="7655" w:type="dxa"/>
          </w:tcPr>
          <w:p w14:paraId="1319B2CA" w14:textId="459C7386" w:rsidR="006662A6" w:rsidRPr="00FF3347" w:rsidRDefault="00F37030" w:rsidP="000E6456">
            <w:pPr>
              <w:spacing w:before="60" w:after="60" w:line="240" w:lineRule="auto"/>
              <w:ind w:left="0"/>
              <w:jc w:val="left"/>
              <w:rPr>
                <w:rFonts w:eastAsia="Calibri" w:cs="Arial"/>
                <w:szCs w:val="20"/>
              </w:rPr>
            </w:pPr>
            <w:r>
              <w:rPr>
                <w:rFonts w:eastAsia="Calibri" w:cs="Arial"/>
                <w:szCs w:val="20"/>
              </w:rPr>
              <w:t>C</w:t>
            </w:r>
            <w:r w:rsidR="006662A6" w:rsidRPr="00FF3347">
              <w:rPr>
                <w:rFonts w:eastAsia="Calibri" w:cs="Arial"/>
                <w:szCs w:val="20"/>
              </w:rPr>
              <w:t>arbon capture and storage</w:t>
            </w:r>
          </w:p>
        </w:tc>
      </w:tr>
      <w:tr w:rsidR="006662A6" w:rsidRPr="00A93E84" w14:paraId="2C55329D" w14:textId="77777777" w:rsidTr="002F7289">
        <w:trPr>
          <w:trHeight w:val="228"/>
        </w:trPr>
        <w:tc>
          <w:tcPr>
            <w:tcW w:w="1384" w:type="dxa"/>
          </w:tcPr>
          <w:p w14:paraId="363C25BD" w14:textId="50D5FA43" w:rsidR="006662A6" w:rsidRPr="00FF3347" w:rsidRDefault="006662A6" w:rsidP="005C2F9D">
            <w:pPr>
              <w:spacing w:before="60" w:after="60" w:line="240" w:lineRule="auto"/>
              <w:ind w:left="0"/>
              <w:jc w:val="left"/>
              <w:rPr>
                <w:rFonts w:eastAsia="Calibri" w:cs="Arial"/>
                <w:szCs w:val="20"/>
              </w:rPr>
            </w:pPr>
            <w:r>
              <w:rPr>
                <w:rFonts w:eastAsia="Calibri" w:cs="Arial"/>
                <w:szCs w:val="20"/>
              </w:rPr>
              <w:t>CEA</w:t>
            </w:r>
          </w:p>
        </w:tc>
        <w:tc>
          <w:tcPr>
            <w:tcW w:w="7655" w:type="dxa"/>
          </w:tcPr>
          <w:p w14:paraId="3C809808" w14:textId="3BEEB056" w:rsidR="006662A6" w:rsidRPr="00FF3347" w:rsidRDefault="006662A6" w:rsidP="005C2F9D">
            <w:pPr>
              <w:spacing w:before="60" w:after="60" w:line="240" w:lineRule="auto"/>
              <w:ind w:left="0"/>
              <w:jc w:val="left"/>
              <w:rPr>
                <w:rFonts w:eastAsia="Calibri" w:cs="Arial"/>
                <w:szCs w:val="20"/>
              </w:rPr>
            </w:pPr>
            <w:r>
              <w:rPr>
                <w:rFonts w:eastAsia="Calibri" w:cs="Arial"/>
                <w:szCs w:val="20"/>
              </w:rPr>
              <w:t>Central Electricity Authority</w:t>
            </w:r>
          </w:p>
        </w:tc>
      </w:tr>
      <w:tr w:rsidR="006662A6" w:rsidRPr="00A93E84" w14:paraId="0CE4DFBA" w14:textId="77777777" w:rsidTr="002F7289">
        <w:trPr>
          <w:trHeight w:val="228"/>
        </w:trPr>
        <w:tc>
          <w:tcPr>
            <w:tcW w:w="1384" w:type="dxa"/>
          </w:tcPr>
          <w:p w14:paraId="6F92D5A8" w14:textId="1E4933AB" w:rsidR="006662A6" w:rsidRDefault="006662A6" w:rsidP="005C2F9D">
            <w:pPr>
              <w:spacing w:before="60" w:after="60" w:line="240" w:lineRule="auto"/>
              <w:ind w:left="0"/>
              <w:jc w:val="left"/>
              <w:rPr>
                <w:rFonts w:eastAsia="Calibri" w:cs="Arial"/>
                <w:szCs w:val="20"/>
              </w:rPr>
            </w:pPr>
            <w:r>
              <w:rPr>
                <w:rFonts w:eastAsia="Calibri" w:cs="Arial"/>
                <w:szCs w:val="20"/>
              </w:rPr>
              <w:t>CERC</w:t>
            </w:r>
          </w:p>
        </w:tc>
        <w:tc>
          <w:tcPr>
            <w:tcW w:w="7655" w:type="dxa"/>
          </w:tcPr>
          <w:p w14:paraId="6F1B7F05" w14:textId="794FF4D2" w:rsidR="006662A6" w:rsidRDefault="006662A6" w:rsidP="005C2F9D">
            <w:pPr>
              <w:spacing w:before="60" w:after="60" w:line="240" w:lineRule="auto"/>
              <w:ind w:left="0"/>
              <w:jc w:val="left"/>
              <w:rPr>
                <w:rFonts w:eastAsia="Calibri" w:cs="Arial"/>
                <w:szCs w:val="20"/>
              </w:rPr>
            </w:pPr>
            <w:r>
              <w:rPr>
                <w:rFonts w:eastAsia="Calibri" w:cs="Arial"/>
                <w:szCs w:val="20"/>
              </w:rPr>
              <w:t>Central Electricity Regulatory Commission</w:t>
            </w:r>
          </w:p>
        </w:tc>
      </w:tr>
      <w:tr w:rsidR="006662A6" w:rsidRPr="00A93E84" w14:paraId="6568BF5F" w14:textId="77777777" w:rsidTr="002F7289">
        <w:tc>
          <w:tcPr>
            <w:tcW w:w="1384" w:type="dxa"/>
          </w:tcPr>
          <w:p w14:paraId="207E401B"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CIL</w:t>
            </w:r>
          </w:p>
        </w:tc>
        <w:tc>
          <w:tcPr>
            <w:tcW w:w="7655" w:type="dxa"/>
          </w:tcPr>
          <w:p w14:paraId="266E02A8"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Coal India Limited</w:t>
            </w:r>
          </w:p>
        </w:tc>
      </w:tr>
      <w:tr w:rsidR="006662A6" w:rsidRPr="00A93E84" w14:paraId="51BDF3F9" w14:textId="77777777" w:rsidTr="002F7289">
        <w:tc>
          <w:tcPr>
            <w:tcW w:w="1384" w:type="dxa"/>
          </w:tcPr>
          <w:p w14:paraId="7E827F44"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COP</w:t>
            </w:r>
          </w:p>
        </w:tc>
        <w:tc>
          <w:tcPr>
            <w:tcW w:w="7655" w:type="dxa"/>
          </w:tcPr>
          <w:p w14:paraId="6F595926" w14:textId="6D14947C" w:rsidR="006662A6" w:rsidRPr="00FF3347" w:rsidRDefault="00F37030" w:rsidP="000E6456">
            <w:pPr>
              <w:spacing w:before="60" w:after="60" w:line="240" w:lineRule="auto"/>
              <w:ind w:left="0"/>
              <w:jc w:val="left"/>
              <w:rPr>
                <w:rFonts w:eastAsia="Calibri" w:cs="Arial"/>
                <w:szCs w:val="20"/>
              </w:rPr>
            </w:pPr>
            <w:r>
              <w:rPr>
                <w:rFonts w:eastAsia="Calibri" w:cs="Arial"/>
                <w:szCs w:val="20"/>
              </w:rPr>
              <w:t>C</w:t>
            </w:r>
            <w:r w:rsidR="006662A6" w:rsidRPr="00FF3347">
              <w:rPr>
                <w:rFonts w:eastAsia="Calibri" w:cs="Arial"/>
                <w:szCs w:val="20"/>
              </w:rPr>
              <w:t>onference of parties</w:t>
            </w:r>
          </w:p>
        </w:tc>
      </w:tr>
      <w:tr w:rsidR="006662A6" w:rsidRPr="00A93E84" w14:paraId="78DC0F94" w14:textId="77777777" w:rsidTr="002F7289">
        <w:tc>
          <w:tcPr>
            <w:tcW w:w="1384" w:type="dxa"/>
          </w:tcPr>
          <w:p w14:paraId="00DF5255" w14:textId="09D51532" w:rsidR="006662A6" w:rsidRPr="00FF3347" w:rsidRDefault="006662A6" w:rsidP="000E6456">
            <w:pPr>
              <w:spacing w:before="60" w:after="60" w:line="240" w:lineRule="auto"/>
              <w:ind w:left="0"/>
              <w:jc w:val="left"/>
              <w:rPr>
                <w:rFonts w:eastAsia="Calibri" w:cs="Arial"/>
                <w:szCs w:val="20"/>
              </w:rPr>
            </w:pPr>
            <w:r>
              <w:rPr>
                <w:rFonts w:eastAsia="Calibri" w:cs="Arial"/>
                <w:szCs w:val="20"/>
              </w:rPr>
              <w:t>CO2</w:t>
            </w:r>
          </w:p>
        </w:tc>
        <w:tc>
          <w:tcPr>
            <w:tcW w:w="7655" w:type="dxa"/>
          </w:tcPr>
          <w:p w14:paraId="126647C5" w14:textId="4E9AE393" w:rsidR="006662A6" w:rsidRPr="00FF3347" w:rsidRDefault="006662A6" w:rsidP="000E6456">
            <w:pPr>
              <w:spacing w:before="60" w:after="60" w:line="240" w:lineRule="auto"/>
              <w:ind w:left="0"/>
              <w:jc w:val="left"/>
              <w:rPr>
                <w:rFonts w:eastAsia="Calibri" w:cs="Arial"/>
                <w:szCs w:val="20"/>
              </w:rPr>
            </w:pPr>
            <w:r>
              <w:rPr>
                <w:rFonts w:eastAsia="Calibri" w:cs="Arial"/>
                <w:szCs w:val="20"/>
              </w:rPr>
              <w:t>Carbon dioxide</w:t>
            </w:r>
          </w:p>
        </w:tc>
      </w:tr>
      <w:tr w:rsidR="006662A6" w:rsidRPr="00A93E84" w14:paraId="6B91C506" w14:textId="77777777" w:rsidTr="002F7289">
        <w:tc>
          <w:tcPr>
            <w:tcW w:w="1384" w:type="dxa"/>
          </w:tcPr>
          <w:p w14:paraId="7F458A52"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CPS</w:t>
            </w:r>
          </w:p>
        </w:tc>
        <w:tc>
          <w:tcPr>
            <w:tcW w:w="7655" w:type="dxa"/>
          </w:tcPr>
          <w:p w14:paraId="29D85717" w14:textId="4796FC5F" w:rsidR="006662A6" w:rsidRPr="00FF3347" w:rsidRDefault="00F37030" w:rsidP="000E6456">
            <w:pPr>
              <w:spacing w:before="60" w:after="60" w:line="240" w:lineRule="auto"/>
              <w:ind w:left="0"/>
              <w:jc w:val="left"/>
              <w:rPr>
                <w:rFonts w:eastAsia="Calibri" w:cs="Arial"/>
                <w:szCs w:val="20"/>
              </w:rPr>
            </w:pPr>
            <w:r>
              <w:rPr>
                <w:rFonts w:eastAsia="Calibri" w:cs="Arial"/>
                <w:szCs w:val="20"/>
              </w:rPr>
              <w:t>C</w:t>
            </w:r>
            <w:r w:rsidR="006662A6" w:rsidRPr="00FF3347">
              <w:rPr>
                <w:rFonts w:eastAsia="Calibri" w:cs="Arial"/>
                <w:szCs w:val="20"/>
              </w:rPr>
              <w:t xml:space="preserve">urrent </w:t>
            </w:r>
            <w:r w:rsidR="00A578FE">
              <w:rPr>
                <w:rFonts w:eastAsia="Calibri" w:cs="Arial"/>
                <w:szCs w:val="20"/>
              </w:rPr>
              <w:t>P</w:t>
            </w:r>
            <w:r w:rsidR="006662A6" w:rsidRPr="00FF3347">
              <w:rPr>
                <w:rFonts w:eastAsia="Calibri" w:cs="Arial"/>
                <w:szCs w:val="20"/>
              </w:rPr>
              <w:t xml:space="preserve">olicies </w:t>
            </w:r>
            <w:r w:rsidR="00A578FE">
              <w:rPr>
                <w:rFonts w:eastAsia="Calibri" w:cs="Arial"/>
                <w:szCs w:val="20"/>
              </w:rPr>
              <w:t>S</w:t>
            </w:r>
            <w:r w:rsidR="006662A6" w:rsidRPr="00FF3347">
              <w:rPr>
                <w:rFonts w:eastAsia="Calibri" w:cs="Arial"/>
                <w:szCs w:val="20"/>
              </w:rPr>
              <w:t>cenario</w:t>
            </w:r>
          </w:p>
        </w:tc>
      </w:tr>
      <w:tr w:rsidR="006662A6" w:rsidRPr="00A93E84" w14:paraId="72F2B2DB" w14:textId="77777777" w:rsidTr="002F7289">
        <w:tc>
          <w:tcPr>
            <w:tcW w:w="1384" w:type="dxa"/>
          </w:tcPr>
          <w:p w14:paraId="524075C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CSP</w:t>
            </w:r>
          </w:p>
        </w:tc>
        <w:tc>
          <w:tcPr>
            <w:tcW w:w="7655" w:type="dxa"/>
          </w:tcPr>
          <w:p w14:paraId="0DF45F24" w14:textId="3F848917" w:rsidR="006662A6" w:rsidRPr="00FF3347" w:rsidRDefault="00F37030" w:rsidP="000E6456">
            <w:pPr>
              <w:spacing w:before="60" w:after="60" w:line="240" w:lineRule="auto"/>
              <w:ind w:left="0"/>
              <w:jc w:val="left"/>
              <w:rPr>
                <w:rFonts w:eastAsia="Calibri" w:cs="Arial"/>
                <w:szCs w:val="20"/>
              </w:rPr>
            </w:pPr>
            <w:r>
              <w:rPr>
                <w:rFonts w:eastAsia="Calibri" w:cs="Arial"/>
                <w:szCs w:val="20"/>
              </w:rPr>
              <w:t>C</w:t>
            </w:r>
            <w:r w:rsidR="006662A6" w:rsidRPr="00FF3347">
              <w:rPr>
                <w:rFonts w:eastAsia="Calibri" w:cs="Arial"/>
                <w:szCs w:val="20"/>
              </w:rPr>
              <w:t>oncentrated solar power</w:t>
            </w:r>
          </w:p>
        </w:tc>
      </w:tr>
      <w:tr w:rsidR="006662A6" w:rsidRPr="00A93E84" w14:paraId="399F29FB" w14:textId="77777777" w:rsidTr="002F7289">
        <w:tc>
          <w:tcPr>
            <w:tcW w:w="1384" w:type="dxa"/>
          </w:tcPr>
          <w:p w14:paraId="71F4AF8E" w14:textId="7233D416" w:rsidR="006662A6" w:rsidRPr="00FF3347" w:rsidRDefault="006662A6" w:rsidP="005C2F9D">
            <w:pPr>
              <w:spacing w:before="60" w:after="60" w:line="240" w:lineRule="auto"/>
              <w:ind w:left="0"/>
              <w:jc w:val="left"/>
              <w:rPr>
                <w:rFonts w:eastAsia="Calibri" w:cs="Arial"/>
                <w:szCs w:val="20"/>
              </w:rPr>
            </w:pPr>
            <w:r>
              <w:rPr>
                <w:rFonts w:eastAsia="Calibri" w:cs="Arial"/>
                <w:szCs w:val="20"/>
              </w:rPr>
              <w:t>DMO</w:t>
            </w:r>
          </w:p>
        </w:tc>
        <w:tc>
          <w:tcPr>
            <w:tcW w:w="7655" w:type="dxa"/>
          </w:tcPr>
          <w:p w14:paraId="52FFC7C1" w14:textId="5A2FDAEF" w:rsidR="006662A6" w:rsidRPr="00FF3347" w:rsidRDefault="00A578FE" w:rsidP="005C2F9D">
            <w:pPr>
              <w:spacing w:before="60" w:after="60" w:line="240" w:lineRule="auto"/>
              <w:ind w:left="0"/>
              <w:jc w:val="left"/>
              <w:rPr>
                <w:rFonts w:eastAsia="Calibri" w:cs="Arial"/>
                <w:szCs w:val="20"/>
              </w:rPr>
            </w:pPr>
            <w:r>
              <w:rPr>
                <w:rFonts w:eastAsia="Calibri" w:cs="Arial"/>
                <w:szCs w:val="20"/>
              </w:rPr>
              <w:t>Domestic Market O</w:t>
            </w:r>
            <w:r w:rsidR="006662A6">
              <w:rPr>
                <w:rFonts w:eastAsia="Calibri" w:cs="Arial"/>
                <w:szCs w:val="20"/>
              </w:rPr>
              <w:t>bligation</w:t>
            </w:r>
          </w:p>
        </w:tc>
      </w:tr>
      <w:tr w:rsidR="006662A6" w:rsidRPr="00A93E84" w14:paraId="7E33844D" w14:textId="77777777" w:rsidTr="002F7289">
        <w:tc>
          <w:tcPr>
            <w:tcW w:w="1384" w:type="dxa"/>
          </w:tcPr>
          <w:p w14:paraId="63C46009"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DWT</w:t>
            </w:r>
          </w:p>
        </w:tc>
        <w:tc>
          <w:tcPr>
            <w:tcW w:w="7655" w:type="dxa"/>
          </w:tcPr>
          <w:p w14:paraId="7FA5296F" w14:textId="187F7293" w:rsidR="006662A6" w:rsidRPr="00FF3347" w:rsidRDefault="00F37030" w:rsidP="000E6456">
            <w:pPr>
              <w:spacing w:before="60" w:after="60" w:line="240" w:lineRule="auto"/>
              <w:ind w:left="0"/>
              <w:jc w:val="left"/>
              <w:rPr>
                <w:rFonts w:eastAsia="Calibri" w:cs="Arial"/>
                <w:szCs w:val="20"/>
              </w:rPr>
            </w:pPr>
            <w:r>
              <w:rPr>
                <w:rFonts w:eastAsia="Calibri" w:cs="Arial"/>
                <w:szCs w:val="20"/>
              </w:rPr>
              <w:t>D</w:t>
            </w:r>
            <w:r w:rsidR="006662A6" w:rsidRPr="00FF3347">
              <w:rPr>
                <w:rFonts w:eastAsia="Calibri" w:cs="Arial"/>
                <w:szCs w:val="20"/>
              </w:rPr>
              <w:t>eadweight tonnes</w:t>
            </w:r>
          </w:p>
        </w:tc>
      </w:tr>
      <w:tr w:rsidR="006662A6" w:rsidRPr="00A93E84" w14:paraId="332386C5" w14:textId="77777777" w:rsidTr="002F7289">
        <w:tc>
          <w:tcPr>
            <w:tcW w:w="1384" w:type="dxa"/>
          </w:tcPr>
          <w:p w14:paraId="48666CD7" w14:textId="283CFD58" w:rsidR="006662A6" w:rsidRPr="00FF3347" w:rsidRDefault="006662A6" w:rsidP="000E6456">
            <w:pPr>
              <w:spacing w:before="60" w:after="60" w:line="240" w:lineRule="auto"/>
              <w:ind w:left="0"/>
              <w:jc w:val="left"/>
              <w:rPr>
                <w:rFonts w:eastAsia="Calibri" w:cs="Arial"/>
                <w:szCs w:val="20"/>
              </w:rPr>
            </w:pPr>
            <w:r>
              <w:rPr>
                <w:rFonts w:eastAsia="Calibri" w:cs="Arial"/>
                <w:szCs w:val="20"/>
              </w:rPr>
              <w:t>EU28</w:t>
            </w:r>
          </w:p>
        </w:tc>
        <w:tc>
          <w:tcPr>
            <w:tcW w:w="7655" w:type="dxa"/>
          </w:tcPr>
          <w:p w14:paraId="1C6A3FEF" w14:textId="46CFD669" w:rsidR="006662A6" w:rsidRPr="00FF3347" w:rsidRDefault="006662A6" w:rsidP="000E6456">
            <w:pPr>
              <w:spacing w:before="60" w:after="60" w:line="240" w:lineRule="auto"/>
              <w:ind w:left="0"/>
              <w:jc w:val="left"/>
              <w:rPr>
                <w:rFonts w:eastAsia="Calibri" w:cs="Arial"/>
                <w:szCs w:val="20"/>
              </w:rPr>
            </w:pPr>
            <w:r>
              <w:rPr>
                <w:rFonts w:eastAsia="Calibri" w:cs="Arial"/>
                <w:szCs w:val="20"/>
              </w:rPr>
              <w:t>The 28 member states of the European Union</w:t>
            </w:r>
          </w:p>
        </w:tc>
      </w:tr>
      <w:tr w:rsidR="006662A6" w:rsidRPr="00A93E84" w14:paraId="0986C064" w14:textId="77777777" w:rsidTr="002F7289">
        <w:tc>
          <w:tcPr>
            <w:tcW w:w="1384" w:type="dxa"/>
          </w:tcPr>
          <w:p w14:paraId="19677D47"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FDI</w:t>
            </w:r>
          </w:p>
        </w:tc>
        <w:tc>
          <w:tcPr>
            <w:tcW w:w="7655" w:type="dxa"/>
          </w:tcPr>
          <w:p w14:paraId="323DD7A6" w14:textId="69340833" w:rsidR="006662A6" w:rsidRPr="00FF3347" w:rsidRDefault="00F37030" w:rsidP="000E6456">
            <w:pPr>
              <w:spacing w:before="60" w:after="60" w:line="240" w:lineRule="auto"/>
              <w:ind w:left="0"/>
              <w:jc w:val="left"/>
              <w:rPr>
                <w:rFonts w:eastAsia="Calibri" w:cs="Arial"/>
                <w:szCs w:val="20"/>
              </w:rPr>
            </w:pPr>
            <w:r>
              <w:rPr>
                <w:rFonts w:eastAsia="Calibri" w:cs="Arial"/>
                <w:szCs w:val="20"/>
              </w:rPr>
              <w:t>F</w:t>
            </w:r>
            <w:r w:rsidR="006662A6" w:rsidRPr="00FF3347">
              <w:rPr>
                <w:rFonts w:eastAsia="Calibri" w:cs="Arial"/>
                <w:szCs w:val="20"/>
              </w:rPr>
              <w:t>oreign direct investment</w:t>
            </w:r>
          </w:p>
        </w:tc>
      </w:tr>
      <w:tr w:rsidR="006662A6" w:rsidRPr="00A93E84" w14:paraId="33802E95" w14:textId="77777777" w:rsidTr="002F7289">
        <w:tc>
          <w:tcPr>
            <w:tcW w:w="1384" w:type="dxa"/>
          </w:tcPr>
          <w:p w14:paraId="5D21E9D8" w14:textId="7E107D57" w:rsidR="006662A6" w:rsidRPr="00FF3347" w:rsidRDefault="006662A6" w:rsidP="005C2F9D">
            <w:pPr>
              <w:spacing w:before="60" w:after="60" w:line="240" w:lineRule="auto"/>
              <w:ind w:left="0"/>
              <w:jc w:val="left"/>
              <w:rPr>
                <w:rFonts w:eastAsia="Calibri" w:cs="Arial"/>
                <w:szCs w:val="20"/>
              </w:rPr>
            </w:pPr>
            <w:r>
              <w:rPr>
                <w:rFonts w:eastAsia="Calibri" w:cs="Arial"/>
                <w:szCs w:val="20"/>
              </w:rPr>
              <w:t>FOB</w:t>
            </w:r>
          </w:p>
        </w:tc>
        <w:tc>
          <w:tcPr>
            <w:tcW w:w="7655" w:type="dxa"/>
          </w:tcPr>
          <w:p w14:paraId="7914F176" w14:textId="450DD2E1" w:rsidR="006662A6" w:rsidRPr="00FF3347" w:rsidRDefault="006662A6" w:rsidP="005C2F9D">
            <w:pPr>
              <w:spacing w:before="60" w:after="60" w:line="240" w:lineRule="auto"/>
              <w:ind w:left="0"/>
              <w:jc w:val="left"/>
              <w:rPr>
                <w:rFonts w:eastAsia="Calibri" w:cs="Arial"/>
                <w:szCs w:val="20"/>
              </w:rPr>
            </w:pPr>
            <w:r>
              <w:rPr>
                <w:rFonts w:eastAsia="Calibri" w:cs="Arial"/>
                <w:szCs w:val="20"/>
              </w:rPr>
              <w:t>Free on board. Seller clears export, buyer pays freight.</w:t>
            </w:r>
          </w:p>
        </w:tc>
      </w:tr>
      <w:tr w:rsidR="006662A6" w:rsidRPr="00A93E84" w14:paraId="3BCC6B09" w14:textId="77777777" w:rsidTr="002F7289">
        <w:tc>
          <w:tcPr>
            <w:tcW w:w="1384" w:type="dxa"/>
          </w:tcPr>
          <w:p w14:paraId="02592DA3" w14:textId="46427DD0" w:rsidR="006662A6" w:rsidRPr="00FF3347" w:rsidRDefault="006662A6" w:rsidP="005C2F9D">
            <w:pPr>
              <w:spacing w:before="60" w:after="60" w:line="240" w:lineRule="auto"/>
              <w:ind w:left="0"/>
              <w:jc w:val="left"/>
              <w:rPr>
                <w:rFonts w:eastAsia="Calibri" w:cs="Arial"/>
                <w:szCs w:val="20"/>
              </w:rPr>
            </w:pPr>
            <w:r>
              <w:rPr>
                <w:rFonts w:eastAsia="Calibri" w:cs="Arial"/>
                <w:szCs w:val="20"/>
              </w:rPr>
              <w:t>FSA</w:t>
            </w:r>
          </w:p>
        </w:tc>
        <w:tc>
          <w:tcPr>
            <w:tcW w:w="7655" w:type="dxa"/>
          </w:tcPr>
          <w:p w14:paraId="32387AD1" w14:textId="5CC44CF7" w:rsidR="006662A6" w:rsidRPr="00FF3347" w:rsidRDefault="00F37030" w:rsidP="00F37030">
            <w:pPr>
              <w:spacing w:before="60" w:after="60" w:line="240" w:lineRule="auto"/>
              <w:ind w:left="0"/>
              <w:jc w:val="left"/>
              <w:rPr>
                <w:rFonts w:eastAsia="Calibri" w:cs="Arial"/>
                <w:szCs w:val="20"/>
              </w:rPr>
            </w:pPr>
            <w:r>
              <w:rPr>
                <w:rFonts w:eastAsia="Calibri" w:cs="Arial"/>
                <w:szCs w:val="20"/>
              </w:rPr>
              <w:t>F</w:t>
            </w:r>
            <w:r w:rsidR="006662A6">
              <w:rPr>
                <w:rFonts w:eastAsia="Calibri" w:cs="Arial"/>
                <w:szCs w:val="20"/>
              </w:rPr>
              <w:t>uel-supply a</w:t>
            </w:r>
            <w:r>
              <w:rPr>
                <w:rFonts w:eastAsia="Calibri" w:cs="Arial"/>
                <w:szCs w:val="20"/>
              </w:rPr>
              <w:t>greement</w:t>
            </w:r>
          </w:p>
        </w:tc>
      </w:tr>
      <w:tr w:rsidR="006662A6" w:rsidRPr="00A93E84" w14:paraId="34408528" w14:textId="77777777" w:rsidTr="002F7289">
        <w:tc>
          <w:tcPr>
            <w:tcW w:w="1384" w:type="dxa"/>
          </w:tcPr>
          <w:p w14:paraId="118F81F1"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FYP</w:t>
            </w:r>
          </w:p>
        </w:tc>
        <w:tc>
          <w:tcPr>
            <w:tcW w:w="7655" w:type="dxa"/>
          </w:tcPr>
          <w:p w14:paraId="4978A436" w14:textId="7EBA0C73" w:rsidR="006662A6" w:rsidRPr="00FF3347" w:rsidRDefault="00F37030" w:rsidP="000E6456">
            <w:pPr>
              <w:spacing w:before="60" w:after="60" w:line="240" w:lineRule="auto"/>
              <w:ind w:left="0"/>
              <w:jc w:val="left"/>
              <w:rPr>
                <w:rFonts w:eastAsia="Calibri" w:cs="Arial"/>
                <w:szCs w:val="20"/>
              </w:rPr>
            </w:pPr>
            <w:r>
              <w:rPr>
                <w:rFonts w:eastAsia="Calibri" w:cs="Arial"/>
                <w:szCs w:val="20"/>
              </w:rPr>
              <w:t>F</w:t>
            </w:r>
            <w:r w:rsidR="006662A6" w:rsidRPr="00FF3347">
              <w:rPr>
                <w:rFonts w:eastAsia="Calibri" w:cs="Arial"/>
                <w:szCs w:val="20"/>
              </w:rPr>
              <w:t>ive-year plan</w:t>
            </w:r>
          </w:p>
        </w:tc>
      </w:tr>
      <w:tr w:rsidR="006662A6" w:rsidRPr="00A93E84" w14:paraId="31F0FE13" w14:textId="77777777" w:rsidTr="002F7289">
        <w:tc>
          <w:tcPr>
            <w:tcW w:w="1384" w:type="dxa"/>
          </w:tcPr>
          <w:p w14:paraId="2A412BB2"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Gcal</w:t>
            </w:r>
          </w:p>
        </w:tc>
        <w:tc>
          <w:tcPr>
            <w:tcW w:w="7655" w:type="dxa"/>
          </w:tcPr>
          <w:p w14:paraId="21360F2D" w14:textId="19C9F7E3" w:rsidR="006662A6" w:rsidRPr="00FF3347" w:rsidRDefault="00F37030" w:rsidP="000E6456">
            <w:pPr>
              <w:spacing w:before="60" w:after="60" w:line="240" w:lineRule="auto"/>
              <w:ind w:left="0"/>
              <w:jc w:val="left"/>
              <w:rPr>
                <w:rFonts w:eastAsia="Calibri" w:cs="Arial"/>
                <w:szCs w:val="20"/>
              </w:rPr>
            </w:pPr>
            <w:r>
              <w:rPr>
                <w:rFonts w:eastAsia="Calibri" w:cs="Arial"/>
                <w:szCs w:val="20"/>
              </w:rPr>
              <w:t>G</w:t>
            </w:r>
            <w:r w:rsidR="006662A6" w:rsidRPr="00FF3347">
              <w:rPr>
                <w:rFonts w:eastAsia="Calibri" w:cs="Arial"/>
                <w:szCs w:val="20"/>
              </w:rPr>
              <w:t>igacalorie</w:t>
            </w:r>
          </w:p>
        </w:tc>
      </w:tr>
      <w:tr w:rsidR="006662A6" w:rsidRPr="00A93E84" w14:paraId="5805200D" w14:textId="77777777" w:rsidTr="002F7289">
        <w:tc>
          <w:tcPr>
            <w:tcW w:w="1384" w:type="dxa"/>
          </w:tcPr>
          <w:p w14:paraId="054FF8B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GDP</w:t>
            </w:r>
          </w:p>
        </w:tc>
        <w:tc>
          <w:tcPr>
            <w:tcW w:w="7655" w:type="dxa"/>
          </w:tcPr>
          <w:p w14:paraId="680662B1" w14:textId="6BA478E7" w:rsidR="006662A6" w:rsidRPr="00FF3347" w:rsidRDefault="00F37030" w:rsidP="000E6456">
            <w:pPr>
              <w:spacing w:before="60" w:after="60" w:line="240" w:lineRule="auto"/>
              <w:ind w:left="0"/>
              <w:jc w:val="left"/>
              <w:rPr>
                <w:rFonts w:eastAsia="Calibri" w:cs="Arial"/>
                <w:szCs w:val="20"/>
              </w:rPr>
            </w:pPr>
            <w:r>
              <w:rPr>
                <w:rFonts w:eastAsia="Calibri" w:cs="Arial"/>
                <w:szCs w:val="20"/>
              </w:rPr>
              <w:t>G</w:t>
            </w:r>
            <w:r w:rsidR="006662A6" w:rsidRPr="00FF3347">
              <w:rPr>
                <w:rFonts w:eastAsia="Calibri" w:cs="Arial"/>
                <w:szCs w:val="20"/>
              </w:rPr>
              <w:t>ross domestic product</w:t>
            </w:r>
          </w:p>
        </w:tc>
      </w:tr>
      <w:tr w:rsidR="006662A6" w:rsidRPr="00A93E84" w14:paraId="5234C4E7" w14:textId="77777777" w:rsidTr="002F7289">
        <w:tc>
          <w:tcPr>
            <w:tcW w:w="1384" w:type="dxa"/>
          </w:tcPr>
          <w:p w14:paraId="57AB874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GW</w:t>
            </w:r>
          </w:p>
        </w:tc>
        <w:tc>
          <w:tcPr>
            <w:tcW w:w="7655" w:type="dxa"/>
          </w:tcPr>
          <w:p w14:paraId="6A72D3D0" w14:textId="47D3AB49" w:rsidR="006662A6" w:rsidRPr="00FF3347" w:rsidRDefault="00F37030" w:rsidP="000E6456">
            <w:pPr>
              <w:spacing w:before="60" w:after="60" w:line="240" w:lineRule="auto"/>
              <w:ind w:left="0"/>
              <w:jc w:val="left"/>
              <w:rPr>
                <w:rFonts w:eastAsia="Calibri" w:cs="Arial"/>
                <w:szCs w:val="20"/>
              </w:rPr>
            </w:pPr>
            <w:r>
              <w:rPr>
                <w:rFonts w:eastAsia="Calibri" w:cs="Arial"/>
                <w:szCs w:val="20"/>
              </w:rPr>
              <w:t>G</w:t>
            </w:r>
            <w:r w:rsidR="006662A6" w:rsidRPr="00FF3347">
              <w:rPr>
                <w:rFonts w:eastAsia="Calibri" w:cs="Arial"/>
                <w:szCs w:val="20"/>
              </w:rPr>
              <w:t>igawatt</w:t>
            </w:r>
          </w:p>
        </w:tc>
      </w:tr>
      <w:tr w:rsidR="006662A6" w:rsidRPr="00A93E84" w14:paraId="3B4483EB" w14:textId="77777777" w:rsidTr="002F7289">
        <w:tc>
          <w:tcPr>
            <w:tcW w:w="1384" w:type="dxa"/>
          </w:tcPr>
          <w:p w14:paraId="4D72B2CD"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GWh</w:t>
            </w:r>
          </w:p>
        </w:tc>
        <w:tc>
          <w:tcPr>
            <w:tcW w:w="7655" w:type="dxa"/>
          </w:tcPr>
          <w:p w14:paraId="444236FE" w14:textId="4BA93B69" w:rsidR="006662A6" w:rsidRPr="00FF3347" w:rsidRDefault="00F37030" w:rsidP="000E6456">
            <w:pPr>
              <w:spacing w:before="60" w:after="60" w:line="240" w:lineRule="auto"/>
              <w:ind w:left="0"/>
              <w:jc w:val="left"/>
              <w:rPr>
                <w:rFonts w:eastAsia="Calibri" w:cs="Arial"/>
                <w:szCs w:val="20"/>
              </w:rPr>
            </w:pPr>
            <w:r>
              <w:rPr>
                <w:rFonts w:eastAsia="Calibri" w:cs="Arial"/>
                <w:szCs w:val="20"/>
              </w:rPr>
              <w:t>G</w:t>
            </w:r>
            <w:r w:rsidR="006662A6" w:rsidRPr="00FF3347">
              <w:rPr>
                <w:rFonts w:eastAsia="Calibri" w:cs="Arial"/>
                <w:szCs w:val="20"/>
              </w:rPr>
              <w:t>igawatt hour</w:t>
            </w:r>
          </w:p>
        </w:tc>
      </w:tr>
      <w:tr w:rsidR="006662A6" w:rsidRPr="00A93E84" w14:paraId="5C1000CF" w14:textId="77777777" w:rsidTr="002F7289">
        <w:tc>
          <w:tcPr>
            <w:tcW w:w="1384" w:type="dxa"/>
          </w:tcPr>
          <w:p w14:paraId="4E859973"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HELE</w:t>
            </w:r>
          </w:p>
        </w:tc>
        <w:tc>
          <w:tcPr>
            <w:tcW w:w="7655" w:type="dxa"/>
          </w:tcPr>
          <w:p w14:paraId="765CAAC3" w14:textId="030B1693" w:rsidR="006662A6" w:rsidRPr="00FF3347" w:rsidRDefault="00F37030" w:rsidP="000E6456">
            <w:pPr>
              <w:spacing w:before="60" w:after="60" w:line="240" w:lineRule="auto"/>
              <w:ind w:left="0"/>
              <w:jc w:val="left"/>
              <w:rPr>
                <w:rFonts w:eastAsia="Calibri" w:cs="Arial"/>
                <w:szCs w:val="20"/>
              </w:rPr>
            </w:pPr>
            <w:r>
              <w:rPr>
                <w:rFonts w:eastAsia="Calibri" w:cs="Arial"/>
                <w:szCs w:val="20"/>
              </w:rPr>
              <w:t>H</w:t>
            </w:r>
            <w:r w:rsidR="006662A6" w:rsidRPr="00FF3347">
              <w:rPr>
                <w:rFonts w:eastAsia="Calibri" w:cs="Arial"/>
                <w:szCs w:val="20"/>
              </w:rPr>
              <w:t>igh efficiency, low emissions</w:t>
            </w:r>
          </w:p>
        </w:tc>
      </w:tr>
      <w:tr w:rsidR="006662A6" w:rsidRPr="00A93E84" w14:paraId="0AA2DA95" w14:textId="77777777" w:rsidTr="002F7289">
        <w:tc>
          <w:tcPr>
            <w:tcW w:w="1384" w:type="dxa"/>
          </w:tcPr>
          <w:p w14:paraId="6CFBFCB5"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HHV</w:t>
            </w:r>
          </w:p>
        </w:tc>
        <w:tc>
          <w:tcPr>
            <w:tcW w:w="7655" w:type="dxa"/>
          </w:tcPr>
          <w:p w14:paraId="1A1AA118" w14:textId="3DACF088" w:rsidR="006662A6" w:rsidRPr="00FF3347" w:rsidRDefault="00F37030" w:rsidP="000E6456">
            <w:pPr>
              <w:spacing w:before="60" w:after="60" w:line="240" w:lineRule="auto"/>
              <w:ind w:left="0"/>
              <w:jc w:val="left"/>
              <w:rPr>
                <w:rFonts w:eastAsia="Calibri" w:cs="Arial"/>
                <w:szCs w:val="20"/>
              </w:rPr>
            </w:pPr>
            <w:r>
              <w:rPr>
                <w:rFonts w:eastAsia="Calibri" w:cs="Arial"/>
                <w:szCs w:val="20"/>
              </w:rPr>
              <w:t>H</w:t>
            </w:r>
            <w:r w:rsidR="006662A6" w:rsidRPr="00FF3347">
              <w:rPr>
                <w:rFonts w:eastAsia="Calibri" w:cs="Arial"/>
                <w:szCs w:val="20"/>
              </w:rPr>
              <w:t>igher heating value</w:t>
            </w:r>
          </w:p>
        </w:tc>
      </w:tr>
      <w:tr w:rsidR="006662A6" w:rsidRPr="00A93E84" w14:paraId="61E8E89E" w14:textId="77777777" w:rsidTr="002F7289">
        <w:tc>
          <w:tcPr>
            <w:tcW w:w="1384" w:type="dxa"/>
          </w:tcPr>
          <w:p w14:paraId="24A836D6"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IEA</w:t>
            </w:r>
          </w:p>
        </w:tc>
        <w:tc>
          <w:tcPr>
            <w:tcW w:w="7655" w:type="dxa"/>
          </w:tcPr>
          <w:p w14:paraId="644C65C3"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International Energy Agency</w:t>
            </w:r>
          </w:p>
        </w:tc>
      </w:tr>
      <w:tr w:rsidR="006662A6" w:rsidRPr="00A93E84" w14:paraId="62F971F6" w14:textId="77777777" w:rsidTr="002F7289">
        <w:tc>
          <w:tcPr>
            <w:tcW w:w="1384" w:type="dxa"/>
          </w:tcPr>
          <w:p w14:paraId="3F30DC20"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IGCC</w:t>
            </w:r>
          </w:p>
        </w:tc>
        <w:tc>
          <w:tcPr>
            <w:tcW w:w="7655" w:type="dxa"/>
          </w:tcPr>
          <w:p w14:paraId="50799296" w14:textId="60494149" w:rsidR="006662A6" w:rsidRPr="00FF3347" w:rsidRDefault="00F37030" w:rsidP="000E6456">
            <w:pPr>
              <w:spacing w:before="60" w:after="60" w:line="240" w:lineRule="auto"/>
              <w:ind w:left="0"/>
              <w:jc w:val="left"/>
              <w:rPr>
                <w:rFonts w:eastAsia="Calibri" w:cs="Arial"/>
                <w:szCs w:val="20"/>
              </w:rPr>
            </w:pPr>
            <w:r>
              <w:rPr>
                <w:rFonts w:eastAsia="Calibri" w:cs="Arial"/>
                <w:szCs w:val="20"/>
              </w:rPr>
              <w:t>I</w:t>
            </w:r>
            <w:r w:rsidR="006662A6" w:rsidRPr="00FF3347">
              <w:rPr>
                <w:rFonts w:eastAsia="Calibri" w:cs="Arial"/>
                <w:szCs w:val="20"/>
              </w:rPr>
              <w:t>ntegrated gasification combined cycle</w:t>
            </w:r>
          </w:p>
        </w:tc>
      </w:tr>
      <w:tr w:rsidR="006662A6" w:rsidRPr="00A93E84" w14:paraId="32E79063" w14:textId="77777777" w:rsidTr="002F7289">
        <w:tc>
          <w:tcPr>
            <w:tcW w:w="1384" w:type="dxa"/>
          </w:tcPr>
          <w:p w14:paraId="1695D2AC"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INDC</w:t>
            </w:r>
          </w:p>
        </w:tc>
        <w:tc>
          <w:tcPr>
            <w:tcW w:w="7655" w:type="dxa"/>
          </w:tcPr>
          <w:p w14:paraId="0CBFBDF8" w14:textId="7BFEC3FF" w:rsidR="006662A6" w:rsidRPr="00FF3347" w:rsidRDefault="006662A6" w:rsidP="000E6456">
            <w:pPr>
              <w:spacing w:before="60" w:after="60" w:line="240" w:lineRule="auto"/>
              <w:ind w:left="0"/>
              <w:jc w:val="left"/>
              <w:rPr>
                <w:rFonts w:eastAsia="Calibri" w:cs="Arial"/>
                <w:szCs w:val="20"/>
              </w:rPr>
            </w:pPr>
            <w:r>
              <w:rPr>
                <w:rFonts w:eastAsia="Calibri" w:cs="Arial"/>
                <w:szCs w:val="20"/>
              </w:rPr>
              <w:t>Intended Nationally Determined Contribution</w:t>
            </w:r>
          </w:p>
        </w:tc>
      </w:tr>
      <w:tr w:rsidR="006662A6" w:rsidRPr="00A93E84" w14:paraId="4EBD8363" w14:textId="77777777" w:rsidTr="002F7289">
        <w:tc>
          <w:tcPr>
            <w:tcW w:w="1384" w:type="dxa"/>
          </w:tcPr>
          <w:p w14:paraId="74E336A2" w14:textId="41094E5B"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INR</w:t>
            </w:r>
          </w:p>
        </w:tc>
        <w:tc>
          <w:tcPr>
            <w:tcW w:w="7655" w:type="dxa"/>
          </w:tcPr>
          <w:p w14:paraId="4BB3E0A2" w14:textId="1D0FDF7D"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Indian Rupees</w:t>
            </w:r>
          </w:p>
        </w:tc>
      </w:tr>
      <w:tr w:rsidR="006662A6" w:rsidRPr="00A93E84" w14:paraId="2837F704" w14:textId="77777777" w:rsidTr="002F7289">
        <w:tc>
          <w:tcPr>
            <w:tcW w:w="1384" w:type="dxa"/>
          </w:tcPr>
          <w:p w14:paraId="789AEFC4"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kcal</w:t>
            </w:r>
          </w:p>
        </w:tc>
        <w:tc>
          <w:tcPr>
            <w:tcW w:w="7655" w:type="dxa"/>
          </w:tcPr>
          <w:p w14:paraId="6AED2F2E" w14:textId="708C0A50" w:rsidR="006662A6" w:rsidRPr="00FF3347" w:rsidRDefault="00F37030" w:rsidP="000E6456">
            <w:pPr>
              <w:spacing w:before="60" w:after="60" w:line="240" w:lineRule="auto"/>
              <w:ind w:left="0"/>
              <w:jc w:val="left"/>
              <w:rPr>
                <w:rFonts w:eastAsia="Calibri" w:cs="Arial"/>
                <w:szCs w:val="20"/>
              </w:rPr>
            </w:pPr>
            <w:r>
              <w:rPr>
                <w:rFonts w:eastAsia="Calibri" w:cs="Arial"/>
                <w:szCs w:val="20"/>
              </w:rPr>
              <w:t>K</w:t>
            </w:r>
            <w:r w:rsidR="006662A6" w:rsidRPr="00FF3347">
              <w:rPr>
                <w:rFonts w:eastAsia="Calibri" w:cs="Arial"/>
                <w:szCs w:val="20"/>
              </w:rPr>
              <w:t>ilocalorie</w:t>
            </w:r>
          </w:p>
        </w:tc>
      </w:tr>
      <w:tr w:rsidR="006662A6" w:rsidRPr="00A93E84" w14:paraId="6D848AA0" w14:textId="77777777" w:rsidTr="002F7289">
        <w:tc>
          <w:tcPr>
            <w:tcW w:w="1384" w:type="dxa"/>
          </w:tcPr>
          <w:p w14:paraId="060C1F4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kWh</w:t>
            </w:r>
          </w:p>
        </w:tc>
        <w:tc>
          <w:tcPr>
            <w:tcW w:w="7655" w:type="dxa"/>
          </w:tcPr>
          <w:p w14:paraId="1A19DEC9" w14:textId="460F7BA9" w:rsidR="006662A6" w:rsidRPr="00FF3347" w:rsidRDefault="00F37030" w:rsidP="000E6456">
            <w:pPr>
              <w:spacing w:before="60" w:after="60" w:line="240" w:lineRule="auto"/>
              <w:ind w:left="0"/>
              <w:jc w:val="left"/>
              <w:rPr>
                <w:rFonts w:eastAsia="Calibri" w:cs="Arial"/>
                <w:szCs w:val="20"/>
              </w:rPr>
            </w:pPr>
            <w:r>
              <w:rPr>
                <w:rFonts w:eastAsia="Calibri" w:cs="Arial"/>
                <w:szCs w:val="20"/>
              </w:rPr>
              <w:t>K</w:t>
            </w:r>
            <w:r w:rsidR="006662A6" w:rsidRPr="00FF3347">
              <w:rPr>
                <w:rFonts w:eastAsia="Calibri" w:cs="Arial"/>
                <w:szCs w:val="20"/>
              </w:rPr>
              <w:t>ilowatt hour</w:t>
            </w:r>
          </w:p>
        </w:tc>
      </w:tr>
      <w:tr w:rsidR="006662A6" w:rsidRPr="00A93E84" w14:paraId="019E06DE" w14:textId="77777777" w:rsidTr="002F7289">
        <w:tc>
          <w:tcPr>
            <w:tcW w:w="1384" w:type="dxa"/>
          </w:tcPr>
          <w:p w14:paraId="30FD4564" w14:textId="2BDE8932" w:rsidR="006662A6" w:rsidRPr="00FF3347" w:rsidRDefault="006662A6" w:rsidP="005C2F9D">
            <w:pPr>
              <w:spacing w:before="60" w:after="60" w:line="240" w:lineRule="auto"/>
              <w:ind w:left="0"/>
              <w:jc w:val="left"/>
              <w:rPr>
                <w:rFonts w:eastAsia="Calibri" w:cs="Arial"/>
                <w:szCs w:val="20"/>
              </w:rPr>
            </w:pPr>
            <w:r>
              <w:rPr>
                <w:rFonts w:eastAsia="Calibri" w:cs="Arial"/>
                <w:szCs w:val="20"/>
              </w:rPr>
              <w:t>LCOE</w:t>
            </w:r>
          </w:p>
        </w:tc>
        <w:tc>
          <w:tcPr>
            <w:tcW w:w="7655" w:type="dxa"/>
          </w:tcPr>
          <w:p w14:paraId="7F5BD8ED" w14:textId="1DAA9677" w:rsidR="006662A6" w:rsidRPr="00FF3347" w:rsidRDefault="006662A6" w:rsidP="005C2F9D">
            <w:pPr>
              <w:spacing w:before="60" w:after="60" w:line="240" w:lineRule="auto"/>
              <w:ind w:left="0"/>
              <w:jc w:val="left"/>
              <w:rPr>
                <w:rFonts w:eastAsia="Calibri" w:cs="Arial"/>
                <w:szCs w:val="20"/>
              </w:rPr>
            </w:pPr>
            <w:r>
              <w:rPr>
                <w:rFonts w:eastAsia="Calibri" w:cs="Arial"/>
                <w:szCs w:val="20"/>
              </w:rPr>
              <w:t>Levelised cost of electricity</w:t>
            </w:r>
          </w:p>
        </w:tc>
      </w:tr>
      <w:tr w:rsidR="006662A6" w:rsidRPr="00A93E84" w14:paraId="20DE43E9" w14:textId="77777777" w:rsidTr="002F7289">
        <w:tc>
          <w:tcPr>
            <w:tcW w:w="1384" w:type="dxa"/>
          </w:tcPr>
          <w:p w14:paraId="5D135D9D" w14:textId="65558A61" w:rsidR="006662A6" w:rsidRDefault="006662A6" w:rsidP="005C2F9D">
            <w:pPr>
              <w:spacing w:before="60" w:after="60" w:line="240" w:lineRule="auto"/>
              <w:ind w:left="0"/>
              <w:jc w:val="left"/>
              <w:rPr>
                <w:rFonts w:eastAsia="Calibri" w:cs="Arial"/>
                <w:szCs w:val="20"/>
              </w:rPr>
            </w:pPr>
            <w:r>
              <w:rPr>
                <w:rFonts w:eastAsia="Calibri" w:cs="Arial"/>
                <w:szCs w:val="20"/>
              </w:rPr>
              <w:t>VALCOE</w:t>
            </w:r>
          </w:p>
        </w:tc>
        <w:tc>
          <w:tcPr>
            <w:tcW w:w="7655" w:type="dxa"/>
          </w:tcPr>
          <w:p w14:paraId="4AFB2C46" w14:textId="345B03EF" w:rsidR="006662A6" w:rsidRDefault="006662A6" w:rsidP="005C2F9D">
            <w:pPr>
              <w:spacing w:before="60" w:after="60" w:line="240" w:lineRule="auto"/>
              <w:ind w:left="0"/>
              <w:jc w:val="left"/>
              <w:rPr>
                <w:rFonts w:eastAsia="Calibri" w:cs="Arial"/>
                <w:szCs w:val="20"/>
              </w:rPr>
            </w:pPr>
            <w:r>
              <w:rPr>
                <w:rFonts w:eastAsia="Calibri" w:cs="Arial"/>
                <w:szCs w:val="20"/>
              </w:rPr>
              <w:t>Value adjusted levelised cost of electricity</w:t>
            </w:r>
          </w:p>
        </w:tc>
      </w:tr>
      <w:tr w:rsidR="006662A6" w:rsidRPr="00A93E84" w14:paraId="50603DE4" w14:textId="77777777" w:rsidTr="002F7289">
        <w:tc>
          <w:tcPr>
            <w:tcW w:w="1384" w:type="dxa"/>
          </w:tcPr>
          <w:p w14:paraId="2E2B7152" w14:textId="07BF8C52" w:rsidR="006662A6" w:rsidRPr="00FF3347" w:rsidRDefault="006662A6" w:rsidP="005C2F9D">
            <w:pPr>
              <w:spacing w:before="60" w:after="60" w:line="240" w:lineRule="auto"/>
              <w:ind w:left="0"/>
              <w:jc w:val="left"/>
              <w:rPr>
                <w:rFonts w:eastAsia="Calibri" w:cs="Arial"/>
                <w:szCs w:val="20"/>
              </w:rPr>
            </w:pPr>
            <w:r>
              <w:rPr>
                <w:rFonts w:eastAsia="Calibri" w:cs="Arial"/>
                <w:szCs w:val="20"/>
              </w:rPr>
              <w:t>LNG</w:t>
            </w:r>
          </w:p>
        </w:tc>
        <w:tc>
          <w:tcPr>
            <w:tcW w:w="7655" w:type="dxa"/>
          </w:tcPr>
          <w:p w14:paraId="53A7331A" w14:textId="5A76D5F7" w:rsidR="006662A6" w:rsidRPr="00FF3347" w:rsidRDefault="006662A6" w:rsidP="005C2F9D">
            <w:pPr>
              <w:spacing w:before="60" w:after="60" w:line="240" w:lineRule="auto"/>
              <w:ind w:left="0"/>
              <w:jc w:val="left"/>
              <w:rPr>
                <w:rFonts w:eastAsia="Calibri" w:cs="Arial"/>
                <w:szCs w:val="20"/>
              </w:rPr>
            </w:pPr>
            <w:r>
              <w:rPr>
                <w:rFonts w:eastAsia="Calibri" w:cs="Arial"/>
                <w:szCs w:val="20"/>
              </w:rPr>
              <w:t>Liquefied Natural Gas</w:t>
            </w:r>
          </w:p>
        </w:tc>
      </w:tr>
      <w:tr w:rsidR="006662A6" w:rsidRPr="00A93E84" w14:paraId="5AB79F26" w14:textId="77777777" w:rsidTr="002F7289">
        <w:tc>
          <w:tcPr>
            <w:tcW w:w="1384" w:type="dxa"/>
          </w:tcPr>
          <w:p w14:paraId="10C71284"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MBtu</w:t>
            </w:r>
          </w:p>
        </w:tc>
        <w:tc>
          <w:tcPr>
            <w:tcW w:w="7655" w:type="dxa"/>
          </w:tcPr>
          <w:p w14:paraId="401E0521" w14:textId="418C42BF" w:rsidR="006662A6" w:rsidRPr="00FF3347" w:rsidRDefault="00F37030" w:rsidP="000E6456">
            <w:pPr>
              <w:spacing w:before="60" w:after="60" w:line="240" w:lineRule="auto"/>
              <w:ind w:left="0"/>
              <w:jc w:val="left"/>
              <w:rPr>
                <w:rFonts w:eastAsia="Calibri" w:cs="Arial"/>
                <w:szCs w:val="20"/>
              </w:rPr>
            </w:pPr>
            <w:r>
              <w:rPr>
                <w:rFonts w:eastAsia="Calibri" w:cs="Arial"/>
                <w:szCs w:val="20"/>
              </w:rPr>
              <w:t>M</w:t>
            </w:r>
            <w:r w:rsidR="006662A6" w:rsidRPr="00FF3347">
              <w:rPr>
                <w:rFonts w:eastAsia="Calibri" w:cs="Arial"/>
                <w:szCs w:val="20"/>
              </w:rPr>
              <w:t>illion British thermal units</w:t>
            </w:r>
          </w:p>
        </w:tc>
      </w:tr>
      <w:tr w:rsidR="006662A6" w:rsidRPr="00A93E84" w14:paraId="2742A207" w14:textId="77777777" w:rsidTr="002F7289">
        <w:tc>
          <w:tcPr>
            <w:tcW w:w="1384" w:type="dxa"/>
          </w:tcPr>
          <w:p w14:paraId="51615EAD"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METS</w:t>
            </w:r>
          </w:p>
        </w:tc>
        <w:tc>
          <w:tcPr>
            <w:tcW w:w="7655" w:type="dxa"/>
          </w:tcPr>
          <w:p w14:paraId="1F7A05F1" w14:textId="2A389569" w:rsidR="006662A6" w:rsidRPr="00FF3347" w:rsidRDefault="00F37030" w:rsidP="000E6456">
            <w:pPr>
              <w:spacing w:before="60" w:after="60" w:line="240" w:lineRule="auto"/>
              <w:ind w:left="0"/>
              <w:jc w:val="left"/>
              <w:rPr>
                <w:rFonts w:eastAsia="Calibri" w:cs="Arial"/>
                <w:szCs w:val="20"/>
              </w:rPr>
            </w:pPr>
            <w:r>
              <w:rPr>
                <w:rFonts w:eastAsia="Calibri" w:cs="Arial"/>
                <w:szCs w:val="20"/>
              </w:rPr>
              <w:t>M</w:t>
            </w:r>
            <w:r w:rsidR="006662A6" w:rsidRPr="00FF3347">
              <w:rPr>
                <w:rFonts w:eastAsia="Calibri" w:cs="Arial"/>
                <w:szCs w:val="20"/>
              </w:rPr>
              <w:t>ining equipment, technology and services</w:t>
            </w:r>
          </w:p>
        </w:tc>
      </w:tr>
      <w:tr w:rsidR="006662A6" w:rsidRPr="00A93E84" w14:paraId="08D4DDBE" w14:textId="77777777" w:rsidTr="002F7289">
        <w:tc>
          <w:tcPr>
            <w:tcW w:w="1384" w:type="dxa"/>
          </w:tcPr>
          <w:p w14:paraId="424EB837"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MNRE</w:t>
            </w:r>
          </w:p>
        </w:tc>
        <w:tc>
          <w:tcPr>
            <w:tcW w:w="7655" w:type="dxa"/>
          </w:tcPr>
          <w:p w14:paraId="60FDEF5E"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Ministry of New and Renewable Energy</w:t>
            </w:r>
          </w:p>
        </w:tc>
      </w:tr>
      <w:tr w:rsidR="006662A6" w:rsidRPr="00A93E84" w14:paraId="669D8AED" w14:textId="77777777" w:rsidTr="002F7289">
        <w:tc>
          <w:tcPr>
            <w:tcW w:w="1384" w:type="dxa"/>
          </w:tcPr>
          <w:p w14:paraId="694B6769"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MOC</w:t>
            </w:r>
          </w:p>
        </w:tc>
        <w:tc>
          <w:tcPr>
            <w:tcW w:w="7655" w:type="dxa"/>
          </w:tcPr>
          <w:p w14:paraId="0CCB197D"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Ministry of Coal</w:t>
            </w:r>
          </w:p>
        </w:tc>
      </w:tr>
      <w:tr w:rsidR="006662A6" w:rsidRPr="00A93E84" w14:paraId="74689A17" w14:textId="77777777" w:rsidTr="002F7289">
        <w:tc>
          <w:tcPr>
            <w:tcW w:w="1384" w:type="dxa"/>
          </w:tcPr>
          <w:p w14:paraId="44E7A0FB"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MOP</w:t>
            </w:r>
          </w:p>
        </w:tc>
        <w:tc>
          <w:tcPr>
            <w:tcW w:w="7655" w:type="dxa"/>
          </w:tcPr>
          <w:p w14:paraId="051792D5"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Ministry of Power</w:t>
            </w:r>
          </w:p>
        </w:tc>
      </w:tr>
      <w:tr w:rsidR="006662A6" w:rsidRPr="00A93E84" w14:paraId="46EDC7E1" w14:textId="77777777" w:rsidTr="002F7289">
        <w:tc>
          <w:tcPr>
            <w:tcW w:w="1384" w:type="dxa"/>
          </w:tcPr>
          <w:p w14:paraId="6BEC64B5"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lastRenderedPageBreak/>
              <w:t>MOPNG</w:t>
            </w:r>
          </w:p>
        </w:tc>
        <w:tc>
          <w:tcPr>
            <w:tcW w:w="7655" w:type="dxa"/>
          </w:tcPr>
          <w:p w14:paraId="66E0536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Ministry of Petroleum and Natural Gas</w:t>
            </w:r>
          </w:p>
        </w:tc>
      </w:tr>
      <w:tr w:rsidR="006662A6" w:rsidRPr="00A93E84" w14:paraId="23F9BEC7" w14:textId="77777777" w:rsidTr="002F7289">
        <w:tc>
          <w:tcPr>
            <w:tcW w:w="1384" w:type="dxa"/>
          </w:tcPr>
          <w:p w14:paraId="2B19D490"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Mtce</w:t>
            </w:r>
          </w:p>
        </w:tc>
        <w:tc>
          <w:tcPr>
            <w:tcW w:w="7655" w:type="dxa"/>
          </w:tcPr>
          <w:p w14:paraId="18FC5947" w14:textId="6012DCB2" w:rsidR="006662A6" w:rsidRPr="00FF3347" w:rsidRDefault="00F37030" w:rsidP="000E6456">
            <w:pPr>
              <w:spacing w:before="60" w:after="60" w:line="240" w:lineRule="auto"/>
              <w:ind w:left="0"/>
              <w:jc w:val="left"/>
              <w:rPr>
                <w:rFonts w:eastAsia="Calibri" w:cs="Arial"/>
                <w:szCs w:val="20"/>
              </w:rPr>
            </w:pPr>
            <w:r>
              <w:rPr>
                <w:rFonts w:eastAsia="Calibri" w:cs="Arial"/>
                <w:szCs w:val="20"/>
              </w:rPr>
              <w:t>M</w:t>
            </w:r>
            <w:r w:rsidR="006662A6" w:rsidRPr="00FF3347">
              <w:rPr>
                <w:rFonts w:eastAsia="Calibri" w:cs="Arial"/>
                <w:szCs w:val="20"/>
              </w:rPr>
              <w:t>illion tonnes of coal equivalent</w:t>
            </w:r>
          </w:p>
        </w:tc>
      </w:tr>
      <w:tr w:rsidR="006662A6" w:rsidRPr="00A93E84" w14:paraId="0023E309" w14:textId="77777777" w:rsidTr="002F7289">
        <w:tc>
          <w:tcPr>
            <w:tcW w:w="1384" w:type="dxa"/>
          </w:tcPr>
          <w:p w14:paraId="3F18A4CC"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Mtoe</w:t>
            </w:r>
          </w:p>
        </w:tc>
        <w:tc>
          <w:tcPr>
            <w:tcW w:w="7655" w:type="dxa"/>
          </w:tcPr>
          <w:p w14:paraId="2F76EB0B" w14:textId="72C2DC33" w:rsidR="006662A6" w:rsidRPr="00FF3347" w:rsidRDefault="00F37030" w:rsidP="000E6456">
            <w:pPr>
              <w:spacing w:before="60" w:after="60" w:line="240" w:lineRule="auto"/>
              <w:ind w:left="0"/>
              <w:jc w:val="left"/>
              <w:rPr>
                <w:rFonts w:eastAsia="Calibri" w:cs="Arial"/>
                <w:szCs w:val="20"/>
              </w:rPr>
            </w:pPr>
            <w:r>
              <w:rPr>
                <w:rFonts w:eastAsia="Calibri" w:cs="Arial"/>
                <w:szCs w:val="20"/>
              </w:rPr>
              <w:t>M</w:t>
            </w:r>
            <w:r w:rsidR="006662A6" w:rsidRPr="00FF3347">
              <w:rPr>
                <w:rFonts w:eastAsia="Calibri" w:cs="Arial"/>
                <w:szCs w:val="20"/>
              </w:rPr>
              <w:t>illion tonnes of oil equivalent</w:t>
            </w:r>
          </w:p>
        </w:tc>
      </w:tr>
      <w:tr w:rsidR="006662A6" w:rsidRPr="00A93E84" w14:paraId="480B5F99" w14:textId="77777777" w:rsidTr="002F7289">
        <w:tc>
          <w:tcPr>
            <w:tcW w:w="1384" w:type="dxa"/>
          </w:tcPr>
          <w:p w14:paraId="7BC9822B"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MW</w:t>
            </w:r>
          </w:p>
        </w:tc>
        <w:tc>
          <w:tcPr>
            <w:tcW w:w="7655" w:type="dxa"/>
          </w:tcPr>
          <w:p w14:paraId="7C93AAC6" w14:textId="7138F739" w:rsidR="006662A6" w:rsidRPr="00FF3347" w:rsidRDefault="00F37030" w:rsidP="000E6456">
            <w:pPr>
              <w:spacing w:before="60" w:after="60" w:line="240" w:lineRule="auto"/>
              <w:ind w:left="0"/>
              <w:jc w:val="left"/>
              <w:rPr>
                <w:rFonts w:eastAsia="Calibri" w:cs="Arial"/>
                <w:szCs w:val="20"/>
              </w:rPr>
            </w:pPr>
            <w:r>
              <w:rPr>
                <w:rFonts w:eastAsia="Calibri" w:cs="Arial"/>
                <w:szCs w:val="20"/>
              </w:rPr>
              <w:t>M</w:t>
            </w:r>
            <w:r w:rsidR="006662A6" w:rsidRPr="00FF3347">
              <w:rPr>
                <w:rFonts w:eastAsia="Calibri" w:cs="Arial"/>
                <w:szCs w:val="20"/>
              </w:rPr>
              <w:t>egawatt</w:t>
            </w:r>
          </w:p>
        </w:tc>
      </w:tr>
      <w:tr w:rsidR="006662A6" w:rsidRPr="00A93E84" w14:paraId="039998DB" w14:textId="77777777" w:rsidTr="002F7289">
        <w:tc>
          <w:tcPr>
            <w:tcW w:w="1384" w:type="dxa"/>
          </w:tcPr>
          <w:p w14:paraId="709FF9EE" w14:textId="6FF8912B" w:rsidR="006662A6" w:rsidRPr="00FF3347" w:rsidRDefault="006662A6">
            <w:pPr>
              <w:spacing w:before="60" w:after="60" w:line="240" w:lineRule="auto"/>
              <w:ind w:left="0"/>
              <w:jc w:val="left"/>
              <w:rPr>
                <w:rFonts w:eastAsia="Calibri" w:cs="Arial"/>
                <w:szCs w:val="20"/>
              </w:rPr>
            </w:pPr>
            <w:r>
              <w:rPr>
                <w:rFonts w:eastAsia="Calibri" w:cs="Arial"/>
                <w:szCs w:val="20"/>
              </w:rPr>
              <w:t>NDC</w:t>
            </w:r>
          </w:p>
        </w:tc>
        <w:tc>
          <w:tcPr>
            <w:tcW w:w="7655" w:type="dxa"/>
          </w:tcPr>
          <w:p w14:paraId="444419AB" w14:textId="6D707678" w:rsidR="006662A6" w:rsidRPr="00FF3347" w:rsidRDefault="006662A6">
            <w:pPr>
              <w:spacing w:before="60" w:after="60" w:line="240" w:lineRule="auto"/>
              <w:ind w:left="0"/>
              <w:jc w:val="left"/>
              <w:rPr>
                <w:rFonts w:eastAsia="Calibri" w:cs="Arial"/>
                <w:szCs w:val="20"/>
              </w:rPr>
            </w:pPr>
            <w:r>
              <w:rPr>
                <w:rFonts w:eastAsia="Calibri" w:cs="Arial"/>
                <w:szCs w:val="20"/>
              </w:rPr>
              <w:t>Nationally Determined Contribution</w:t>
            </w:r>
          </w:p>
        </w:tc>
      </w:tr>
      <w:tr w:rsidR="006662A6" w:rsidRPr="00A93E84" w14:paraId="78E894D1" w14:textId="77777777" w:rsidTr="002F7289">
        <w:tc>
          <w:tcPr>
            <w:tcW w:w="1384" w:type="dxa"/>
          </w:tcPr>
          <w:p w14:paraId="775F392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NEEPCO</w:t>
            </w:r>
          </w:p>
        </w:tc>
        <w:tc>
          <w:tcPr>
            <w:tcW w:w="7655" w:type="dxa"/>
          </w:tcPr>
          <w:p w14:paraId="1B21C0A7"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North Eastern Electric Power Corporation</w:t>
            </w:r>
          </w:p>
        </w:tc>
      </w:tr>
      <w:tr w:rsidR="006662A6" w:rsidRPr="00A93E84" w14:paraId="50C8CE40" w14:textId="77777777" w:rsidTr="002F7289">
        <w:tc>
          <w:tcPr>
            <w:tcW w:w="1384" w:type="dxa"/>
          </w:tcPr>
          <w:p w14:paraId="0DA20114"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NHPC</w:t>
            </w:r>
          </w:p>
        </w:tc>
        <w:tc>
          <w:tcPr>
            <w:tcW w:w="7655" w:type="dxa"/>
          </w:tcPr>
          <w:p w14:paraId="1B100627"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National Hydroelectric Power Corporation</w:t>
            </w:r>
          </w:p>
        </w:tc>
      </w:tr>
      <w:tr w:rsidR="006662A6" w:rsidRPr="00A93E84" w14:paraId="051AEB96" w14:textId="77777777" w:rsidTr="002F7289">
        <w:tc>
          <w:tcPr>
            <w:tcW w:w="1384" w:type="dxa"/>
          </w:tcPr>
          <w:p w14:paraId="429D3D0C"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NITI</w:t>
            </w:r>
          </w:p>
        </w:tc>
        <w:tc>
          <w:tcPr>
            <w:tcW w:w="7655" w:type="dxa"/>
          </w:tcPr>
          <w:p w14:paraId="253BE05C"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National Institution for Transforming India</w:t>
            </w:r>
          </w:p>
        </w:tc>
      </w:tr>
      <w:tr w:rsidR="006662A6" w:rsidRPr="00A93E84" w14:paraId="4C46A3E9" w14:textId="77777777" w:rsidTr="002F7289">
        <w:tc>
          <w:tcPr>
            <w:tcW w:w="1384" w:type="dxa"/>
          </w:tcPr>
          <w:p w14:paraId="74CC9BE0"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NPS</w:t>
            </w:r>
          </w:p>
        </w:tc>
        <w:tc>
          <w:tcPr>
            <w:tcW w:w="7655" w:type="dxa"/>
          </w:tcPr>
          <w:p w14:paraId="6884DE07" w14:textId="1C8CD2DC" w:rsidR="006662A6" w:rsidRPr="00FF3347" w:rsidRDefault="00F37030" w:rsidP="000E6456">
            <w:pPr>
              <w:spacing w:before="60" w:after="60" w:line="240" w:lineRule="auto"/>
              <w:ind w:left="0"/>
              <w:jc w:val="left"/>
              <w:rPr>
                <w:rFonts w:eastAsia="Calibri" w:cs="Arial"/>
                <w:szCs w:val="20"/>
              </w:rPr>
            </w:pPr>
            <w:r>
              <w:rPr>
                <w:rFonts w:eastAsia="Calibri" w:cs="Arial"/>
                <w:szCs w:val="20"/>
              </w:rPr>
              <w:t>N</w:t>
            </w:r>
            <w:r w:rsidR="00A578FE">
              <w:rPr>
                <w:rFonts w:eastAsia="Calibri" w:cs="Arial"/>
                <w:szCs w:val="20"/>
              </w:rPr>
              <w:t>ew Policies S</w:t>
            </w:r>
            <w:r w:rsidR="006662A6" w:rsidRPr="00FF3347">
              <w:rPr>
                <w:rFonts w:eastAsia="Calibri" w:cs="Arial"/>
                <w:szCs w:val="20"/>
              </w:rPr>
              <w:t>cenario</w:t>
            </w:r>
          </w:p>
        </w:tc>
      </w:tr>
      <w:tr w:rsidR="006662A6" w:rsidRPr="00A93E84" w14:paraId="499AE92F" w14:textId="77777777" w:rsidTr="002F7289">
        <w:tc>
          <w:tcPr>
            <w:tcW w:w="1384" w:type="dxa"/>
          </w:tcPr>
          <w:p w14:paraId="4D0AF4AA"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NTPC</w:t>
            </w:r>
          </w:p>
        </w:tc>
        <w:tc>
          <w:tcPr>
            <w:tcW w:w="7655" w:type="dxa"/>
          </w:tcPr>
          <w:p w14:paraId="3859017D"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National Thermal Power Corporation</w:t>
            </w:r>
          </w:p>
        </w:tc>
      </w:tr>
      <w:tr w:rsidR="006662A6" w:rsidRPr="00A93E84" w14:paraId="6F240E50" w14:textId="77777777" w:rsidTr="002F7289">
        <w:tc>
          <w:tcPr>
            <w:tcW w:w="1384" w:type="dxa"/>
          </w:tcPr>
          <w:p w14:paraId="56F08292"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OECD</w:t>
            </w:r>
          </w:p>
        </w:tc>
        <w:tc>
          <w:tcPr>
            <w:tcW w:w="7655" w:type="dxa"/>
          </w:tcPr>
          <w:p w14:paraId="63CDF45A"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Organisation for Economic Co-operation and Development</w:t>
            </w:r>
          </w:p>
        </w:tc>
      </w:tr>
      <w:tr w:rsidR="006662A6" w:rsidRPr="00A93E84" w14:paraId="6F3F9D8C" w14:textId="77777777" w:rsidTr="002F7289">
        <w:tc>
          <w:tcPr>
            <w:tcW w:w="1384" w:type="dxa"/>
          </w:tcPr>
          <w:p w14:paraId="5546094C"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PCC</w:t>
            </w:r>
          </w:p>
        </w:tc>
        <w:tc>
          <w:tcPr>
            <w:tcW w:w="7655" w:type="dxa"/>
          </w:tcPr>
          <w:p w14:paraId="7ADF9AB9" w14:textId="538C8A4E" w:rsidR="006662A6" w:rsidRPr="00FF3347" w:rsidRDefault="00F37030" w:rsidP="000E6456">
            <w:pPr>
              <w:spacing w:before="60" w:after="60" w:line="240" w:lineRule="auto"/>
              <w:ind w:left="0"/>
              <w:jc w:val="left"/>
              <w:rPr>
                <w:rFonts w:eastAsia="Calibri" w:cs="Arial"/>
                <w:szCs w:val="20"/>
              </w:rPr>
            </w:pPr>
            <w:r>
              <w:rPr>
                <w:rFonts w:eastAsia="Calibri" w:cs="Arial"/>
                <w:szCs w:val="20"/>
              </w:rPr>
              <w:t>P</w:t>
            </w:r>
            <w:r w:rsidR="006662A6" w:rsidRPr="00FF3347">
              <w:rPr>
                <w:rFonts w:eastAsia="Calibri" w:cs="Arial"/>
                <w:szCs w:val="20"/>
              </w:rPr>
              <w:t>ulverised coal combustion</w:t>
            </w:r>
          </w:p>
        </w:tc>
      </w:tr>
      <w:tr w:rsidR="006662A6" w:rsidRPr="00A93E84" w14:paraId="0A7CB51B" w14:textId="77777777" w:rsidTr="002F7289">
        <w:tc>
          <w:tcPr>
            <w:tcW w:w="1384" w:type="dxa"/>
          </w:tcPr>
          <w:p w14:paraId="2090F4CC" w14:textId="43665545" w:rsidR="006662A6" w:rsidRPr="00FF3347" w:rsidRDefault="006662A6" w:rsidP="000E6456">
            <w:pPr>
              <w:spacing w:before="60" w:after="60" w:line="240" w:lineRule="auto"/>
              <w:ind w:left="0"/>
              <w:jc w:val="left"/>
              <w:rPr>
                <w:rFonts w:eastAsia="Calibri" w:cs="Arial"/>
                <w:szCs w:val="20"/>
              </w:rPr>
            </w:pPr>
            <w:r>
              <w:rPr>
                <w:rFonts w:eastAsia="Calibri" w:cs="Arial"/>
                <w:szCs w:val="20"/>
              </w:rPr>
              <w:t>PPA</w:t>
            </w:r>
          </w:p>
        </w:tc>
        <w:tc>
          <w:tcPr>
            <w:tcW w:w="7655" w:type="dxa"/>
          </w:tcPr>
          <w:p w14:paraId="740BF9D7" w14:textId="6C1A898A" w:rsidR="006662A6" w:rsidRPr="00FF3347" w:rsidRDefault="006662A6" w:rsidP="000E6456">
            <w:pPr>
              <w:spacing w:before="60" w:after="60" w:line="240" w:lineRule="auto"/>
              <w:ind w:left="0"/>
              <w:jc w:val="left"/>
              <w:rPr>
                <w:rFonts w:eastAsia="Calibri" w:cs="Arial"/>
                <w:szCs w:val="20"/>
              </w:rPr>
            </w:pPr>
            <w:r>
              <w:rPr>
                <w:rFonts w:eastAsia="Calibri" w:cs="Arial"/>
                <w:szCs w:val="20"/>
              </w:rPr>
              <w:t xml:space="preserve">Power Purchase Agreement. A contract between the power generator (seller) and distribution company (buyer) </w:t>
            </w:r>
          </w:p>
        </w:tc>
      </w:tr>
      <w:tr w:rsidR="006662A6" w:rsidRPr="00A93E84" w14:paraId="6E4A5ADD" w14:textId="77777777" w:rsidTr="002F7289">
        <w:tc>
          <w:tcPr>
            <w:tcW w:w="1384" w:type="dxa"/>
          </w:tcPr>
          <w:p w14:paraId="768BE4E3"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PSU</w:t>
            </w:r>
          </w:p>
        </w:tc>
        <w:tc>
          <w:tcPr>
            <w:tcW w:w="7655" w:type="dxa"/>
          </w:tcPr>
          <w:p w14:paraId="6FD8E15B" w14:textId="51E36D08" w:rsidR="006662A6" w:rsidRPr="00FF3347" w:rsidRDefault="00F37030" w:rsidP="000E6456">
            <w:pPr>
              <w:spacing w:before="60" w:after="60" w:line="240" w:lineRule="auto"/>
              <w:ind w:left="0"/>
              <w:jc w:val="left"/>
              <w:rPr>
                <w:rFonts w:eastAsia="Calibri" w:cs="Arial"/>
                <w:szCs w:val="20"/>
              </w:rPr>
            </w:pPr>
            <w:r>
              <w:rPr>
                <w:rFonts w:eastAsia="Calibri" w:cs="Arial"/>
                <w:szCs w:val="20"/>
              </w:rPr>
              <w:t>P</w:t>
            </w:r>
            <w:r w:rsidR="006662A6" w:rsidRPr="00FF3347">
              <w:rPr>
                <w:rFonts w:eastAsia="Calibri" w:cs="Arial"/>
                <w:szCs w:val="20"/>
              </w:rPr>
              <w:t>ublic sector undertaking</w:t>
            </w:r>
          </w:p>
        </w:tc>
      </w:tr>
      <w:tr w:rsidR="006662A6" w:rsidRPr="00A93E84" w14:paraId="14E13013" w14:textId="77777777" w:rsidTr="002F7289">
        <w:tc>
          <w:tcPr>
            <w:tcW w:w="1384" w:type="dxa"/>
          </w:tcPr>
          <w:p w14:paraId="358CC566"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PV</w:t>
            </w:r>
          </w:p>
        </w:tc>
        <w:tc>
          <w:tcPr>
            <w:tcW w:w="7655" w:type="dxa"/>
          </w:tcPr>
          <w:p w14:paraId="747DB04B" w14:textId="0EDFB468" w:rsidR="006662A6" w:rsidRPr="00FF3347" w:rsidRDefault="00F37030" w:rsidP="000E6456">
            <w:pPr>
              <w:spacing w:before="60" w:after="60" w:line="240" w:lineRule="auto"/>
              <w:ind w:left="0"/>
              <w:jc w:val="left"/>
              <w:rPr>
                <w:rFonts w:eastAsia="Calibri" w:cs="Arial"/>
                <w:szCs w:val="20"/>
              </w:rPr>
            </w:pPr>
            <w:r>
              <w:rPr>
                <w:rFonts w:eastAsia="Calibri" w:cs="Arial"/>
                <w:szCs w:val="20"/>
              </w:rPr>
              <w:t>P</w:t>
            </w:r>
            <w:r w:rsidR="006662A6" w:rsidRPr="00FF3347">
              <w:rPr>
                <w:rFonts w:eastAsia="Calibri" w:cs="Arial"/>
                <w:szCs w:val="20"/>
              </w:rPr>
              <w:t>hotovoltaic</w:t>
            </w:r>
          </w:p>
        </w:tc>
      </w:tr>
      <w:tr w:rsidR="006662A6" w:rsidRPr="00A93E84" w14:paraId="194002E4" w14:textId="77777777" w:rsidTr="002F7289">
        <w:tc>
          <w:tcPr>
            <w:tcW w:w="1384" w:type="dxa"/>
          </w:tcPr>
          <w:p w14:paraId="4ED44AAF" w14:textId="04922321" w:rsidR="006662A6" w:rsidRPr="00FF3347" w:rsidRDefault="006662A6" w:rsidP="005C2F9D">
            <w:pPr>
              <w:spacing w:before="60" w:after="60" w:line="240" w:lineRule="auto"/>
              <w:ind w:left="0"/>
              <w:jc w:val="left"/>
              <w:rPr>
                <w:rFonts w:eastAsia="Calibri" w:cs="Arial"/>
                <w:szCs w:val="20"/>
              </w:rPr>
            </w:pPr>
            <w:r>
              <w:rPr>
                <w:rFonts w:eastAsia="Calibri" w:cs="Arial"/>
                <w:szCs w:val="20"/>
              </w:rPr>
              <w:t>R&amp;D</w:t>
            </w:r>
          </w:p>
        </w:tc>
        <w:tc>
          <w:tcPr>
            <w:tcW w:w="7655" w:type="dxa"/>
          </w:tcPr>
          <w:p w14:paraId="4141ED79" w14:textId="755A4C0D" w:rsidR="006662A6" w:rsidRPr="00FF3347" w:rsidRDefault="006662A6" w:rsidP="005C2F9D">
            <w:pPr>
              <w:spacing w:before="60" w:after="60" w:line="240" w:lineRule="auto"/>
              <w:ind w:left="0"/>
              <w:jc w:val="left"/>
              <w:rPr>
                <w:rFonts w:eastAsia="Calibri" w:cs="Arial"/>
                <w:szCs w:val="20"/>
              </w:rPr>
            </w:pPr>
            <w:r>
              <w:rPr>
                <w:rFonts w:eastAsia="Calibri" w:cs="Arial"/>
                <w:szCs w:val="20"/>
              </w:rPr>
              <w:t>Research and development</w:t>
            </w:r>
          </w:p>
        </w:tc>
      </w:tr>
      <w:tr w:rsidR="006662A6" w:rsidRPr="00A93E84" w14:paraId="53D9C1B9" w14:textId="77777777" w:rsidTr="002F7289">
        <w:tc>
          <w:tcPr>
            <w:tcW w:w="1384" w:type="dxa"/>
          </w:tcPr>
          <w:p w14:paraId="1DFE0213"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ROM</w:t>
            </w:r>
          </w:p>
        </w:tc>
        <w:tc>
          <w:tcPr>
            <w:tcW w:w="7655" w:type="dxa"/>
          </w:tcPr>
          <w:p w14:paraId="34A25D15" w14:textId="31E1E6AA" w:rsidR="006662A6" w:rsidRPr="00FF3347" w:rsidRDefault="00F37030" w:rsidP="000E6456">
            <w:pPr>
              <w:spacing w:before="60" w:after="60" w:line="240" w:lineRule="auto"/>
              <w:ind w:left="0"/>
              <w:jc w:val="left"/>
              <w:rPr>
                <w:rFonts w:eastAsia="Calibri" w:cs="Arial"/>
                <w:szCs w:val="20"/>
              </w:rPr>
            </w:pPr>
            <w:r>
              <w:rPr>
                <w:rFonts w:eastAsia="Calibri" w:cs="Arial"/>
                <w:szCs w:val="20"/>
              </w:rPr>
              <w:t>R</w:t>
            </w:r>
            <w:r w:rsidR="006662A6" w:rsidRPr="00FF3347">
              <w:rPr>
                <w:rFonts w:eastAsia="Calibri" w:cs="Arial"/>
                <w:szCs w:val="20"/>
              </w:rPr>
              <w:t>un of mine</w:t>
            </w:r>
          </w:p>
        </w:tc>
      </w:tr>
      <w:tr w:rsidR="006662A6" w:rsidRPr="00A93E84" w14:paraId="501FB3B2" w14:textId="77777777" w:rsidTr="002F7289">
        <w:tc>
          <w:tcPr>
            <w:tcW w:w="1384" w:type="dxa"/>
          </w:tcPr>
          <w:p w14:paraId="63E9C0E7"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SCCL</w:t>
            </w:r>
          </w:p>
        </w:tc>
        <w:tc>
          <w:tcPr>
            <w:tcW w:w="7655" w:type="dxa"/>
          </w:tcPr>
          <w:p w14:paraId="199A50F0"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Singareni Collieries Company Limited</w:t>
            </w:r>
          </w:p>
        </w:tc>
      </w:tr>
      <w:tr w:rsidR="00EE2AA8" w:rsidRPr="00A93E84" w14:paraId="26919E88" w14:textId="77777777" w:rsidTr="002F7289">
        <w:tc>
          <w:tcPr>
            <w:tcW w:w="1384" w:type="dxa"/>
          </w:tcPr>
          <w:p w14:paraId="6AE02ECB" w14:textId="5F812247" w:rsidR="00EE2AA8" w:rsidRPr="00FF3347" w:rsidRDefault="00EE2AA8" w:rsidP="000E6456">
            <w:pPr>
              <w:spacing w:before="60" w:after="60" w:line="240" w:lineRule="auto"/>
              <w:ind w:left="0"/>
              <w:jc w:val="left"/>
              <w:rPr>
                <w:rFonts w:eastAsia="Calibri" w:cs="Arial"/>
                <w:szCs w:val="20"/>
              </w:rPr>
            </w:pPr>
            <w:r>
              <w:rPr>
                <w:rFonts w:eastAsia="Calibri" w:cs="Arial"/>
                <w:szCs w:val="20"/>
              </w:rPr>
              <w:t>SDS</w:t>
            </w:r>
          </w:p>
        </w:tc>
        <w:tc>
          <w:tcPr>
            <w:tcW w:w="7655" w:type="dxa"/>
          </w:tcPr>
          <w:p w14:paraId="35700C38" w14:textId="780CE378" w:rsidR="00EE2AA8" w:rsidRPr="00FF3347" w:rsidRDefault="00EE2AA8" w:rsidP="000E6456">
            <w:pPr>
              <w:spacing w:before="60" w:after="60" w:line="240" w:lineRule="auto"/>
              <w:ind w:left="0"/>
              <w:jc w:val="left"/>
              <w:rPr>
                <w:rFonts w:eastAsia="Calibri" w:cs="Arial"/>
                <w:szCs w:val="20"/>
              </w:rPr>
            </w:pPr>
            <w:r>
              <w:rPr>
                <w:rFonts w:eastAsia="Calibri" w:cs="Arial"/>
                <w:szCs w:val="20"/>
              </w:rPr>
              <w:t>Sustainable Development Scenario</w:t>
            </w:r>
          </w:p>
        </w:tc>
      </w:tr>
      <w:tr w:rsidR="006662A6" w:rsidRPr="00A93E84" w14:paraId="50058E10" w14:textId="77777777" w:rsidTr="002F7289">
        <w:tc>
          <w:tcPr>
            <w:tcW w:w="1384" w:type="dxa"/>
          </w:tcPr>
          <w:p w14:paraId="6B3D8974"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TJ</w:t>
            </w:r>
          </w:p>
        </w:tc>
        <w:tc>
          <w:tcPr>
            <w:tcW w:w="7655" w:type="dxa"/>
          </w:tcPr>
          <w:p w14:paraId="32CF2685" w14:textId="4892E44A" w:rsidR="006662A6" w:rsidRPr="00FF3347" w:rsidRDefault="00F37030" w:rsidP="000E6456">
            <w:pPr>
              <w:spacing w:before="60" w:after="60" w:line="240" w:lineRule="auto"/>
              <w:ind w:left="0"/>
              <w:jc w:val="left"/>
              <w:rPr>
                <w:rFonts w:eastAsia="Calibri" w:cs="Arial"/>
                <w:szCs w:val="20"/>
              </w:rPr>
            </w:pPr>
            <w:r>
              <w:rPr>
                <w:rFonts w:eastAsia="Calibri" w:cs="Arial"/>
                <w:szCs w:val="20"/>
              </w:rPr>
              <w:t>T</w:t>
            </w:r>
            <w:r w:rsidR="006662A6" w:rsidRPr="00FF3347">
              <w:rPr>
                <w:rFonts w:eastAsia="Calibri" w:cs="Arial"/>
                <w:szCs w:val="20"/>
              </w:rPr>
              <w:t>erajoule</w:t>
            </w:r>
          </w:p>
        </w:tc>
      </w:tr>
      <w:tr w:rsidR="006662A6" w:rsidRPr="00A93E84" w14:paraId="025E947D" w14:textId="77777777" w:rsidTr="002F7289">
        <w:tc>
          <w:tcPr>
            <w:tcW w:w="1384" w:type="dxa"/>
          </w:tcPr>
          <w:p w14:paraId="0027DC2D"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TWh</w:t>
            </w:r>
          </w:p>
        </w:tc>
        <w:tc>
          <w:tcPr>
            <w:tcW w:w="7655" w:type="dxa"/>
          </w:tcPr>
          <w:p w14:paraId="14364E17" w14:textId="164E94BA" w:rsidR="006662A6" w:rsidRPr="00FF3347" w:rsidRDefault="00F37030" w:rsidP="000E6456">
            <w:pPr>
              <w:spacing w:before="60" w:after="60" w:line="240" w:lineRule="auto"/>
              <w:ind w:left="0"/>
              <w:jc w:val="left"/>
              <w:rPr>
                <w:rFonts w:eastAsia="Calibri" w:cs="Arial"/>
                <w:szCs w:val="20"/>
              </w:rPr>
            </w:pPr>
            <w:r>
              <w:rPr>
                <w:rFonts w:eastAsia="Calibri" w:cs="Arial"/>
                <w:szCs w:val="20"/>
              </w:rPr>
              <w:t>T</w:t>
            </w:r>
            <w:r w:rsidR="006662A6" w:rsidRPr="00FF3347">
              <w:rPr>
                <w:rFonts w:eastAsia="Calibri" w:cs="Arial"/>
                <w:szCs w:val="20"/>
              </w:rPr>
              <w:t>erawatt hour</w:t>
            </w:r>
          </w:p>
        </w:tc>
      </w:tr>
      <w:tr w:rsidR="006662A6" w:rsidRPr="00A93E84" w14:paraId="15A40901" w14:textId="77777777" w:rsidTr="002F7289">
        <w:tc>
          <w:tcPr>
            <w:tcW w:w="1384" w:type="dxa"/>
          </w:tcPr>
          <w:p w14:paraId="01732FE0"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UHV</w:t>
            </w:r>
          </w:p>
        </w:tc>
        <w:tc>
          <w:tcPr>
            <w:tcW w:w="7655" w:type="dxa"/>
          </w:tcPr>
          <w:p w14:paraId="3B004D58" w14:textId="6A7BCA1D" w:rsidR="006662A6" w:rsidRPr="00FF3347" w:rsidRDefault="00F37030" w:rsidP="000E6456">
            <w:pPr>
              <w:spacing w:before="60" w:after="60" w:line="240" w:lineRule="auto"/>
              <w:ind w:left="0"/>
              <w:jc w:val="left"/>
              <w:rPr>
                <w:rFonts w:eastAsia="Calibri" w:cs="Arial"/>
                <w:szCs w:val="20"/>
              </w:rPr>
            </w:pPr>
            <w:r>
              <w:rPr>
                <w:rFonts w:eastAsia="Calibri" w:cs="Arial"/>
                <w:szCs w:val="20"/>
              </w:rPr>
              <w:t>U</w:t>
            </w:r>
            <w:r w:rsidR="006662A6" w:rsidRPr="00FF3347">
              <w:rPr>
                <w:rFonts w:eastAsia="Calibri" w:cs="Arial"/>
                <w:szCs w:val="20"/>
              </w:rPr>
              <w:t>seful heating value</w:t>
            </w:r>
          </w:p>
        </w:tc>
      </w:tr>
      <w:tr w:rsidR="006662A6" w:rsidRPr="00A93E84" w14:paraId="226EDCDE" w14:textId="77777777" w:rsidTr="002F7289">
        <w:tc>
          <w:tcPr>
            <w:tcW w:w="1384" w:type="dxa"/>
          </w:tcPr>
          <w:p w14:paraId="50FA34A4"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UMPP</w:t>
            </w:r>
          </w:p>
        </w:tc>
        <w:tc>
          <w:tcPr>
            <w:tcW w:w="7655" w:type="dxa"/>
          </w:tcPr>
          <w:p w14:paraId="29C26A25" w14:textId="78721A4D" w:rsidR="006662A6" w:rsidRPr="00FF3347" w:rsidRDefault="00F37030" w:rsidP="000E6456">
            <w:pPr>
              <w:spacing w:before="60" w:after="60" w:line="240" w:lineRule="auto"/>
              <w:ind w:left="0"/>
              <w:jc w:val="left"/>
              <w:rPr>
                <w:rFonts w:eastAsia="Calibri" w:cs="Arial"/>
                <w:szCs w:val="20"/>
              </w:rPr>
            </w:pPr>
            <w:r>
              <w:rPr>
                <w:rFonts w:eastAsia="Calibri" w:cs="Arial"/>
                <w:szCs w:val="20"/>
              </w:rPr>
              <w:t>U</w:t>
            </w:r>
            <w:r w:rsidR="006662A6">
              <w:rPr>
                <w:rFonts w:eastAsia="Calibri" w:cs="Arial"/>
                <w:szCs w:val="20"/>
              </w:rPr>
              <w:t>ltra-</w:t>
            </w:r>
            <w:r w:rsidR="006662A6" w:rsidRPr="00FF3347">
              <w:rPr>
                <w:rFonts w:eastAsia="Calibri" w:cs="Arial"/>
                <w:szCs w:val="20"/>
              </w:rPr>
              <w:t>mega power plant</w:t>
            </w:r>
          </w:p>
        </w:tc>
      </w:tr>
      <w:tr w:rsidR="006662A6" w:rsidRPr="00A93E84" w14:paraId="5CF073D2" w14:textId="77777777" w:rsidTr="002F7289">
        <w:tc>
          <w:tcPr>
            <w:tcW w:w="1384" w:type="dxa"/>
          </w:tcPr>
          <w:p w14:paraId="121BF8CF"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UNFCC</w:t>
            </w:r>
          </w:p>
        </w:tc>
        <w:tc>
          <w:tcPr>
            <w:tcW w:w="7655" w:type="dxa"/>
          </w:tcPr>
          <w:p w14:paraId="5624CD9A"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United Nations Framework Convention on Climate Change</w:t>
            </w:r>
          </w:p>
        </w:tc>
      </w:tr>
      <w:tr w:rsidR="006662A6" w:rsidRPr="00A93E84" w14:paraId="58B5C8CE" w14:textId="77777777" w:rsidTr="002F7289">
        <w:tc>
          <w:tcPr>
            <w:tcW w:w="1384" w:type="dxa"/>
          </w:tcPr>
          <w:p w14:paraId="0F982831"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USC</w:t>
            </w:r>
          </w:p>
        </w:tc>
        <w:tc>
          <w:tcPr>
            <w:tcW w:w="7655" w:type="dxa"/>
          </w:tcPr>
          <w:p w14:paraId="5B4A9EAA" w14:textId="75F79935" w:rsidR="006662A6" w:rsidRPr="00FF3347" w:rsidRDefault="00F37030" w:rsidP="000E6456">
            <w:pPr>
              <w:spacing w:before="60" w:after="60" w:line="240" w:lineRule="auto"/>
              <w:ind w:left="0"/>
              <w:jc w:val="left"/>
              <w:rPr>
                <w:rFonts w:eastAsia="Calibri" w:cs="Arial"/>
                <w:szCs w:val="20"/>
              </w:rPr>
            </w:pPr>
            <w:r>
              <w:rPr>
                <w:rFonts w:eastAsia="Calibri" w:cs="Arial"/>
                <w:szCs w:val="20"/>
              </w:rPr>
              <w:t>U</w:t>
            </w:r>
            <w:r w:rsidR="006662A6" w:rsidRPr="00FF3347">
              <w:rPr>
                <w:rFonts w:eastAsia="Calibri" w:cs="Arial"/>
                <w:szCs w:val="20"/>
              </w:rPr>
              <w:t>ltra-supercritical</w:t>
            </w:r>
          </w:p>
        </w:tc>
      </w:tr>
      <w:tr w:rsidR="006662A6" w:rsidRPr="00A93E84" w14:paraId="4D57FCC0" w14:textId="77777777" w:rsidTr="002F7289">
        <w:tc>
          <w:tcPr>
            <w:tcW w:w="1384" w:type="dxa"/>
          </w:tcPr>
          <w:p w14:paraId="50E57A00" w14:textId="77777777" w:rsidR="006662A6" w:rsidRPr="00FF3347" w:rsidRDefault="006662A6" w:rsidP="000E6456">
            <w:pPr>
              <w:spacing w:before="60" w:after="60" w:line="240" w:lineRule="auto"/>
              <w:ind w:left="0"/>
              <w:jc w:val="left"/>
              <w:rPr>
                <w:rFonts w:eastAsia="Calibri" w:cs="Arial"/>
                <w:szCs w:val="20"/>
              </w:rPr>
            </w:pPr>
            <w:r w:rsidRPr="00FF3347">
              <w:rPr>
                <w:rFonts w:eastAsia="Calibri" w:cs="Arial"/>
                <w:szCs w:val="20"/>
              </w:rPr>
              <w:t>WEO</w:t>
            </w:r>
          </w:p>
        </w:tc>
        <w:tc>
          <w:tcPr>
            <w:tcW w:w="7655" w:type="dxa"/>
          </w:tcPr>
          <w:p w14:paraId="0E8632D0" w14:textId="2FDBC515" w:rsidR="006662A6" w:rsidRPr="00FF3347" w:rsidRDefault="00F37030" w:rsidP="000E6456">
            <w:pPr>
              <w:spacing w:before="60" w:after="60" w:line="240" w:lineRule="auto"/>
              <w:ind w:left="0"/>
              <w:jc w:val="left"/>
              <w:rPr>
                <w:rFonts w:eastAsia="Calibri" w:cs="Arial"/>
                <w:szCs w:val="20"/>
              </w:rPr>
            </w:pPr>
            <w:r>
              <w:rPr>
                <w:rFonts w:eastAsia="Calibri" w:cs="Arial"/>
                <w:szCs w:val="20"/>
              </w:rPr>
              <w:t>W</w:t>
            </w:r>
            <w:r w:rsidR="00A578FE">
              <w:rPr>
                <w:rFonts w:eastAsia="Calibri" w:cs="Arial"/>
                <w:szCs w:val="20"/>
              </w:rPr>
              <w:t>orld Energy O</w:t>
            </w:r>
            <w:r w:rsidR="006662A6" w:rsidRPr="00FF3347">
              <w:rPr>
                <w:rFonts w:eastAsia="Calibri" w:cs="Arial"/>
                <w:szCs w:val="20"/>
              </w:rPr>
              <w:t>utlook</w:t>
            </w:r>
          </w:p>
        </w:tc>
      </w:tr>
      <w:tr w:rsidR="006662A6" w:rsidRPr="00A93E84" w14:paraId="1AAC8B48" w14:textId="77777777" w:rsidTr="002F7289">
        <w:tc>
          <w:tcPr>
            <w:tcW w:w="1384" w:type="dxa"/>
          </w:tcPr>
          <w:p w14:paraId="4E4C9C94" w14:textId="5181FD6A" w:rsidR="006662A6" w:rsidRPr="00FF3347" w:rsidRDefault="006662A6" w:rsidP="005C2F9D">
            <w:pPr>
              <w:spacing w:before="60" w:after="60" w:line="240" w:lineRule="auto"/>
              <w:ind w:left="0"/>
              <w:jc w:val="left"/>
              <w:rPr>
                <w:rFonts w:eastAsia="Calibri" w:cs="Arial"/>
                <w:szCs w:val="20"/>
              </w:rPr>
            </w:pPr>
            <w:r>
              <w:rPr>
                <w:rFonts w:eastAsia="Calibri" w:cs="Arial"/>
                <w:szCs w:val="20"/>
              </w:rPr>
              <w:t>WEPP</w:t>
            </w:r>
          </w:p>
        </w:tc>
        <w:tc>
          <w:tcPr>
            <w:tcW w:w="7655" w:type="dxa"/>
          </w:tcPr>
          <w:p w14:paraId="6C1FCA9B" w14:textId="3F48F4CE" w:rsidR="006662A6" w:rsidRPr="00FF3347" w:rsidRDefault="006662A6" w:rsidP="005C2F9D">
            <w:pPr>
              <w:spacing w:before="60" w:after="60" w:line="240" w:lineRule="auto"/>
              <w:ind w:left="0"/>
              <w:jc w:val="left"/>
              <w:rPr>
                <w:rFonts w:eastAsia="Calibri" w:cs="Arial"/>
                <w:szCs w:val="20"/>
              </w:rPr>
            </w:pPr>
            <w:r>
              <w:rPr>
                <w:rFonts w:eastAsia="Calibri" w:cs="Arial"/>
                <w:szCs w:val="20"/>
              </w:rPr>
              <w:t>Platt’s World Electric Power Plants database</w:t>
            </w:r>
          </w:p>
        </w:tc>
      </w:tr>
    </w:tbl>
    <w:p w14:paraId="04286457" w14:textId="77777777" w:rsidR="00E91467" w:rsidRDefault="006662A6" w:rsidP="00E91467">
      <w:pPr>
        <w:pStyle w:val="BodyText"/>
        <w:sectPr w:rsidR="00E91467" w:rsidSect="00E91467">
          <w:footerReference w:type="default" r:id="rId18"/>
          <w:footerReference w:type="first" r:id="rId19"/>
          <w:endnotePr>
            <w:numFmt w:val="decimal"/>
          </w:endnotePr>
          <w:pgSz w:w="11906" w:h="16838" w:code="9"/>
          <w:pgMar w:top="1440" w:right="1440" w:bottom="1440" w:left="1440" w:header="709" w:footer="709" w:gutter="0"/>
          <w:pgNumType w:fmt="lowerRoman"/>
          <w:cols w:space="708"/>
          <w:docGrid w:linePitch="360"/>
        </w:sectPr>
      </w:pPr>
      <w:r>
        <w:br w:type="page"/>
      </w:r>
    </w:p>
    <w:p w14:paraId="3EAE03A3" w14:textId="26688EA2" w:rsidR="006662A6" w:rsidRDefault="006662A6" w:rsidP="00D532E6">
      <w:pPr>
        <w:pStyle w:val="Heading1"/>
      </w:pPr>
      <w:bookmarkStart w:id="15" w:name="_Toc16247571"/>
      <w:bookmarkStart w:id="16" w:name="_Toc16250034"/>
      <w:bookmarkStart w:id="17" w:name="_Toc16256889"/>
      <w:bookmarkStart w:id="18" w:name="_Toc17210764"/>
      <w:r>
        <w:lastRenderedPageBreak/>
        <w:t>Chapter 1: India’s energy sector</w:t>
      </w:r>
      <w:bookmarkEnd w:id="15"/>
      <w:bookmarkEnd w:id="16"/>
      <w:bookmarkEnd w:id="17"/>
      <w:bookmarkEnd w:id="18"/>
    </w:p>
    <w:p w14:paraId="4A5D8783" w14:textId="1D35D0B6" w:rsidR="006662A6" w:rsidRDefault="006662A6" w:rsidP="00D43F2B">
      <w:pPr>
        <w:pStyle w:val="BodyText"/>
      </w:pPr>
      <w:r>
        <w:t xml:space="preserve">This chapter examines India’s energy sector, focusing on its electricity and coal markets, and the broader governance structures and policy targets that underpin those markets. India is a large energy consumer and producer by world standards. While its energy requirements have grown rapidly, per capita energy use in India remains low. Coal has played a vital role in meeting India’s energy needs, and India has become increasingly reliant on imports as demand has continued to outstrip domestic production. </w:t>
      </w:r>
    </w:p>
    <w:p w14:paraId="3EB91209" w14:textId="620AF008" w:rsidR="006662A6" w:rsidRPr="00544601" w:rsidRDefault="006662A6" w:rsidP="00842FC7">
      <w:pPr>
        <w:pStyle w:val="BodyText"/>
      </w:pPr>
      <w:r w:rsidRPr="00FC348F">
        <w:t xml:space="preserve">India’s energy sector is governed by a complex set of institutional arrangements. </w:t>
      </w:r>
      <w:r>
        <w:t xml:space="preserve">Both central and state governments are heavily involved in the energy sector, and policy reforms require a high degree of </w:t>
      </w:r>
      <w:r>
        <w:br/>
        <w:t>co-ordination and cooperation between both levels of government. As a result of this complexity, reforms to India’s energy sector can be difficult, with flow-on impacts to the outlook for coal. Energy policy in India aims to deliver energy affordability and energy security (with an emphasis on self-sufficiency), while also supporting economic growth and contributing to climate and air pollution goals. In the electricity sector, India has announced ambitious targets for renewable generation, but faces challenges in achieving these targets.</w:t>
      </w:r>
    </w:p>
    <w:p w14:paraId="6537C12D" w14:textId="645FCF57" w:rsidR="006662A6" w:rsidRDefault="006662A6" w:rsidP="00A10717">
      <w:pPr>
        <w:pStyle w:val="Heading1"/>
      </w:pPr>
      <w:bookmarkStart w:id="19" w:name="_Toc15641152"/>
      <w:bookmarkStart w:id="20" w:name="_Toc15645840"/>
      <w:bookmarkStart w:id="21" w:name="_Toc16247572"/>
      <w:bookmarkStart w:id="22" w:name="_Toc16250035"/>
      <w:bookmarkStart w:id="23" w:name="_Toc16256890"/>
      <w:bookmarkStart w:id="24" w:name="_Toc17210765"/>
      <w:r>
        <w:t>1.1 India’s energy and electricity use</w:t>
      </w:r>
      <w:bookmarkEnd w:id="19"/>
      <w:bookmarkEnd w:id="20"/>
      <w:bookmarkEnd w:id="21"/>
      <w:bookmarkEnd w:id="22"/>
      <w:bookmarkEnd w:id="23"/>
      <w:bookmarkEnd w:id="24"/>
    </w:p>
    <w:p w14:paraId="17420BDB" w14:textId="55963534" w:rsidR="006662A6" w:rsidRDefault="006662A6" w:rsidP="00DB336B">
      <w:pPr>
        <w:pStyle w:val="Heading2"/>
      </w:pPr>
      <w:bookmarkStart w:id="25" w:name="_Toc15641153"/>
      <w:bookmarkStart w:id="26" w:name="_Toc15645841"/>
      <w:bookmarkStart w:id="27" w:name="_Toc16247573"/>
      <w:bookmarkStart w:id="28" w:name="_Toc16250036"/>
      <w:bookmarkStart w:id="29" w:name="_Toc16256891"/>
      <w:bookmarkStart w:id="30" w:name="_Toc17210766"/>
      <w:r>
        <w:t>India’s energy consumption</w:t>
      </w:r>
      <w:bookmarkEnd w:id="25"/>
      <w:bookmarkEnd w:id="26"/>
      <w:bookmarkEnd w:id="27"/>
      <w:bookmarkEnd w:id="28"/>
      <w:bookmarkEnd w:id="29"/>
      <w:bookmarkEnd w:id="30"/>
    </w:p>
    <w:p w14:paraId="40A4CD23" w14:textId="36E39D0A" w:rsidR="006662A6" w:rsidRDefault="006662A6" w:rsidP="007F1FBF">
      <w:pPr>
        <w:pStyle w:val="BodyText"/>
      </w:pPr>
      <w:r>
        <w:t>India is the world’s seventh largest economy, with the world’s second largest population.</w:t>
      </w:r>
      <w:r>
        <w:rPr>
          <w:rStyle w:val="EndnoteReference"/>
        </w:rPr>
        <w:endnoteReference w:id="3"/>
      </w:r>
      <w:r>
        <w:t xml:space="preserve"> The twin pressures of rapid population and economic growth have driven substantial increases in India’s energy demand: over the past two decades, the country’s energy consumption has more than doubled. Today, India is the world’s third largest energy consuming country after China and the US (Figure 1.1). </w:t>
      </w:r>
    </w:p>
    <w:p w14:paraId="225AE9BF" w14:textId="50C85D9A" w:rsidR="006662A6" w:rsidRDefault="006662A6" w:rsidP="007172A5">
      <w:pPr>
        <w:pStyle w:val="Caption"/>
      </w:pPr>
      <w:r>
        <w:t>Figure</w:t>
      </w:r>
      <w:r w:rsidRPr="000618FB">
        <w:t xml:space="preserve"> </w:t>
      </w:r>
      <w:r>
        <w:t>1</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3172B3">
        <w:rPr>
          <w:noProof/>
        </w:rPr>
        <w:t>1</w:t>
      </w:r>
      <w:r w:rsidRPr="000618FB">
        <w:fldChar w:fldCharType="end"/>
      </w:r>
      <w:r>
        <w:t>: Total primary energy demand</w:t>
      </w:r>
    </w:p>
    <w:tbl>
      <w:tblPr>
        <w:tblStyle w:val="OCETable"/>
        <w:tblW w:w="4940" w:type="pct"/>
        <w:tblInd w:w="108" w:type="dxa"/>
        <w:tblLayout w:type="fixed"/>
        <w:tblLook w:val="04A0" w:firstRow="1" w:lastRow="0" w:firstColumn="1" w:lastColumn="0" w:noHBand="0" w:noVBand="1"/>
        <w:tblCaption w:val="Table contains Figure 1.1"/>
      </w:tblPr>
      <w:tblGrid>
        <w:gridCol w:w="8918"/>
      </w:tblGrid>
      <w:tr w:rsidR="006662A6" w14:paraId="09BFCB17" w14:textId="77777777" w:rsidTr="00CE6E2D">
        <w:trPr>
          <w:cnfStyle w:val="100000000000" w:firstRow="1" w:lastRow="0" w:firstColumn="0" w:lastColumn="0" w:oddVBand="0" w:evenVBand="0" w:oddHBand="0" w:evenHBand="0" w:firstRowFirstColumn="0" w:firstRowLastColumn="0" w:lastRowFirstColumn="0" w:lastRowLastColumn="0"/>
          <w:tblHeader/>
        </w:trPr>
        <w:tc>
          <w:tcPr>
            <w:tcW w:w="9018" w:type="dxa"/>
            <w:shd w:val="clear" w:color="auto" w:fill="auto"/>
          </w:tcPr>
          <w:p w14:paraId="14C5F7CA" w14:textId="0F1316B4" w:rsidR="006662A6" w:rsidRDefault="006662A6" w:rsidP="007172A5">
            <w:pPr>
              <w:pStyle w:val="PlaceholderWide"/>
            </w:pPr>
            <w:bookmarkStart w:id="31" w:name="_GoBack"/>
            <w:r>
              <w:rPr>
                <w:noProof/>
                <w:lang w:eastAsia="en-AU"/>
              </w:rPr>
              <w:drawing>
                <wp:inline distT="0" distB="0" distL="0" distR="0" wp14:anchorId="6A5AA159" wp14:editId="59806C90">
                  <wp:extent cx="5524500" cy="2505075"/>
                  <wp:effectExtent l="0" t="0" r="0" b="0"/>
                  <wp:docPr id="1" name="Chart 1" descr="This chart shows that INdia is the third largest energy consumer in the world and that energy demand has more than doubled over the past two decades." title="Total primary energy dema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31"/>
          </w:p>
        </w:tc>
      </w:tr>
    </w:tbl>
    <w:p w14:paraId="0B8A6AB8" w14:textId="69E30DA3" w:rsidR="006662A6" w:rsidRDefault="006662A6" w:rsidP="007172A5">
      <w:pPr>
        <w:pStyle w:val="Source"/>
      </w:pPr>
      <w:r>
        <w:t>Source: IEA (2018) World Energy Outlook, International Energy Agency</w:t>
      </w:r>
    </w:p>
    <w:p w14:paraId="02CD5179" w14:textId="13071CBF" w:rsidR="006662A6" w:rsidRDefault="006662A6" w:rsidP="00D1737B">
      <w:pPr>
        <w:pStyle w:val="Caption"/>
        <w:pBdr>
          <w:top w:val="single" w:sz="2" w:space="0" w:color="595A5B"/>
        </w:pBdr>
      </w:pPr>
      <w:r w:rsidRPr="00D26202">
        <w:lastRenderedPageBreak/>
        <w:t>Box</w:t>
      </w:r>
      <w:r>
        <w:t xml:space="preserve"> 1</w:t>
      </w:r>
      <w:r>
        <w:rPr>
          <w:noProof/>
        </w:rPr>
        <w:t>.</w:t>
      </w:r>
      <w:r>
        <w:rPr>
          <w:noProof/>
        </w:rPr>
        <w:fldChar w:fldCharType="begin"/>
      </w:r>
      <w:r>
        <w:rPr>
          <w:noProof/>
        </w:rPr>
        <w:instrText xml:space="preserve"> SEQ Box \* ARABIC \s 1  </w:instrText>
      </w:r>
      <w:r>
        <w:rPr>
          <w:noProof/>
        </w:rPr>
        <w:fldChar w:fldCharType="separate"/>
      </w:r>
      <w:r w:rsidR="003172B3">
        <w:rPr>
          <w:noProof/>
        </w:rPr>
        <w:t>1</w:t>
      </w:r>
      <w:r>
        <w:rPr>
          <w:noProof/>
        </w:rPr>
        <w:fldChar w:fldCharType="end"/>
      </w:r>
      <w:r>
        <w:t>: Energy measurement</w:t>
      </w:r>
    </w:p>
    <w:tbl>
      <w:tblPr>
        <w:tblStyle w:val="OCETable"/>
        <w:tblW w:w="5000" w:type="pct"/>
        <w:tblInd w:w="57" w:type="dxa"/>
        <w:shd w:val="clear" w:color="auto" w:fill="DEE8F1"/>
        <w:tblLayout w:type="fixed"/>
        <w:tblLook w:val="04A0" w:firstRow="1" w:lastRow="0" w:firstColumn="1" w:lastColumn="0" w:noHBand="0" w:noVBand="1"/>
        <w:tblCaption w:val="Table contains box 1.1"/>
      </w:tblPr>
      <w:tblGrid>
        <w:gridCol w:w="9026"/>
      </w:tblGrid>
      <w:tr w:rsidR="006662A6" w14:paraId="16DDC80B" w14:textId="77777777" w:rsidTr="00CE6E2D">
        <w:trPr>
          <w:cnfStyle w:val="100000000000" w:firstRow="1" w:lastRow="0" w:firstColumn="0" w:lastColumn="0" w:oddVBand="0" w:evenVBand="0" w:oddHBand="0" w:evenHBand="0" w:firstRowFirstColumn="0" w:firstRowLastColumn="0" w:lastRowFirstColumn="0" w:lastRowLastColumn="0"/>
          <w:tblHeader/>
        </w:trPr>
        <w:tc>
          <w:tcPr>
            <w:tcW w:w="5000" w:type="pct"/>
            <w:shd w:val="clear" w:color="auto" w:fill="DEE8F1"/>
          </w:tcPr>
          <w:p w14:paraId="2E9A360C" w14:textId="2E27FFC8" w:rsidR="006662A6" w:rsidRDefault="006662A6" w:rsidP="00A85661">
            <w:pPr>
              <w:pStyle w:val="Boxtext"/>
              <w:rPr>
                <w:lang w:val="en-AU"/>
              </w:rPr>
            </w:pPr>
            <w:r>
              <w:rPr>
                <w:lang w:val="en-AU"/>
              </w:rPr>
              <w:t xml:space="preserve">The following </w:t>
            </w:r>
            <w:r w:rsidRPr="00824ED6">
              <w:rPr>
                <w:lang w:val="en-AU"/>
              </w:rPr>
              <w:t>concepts are used extensively in discussions about energy</w:t>
            </w:r>
            <w:r>
              <w:rPr>
                <w:lang w:val="en-AU"/>
              </w:rPr>
              <w:t>,</w:t>
            </w:r>
            <w:r w:rsidRPr="00824ED6">
              <w:rPr>
                <w:lang w:val="en-AU"/>
              </w:rPr>
              <w:t xml:space="preserve"> and assist in understanding developments in world energy markets. In the context of this report, energy use refers to </w:t>
            </w:r>
            <w:r>
              <w:rPr>
                <w:lang w:val="en-AU"/>
              </w:rPr>
              <w:t xml:space="preserve">primary energy — </w:t>
            </w:r>
            <w:r w:rsidRPr="00824ED6">
              <w:rPr>
                <w:lang w:val="en-AU"/>
              </w:rPr>
              <w:t xml:space="preserve">the use of </w:t>
            </w:r>
            <w:r>
              <w:rPr>
                <w:lang w:val="en-AU"/>
              </w:rPr>
              <w:t>fuels such as coal, oil and gas that have not been t</w:t>
            </w:r>
            <w:r w:rsidRPr="00824ED6">
              <w:rPr>
                <w:lang w:val="en-AU"/>
              </w:rPr>
              <w:t xml:space="preserve">ransformed into another energy source </w:t>
            </w:r>
            <w:r>
              <w:rPr>
                <w:lang w:val="en-AU"/>
              </w:rPr>
              <w:t>(</w:t>
            </w:r>
            <w:r w:rsidRPr="00824ED6">
              <w:rPr>
                <w:lang w:val="en-AU"/>
              </w:rPr>
              <w:t>such as electricity or refined petroleum</w:t>
            </w:r>
            <w:r>
              <w:rPr>
                <w:lang w:val="en-AU"/>
              </w:rPr>
              <w:t xml:space="preserve">); imports of refined petroleum and electricity (but not consumption of refined petroleum and electricity produced domestically, because the energy is already captured prior to transformation); and use of nuclear, hydro, wind and solar. </w:t>
            </w:r>
          </w:p>
          <w:p w14:paraId="687D9EE9" w14:textId="30507D70" w:rsidR="006662A6" w:rsidRDefault="006662A6" w:rsidP="00A85661">
            <w:pPr>
              <w:pStyle w:val="Boxtext"/>
              <w:rPr>
                <w:lang w:val="en-AU"/>
              </w:rPr>
            </w:pPr>
            <w:r w:rsidRPr="00824ED6">
              <w:rPr>
                <w:lang w:val="en-AU"/>
              </w:rPr>
              <w:t>Fuels, such as coal, oil and gas, are measured for trading and monitoring processes that produce or use them. These can be either physical units for solid fuels (tonnes or kilograms) or volume units for liquids (cubic metres or litres). These units can be converted into energy units</w:t>
            </w:r>
            <w:r>
              <w:rPr>
                <w:lang w:val="en-AU"/>
              </w:rPr>
              <w:t>,</w:t>
            </w:r>
            <w:r w:rsidRPr="00824ED6">
              <w:rPr>
                <w:lang w:val="en-AU"/>
              </w:rPr>
              <w:t xml:space="preserve"> to facilitate the aggregation of different fuels in different physical sta</w:t>
            </w:r>
            <w:r>
              <w:rPr>
                <w:lang w:val="en-AU"/>
              </w:rPr>
              <w:t xml:space="preserve">tes. Commonly </w:t>
            </w:r>
            <w:r w:rsidRPr="00824ED6">
              <w:rPr>
                <w:lang w:val="en-AU"/>
              </w:rPr>
              <w:t>used energy units are joules, calories, British thermal units (Btu) million tonnes of oil equivalent (Mtoe)</w:t>
            </w:r>
            <w:r>
              <w:rPr>
                <w:lang w:val="en-AU"/>
              </w:rPr>
              <w:t xml:space="preserve">, </w:t>
            </w:r>
            <w:r w:rsidRPr="00824ED6">
              <w:rPr>
                <w:lang w:val="en-AU"/>
              </w:rPr>
              <w:t>million tonnes of coal equivalent (Mtce)</w:t>
            </w:r>
            <w:r>
              <w:rPr>
                <w:lang w:val="en-AU"/>
              </w:rPr>
              <w:t xml:space="preserve"> and gigawatt hour (GWh)</w:t>
            </w:r>
            <w:r w:rsidRPr="00824ED6">
              <w:rPr>
                <w:lang w:val="en-AU"/>
              </w:rPr>
              <w:t xml:space="preserve">. The conversion equivalents are expressed in </w:t>
            </w:r>
            <w:r>
              <w:rPr>
                <w:lang w:val="en-AU"/>
              </w:rPr>
              <w:t>T</w:t>
            </w:r>
            <w:r w:rsidRPr="00824ED6">
              <w:rPr>
                <w:lang w:val="en-AU"/>
              </w:rPr>
              <w:t>able 1.</w:t>
            </w:r>
            <w:r>
              <w:rPr>
                <w:lang w:val="en-AU"/>
              </w:rPr>
              <w:t>1</w:t>
            </w:r>
            <w:r w:rsidRPr="00824ED6">
              <w:rPr>
                <w:lang w:val="en-AU"/>
              </w:rPr>
              <w:t>.</w:t>
            </w:r>
          </w:p>
          <w:p w14:paraId="48C2E3C0" w14:textId="5CD7B101" w:rsidR="006662A6" w:rsidRPr="00150198" w:rsidRDefault="006662A6" w:rsidP="00A85661">
            <w:pPr>
              <w:pStyle w:val="Boxtext"/>
              <w:rPr>
                <w:rFonts w:eastAsiaTheme="minorHAnsi" w:cstheme="minorBidi"/>
                <w:color w:val="005CAF"/>
                <w:lang w:val="en-AU"/>
              </w:rPr>
            </w:pPr>
            <w:r w:rsidRPr="00150198">
              <w:rPr>
                <w:rFonts w:eastAsiaTheme="minorHAnsi" w:cstheme="minorBidi"/>
                <w:color w:val="005CAF"/>
                <w:lang w:val="en-AU"/>
              </w:rPr>
              <w:t>Table 1.1: Conversion equivalents between units of energy</w:t>
            </w:r>
          </w:p>
          <w:tbl>
            <w:tblPr>
              <w:tblStyle w:val="OCETable"/>
              <w:tblW w:w="8802" w:type="dxa"/>
              <w:tblLayout w:type="fixed"/>
              <w:tblLook w:val="04A0" w:firstRow="1" w:lastRow="0" w:firstColumn="1" w:lastColumn="0" w:noHBand="0" w:noVBand="1"/>
              <w:tblCaption w:val="Conversion equivalents between units of energy"/>
              <w:tblDescription w:val="This table shows conversions between commonly used units of energy."/>
            </w:tblPr>
            <w:tblGrid>
              <w:gridCol w:w="1536"/>
              <w:gridCol w:w="1418"/>
              <w:gridCol w:w="824"/>
              <w:gridCol w:w="1256"/>
              <w:gridCol w:w="1256"/>
              <w:gridCol w:w="1256"/>
              <w:gridCol w:w="1256"/>
            </w:tblGrid>
            <w:tr w:rsidR="006662A6" w14:paraId="7E91B717" w14:textId="77777777" w:rsidTr="00C667B0">
              <w:trPr>
                <w:cnfStyle w:val="100000000000" w:firstRow="1" w:lastRow="0" w:firstColumn="0" w:lastColumn="0" w:oddVBand="0" w:evenVBand="0" w:oddHBand="0" w:evenHBand="0" w:firstRowFirstColumn="0" w:firstRowLastColumn="0" w:lastRowFirstColumn="0" w:lastRowLastColumn="0"/>
                <w:trHeight w:val="800"/>
                <w:tblHeader/>
              </w:trPr>
              <w:tc>
                <w:tcPr>
                  <w:tcW w:w="1536" w:type="dxa"/>
                </w:tcPr>
                <w:p w14:paraId="77A8238C" w14:textId="77777777" w:rsidR="006662A6" w:rsidRPr="00163225" w:rsidRDefault="006662A6" w:rsidP="00A85661">
                  <w:pPr>
                    <w:pStyle w:val="Boxtext"/>
                    <w:rPr>
                      <w:color w:val="FFFFFF" w:themeColor="background1"/>
                      <w:lang w:val="en-AU"/>
                    </w:rPr>
                  </w:pPr>
                  <w:r w:rsidRPr="00163225">
                    <w:rPr>
                      <w:color w:val="FFFFFF" w:themeColor="background1"/>
                      <w:lang w:val="en-AU"/>
                    </w:rPr>
                    <w:t>To:</w:t>
                  </w:r>
                </w:p>
                <w:p w14:paraId="0868BA28" w14:textId="77777777" w:rsidR="006662A6" w:rsidRPr="00163225" w:rsidRDefault="006662A6" w:rsidP="00A85661">
                  <w:pPr>
                    <w:pStyle w:val="Boxtext"/>
                    <w:rPr>
                      <w:color w:val="FFFFFF" w:themeColor="background1"/>
                      <w:lang w:val="en-AU"/>
                    </w:rPr>
                  </w:pPr>
                  <w:r w:rsidRPr="00163225">
                    <w:rPr>
                      <w:color w:val="FFFFFF" w:themeColor="background1"/>
                      <w:lang w:val="en-AU"/>
                    </w:rPr>
                    <w:t>From</w:t>
                  </w:r>
                </w:p>
              </w:tc>
              <w:tc>
                <w:tcPr>
                  <w:tcW w:w="1418" w:type="dxa"/>
                </w:tcPr>
                <w:p w14:paraId="34BA5398"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TJ</w:t>
                  </w:r>
                </w:p>
                <w:p w14:paraId="6B25B77F"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Multiply by:</w:t>
                  </w:r>
                </w:p>
              </w:tc>
              <w:tc>
                <w:tcPr>
                  <w:tcW w:w="824" w:type="dxa"/>
                </w:tcPr>
                <w:p w14:paraId="20FD75B4"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Gcal</w:t>
                  </w:r>
                </w:p>
              </w:tc>
              <w:tc>
                <w:tcPr>
                  <w:tcW w:w="1256" w:type="dxa"/>
                </w:tcPr>
                <w:p w14:paraId="369949E4"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Mtoe</w:t>
                  </w:r>
                </w:p>
              </w:tc>
              <w:tc>
                <w:tcPr>
                  <w:tcW w:w="1256" w:type="dxa"/>
                </w:tcPr>
                <w:p w14:paraId="31B47EF4"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Mtce</w:t>
                  </w:r>
                </w:p>
              </w:tc>
              <w:tc>
                <w:tcPr>
                  <w:tcW w:w="1256" w:type="dxa"/>
                </w:tcPr>
                <w:p w14:paraId="74772949"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MBtu</w:t>
                  </w:r>
                </w:p>
              </w:tc>
              <w:tc>
                <w:tcPr>
                  <w:tcW w:w="1256" w:type="dxa"/>
                </w:tcPr>
                <w:p w14:paraId="1A77BCC6" w14:textId="77777777" w:rsidR="006662A6" w:rsidRPr="00163225" w:rsidRDefault="006662A6" w:rsidP="00A85661">
                  <w:pPr>
                    <w:pStyle w:val="Boxtext"/>
                    <w:jc w:val="right"/>
                    <w:rPr>
                      <w:color w:val="FFFFFF" w:themeColor="background1"/>
                      <w:lang w:val="en-AU"/>
                    </w:rPr>
                  </w:pPr>
                  <w:r w:rsidRPr="00163225">
                    <w:rPr>
                      <w:color w:val="FFFFFF" w:themeColor="background1"/>
                      <w:lang w:val="en-AU"/>
                    </w:rPr>
                    <w:t>GWh</w:t>
                  </w:r>
                </w:p>
              </w:tc>
            </w:tr>
            <w:tr w:rsidR="006662A6" w14:paraId="6E34D999" w14:textId="77777777" w:rsidTr="00032AC3">
              <w:trPr>
                <w:cnfStyle w:val="000000100000" w:firstRow="0" w:lastRow="0" w:firstColumn="0" w:lastColumn="0" w:oddVBand="0" w:evenVBand="0" w:oddHBand="1" w:evenHBand="0" w:firstRowFirstColumn="0" w:firstRowLastColumn="0" w:lastRowFirstColumn="0" w:lastRowLastColumn="0"/>
                <w:trHeight w:val="678"/>
              </w:trPr>
              <w:tc>
                <w:tcPr>
                  <w:tcW w:w="1536" w:type="dxa"/>
                </w:tcPr>
                <w:p w14:paraId="3729F247" w14:textId="77777777" w:rsidR="006662A6" w:rsidRDefault="006662A6" w:rsidP="00A85661">
                  <w:pPr>
                    <w:pStyle w:val="Boxtext"/>
                    <w:rPr>
                      <w:lang w:val="en-AU"/>
                    </w:rPr>
                  </w:pPr>
                  <w:r>
                    <w:rPr>
                      <w:lang w:val="en-AU"/>
                    </w:rPr>
                    <w:t>Terajoule (TJ)</w:t>
                  </w:r>
                </w:p>
              </w:tc>
              <w:tc>
                <w:tcPr>
                  <w:tcW w:w="1418" w:type="dxa"/>
                </w:tcPr>
                <w:p w14:paraId="5F40709F" w14:textId="77777777" w:rsidR="006662A6" w:rsidRDefault="006662A6" w:rsidP="00A85661">
                  <w:pPr>
                    <w:pStyle w:val="Boxtext"/>
                    <w:jc w:val="right"/>
                    <w:rPr>
                      <w:lang w:val="en-AU"/>
                    </w:rPr>
                  </w:pPr>
                  <w:r>
                    <w:rPr>
                      <w:lang w:val="en-AU"/>
                    </w:rPr>
                    <w:t>1</w:t>
                  </w:r>
                </w:p>
              </w:tc>
              <w:tc>
                <w:tcPr>
                  <w:tcW w:w="824" w:type="dxa"/>
                </w:tcPr>
                <w:p w14:paraId="462D7401" w14:textId="77777777" w:rsidR="006662A6" w:rsidRDefault="006662A6" w:rsidP="00A85661">
                  <w:pPr>
                    <w:pStyle w:val="Boxtext"/>
                    <w:jc w:val="right"/>
                    <w:rPr>
                      <w:lang w:val="en-AU"/>
                    </w:rPr>
                  </w:pPr>
                  <w:r>
                    <w:rPr>
                      <w:lang w:val="en-AU"/>
                    </w:rPr>
                    <w:t>238.8</w:t>
                  </w:r>
                </w:p>
              </w:tc>
              <w:tc>
                <w:tcPr>
                  <w:tcW w:w="1256" w:type="dxa"/>
                </w:tcPr>
                <w:p w14:paraId="58C827F3" w14:textId="77777777" w:rsidR="006662A6" w:rsidRDefault="006662A6" w:rsidP="00A85661">
                  <w:pPr>
                    <w:pStyle w:val="Boxtext"/>
                    <w:jc w:val="right"/>
                    <w:rPr>
                      <w:lang w:val="en-AU"/>
                    </w:rPr>
                  </w:pPr>
                  <w:r>
                    <w:rPr>
                      <w:lang w:val="en-AU"/>
                    </w:rPr>
                    <w:t>2.388 x 10</w:t>
                  </w:r>
                  <w:r>
                    <w:rPr>
                      <w:vertAlign w:val="superscript"/>
                      <w:lang w:val="en-AU"/>
                    </w:rPr>
                    <w:t>-5</w:t>
                  </w:r>
                </w:p>
              </w:tc>
              <w:tc>
                <w:tcPr>
                  <w:tcW w:w="1256" w:type="dxa"/>
                </w:tcPr>
                <w:p w14:paraId="11B16A19" w14:textId="77777777" w:rsidR="006662A6" w:rsidRDefault="006662A6" w:rsidP="00A85661">
                  <w:pPr>
                    <w:pStyle w:val="Boxtext"/>
                    <w:jc w:val="right"/>
                    <w:rPr>
                      <w:lang w:val="en-AU"/>
                    </w:rPr>
                  </w:pPr>
                  <w:r>
                    <w:rPr>
                      <w:lang w:val="en-AU"/>
                    </w:rPr>
                    <w:t>3.412 x 10</w:t>
                  </w:r>
                  <w:r>
                    <w:rPr>
                      <w:vertAlign w:val="superscript"/>
                      <w:lang w:val="en-AU"/>
                    </w:rPr>
                    <w:t>-5</w:t>
                  </w:r>
                </w:p>
              </w:tc>
              <w:tc>
                <w:tcPr>
                  <w:tcW w:w="1256" w:type="dxa"/>
                </w:tcPr>
                <w:p w14:paraId="5E400C3C" w14:textId="77777777" w:rsidR="006662A6" w:rsidRDefault="006662A6" w:rsidP="00A85661">
                  <w:pPr>
                    <w:pStyle w:val="Boxtext"/>
                    <w:jc w:val="right"/>
                    <w:rPr>
                      <w:lang w:val="en-AU"/>
                    </w:rPr>
                  </w:pPr>
                  <w:r>
                    <w:rPr>
                      <w:lang w:val="en-AU"/>
                    </w:rPr>
                    <w:t>947.8</w:t>
                  </w:r>
                </w:p>
              </w:tc>
              <w:tc>
                <w:tcPr>
                  <w:tcW w:w="1256" w:type="dxa"/>
                </w:tcPr>
                <w:p w14:paraId="5A223AC1" w14:textId="77777777" w:rsidR="006662A6" w:rsidRDefault="006662A6" w:rsidP="00A85661">
                  <w:pPr>
                    <w:pStyle w:val="Boxtext"/>
                    <w:jc w:val="right"/>
                    <w:rPr>
                      <w:lang w:val="en-AU"/>
                    </w:rPr>
                  </w:pPr>
                  <w:r>
                    <w:rPr>
                      <w:lang w:val="en-AU"/>
                    </w:rPr>
                    <w:t>0.2778</w:t>
                  </w:r>
                </w:p>
              </w:tc>
            </w:tr>
            <w:tr w:rsidR="006662A6" w14:paraId="5A4B17BE" w14:textId="77777777" w:rsidTr="00032AC3">
              <w:trPr>
                <w:cnfStyle w:val="000000010000" w:firstRow="0" w:lastRow="0" w:firstColumn="0" w:lastColumn="0" w:oddVBand="0" w:evenVBand="0" w:oddHBand="0" w:evenHBand="1" w:firstRowFirstColumn="0" w:firstRowLastColumn="0" w:lastRowFirstColumn="0" w:lastRowLastColumn="0"/>
                <w:trHeight w:val="461"/>
              </w:trPr>
              <w:tc>
                <w:tcPr>
                  <w:tcW w:w="1536" w:type="dxa"/>
                </w:tcPr>
                <w:p w14:paraId="7C8CBA77" w14:textId="77777777" w:rsidR="006662A6" w:rsidRDefault="006662A6" w:rsidP="00A85661">
                  <w:pPr>
                    <w:pStyle w:val="Boxtext"/>
                    <w:rPr>
                      <w:lang w:val="en-AU"/>
                    </w:rPr>
                  </w:pPr>
                  <w:r>
                    <w:rPr>
                      <w:lang w:val="en-AU"/>
                    </w:rPr>
                    <w:t>Gigacalorie</w:t>
                  </w:r>
                </w:p>
              </w:tc>
              <w:tc>
                <w:tcPr>
                  <w:tcW w:w="1418" w:type="dxa"/>
                </w:tcPr>
                <w:p w14:paraId="3DDA590C" w14:textId="77777777" w:rsidR="006662A6" w:rsidRDefault="006662A6" w:rsidP="00A85661">
                  <w:pPr>
                    <w:pStyle w:val="Boxtext"/>
                    <w:jc w:val="right"/>
                    <w:rPr>
                      <w:lang w:val="en-AU"/>
                    </w:rPr>
                  </w:pPr>
                  <w:r>
                    <w:rPr>
                      <w:lang w:val="en-AU"/>
                    </w:rPr>
                    <w:t>4.1868 x 10</w:t>
                  </w:r>
                  <w:r>
                    <w:rPr>
                      <w:vertAlign w:val="superscript"/>
                      <w:lang w:val="en-AU"/>
                    </w:rPr>
                    <w:t>-3</w:t>
                  </w:r>
                </w:p>
              </w:tc>
              <w:tc>
                <w:tcPr>
                  <w:tcW w:w="824" w:type="dxa"/>
                </w:tcPr>
                <w:p w14:paraId="7C96F7E6" w14:textId="77777777" w:rsidR="006662A6" w:rsidRDefault="006662A6" w:rsidP="00A85661">
                  <w:pPr>
                    <w:pStyle w:val="Boxtext"/>
                    <w:jc w:val="right"/>
                    <w:rPr>
                      <w:lang w:val="en-AU"/>
                    </w:rPr>
                  </w:pPr>
                  <w:r>
                    <w:rPr>
                      <w:lang w:val="en-AU"/>
                    </w:rPr>
                    <w:t>1</w:t>
                  </w:r>
                </w:p>
              </w:tc>
              <w:tc>
                <w:tcPr>
                  <w:tcW w:w="1256" w:type="dxa"/>
                </w:tcPr>
                <w:p w14:paraId="46B12AE4" w14:textId="77777777" w:rsidR="006662A6" w:rsidRDefault="006662A6" w:rsidP="00A85661">
                  <w:pPr>
                    <w:pStyle w:val="Boxtext"/>
                    <w:jc w:val="right"/>
                    <w:rPr>
                      <w:lang w:val="en-AU"/>
                    </w:rPr>
                  </w:pPr>
                  <w:r>
                    <w:rPr>
                      <w:lang w:val="en-AU"/>
                    </w:rPr>
                    <w:t>10</w:t>
                  </w:r>
                  <w:r>
                    <w:rPr>
                      <w:vertAlign w:val="superscript"/>
                      <w:lang w:val="en-AU"/>
                    </w:rPr>
                    <w:t>-7</w:t>
                  </w:r>
                </w:p>
              </w:tc>
              <w:tc>
                <w:tcPr>
                  <w:tcW w:w="1256" w:type="dxa"/>
                </w:tcPr>
                <w:p w14:paraId="15C73BE1" w14:textId="77777777" w:rsidR="006662A6" w:rsidRDefault="006662A6" w:rsidP="00A85661">
                  <w:pPr>
                    <w:pStyle w:val="Boxtext"/>
                    <w:jc w:val="right"/>
                    <w:rPr>
                      <w:lang w:val="en-AU"/>
                    </w:rPr>
                  </w:pPr>
                  <w:r>
                    <w:rPr>
                      <w:lang w:val="en-AU"/>
                    </w:rPr>
                    <w:t>14</w:t>
                  </w:r>
                  <w:r>
                    <w:rPr>
                      <w:vertAlign w:val="superscript"/>
                      <w:lang w:val="en-AU"/>
                    </w:rPr>
                    <w:t>-7</w:t>
                  </w:r>
                </w:p>
              </w:tc>
              <w:tc>
                <w:tcPr>
                  <w:tcW w:w="1256" w:type="dxa"/>
                </w:tcPr>
                <w:p w14:paraId="1750F26B" w14:textId="77777777" w:rsidR="006662A6" w:rsidRDefault="006662A6" w:rsidP="00A85661">
                  <w:pPr>
                    <w:pStyle w:val="Boxtext"/>
                    <w:jc w:val="right"/>
                    <w:rPr>
                      <w:lang w:val="en-AU"/>
                    </w:rPr>
                  </w:pPr>
                  <w:r>
                    <w:rPr>
                      <w:lang w:val="en-AU"/>
                    </w:rPr>
                    <w:t>3.968</w:t>
                  </w:r>
                </w:p>
              </w:tc>
              <w:tc>
                <w:tcPr>
                  <w:tcW w:w="1256" w:type="dxa"/>
                </w:tcPr>
                <w:p w14:paraId="1770B7E2" w14:textId="77777777" w:rsidR="006662A6" w:rsidRDefault="006662A6" w:rsidP="00A85661">
                  <w:pPr>
                    <w:pStyle w:val="Boxtext"/>
                    <w:jc w:val="right"/>
                    <w:rPr>
                      <w:lang w:val="en-AU"/>
                    </w:rPr>
                  </w:pPr>
                  <w:r>
                    <w:rPr>
                      <w:lang w:val="en-AU"/>
                    </w:rPr>
                    <w:t>1.163 x 10</w:t>
                  </w:r>
                  <w:r>
                    <w:rPr>
                      <w:vertAlign w:val="superscript"/>
                      <w:lang w:val="en-AU"/>
                    </w:rPr>
                    <w:t>-3</w:t>
                  </w:r>
                </w:p>
              </w:tc>
            </w:tr>
            <w:tr w:rsidR="006662A6" w14:paraId="03604D62" w14:textId="77777777" w:rsidTr="00032AC3">
              <w:trPr>
                <w:cnfStyle w:val="000000100000" w:firstRow="0" w:lastRow="0" w:firstColumn="0" w:lastColumn="0" w:oddVBand="0" w:evenVBand="0" w:oddHBand="1" w:evenHBand="0" w:firstRowFirstColumn="0" w:firstRowLastColumn="0" w:lastRowFirstColumn="0" w:lastRowLastColumn="0"/>
                <w:trHeight w:val="447"/>
              </w:trPr>
              <w:tc>
                <w:tcPr>
                  <w:tcW w:w="1536" w:type="dxa"/>
                </w:tcPr>
                <w:p w14:paraId="0DDAA82C" w14:textId="77777777" w:rsidR="006662A6" w:rsidRDefault="006662A6" w:rsidP="00A85661">
                  <w:pPr>
                    <w:pStyle w:val="Boxtext"/>
                    <w:rPr>
                      <w:lang w:val="en-AU"/>
                    </w:rPr>
                  </w:pPr>
                  <w:r>
                    <w:rPr>
                      <w:lang w:val="en-AU"/>
                    </w:rPr>
                    <w:t>Mtoe</w:t>
                  </w:r>
                </w:p>
              </w:tc>
              <w:tc>
                <w:tcPr>
                  <w:tcW w:w="1418" w:type="dxa"/>
                </w:tcPr>
                <w:p w14:paraId="187252CA" w14:textId="77777777" w:rsidR="006662A6" w:rsidRDefault="006662A6" w:rsidP="00A85661">
                  <w:pPr>
                    <w:pStyle w:val="Boxtext"/>
                    <w:jc w:val="right"/>
                    <w:rPr>
                      <w:lang w:val="en-AU"/>
                    </w:rPr>
                  </w:pPr>
                  <w:r>
                    <w:rPr>
                      <w:lang w:val="en-AU"/>
                    </w:rPr>
                    <w:t>4.1868 x 10</w:t>
                  </w:r>
                  <w:r>
                    <w:rPr>
                      <w:vertAlign w:val="superscript"/>
                      <w:lang w:val="en-AU"/>
                    </w:rPr>
                    <w:t>4</w:t>
                  </w:r>
                </w:p>
              </w:tc>
              <w:tc>
                <w:tcPr>
                  <w:tcW w:w="824" w:type="dxa"/>
                </w:tcPr>
                <w:p w14:paraId="74DEC8B3" w14:textId="77777777" w:rsidR="006662A6" w:rsidRDefault="006662A6" w:rsidP="00A85661">
                  <w:pPr>
                    <w:pStyle w:val="Boxtext"/>
                    <w:jc w:val="right"/>
                    <w:rPr>
                      <w:lang w:val="en-AU"/>
                    </w:rPr>
                  </w:pPr>
                  <w:r>
                    <w:rPr>
                      <w:lang w:val="en-AU"/>
                    </w:rPr>
                    <w:t>10</w:t>
                  </w:r>
                  <w:r>
                    <w:rPr>
                      <w:vertAlign w:val="superscript"/>
                      <w:lang w:val="en-AU"/>
                    </w:rPr>
                    <w:t>7</w:t>
                  </w:r>
                </w:p>
              </w:tc>
              <w:tc>
                <w:tcPr>
                  <w:tcW w:w="1256" w:type="dxa"/>
                </w:tcPr>
                <w:p w14:paraId="21C67982" w14:textId="77777777" w:rsidR="006662A6" w:rsidRDefault="006662A6" w:rsidP="00A85661">
                  <w:pPr>
                    <w:pStyle w:val="Boxtext"/>
                    <w:jc w:val="right"/>
                    <w:rPr>
                      <w:lang w:val="en-AU"/>
                    </w:rPr>
                  </w:pPr>
                  <w:r>
                    <w:rPr>
                      <w:lang w:val="en-AU"/>
                    </w:rPr>
                    <w:t>1</w:t>
                  </w:r>
                </w:p>
              </w:tc>
              <w:tc>
                <w:tcPr>
                  <w:tcW w:w="1256" w:type="dxa"/>
                </w:tcPr>
                <w:p w14:paraId="56303B14" w14:textId="77777777" w:rsidR="006662A6" w:rsidRDefault="006662A6" w:rsidP="00A85661">
                  <w:pPr>
                    <w:pStyle w:val="Boxtext"/>
                    <w:jc w:val="right"/>
                    <w:rPr>
                      <w:lang w:val="en-AU"/>
                    </w:rPr>
                  </w:pPr>
                  <w:r>
                    <w:rPr>
                      <w:lang w:val="en-AU"/>
                    </w:rPr>
                    <w:t>1.428</w:t>
                  </w:r>
                </w:p>
              </w:tc>
              <w:tc>
                <w:tcPr>
                  <w:tcW w:w="1256" w:type="dxa"/>
                </w:tcPr>
                <w:p w14:paraId="135759B7" w14:textId="77777777" w:rsidR="006662A6" w:rsidRDefault="006662A6" w:rsidP="00A85661">
                  <w:pPr>
                    <w:pStyle w:val="Boxtext"/>
                    <w:jc w:val="right"/>
                    <w:rPr>
                      <w:lang w:val="en-AU"/>
                    </w:rPr>
                  </w:pPr>
                  <w:r>
                    <w:rPr>
                      <w:lang w:val="en-AU"/>
                    </w:rPr>
                    <w:t>3.968 x 10</w:t>
                  </w:r>
                  <w:r>
                    <w:rPr>
                      <w:vertAlign w:val="superscript"/>
                      <w:lang w:val="en-AU"/>
                    </w:rPr>
                    <w:t>7</w:t>
                  </w:r>
                </w:p>
              </w:tc>
              <w:tc>
                <w:tcPr>
                  <w:tcW w:w="1256" w:type="dxa"/>
                </w:tcPr>
                <w:p w14:paraId="19198717" w14:textId="77777777" w:rsidR="006662A6" w:rsidRDefault="006662A6" w:rsidP="00A85661">
                  <w:pPr>
                    <w:pStyle w:val="Boxtext"/>
                    <w:jc w:val="right"/>
                    <w:rPr>
                      <w:lang w:val="en-AU"/>
                    </w:rPr>
                  </w:pPr>
                  <w:r>
                    <w:rPr>
                      <w:lang w:val="en-AU"/>
                    </w:rPr>
                    <w:t>11630</w:t>
                  </w:r>
                </w:p>
              </w:tc>
            </w:tr>
            <w:tr w:rsidR="006662A6" w14:paraId="2C529D65" w14:textId="77777777" w:rsidTr="00032AC3">
              <w:trPr>
                <w:cnfStyle w:val="000000010000" w:firstRow="0" w:lastRow="0" w:firstColumn="0" w:lastColumn="0" w:oddVBand="0" w:evenVBand="0" w:oddHBand="0" w:evenHBand="1" w:firstRowFirstColumn="0" w:firstRowLastColumn="0" w:lastRowFirstColumn="0" w:lastRowLastColumn="0"/>
                <w:trHeight w:val="447"/>
              </w:trPr>
              <w:tc>
                <w:tcPr>
                  <w:tcW w:w="1536" w:type="dxa"/>
                </w:tcPr>
                <w:p w14:paraId="20855BC8" w14:textId="77777777" w:rsidR="006662A6" w:rsidRDefault="006662A6" w:rsidP="00A85661">
                  <w:pPr>
                    <w:pStyle w:val="Boxtext"/>
                    <w:rPr>
                      <w:lang w:val="en-AU"/>
                    </w:rPr>
                  </w:pPr>
                  <w:r>
                    <w:rPr>
                      <w:lang w:val="en-AU"/>
                    </w:rPr>
                    <w:t>Mtce</w:t>
                  </w:r>
                </w:p>
              </w:tc>
              <w:tc>
                <w:tcPr>
                  <w:tcW w:w="1418" w:type="dxa"/>
                </w:tcPr>
                <w:p w14:paraId="371EBD75" w14:textId="77777777" w:rsidR="006662A6" w:rsidRDefault="006662A6" w:rsidP="00A85661">
                  <w:pPr>
                    <w:pStyle w:val="Boxtext"/>
                    <w:jc w:val="right"/>
                    <w:rPr>
                      <w:lang w:val="en-AU"/>
                    </w:rPr>
                  </w:pPr>
                  <w:r>
                    <w:rPr>
                      <w:lang w:val="en-AU"/>
                    </w:rPr>
                    <w:t>2.9307 x 10</w:t>
                  </w:r>
                  <w:r>
                    <w:rPr>
                      <w:vertAlign w:val="superscript"/>
                      <w:lang w:val="en-AU"/>
                    </w:rPr>
                    <w:t>4</w:t>
                  </w:r>
                </w:p>
              </w:tc>
              <w:tc>
                <w:tcPr>
                  <w:tcW w:w="824" w:type="dxa"/>
                </w:tcPr>
                <w:p w14:paraId="3156F504" w14:textId="77777777" w:rsidR="006662A6" w:rsidRDefault="006662A6" w:rsidP="00A85661">
                  <w:pPr>
                    <w:pStyle w:val="Boxtext"/>
                    <w:jc w:val="right"/>
                    <w:rPr>
                      <w:lang w:val="en-AU"/>
                    </w:rPr>
                  </w:pPr>
                  <w:r>
                    <w:rPr>
                      <w:lang w:val="en-AU"/>
                    </w:rPr>
                    <w:t>7</w:t>
                  </w:r>
                  <w:r>
                    <w:rPr>
                      <w:vertAlign w:val="superscript"/>
                      <w:lang w:val="en-AU"/>
                    </w:rPr>
                    <w:t>6</w:t>
                  </w:r>
                </w:p>
              </w:tc>
              <w:tc>
                <w:tcPr>
                  <w:tcW w:w="1256" w:type="dxa"/>
                </w:tcPr>
                <w:p w14:paraId="7002672D" w14:textId="77777777" w:rsidR="006662A6" w:rsidRDefault="006662A6" w:rsidP="00A85661">
                  <w:pPr>
                    <w:pStyle w:val="Boxtext"/>
                    <w:jc w:val="right"/>
                    <w:rPr>
                      <w:lang w:val="en-AU"/>
                    </w:rPr>
                  </w:pPr>
                  <w:r>
                    <w:rPr>
                      <w:lang w:val="en-AU"/>
                    </w:rPr>
                    <w:t>0.7</w:t>
                  </w:r>
                </w:p>
              </w:tc>
              <w:tc>
                <w:tcPr>
                  <w:tcW w:w="1256" w:type="dxa"/>
                </w:tcPr>
                <w:p w14:paraId="273D298D" w14:textId="77777777" w:rsidR="006662A6" w:rsidRDefault="006662A6" w:rsidP="00A85661">
                  <w:pPr>
                    <w:pStyle w:val="Boxtext"/>
                    <w:jc w:val="right"/>
                    <w:rPr>
                      <w:lang w:val="en-AU"/>
                    </w:rPr>
                  </w:pPr>
                  <w:r>
                    <w:rPr>
                      <w:lang w:val="en-AU"/>
                    </w:rPr>
                    <w:t>1</w:t>
                  </w:r>
                </w:p>
              </w:tc>
              <w:tc>
                <w:tcPr>
                  <w:tcW w:w="1256" w:type="dxa"/>
                </w:tcPr>
                <w:p w14:paraId="706FD7F7" w14:textId="77777777" w:rsidR="006662A6" w:rsidRDefault="006662A6" w:rsidP="00A85661">
                  <w:pPr>
                    <w:pStyle w:val="Boxtext"/>
                    <w:jc w:val="right"/>
                    <w:rPr>
                      <w:lang w:val="en-AU"/>
                    </w:rPr>
                  </w:pPr>
                  <w:r>
                    <w:rPr>
                      <w:lang w:val="en-AU"/>
                    </w:rPr>
                    <w:t>2.777 x 10</w:t>
                  </w:r>
                  <w:r>
                    <w:rPr>
                      <w:vertAlign w:val="superscript"/>
                      <w:lang w:val="en-AU"/>
                    </w:rPr>
                    <w:t>7</w:t>
                  </w:r>
                </w:p>
              </w:tc>
              <w:tc>
                <w:tcPr>
                  <w:tcW w:w="1256" w:type="dxa"/>
                </w:tcPr>
                <w:p w14:paraId="0DBD2574" w14:textId="77777777" w:rsidR="006662A6" w:rsidRDefault="006662A6" w:rsidP="00A85661">
                  <w:pPr>
                    <w:pStyle w:val="Boxtext"/>
                    <w:jc w:val="right"/>
                    <w:rPr>
                      <w:lang w:val="en-AU"/>
                    </w:rPr>
                  </w:pPr>
                  <w:r>
                    <w:rPr>
                      <w:lang w:val="en-AU"/>
                    </w:rPr>
                    <w:t>8141</w:t>
                  </w:r>
                </w:p>
              </w:tc>
            </w:tr>
            <w:tr w:rsidR="006662A6" w14:paraId="152BE33E" w14:textId="77777777" w:rsidTr="00032AC3">
              <w:trPr>
                <w:cnfStyle w:val="000000100000" w:firstRow="0" w:lastRow="0" w:firstColumn="0" w:lastColumn="0" w:oddVBand="0" w:evenVBand="0" w:oddHBand="1" w:evenHBand="0" w:firstRowFirstColumn="0" w:firstRowLastColumn="0" w:lastRowFirstColumn="0" w:lastRowLastColumn="0"/>
                <w:trHeight w:val="461"/>
              </w:trPr>
              <w:tc>
                <w:tcPr>
                  <w:tcW w:w="1536" w:type="dxa"/>
                </w:tcPr>
                <w:p w14:paraId="786D05C1" w14:textId="77777777" w:rsidR="006662A6" w:rsidRDefault="006662A6" w:rsidP="00A85661">
                  <w:pPr>
                    <w:pStyle w:val="Boxtext"/>
                    <w:rPr>
                      <w:lang w:val="en-AU"/>
                    </w:rPr>
                  </w:pPr>
                  <w:r>
                    <w:rPr>
                      <w:lang w:val="en-AU"/>
                    </w:rPr>
                    <w:t>Million Btu</w:t>
                  </w:r>
                </w:p>
              </w:tc>
              <w:tc>
                <w:tcPr>
                  <w:tcW w:w="1418" w:type="dxa"/>
                </w:tcPr>
                <w:p w14:paraId="0982A3B2" w14:textId="77777777" w:rsidR="006662A6" w:rsidRDefault="006662A6" w:rsidP="00A85661">
                  <w:pPr>
                    <w:pStyle w:val="Boxtext"/>
                    <w:jc w:val="right"/>
                    <w:rPr>
                      <w:lang w:val="en-AU"/>
                    </w:rPr>
                  </w:pPr>
                  <w:r>
                    <w:rPr>
                      <w:lang w:val="en-AU"/>
                    </w:rPr>
                    <w:t>1.0551 x 10</w:t>
                  </w:r>
                  <w:r>
                    <w:rPr>
                      <w:vertAlign w:val="superscript"/>
                      <w:lang w:val="en-AU"/>
                    </w:rPr>
                    <w:t>-3</w:t>
                  </w:r>
                </w:p>
              </w:tc>
              <w:tc>
                <w:tcPr>
                  <w:tcW w:w="824" w:type="dxa"/>
                </w:tcPr>
                <w:p w14:paraId="73CE8A66" w14:textId="77777777" w:rsidR="006662A6" w:rsidRDefault="006662A6" w:rsidP="00A85661">
                  <w:pPr>
                    <w:pStyle w:val="Boxtext"/>
                    <w:jc w:val="right"/>
                    <w:rPr>
                      <w:lang w:val="en-AU"/>
                    </w:rPr>
                  </w:pPr>
                  <w:r>
                    <w:rPr>
                      <w:lang w:val="en-AU"/>
                    </w:rPr>
                    <w:t>0.252</w:t>
                  </w:r>
                </w:p>
              </w:tc>
              <w:tc>
                <w:tcPr>
                  <w:tcW w:w="1256" w:type="dxa"/>
                </w:tcPr>
                <w:p w14:paraId="55A067BC" w14:textId="77777777" w:rsidR="006662A6" w:rsidRDefault="006662A6" w:rsidP="00A85661">
                  <w:pPr>
                    <w:pStyle w:val="Boxtext"/>
                    <w:jc w:val="right"/>
                    <w:rPr>
                      <w:lang w:val="en-AU"/>
                    </w:rPr>
                  </w:pPr>
                  <w:r>
                    <w:rPr>
                      <w:lang w:val="en-AU"/>
                    </w:rPr>
                    <w:t>2.52 x 10</w:t>
                  </w:r>
                  <w:r>
                    <w:rPr>
                      <w:vertAlign w:val="superscript"/>
                      <w:lang w:val="en-AU"/>
                    </w:rPr>
                    <w:t>-8</w:t>
                  </w:r>
                </w:p>
              </w:tc>
              <w:tc>
                <w:tcPr>
                  <w:tcW w:w="1256" w:type="dxa"/>
                </w:tcPr>
                <w:p w14:paraId="05B87ABB" w14:textId="77777777" w:rsidR="006662A6" w:rsidRDefault="006662A6" w:rsidP="00A85661">
                  <w:pPr>
                    <w:pStyle w:val="Boxtext"/>
                    <w:jc w:val="right"/>
                    <w:rPr>
                      <w:lang w:val="en-AU"/>
                    </w:rPr>
                  </w:pPr>
                  <w:r>
                    <w:rPr>
                      <w:lang w:val="en-AU"/>
                    </w:rPr>
                    <w:t>3.599 x 10</w:t>
                  </w:r>
                  <w:r>
                    <w:rPr>
                      <w:vertAlign w:val="superscript"/>
                      <w:lang w:val="en-AU"/>
                    </w:rPr>
                    <w:t>-8</w:t>
                  </w:r>
                </w:p>
              </w:tc>
              <w:tc>
                <w:tcPr>
                  <w:tcW w:w="1256" w:type="dxa"/>
                </w:tcPr>
                <w:p w14:paraId="11490CD6" w14:textId="77777777" w:rsidR="006662A6" w:rsidRDefault="006662A6" w:rsidP="00A85661">
                  <w:pPr>
                    <w:pStyle w:val="Boxtext"/>
                    <w:jc w:val="right"/>
                    <w:rPr>
                      <w:lang w:val="en-AU"/>
                    </w:rPr>
                  </w:pPr>
                  <w:r>
                    <w:rPr>
                      <w:lang w:val="en-AU"/>
                    </w:rPr>
                    <w:t>1</w:t>
                  </w:r>
                </w:p>
              </w:tc>
              <w:tc>
                <w:tcPr>
                  <w:tcW w:w="1256" w:type="dxa"/>
                </w:tcPr>
                <w:p w14:paraId="3A7E2A5C" w14:textId="77777777" w:rsidR="006662A6" w:rsidRDefault="006662A6" w:rsidP="00A85661">
                  <w:pPr>
                    <w:pStyle w:val="Boxtext"/>
                    <w:jc w:val="right"/>
                    <w:rPr>
                      <w:lang w:val="en-AU"/>
                    </w:rPr>
                  </w:pPr>
                  <w:r>
                    <w:rPr>
                      <w:lang w:val="en-AU"/>
                    </w:rPr>
                    <w:t>2.931 x 10</w:t>
                  </w:r>
                  <w:r>
                    <w:rPr>
                      <w:vertAlign w:val="superscript"/>
                      <w:lang w:val="en-AU"/>
                    </w:rPr>
                    <w:t>-4</w:t>
                  </w:r>
                </w:p>
              </w:tc>
            </w:tr>
            <w:tr w:rsidR="006662A6" w14:paraId="75DBA90F" w14:textId="77777777" w:rsidTr="00032AC3">
              <w:trPr>
                <w:cnfStyle w:val="000000010000" w:firstRow="0" w:lastRow="0" w:firstColumn="0" w:lastColumn="0" w:oddVBand="0" w:evenVBand="0" w:oddHBand="0" w:evenHBand="1" w:firstRowFirstColumn="0" w:firstRowLastColumn="0" w:lastRowFirstColumn="0" w:lastRowLastColumn="0"/>
                <w:trHeight w:val="678"/>
              </w:trPr>
              <w:tc>
                <w:tcPr>
                  <w:tcW w:w="1536" w:type="dxa"/>
                </w:tcPr>
                <w:p w14:paraId="4FB97081" w14:textId="77777777" w:rsidR="006662A6" w:rsidRDefault="006662A6" w:rsidP="00A85661">
                  <w:pPr>
                    <w:pStyle w:val="Boxtext"/>
                    <w:rPr>
                      <w:lang w:val="en-AU"/>
                    </w:rPr>
                  </w:pPr>
                  <w:r>
                    <w:rPr>
                      <w:lang w:val="en-AU"/>
                    </w:rPr>
                    <w:t>Gigawatt hour</w:t>
                  </w:r>
                </w:p>
              </w:tc>
              <w:tc>
                <w:tcPr>
                  <w:tcW w:w="1418" w:type="dxa"/>
                </w:tcPr>
                <w:p w14:paraId="181DDA6F" w14:textId="77777777" w:rsidR="006662A6" w:rsidRDefault="006662A6" w:rsidP="00A85661">
                  <w:pPr>
                    <w:pStyle w:val="Boxtext"/>
                    <w:jc w:val="right"/>
                    <w:rPr>
                      <w:lang w:val="en-AU"/>
                    </w:rPr>
                  </w:pPr>
                  <w:r>
                    <w:rPr>
                      <w:lang w:val="en-AU"/>
                    </w:rPr>
                    <w:t>3.6</w:t>
                  </w:r>
                </w:p>
              </w:tc>
              <w:tc>
                <w:tcPr>
                  <w:tcW w:w="824" w:type="dxa"/>
                </w:tcPr>
                <w:p w14:paraId="4C51986F" w14:textId="77777777" w:rsidR="006662A6" w:rsidRDefault="006662A6" w:rsidP="00A85661">
                  <w:pPr>
                    <w:pStyle w:val="Boxtext"/>
                    <w:jc w:val="right"/>
                    <w:rPr>
                      <w:lang w:val="en-AU"/>
                    </w:rPr>
                  </w:pPr>
                  <w:r>
                    <w:rPr>
                      <w:lang w:val="en-AU"/>
                    </w:rPr>
                    <w:t>860</w:t>
                  </w:r>
                </w:p>
              </w:tc>
              <w:tc>
                <w:tcPr>
                  <w:tcW w:w="1256" w:type="dxa"/>
                </w:tcPr>
                <w:p w14:paraId="7151B86E" w14:textId="77777777" w:rsidR="006662A6" w:rsidRDefault="006662A6" w:rsidP="00A85661">
                  <w:pPr>
                    <w:pStyle w:val="Boxtext"/>
                    <w:jc w:val="right"/>
                    <w:rPr>
                      <w:lang w:val="en-AU"/>
                    </w:rPr>
                  </w:pPr>
                  <w:r>
                    <w:rPr>
                      <w:lang w:val="en-AU"/>
                    </w:rPr>
                    <w:t>8.6 x 10</w:t>
                  </w:r>
                  <w:r>
                    <w:rPr>
                      <w:vertAlign w:val="superscript"/>
                      <w:lang w:val="en-AU"/>
                    </w:rPr>
                    <w:t>-5</w:t>
                  </w:r>
                </w:p>
              </w:tc>
              <w:tc>
                <w:tcPr>
                  <w:tcW w:w="1256" w:type="dxa"/>
                </w:tcPr>
                <w:p w14:paraId="671D598E" w14:textId="77777777" w:rsidR="006662A6" w:rsidRDefault="006662A6" w:rsidP="00A85661">
                  <w:pPr>
                    <w:pStyle w:val="Boxtext"/>
                    <w:jc w:val="right"/>
                    <w:rPr>
                      <w:lang w:val="en-AU"/>
                    </w:rPr>
                  </w:pPr>
                  <w:r>
                    <w:rPr>
                      <w:lang w:val="en-AU"/>
                    </w:rPr>
                    <w:t>1.228 x 10</w:t>
                  </w:r>
                  <w:r>
                    <w:rPr>
                      <w:vertAlign w:val="superscript"/>
                      <w:lang w:val="en-AU"/>
                    </w:rPr>
                    <w:t>-4</w:t>
                  </w:r>
                </w:p>
              </w:tc>
              <w:tc>
                <w:tcPr>
                  <w:tcW w:w="1256" w:type="dxa"/>
                </w:tcPr>
                <w:p w14:paraId="6C0197B1" w14:textId="77777777" w:rsidR="006662A6" w:rsidRDefault="006662A6" w:rsidP="00A85661">
                  <w:pPr>
                    <w:pStyle w:val="Boxtext"/>
                    <w:jc w:val="right"/>
                    <w:rPr>
                      <w:lang w:val="en-AU"/>
                    </w:rPr>
                  </w:pPr>
                  <w:r>
                    <w:rPr>
                      <w:lang w:val="en-AU"/>
                    </w:rPr>
                    <w:t>3412</w:t>
                  </w:r>
                </w:p>
              </w:tc>
              <w:tc>
                <w:tcPr>
                  <w:tcW w:w="1256" w:type="dxa"/>
                </w:tcPr>
                <w:p w14:paraId="14254BDA" w14:textId="77777777" w:rsidR="006662A6" w:rsidRDefault="006662A6" w:rsidP="00A85661">
                  <w:pPr>
                    <w:pStyle w:val="Boxtext"/>
                    <w:jc w:val="right"/>
                    <w:rPr>
                      <w:lang w:val="en-AU"/>
                    </w:rPr>
                  </w:pPr>
                  <w:r>
                    <w:rPr>
                      <w:lang w:val="en-AU"/>
                    </w:rPr>
                    <w:t>1</w:t>
                  </w:r>
                </w:p>
              </w:tc>
            </w:tr>
          </w:tbl>
          <w:p w14:paraId="06F18D81" w14:textId="77777777" w:rsidR="006662A6" w:rsidRDefault="006662A6" w:rsidP="00032AC3">
            <w:pPr>
              <w:pStyle w:val="Boxtext"/>
              <w:spacing w:before="0"/>
            </w:pPr>
            <w:r w:rsidRPr="0016779F">
              <w:rPr>
                <w:rFonts w:eastAsiaTheme="minorHAnsi"/>
                <w:sz w:val="16"/>
                <w:szCs w:val="16"/>
              </w:rPr>
              <w:t>Source</w:t>
            </w:r>
            <w:r w:rsidRPr="001613A2">
              <w:rPr>
                <w:rFonts w:eastAsiaTheme="minorHAnsi"/>
                <w:sz w:val="16"/>
                <w:szCs w:val="16"/>
              </w:rPr>
              <w:t xml:space="preserve">: IEA </w:t>
            </w:r>
            <w:r>
              <w:rPr>
                <w:rFonts w:eastAsiaTheme="minorHAnsi"/>
                <w:sz w:val="16"/>
                <w:szCs w:val="16"/>
              </w:rPr>
              <w:t>(</w:t>
            </w:r>
            <w:r w:rsidRPr="001613A2">
              <w:rPr>
                <w:rFonts w:eastAsiaTheme="minorHAnsi"/>
                <w:sz w:val="16"/>
                <w:szCs w:val="16"/>
              </w:rPr>
              <w:t>20</w:t>
            </w:r>
            <w:r>
              <w:rPr>
                <w:rFonts w:eastAsiaTheme="minorHAnsi"/>
                <w:sz w:val="16"/>
                <w:szCs w:val="16"/>
              </w:rPr>
              <w:t>19) Unit converter</w:t>
            </w:r>
          </w:p>
          <w:p w14:paraId="7BCE3473" w14:textId="194A7C01" w:rsidR="006662A6" w:rsidRDefault="006662A6" w:rsidP="00A85661">
            <w:pPr>
              <w:pStyle w:val="Boxtext"/>
              <w:rPr>
                <w:lang w:val="en-AU"/>
              </w:rPr>
            </w:pPr>
            <w:r w:rsidRPr="00824ED6">
              <w:rPr>
                <w:lang w:val="en-AU"/>
              </w:rPr>
              <w:t xml:space="preserve">The conversion of a fuel from a physical or volume unit to an energy unit requires a conversion factor that expresses the heat obtained from one unit of the fuel. This conversion factor is referred to as its </w:t>
            </w:r>
            <w:r w:rsidRPr="00824ED6">
              <w:rPr>
                <w:b/>
                <w:bCs/>
                <w:lang w:val="en-AU"/>
              </w:rPr>
              <w:t>calorific value</w:t>
            </w:r>
            <w:r w:rsidRPr="00824ED6">
              <w:rPr>
                <w:lang w:val="en-AU"/>
              </w:rPr>
              <w:t>. The quality of fuels</w:t>
            </w:r>
            <w:r>
              <w:rPr>
                <w:lang w:val="en-AU"/>
              </w:rPr>
              <w:t>,</w:t>
            </w:r>
            <w:r w:rsidRPr="00824ED6">
              <w:rPr>
                <w:lang w:val="en-AU"/>
              </w:rPr>
              <w:t xml:space="preserve"> and hence their calorific values</w:t>
            </w:r>
            <w:r>
              <w:rPr>
                <w:lang w:val="en-AU"/>
              </w:rPr>
              <w:t>,</w:t>
            </w:r>
            <w:r w:rsidRPr="00824ED6">
              <w:rPr>
                <w:lang w:val="en-AU"/>
              </w:rPr>
              <w:t xml:space="preserve"> varies across deposits and countries. </w:t>
            </w:r>
            <w:r>
              <w:rPr>
                <w:lang w:val="en-AU"/>
              </w:rPr>
              <w:t>The calorific value of coal is described in terms of kilocalories per kilogram (kcal/kg).</w:t>
            </w:r>
          </w:p>
          <w:p w14:paraId="3D3E4785" w14:textId="397BF019" w:rsidR="006662A6" w:rsidRDefault="006662A6" w:rsidP="00A85661">
            <w:pPr>
              <w:pStyle w:val="Boxtext"/>
              <w:rPr>
                <w:lang w:val="en-AU"/>
              </w:rPr>
            </w:pPr>
            <w:r>
              <w:rPr>
                <w:lang w:val="en-AU"/>
              </w:rPr>
              <w:t>This report employs both physical units (tonnes) and energy units (tonnes of coal equivalent, tce), depending on the source used. To convert tonnes to tce, the calorific value of the coal must be known. 1 tce is equivalent to 7 million kilocalories (kcal), or the net heat content of a tonne of coal with</w:t>
            </w:r>
            <w:r w:rsidR="00313894">
              <w:rPr>
                <w:lang w:val="en-AU"/>
              </w:rPr>
              <w:t xml:space="preserve"> </w:t>
            </w:r>
            <w:r w:rsidR="0009344A">
              <w:rPr>
                <w:lang w:val="en-AU"/>
              </w:rPr>
              <w:t xml:space="preserve"> </w:t>
            </w:r>
            <w:r>
              <w:rPr>
                <w:lang w:val="en-AU"/>
              </w:rPr>
              <w:t>1 mtce with a calorific value of 6,000 kcal/kg is equivalent to 1.17 million tonnes of 6,000 kcal/kg coal (1 * 7,000 kcal / 6,000 kcal/kg).</w:t>
            </w:r>
          </w:p>
          <w:p w14:paraId="2C9CF024" w14:textId="77777777" w:rsidR="006662A6" w:rsidRDefault="006662A6" w:rsidP="00A85661">
            <w:pPr>
              <w:pStyle w:val="Boxtext"/>
              <w:rPr>
                <w:lang w:val="en-AU"/>
              </w:rPr>
            </w:pPr>
            <w:r w:rsidRPr="00824ED6">
              <w:rPr>
                <w:b/>
                <w:bCs/>
                <w:lang w:val="en-AU"/>
              </w:rPr>
              <w:t xml:space="preserve">Electrical capacity </w:t>
            </w:r>
            <w:r w:rsidRPr="00824ED6">
              <w:rPr>
                <w:lang w:val="en-AU"/>
              </w:rPr>
              <w:t xml:space="preserve">is the maximum electricity output that can be generated at a plant under certain conditions. Capacity is typically measured in multiples of </w:t>
            </w:r>
            <w:r>
              <w:rPr>
                <w:lang w:val="en-AU"/>
              </w:rPr>
              <w:t>w</w:t>
            </w:r>
            <w:r w:rsidRPr="00824ED6">
              <w:rPr>
                <w:lang w:val="en-AU"/>
              </w:rPr>
              <w:t>atts. The choice of multiple (kilo, mega, giga</w:t>
            </w:r>
            <w:r>
              <w:rPr>
                <w:lang w:val="en-AU"/>
              </w:rPr>
              <w:t xml:space="preserve"> or</w:t>
            </w:r>
            <w:r w:rsidRPr="00824ED6">
              <w:rPr>
                <w:lang w:val="en-AU"/>
              </w:rPr>
              <w:t xml:space="preserve"> tera) depends on the size of the plant. </w:t>
            </w:r>
          </w:p>
          <w:p w14:paraId="1BB5572B" w14:textId="77777777" w:rsidR="006662A6" w:rsidRPr="00BD7860" w:rsidRDefault="006662A6" w:rsidP="00A85661">
            <w:pPr>
              <w:pStyle w:val="Boxtext"/>
              <w:rPr>
                <w:lang w:val="en-AU"/>
              </w:rPr>
            </w:pPr>
            <w:r w:rsidRPr="00824ED6">
              <w:rPr>
                <w:b/>
                <w:bCs/>
                <w:lang w:val="en-AU"/>
              </w:rPr>
              <w:t xml:space="preserve">Electricity generation </w:t>
            </w:r>
            <w:r w:rsidRPr="00824ED6">
              <w:rPr>
                <w:lang w:val="en-AU"/>
              </w:rPr>
              <w:t>and use is the amount of electricity produced or consumed over a certain period of time. Generation and consumption are measured as a multiple of watt hours. Many electricity plants do not operate at full capacity all the time</w:t>
            </w:r>
            <w:r>
              <w:rPr>
                <w:lang w:val="en-AU"/>
              </w:rPr>
              <w:t>;</w:t>
            </w:r>
            <w:r w:rsidRPr="00824ED6">
              <w:rPr>
                <w:lang w:val="en-AU"/>
              </w:rPr>
              <w:t xml:space="preserve"> output is varied based on operating conditions, input cos</w:t>
            </w:r>
            <w:r>
              <w:rPr>
                <w:lang w:val="en-AU"/>
              </w:rPr>
              <w:t>ts and requirements.</w:t>
            </w:r>
          </w:p>
        </w:tc>
      </w:tr>
    </w:tbl>
    <w:p w14:paraId="5550030B" w14:textId="280AE0B5" w:rsidR="006662A6" w:rsidRDefault="006662A6" w:rsidP="00032AC3">
      <w:pPr>
        <w:pStyle w:val="Source"/>
        <w:spacing w:before="0"/>
        <w:jc w:val="left"/>
      </w:pPr>
      <w:r>
        <w:t>Source: IEA (2005) Energy Statistics Manual</w:t>
      </w:r>
    </w:p>
    <w:p w14:paraId="0A520764" w14:textId="0FDC4F3A" w:rsidR="006662A6" w:rsidRDefault="006662A6" w:rsidP="00A6621E">
      <w:pPr>
        <w:pStyle w:val="Heading3"/>
      </w:pPr>
      <w:r>
        <w:lastRenderedPageBreak/>
        <w:t>India’s energy mix</w:t>
      </w:r>
    </w:p>
    <w:p w14:paraId="66114D85" w14:textId="5E1D7D57" w:rsidR="006662A6" w:rsidRDefault="006662A6" w:rsidP="007F1FBF">
      <w:pPr>
        <w:pStyle w:val="BodyText"/>
      </w:pPr>
      <w:r>
        <w:t>The composition of India’s e</w:t>
      </w:r>
      <w:r w:rsidR="0039279D">
        <w:t>nergy mix has shifted noticeably</w:t>
      </w:r>
      <w:r>
        <w:t xml:space="preserve"> over the past few decades (Figure 1.2). The share of biomass (such as wood used in heating and cooking) and waste in the energy mix has been declining. Coal has taken on an increasing role, although its share has edged back since its 2014 peak. Oil’s share has also picked up, driven by growing transport and petrochemicals demand. Other fuels — natural gas, renewables and nuclear — have remained a relatively minor part of India’s energy mix over the past few decades. </w:t>
      </w:r>
    </w:p>
    <w:p w14:paraId="5E1C3422" w14:textId="75247B20" w:rsidR="006662A6" w:rsidRDefault="006662A6" w:rsidP="007F1FBF">
      <w:pPr>
        <w:pStyle w:val="BodyText"/>
      </w:pPr>
      <w:r>
        <w:t xml:space="preserve">In 2016, coal accounted for 44 per cent of India’s energy mix, followed by oil at 25 per cent, biofuels and waste at 22 per cent, natural gas at 5 per cent, renewables (including hydro, wind and solar) at 2 per cent, and nuclear at 1 per cent. </w:t>
      </w:r>
    </w:p>
    <w:p w14:paraId="645E7D73" w14:textId="40572E28" w:rsidR="006662A6" w:rsidRDefault="006662A6" w:rsidP="00E165D2">
      <w:pPr>
        <w:pStyle w:val="Caption"/>
      </w:pPr>
      <w:r>
        <w:t>Figure</w:t>
      </w:r>
      <w:r w:rsidRPr="000618FB">
        <w:t xml:space="preserve"> </w:t>
      </w:r>
      <w:r>
        <w:t>1</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3172B3">
        <w:rPr>
          <w:noProof/>
        </w:rPr>
        <w:t>2</w:t>
      </w:r>
      <w:r w:rsidRPr="000618FB">
        <w:fldChar w:fldCharType="end"/>
      </w:r>
      <w:r>
        <w:t>: India’s energy mix</w:t>
      </w:r>
    </w:p>
    <w:tbl>
      <w:tblPr>
        <w:tblStyle w:val="OCETable"/>
        <w:tblW w:w="4940" w:type="pct"/>
        <w:tblInd w:w="108" w:type="dxa"/>
        <w:tblLayout w:type="fixed"/>
        <w:tblLook w:val="04A0" w:firstRow="1" w:lastRow="0" w:firstColumn="1" w:lastColumn="0" w:noHBand="0" w:noVBand="1"/>
        <w:tblCaption w:val="Table contains Figure 1.2"/>
      </w:tblPr>
      <w:tblGrid>
        <w:gridCol w:w="8918"/>
      </w:tblGrid>
      <w:tr w:rsidR="006662A6" w14:paraId="40A079F3"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17FF8510" w14:textId="4F64F1AF" w:rsidR="006662A6" w:rsidRDefault="006662A6" w:rsidP="007F756A">
            <w:pPr>
              <w:pStyle w:val="PlaceholderWide"/>
            </w:pPr>
            <w:bookmarkStart w:id="32" w:name="_Toc15641154"/>
            <w:bookmarkStart w:id="33" w:name="_Toc15645842"/>
            <w:r>
              <w:rPr>
                <w:noProof/>
                <w:lang w:eastAsia="en-AU"/>
              </w:rPr>
              <w:drawing>
                <wp:inline distT="0" distB="0" distL="0" distR="0" wp14:anchorId="6E98971F" wp14:editId="2ED1B76A">
                  <wp:extent cx="5585460" cy="3395331"/>
                  <wp:effectExtent l="0" t="0" r="0" b="0"/>
                  <wp:docPr id="23" name="Chart 23" descr="This chart shows how India's energy mix has changed over the past four decades: biofuels &amp; waste's share has shrunk, while coal and oil's share has grown. " title="India's energy mix"/>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67732F86" w14:textId="1D5FFBC4" w:rsidR="006662A6" w:rsidRPr="00C62F3A" w:rsidRDefault="006662A6" w:rsidP="007F756A">
      <w:pPr>
        <w:pStyle w:val="Note"/>
      </w:pPr>
      <w:r>
        <w:t>Notes: renewables includes hydro and other renewables (wind, solar etc.). Electricity and heat from non-specified combustible fuels are excluded for the purposes of the chart.</w:t>
      </w:r>
    </w:p>
    <w:p w14:paraId="48F31620" w14:textId="2F6FCB19" w:rsidR="006662A6" w:rsidRDefault="006662A6" w:rsidP="007F756A">
      <w:pPr>
        <w:pStyle w:val="Source"/>
      </w:pPr>
      <w:r>
        <w:t>Source: IEA (2018) World Energy Balances</w:t>
      </w:r>
    </w:p>
    <w:p w14:paraId="551126B6" w14:textId="41568AEE" w:rsidR="006662A6" w:rsidRDefault="006662A6" w:rsidP="00616A5B">
      <w:pPr>
        <w:pStyle w:val="Heading2"/>
      </w:pPr>
      <w:bookmarkStart w:id="34" w:name="_Toc16247574"/>
      <w:bookmarkStart w:id="35" w:name="_Toc16250037"/>
      <w:bookmarkStart w:id="36" w:name="_Toc16256892"/>
      <w:bookmarkStart w:id="37" w:name="_Toc17210767"/>
      <w:r>
        <w:t>Electricity consumption</w:t>
      </w:r>
      <w:bookmarkEnd w:id="32"/>
      <w:bookmarkEnd w:id="33"/>
      <w:r>
        <w:t xml:space="preserve"> in India</w:t>
      </w:r>
      <w:bookmarkEnd w:id="34"/>
      <w:bookmarkEnd w:id="35"/>
      <w:bookmarkEnd w:id="36"/>
      <w:bookmarkEnd w:id="37"/>
    </w:p>
    <w:p w14:paraId="13E7FF43" w14:textId="4B3168F4" w:rsidR="006662A6" w:rsidRDefault="006662A6" w:rsidP="00E673E3">
      <w:pPr>
        <w:ind w:left="0"/>
        <w:rPr>
          <w:rFonts w:cs="Arial"/>
          <w:color w:val="2D2D2D"/>
          <w:lang w:val="en"/>
        </w:rPr>
      </w:pPr>
      <w:r>
        <w:rPr>
          <w:rFonts w:cs="Arial"/>
          <w:color w:val="2D2D2D"/>
          <w:lang w:val="en"/>
        </w:rPr>
        <w:t>The power sector accounts for 40 per cent of India’s total primary energy demand, and has been the largest contributor to growing energy consumption in India since the turn of the century.</w:t>
      </w:r>
      <w:r>
        <w:rPr>
          <w:rStyle w:val="EndnoteReference"/>
          <w:rFonts w:cs="Arial"/>
          <w:color w:val="2D2D2D"/>
          <w:lang w:val="en"/>
        </w:rPr>
        <w:endnoteReference w:id="4"/>
      </w:r>
      <w:r>
        <w:rPr>
          <w:rFonts w:cs="Arial"/>
          <w:color w:val="2D2D2D"/>
          <w:lang w:val="en"/>
        </w:rPr>
        <w:t xml:space="preserve"> However, in recent years, electricity demand growth has been slower than expected, with economic and industrial production growth lower than original expectations. As outlined in Chapter 2, this slower than expected growth has been a key contributing factor</w:t>
      </w:r>
      <w:r w:rsidDel="00ED5D60">
        <w:rPr>
          <w:rFonts w:cs="Arial"/>
          <w:color w:val="2D2D2D"/>
          <w:lang w:val="en"/>
        </w:rPr>
        <w:t xml:space="preserve"> </w:t>
      </w:r>
      <w:r>
        <w:rPr>
          <w:rFonts w:cs="Arial"/>
          <w:color w:val="2D2D2D"/>
          <w:lang w:val="en"/>
        </w:rPr>
        <w:t>to the emergence of excess capacity in the power generation sector, which has placed some Indian generators under financial pressure.</w:t>
      </w:r>
    </w:p>
    <w:p w14:paraId="272D75DC" w14:textId="04817615" w:rsidR="006662A6" w:rsidRDefault="006662A6" w:rsidP="0022405E">
      <w:pPr>
        <w:pStyle w:val="BodyText"/>
        <w:rPr>
          <w:rFonts w:cs="Arial"/>
          <w:color w:val="2D2D2D"/>
          <w:lang w:val="en"/>
        </w:rPr>
      </w:pPr>
      <w:r>
        <w:rPr>
          <w:rFonts w:cs="Arial"/>
          <w:color w:val="2D2D2D"/>
          <w:lang w:val="en"/>
        </w:rPr>
        <w:t>Much like total energy demand, increasing electricity consumption has been underpinned by both economic and population growth. Efforts to increase access to electricity have also supported growing electricity use. Around half a billion people have gained access to electricity in India</w:t>
      </w:r>
      <w:r w:rsidRPr="004B6518">
        <w:rPr>
          <w:rFonts w:cs="Arial"/>
          <w:color w:val="2D2D2D"/>
          <w:lang w:val="en"/>
        </w:rPr>
        <w:t xml:space="preserve"> </w:t>
      </w:r>
      <w:r>
        <w:rPr>
          <w:rFonts w:cs="Arial"/>
          <w:color w:val="2D2D2D"/>
          <w:lang w:val="en"/>
        </w:rPr>
        <w:t>since the year 2000.</w:t>
      </w:r>
      <w:r>
        <w:rPr>
          <w:rStyle w:val="EndnoteReference"/>
          <w:rFonts w:cs="Arial"/>
          <w:color w:val="2D2D2D"/>
          <w:lang w:val="en"/>
        </w:rPr>
        <w:endnoteReference w:id="5"/>
      </w:r>
      <w:r>
        <w:rPr>
          <w:rFonts w:cs="Arial"/>
          <w:color w:val="2D2D2D"/>
          <w:lang w:val="en"/>
        </w:rPr>
        <w:t xml:space="preserve"> </w:t>
      </w:r>
    </w:p>
    <w:p w14:paraId="37563239" w14:textId="40C0D92E" w:rsidR="006662A6" w:rsidRDefault="006662A6" w:rsidP="006776AA">
      <w:pPr>
        <w:pStyle w:val="BodyText"/>
        <w:rPr>
          <w:rFonts w:cs="Arial"/>
          <w:color w:val="2D2D2D"/>
          <w:lang w:val="en"/>
        </w:rPr>
      </w:pPr>
      <w:r>
        <w:rPr>
          <w:rFonts w:cs="Arial"/>
          <w:color w:val="2D2D2D"/>
          <w:lang w:val="en"/>
        </w:rPr>
        <w:lastRenderedPageBreak/>
        <w:t xml:space="preserve">Since the 2014 national elections, the Indian government has made access to electricity a key policy priority. The Indian government launched the </w:t>
      </w:r>
      <w:r w:rsidRPr="00E058EB">
        <w:rPr>
          <w:rFonts w:cs="Arial"/>
          <w:i/>
          <w:color w:val="2D2D2D"/>
          <w:lang w:val="en"/>
        </w:rPr>
        <w:t>Saubhagya</w:t>
      </w:r>
      <w:r>
        <w:rPr>
          <w:rFonts w:cs="Arial"/>
          <w:color w:val="2D2D2D"/>
          <w:lang w:val="en"/>
        </w:rPr>
        <w:t xml:space="preserve"> scheme</w:t>
      </w:r>
      <w:r w:rsidRPr="003200B8">
        <w:rPr>
          <w:rFonts w:cs="Arial"/>
          <w:color w:val="2D2D2D"/>
          <w:lang w:val="en"/>
        </w:rPr>
        <w:t xml:space="preserve"> </w:t>
      </w:r>
      <w:r>
        <w:rPr>
          <w:rFonts w:cs="Arial"/>
          <w:color w:val="2D2D2D"/>
          <w:lang w:val="en"/>
        </w:rPr>
        <w:t>in September 2017, which is designed to provide free or low cost electricity connections. In April 2018, the Indian government announced it had achieved its goal of providing electricity to every village in India.</w:t>
      </w:r>
      <w:r>
        <w:rPr>
          <w:rStyle w:val="EndnoteReference"/>
          <w:rFonts w:cs="Arial"/>
          <w:color w:val="2D2D2D"/>
          <w:lang w:val="en"/>
        </w:rPr>
        <w:endnoteReference w:id="6"/>
      </w:r>
      <w:r>
        <w:rPr>
          <w:rFonts w:cs="Arial"/>
          <w:color w:val="2D2D2D"/>
          <w:lang w:val="en"/>
        </w:rPr>
        <w:t xml:space="preserve"> </w:t>
      </w:r>
    </w:p>
    <w:p w14:paraId="5E71A387" w14:textId="3E6042C1" w:rsidR="006662A6" w:rsidRDefault="006662A6" w:rsidP="00075F2B">
      <w:pPr>
        <w:pStyle w:val="BodyText"/>
      </w:pPr>
      <w:r>
        <w:rPr>
          <w:rFonts w:cs="Arial"/>
          <w:color w:val="2D2D2D"/>
          <w:lang w:val="en"/>
        </w:rPr>
        <w:t>Attention has now turned to providing all households with electricity access, and India is aiming to achieve universal electricity access by 2022.</w:t>
      </w:r>
      <w:r>
        <w:rPr>
          <w:rStyle w:val="EndnoteReference"/>
          <w:rFonts w:cs="Arial"/>
          <w:color w:val="2D2D2D"/>
          <w:lang w:val="en"/>
        </w:rPr>
        <w:endnoteReference w:id="7"/>
      </w:r>
      <w:r>
        <w:rPr>
          <w:rFonts w:cs="Arial"/>
          <w:color w:val="2D2D2D"/>
          <w:lang w:val="en"/>
        </w:rPr>
        <w:t xml:space="preserve"> According to the latest data from the International Energy Agency (IEA), almost 168 million people in India were without access to electricity in 2017 (around 12.5 per cent of the population).</w:t>
      </w:r>
      <w:r>
        <w:rPr>
          <w:rStyle w:val="EndnoteReference"/>
          <w:rFonts w:cs="Arial"/>
          <w:color w:val="2D2D2D"/>
          <w:lang w:val="en"/>
        </w:rPr>
        <w:endnoteReference w:id="8"/>
      </w:r>
      <w:r w:rsidRPr="003E7AB8">
        <w:t xml:space="preserve"> India’</w:t>
      </w:r>
      <w:r>
        <w:t xml:space="preserve">s per person electricity use remains </w:t>
      </w:r>
      <w:r w:rsidRPr="003E7AB8">
        <w:t>low compared with</w:t>
      </w:r>
      <w:r>
        <w:t xml:space="preserve"> both</w:t>
      </w:r>
      <w:r w:rsidRPr="003E7AB8">
        <w:t xml:space="preserve"> advanced economies and </w:t>
      </w:r>
      <w:r>
        <w:t>other emerging economies (F</w:t>
      </w:r>
      <w:r w:rsidRPr="003E7AB8">
        <w:t xml:space="preserve">igure </w:t>
      </w:r>
      <w:r>
        <w:t>1.3</w:t>
      </w:r>
      <w:r w:rsidRPr="003E7AB8">
        <w:t xml:space="preserve">). </w:t>
      </w:r>
    </w:p>
    <w:p w14:paraId="3B0323C8" w14:textId="7A3E0F40" w:rsidR="006662A6" w:rsidRDefault="006662A6" w:rsidP="00075F2B">
      <w:pPr>
        <w:pStyle w:val="Caption"/>
      </w:pPr>
      <w:r>
        <w:t>Figure</w:t>
      </w:r>
      <w:r w:rsidRPr="000618FB">
        <w:t xml:space="preserve"> </w:t>
      </w:r>
      <w:r>
        <w:t>1</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3172B3">
        <w:rPr>
          <w:noProof/>
        </w:rPr>
        <w:t>3</w:t>
      </w:r>
      <w:r w:rsidRPr="000618FB">
        <w:fldChar w:fldCharType="end"/>
      </w:r>
      <w:r>
        <w:t>: Electricity use and economic development, 2017</w:t>
      </w:r>
    </w:p>
    <w:tbl>
      <w:tblPr>
        <w:tblStyle w:val="OCETable"/>
        <w:tblW w:w="4940" w:type="pct"/>
        <w:tblInd w:w="108" w:type="dxa"/>
        <w:tblLayout w:type="fixed"/>
        <w:tblLook w:val="04A0" w:firstRow="1" w:lastRow="0" w:firstColumn="1" w:lastColumn="0" w:noHBand="0" w:noVBand="1"/>
        <w:tblCaption w:val="Table contains Figure 1.3"/>
      </w:tblPr>
      <w:tblGrid>
        <w:gridCol w:w="8918"/>
      </w:tblGrid>
      <w:tr w:rsidR="006662A6" w14:paraId="18109FD9"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028088E6" w14:textId="3B34A823" w:rsidR="006662A6" w:rsidRDefault="006662A6" w:rsidP="003F2ED4">
            <w:pPr>
              <w:pStyle w:val="PlaceholderWide"/>
            </w:pPr>
            <w:r>
              <w:rPr>
                <w:noProof/>
                <w:lang w:eastAsia="en-AU"/>
              </w:rPr>
              <w:drawing>
                <wp:inline distT="0" distB="0" distL="0" distR="0" wp14:anchorId="6E231D8E" wp14:editId="3E7634F3">
                  <wp:extent cx="5445765" cy="2911475"/>
                  <wp:effectExtent l="0" t="0" r="2540" b="3175"/>
                  <wp:docPr id="21" name="Chart 21" descr="This chart shows on electricity use per person in India is low on a per capita basis relative to developed and developing countries and regions." title="Electricity use and economic development,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7B65B875" w14:textId="1979FAC5" w:rsidR="006662A6" w:rsidRDefault="006662A6" w:rsidP="00075F2B">
      <w:pPr>
        <w:pStyle w:val="Source"/>
      </w:pPr>
      <w:r>
        <w:t>Source: IEA (2018) World Energy Outlook, World Bank (2019)</w:t>
      </w:r>
    </w:p>
    <w:p w14:paraId="21657AD1" w14:textId="5E482BC3" w:rsidR="006662A6" w:rsidRPr="00E91467" w:rsidRDefault="006662A6" w:rsidP="00E91467">
      <w:pPr>
        <w:spacing w:after="200" w:line="276" w:lineRule="auto"/>
        <w:ind w:left="0"/>
        <w:jc w:val="left"/>
        <w:rPr>
          <w:rFonts w:asciiTheme="minorHAnsi" w:hAnsiTheme="minorHAnsi" w:cs="Arial"/>
          <w:color w:val="2D2D2D"/>
          <w:lang w:val="en"/>
        </w:rPr>
      </w:pPr>
      <w:r>
        <w:rPr>
          <w:rFonts w:cs="Arial"/>
          <w:color w:val="2D2D2D"/>
          <w:lang w:val="en"/>
        </w:rPr>
        <w:t>India has also made significant progress in reducing power shortages, thanks to a significant expansion in generation capacity and lower than expected demand growth in recent years.</w:t>
      </w:r>
      <w:r>
        <w:rPr>
          <w:rStyle w:val="EndnoteReference"/>
          <w:rFonts w:cs="Arial"/>
          <w:color w:val="2D2D2D"/>
          <w:lang w:val="en"/>
        </w:rPr>
        <w:endnoteReference w:id="9"/>
      </w:r>
      <w:r w:rsidRPr="00EF46C5">
        <w:rPr>
          <w:rFonts w:cs="Arial"/>
          <w:color w:val="2D2D2D"/>
          <w:lang w:val="en"/>
        </w:rPr>
        <w:t xml:space="preserve"> </w:t>
      </w:r>
      <w:r>
        <w:rPr>
          <w:rFonts w:cs="Arial"/>
          <w:color w:val="2D2D2D"/>
          <w:lang w:val="en"/>
        </w:rPr>
        <w:t>While reliability of electricity supply has improved, it remains an ongoing challenge. India’s largest survey of household energy access indicated that daily electricity supply was 16 hours in 2018, up from a median of 12 hours in 2015.</w:t>
      </w:r>
      <w:r>
        <w:rPr>
          <w:rStyle w:val="EndnoteReference"/>
          <w:rFonts w:cs="Arial"/>
          <w:color w:val="2D2D2D"/>
          <w:lang w:val="en"/>
        </w:rPr>
        <w:endnoteReference w:id="10"/>
      </w:r>
      <w:r>
        <w:rPr>
          <w:rFonts w:cs="Arial"/>
          <w:color w:val="2D2D2D"/>
          <w:lang w:val="en"/>
        </w:rPr>
        <w:t xml:space="preserve"> The political imperative to provide affordable and reliable power to Indian households is expected to shape reforms in the energy and electricity sectors moving forward.</w:t>
      </w:r>
      <w:r>
        <w:rPr>
          <w:rStyle w:val="EndnoteReference"/>
          <w:rFonts w:cs="Arial"/>
          <w:color w:val="2D2D2D"/>
          <w:lang w:val="en"/>
        </w:rPr>
        <w:endnoteReference w:id="11"/>
      </w:r>
      <w:r>
        <w:rPr>
          <w:rFonts w:cs="Arial"/>
          <w:color w:val="2D2D2D"/>
          <w:lang w:val="en"/>
        </w:rPr>
        <w:t xml:space="preserve"> </w:t>
      </w:r>
    </w:p>
    <w:p w14:paraId="421F7013" w14:textId="2F2E0B47" w:rsidR="006662A6" w:rsidRDefault="006662A6" w:rsidP="00E673E3">
      <w:pPr>
        <w:ind w:left="0"/>
        <w:rPr>
          <w:rFonts w:cs="Arial"/>
          <w:color w:val="2D2D2D"/>
          <w:lang w:val="en"/>
        </w:rPr>
      </w:pPr>
      <w:r>
        <w:rPr>
          <w:rFonts w:cs="Arial"/>
          <w:color w:val="2D2D2D"/>
          <w:lang w:val="en"/>
        </w:rPr>
        <w:t>To meet growing demand, India’s electricity generation capacity has more than doubled over the past decade. The expansion has been primarily driven by coal-fired power generation capacity, and more recently, renewable generation (Figure 1.4). Over the past decade, coal generation capacity has increased by 123 GW, while renewable capacity (excluding large-scale hydro) has increased by 64 GW. In June 2019, coal accounted for around 56 per cent of total installed capacity in India, followed by renewables (excluding large-scale hydro) at 22 per cent, large-scale hydro at 13 per cent, gas at 7 per cent and nuclear at 2 per cent (Table 1.2).</w:t>
      </w:r>
      <w:r>
        <w:rPr>
          <w:rStyle w:val="EndnoteReference"/>
          <w:rFonts w:cs="Arial"/>
          <w:color w:val="2D2D2D"/>
          <w:lang w:val="en"/>
        </w:rPr>
        <w:endnoteReference w:id="12"/>
      </w:r>
      <w:r>
        <w:rPr>
          <w:rFonts w:cs="Arial"/>
          <w:color w:val="2D2D2D"/>
          <w:lang w:val="en"/>
        </w:rPr>
        <w:t xml:space="preserve"> Coal’s share of India’s electricity generation is larger than its share of installed electricity capacity, given it tends to run at a higher utilisation rate than renewable generation.</w:t>
      </w:r>
    </w:p>
    <w:p w14:paraId="195D653D" w14:textId="4FBD8764" w:rsidR="006662A6" w:rsidRDefault="006662A6" w:rsidP="007942C7">
      <w:pPr>
        <w:pStyle w:val="Caption"/>
        <w:spacing w:after="0"/>
      </w:pPr>
      <w:r>
        <w:lastRenderedPageBreak/>
        <w:t>Figure 1</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3172B3">
        <w:rPr>
          <w:noProof/>
        </w:rPr>
        <w:t>4</w:t>
      </w:r>
      <w:r w:rsidRPr="000618FB">
        <w:fldChar w:fldCharType="end"/>
      </w:r>
      <w:r>
        <w:t>: India’s installed electricity generation capacity</w:t>
      </w:r>
    </w:p>
    <w:tbl>
      <w:tblPr>
        <w:tblStyle w:val="OCETable"/>
        <w:tblW w:w="4981" w:type="pct"/>
        <w:tblInd w:w="108" w:type="dxa"/>
        <w:tblLayout w:type="fixed"/>
        <w:tblLook w:val="04A0" w:firstRow="1" w:lastRow="0" w:firstColumn="1" w:lastColumn="0" w:noHBand="0" w:noVBand="1"/>
        <w:tblCaption w:val="Table contains Figure 1.4"/>
      </w:tblPr>
      <w:tblGrid>
        <w:gridCol w:w="8992"/>
      </w:tblGrid>
      <w:tr w:rsidR="006662A6" w14:paraId="6A17390C" w14:textId="77777777" w:rsidTr="00C667B0">
        <w:trPr>
          <w:cnfStyle w:val="100000000000" w:firstRow="1" w:lastRow="0" w:firstColumn="0" w:lastColumn="0" w:oddVBand="0" w:evenVBand="0" w:oddHBand="0" w:evenHBand="0" w:firstRowFirstColumn="0" w:firstRowLastColumn="0" w:lastRowFirstColumn="0" w:lastRowLastColumn="0"/>
          <w:trHeight w:val="5043"/>
          <w:tblHeader/>
        </w:trPr>
        <w:tc>
          <w:tcPr>
            <w:tcW w:w="8991" w:type="dxa"/>
            <w:shd w:val="clear" w:color="auto" w:fill="auto"/>
          </w:tcPr>
          <w:p w14:paraId="2F0190A8" w14:textId="5B750BC1" w:rsidR="006662A6" w:rsidRDefault="006662A6" w:rsidP="00415F5C">
            <w:pPr>
              <w:pStyle w:val="PlaceholderWide"/>
              <w:jc w:val="both"/>
            </w:pPr>
            <w:r>
              <w:rPr>
                <w:noProof/>
                <w:lang w:eastAsia="en-AU"/>
              </w:rPr>
              <w:drawing>
                <wp:anchor distT="0" distB="0" distL="114300" distR="114300" simplePos="0" relativeHeight="251658255" behindDoc="1" locked="0" layoutInCell="1" allowOverlap="1" wp14:anchorId="331B4927" wp14:editId="57DA2724">
                  <wp:simplePos x="0" y="0"/>
                  <wp:positionH relativeFrom="column">
                    <wp:posOffset>-41910</wp:posOffset>
                  </wp:positionH>
                  <wp:positionV relativeFrom="paragraph">
                    <wp:posOffset>1565275</wp:posOffset>
                  </wp:positionV>
                  <wp:extent cx="5486400" cy="1743075"/>
                  <wp:effectExtent l="0" t="0" r="0" b="0"/>
                  <wp:wrapTight wrapText="bothSides">
                    <wp:wrapPolygon edited="0">
                      <wp:start x="0" y="0"/>
                      <wp:lineTo x="0" y="21246"/>
                      <wp:lineTo x="21525" y="21246"/>
                      <wp:lineTo x="21525" y="0"/>
                      <wp:lineTo x="0" y="0"/>
                    </wp:wrapPolygon>
                  </wp:wrapTight>
                  <wp:docPr id="61" name="Chart 61" descr="This chart shows the change in India's electricity generation capacity over the past decade. Coal and, more recently, renewables, have accounted for the majority of the expansion." title="India's installed electricity generation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56" behindDoc="1" locked="0" layoutInCell="1" allowOverlap="1" wp14:anchorId="07A5F118" wp14:editId="671C7A40">
                  <wp:simplePos x="0" y="0"/>
                  <wp:positionH relativeFrom="margin">
                    <wp:align>right</wp:align>
                  </wp:positionH>
                  <wp:positionV relativeFrom="paragraph">
                    <wp:posOffset>1270</wp:posOffset>
                  </wp:positionV>
                  <wp:extent cx="5663565" cy="1623060"/>
                  <wp:effectExtent l="0" t="0" r="0" b="0"/>
                  <wp:wrapTight wrapText="bothSides">
                    <wp:wrapPolygon edited="0">
                      <wp:start x="0" y="0"/>
                      <wp:lineTo x="0" y="21296"/>
                      <wp:lineTo x="21506" y="21296"/>
                      <wp:lineTo x="21506" y="0"/>
                      <wp:lineTo x="0" y="0"/>
                    </wp:wrapPolygon>
                  </wp:wrapTight>
                  <wp:docPr id="60" name="Chart 60" descr="This chart shows how electricity generation capacity in India has increased over the past decade, driven by coal and, more recently, renewables." title="India's installed electricity generation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c>
      </w:tr>
    </w:tbl>
    <w:p w14:paraId="17F46E28" w14:textId="2D598BFF" w:rsidR="006662A6" w:rsidRPr="00C62F3A" w:rsidRDefault="006662A6" w:rsidP="00225ED5">
      <w:pPr>
        <w:pStyle w:val="Note"/>
      </w:pPr>
      <w:r>
        <w:t>Notes: Installed capacity as at March each year. Hydro refers to large-scale hydro. Renewables include wind, solar, biomass, and mini-hydro. In 2019, thermal coal includes a small amount of lignite.</w:t>
      </w:r>
    </w:p>
    <w:p w14:paraId="1732C47C" w14:textId="6F935B8B" w:rsidR="006662A6" w:rsidRDefault="006662A6" w:rsidP="00225ED5">
      <w:pPr>
        <w:pStyle w:val="Source"/>
      </w:pPr>
      <w:r>
        <w:t>Source: Central Electricity Authority (2019)</w:t>
      </w:r>
    </w:p>
    <w:p w14:paraId="382F4F47" w14:textId="6C3994E7" w:rsidR="006662A6" w:rsidRDefault="006662A6" w:rsidP="00301B3D">
      <w:pPr>
        <w:pStyle w:val="Caption"/>
      </w:pPr>
      <w:bookmarkStart w:id="38" w:name="_Toc15641155"/>
      <w:bookmarkStart w:id="39" w:name="_Toc15645843"/>
      <w:bookmarkStart w:id="40" w:name="_Toc16247575"/>
      <w:bookmarkStart w:id="41" w:name="_Toc16250038"/>
      <w:bookmarkStart w:id="42" w:name="_Toc16256893"/>
      <w:r w:rsidRPr="000618FB">
        <w:t xml:space="preserve">Table </w:t>
      </w:r>
      <w:r>
        <w:t>1</w:t>
      </w:r>
      <w:r w:rsidRPr="000618FB">
        <w:t>.</w:t>
      </w:r>
      <w:r>
        <w:t>2</w:t>
      </w:r>
      <w:r w:rsidRPr="000618FB">
        <w:t xml:space="preserve">: </w:t>
      </w:r>
      <w:r>
        <w:t>India’s installed electricity generation capacity, June 2019</w:t>
      </w:r>
    </w:p>
    <w:tbl>
      <w:tblPr>
        <w:tblStyle w:val="OCETable"/>
        <w:tblW w:w="5000" w:type="pct"/>
        <w:tblInd w:w="57" w:type="dxa"/>
        <w:tblLayout w:type="fixed"/>
        <w:tblLook w:val="04A0" w:firstRow="1" w:lastRow="0" w:firstColumn="1" w:lastColumn="0" w:noHBand="0" w:noVBand="1"/>
        <w:tblCaption w:val="India's installed electricity generation capacity, June 2019"/>
        <w:tblDescription w:val="This chart shows the level of installed capacity for different technologies as well as their share of overall capacity. Coal dominates at 56 per cent, followed by renewables at 22 per cent and hydro 13 per cent."/>
      </w:tblPr>
      <w:tblGrid>
        <w:gridCol w:w="3204"/>
        <w:gridCol w:w="2813"/>
        <w:gridCol w:w="3009"/>
      </w:tblGrid>
      <w:tr w:rsidR="006662A6" w14:paraId="2B57D7A5"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3204" w:type="dxa"/>
          </w:tcPr>
          <w:p w14:paraId="0A013535" w14:textId="23013674" w:rsidR="006662A6" w:rsidRDefault="006662A6" w:rsidP="00301B3D">
            <w:pPr>
              <w:pStyle w:val="Tableheader"/>
              <w:rPr>
                <w:lang w:eastAsia="en-AU"/>
              </w:rPr>
            </w:pPr>
            <w:r>
              <w:rPr>
                <w:lang w:eastAsia="en-AU"/>
              </w:rPr>
              <w:t>Generation type</w:t>
            </w:r>
          </w:p>
        </w:tc>
        <w:tc>
          <w:tcPr>
            <w:tcW w:w="2813" w:type="dxa"/>
          </w:tcPr>
          <w:p w14:paraId="6B62F7A3" w14:textId="0092CC32" w:rsidR="006662A6" w:rsidRDefault="006662A6" w:rsidP="00301B3D">
            <w:pPr>
              <w:pStyle w:val="Tableheader"/>
              <w:jc w:val="right"/>
              <w:rPr>
                <w:lang w:eastAsia="en-AU"/>
              </w:rPr>
            </w:pPr>
            <w:r>
              <w:rPr>
                <w:lang w:eastAsia="en-AU"/>
              </w:rPr>
              <w:t>Capacity (GW)</w:t>
            </w:r>
          </w:p>
        </w:tc>
        <w:tc>
          <w:tcPr>
            <w:tcW w:w="3009" w:type="dxa"/>
          </w:tcPr>
          <w:p w14:paraId="4EC309B2" w14:textId="1AB05BA7" w:rsidR="006662A6" w:rsidRDefault="006662A6" w:rsidP="00301B3D">
            <w:pPr>
              <w:pStyle w:val="Tableheader"/>
              <w:jc w:val="right"/>
              <w:rPr>
                <w:lang w:eastAsia="en-AU"/>
              </w:rPr>
            </w:pPr>
            <w:r>
              <w:rPr>
                <w:lang w:eastAsia="en-AU"/>
              </w:rPr>
              <w:t>Share (%)</w:t>
            </w:r>
          </w:p>
        </w:tc>
      </w:tr>
      <w:tr w:rsidR="006662A6" w14:paraId="504AA3CA"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63F89095" w14:textId="2F938563" w:rsidR="006662A6" w:rsidRDefault="006662A6" w:rsidP="00301B3D">
            <w:pPr>
              <w:pStyle w:val="Tabletext"/>
              <w:rPr>
                <w:lang w:eastAsia="en-AU"/>
              </w:rPr>
            </w:pPr>
            <w:r>
              <w:rPr>
                <w:lang w:eastAsia="en-AU"/>
              </w:rPr>
              <w:t>Thermal coal</w:t>
            </w:r>
          </w:p>
        </w:tc>
        <w:tc>
          <w:tcPr>
            <w:tcW w:w="2813" w:type="dxa"/>
          </w:tcPr>
          <w:p w14:paraId="51CF9472" w14:textId="6E093539" w:rsidR="006662A6" w:rsidRDefault="006662A6" w:rsidP="00B02164">
            <w:pPr>
              <w:pStyle w:val="Tabletext"/>
              <w:jc w:val="right"/>
              <w:rPr>
                <w:lang w:eastAsia="en-AU"/>
              </w:rPr>
            </w:pPr>
            <w:r w:rsidRPr="00FA5BA2">
              <w:t>194</w:t>
            </w:r>
          </w:p>
        </w:tc>
        <w:tc>
          <w:tcPr>
            <w:tcW w:w="3009" w:type="dxa"/>
          </w:tcPr>
          <w:p w14:paraId="237EBDF8" w14:textId="724BC071" w:rsidR="006662A6" w:rsidRDefault="006662A6" w:rsidP="00B02164">
            <w:pPr>
              <w:pStyle w:val="Tabletext"/>
              <w:jc w:val="right"/>
              <w:rPr>
                <w:lang w:eastAsia="en-AU"/>
              </w:rPr>
            </w:pPr>
            <w:r w:rsidRPr="00FA5BA2">
              <w:t>54</w:t>
            </w:r>
          </w:p>
        </w:tc>
      </w:tr>
      <w:tr w:rsidR="006662A6" w14:paraId="0D9903CE"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5A7A6E46" w14:textId="4971024D" w:rsidR="006662A6" w:rsidRDefault="006662A6" w:rsidP="00301B3D">
            <w:pPr>
              <w:pStyle w:val="Tabletext"/>
              <w:rPr>
                <w:lang w:eastAsia="en-AU"/>
              </w:rPr>
            </w:pPr>
            <w:r>
              <w:rPr>
                <w:lang w:eastAsia="en-AU"/>
              </w:rPr>
              <w:t>Lignite</w:t>
            </w:r>
          </w:p>
        </w:tc>
        <w:tc>
          <w:tcPr>
            <w:tcW w:w="2813" w:type="dxa"/>
          </w:tcPr>
          <w:p w14:paraId="25E550DE" w14:textId="29F503C8" w:rsidR="006662A6" w:rsidRDefault="006662A6" w:rsidP="00B02164">
            <w:pPr>
              <w:pStyle w:val="Tabletext"/>
              <w:jc w:val="right"/>
              <w:rPr>
                <w:lang w:eastAsia="en-AU"/>
              </w:rPr>
            </w:pPr>
            <w:r w:rsidRPr="00FA5BA2">
              <w:t>6</w:t>
            </w:r>
          </w:p>
        </w:tc>
        <w:tc>
          <w:tcPr>
            <w:tcW w:w="3009" w:type="dxa"/>
          </w:tcPr>
          <w:p w14:paraId="695C1B87" w14:textId="379ED9C3" w:rsidR="006662A6" w:rsidRDefault="006662A6" w:rsidP="00B02164">
            <w:pPr>
              <w:pStyle w:val="Tabletext"/>
              <w:jc w:val="right"/>
              <w:rPr>
                <w:lang w:eastAsia="en-AU"/>
              </w:rPr>
            </w:pPr>
            <w:r w:rsidRPr="00FA5BA2">
              <w:t>2</w:t>
            </w:r>
          </w:p>
        </w:tc>
      </w:tr>
      <w:tr w:rsidR="006662A6" w14:paraId="71B2ADBC"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4BC19C27" w14:textId="0F722DED" w:rsidR="006662A6" w:rsidRPr="00B02164" w:rsidRDefault="006662A6" w:rsidP="00301B3D">
            <w:pPr>
              <w:pStyle w:val="Tabletext"/>
              <w:rPr>
                <w:b/>
                <w:lang w:eastAsia="en-AU"/>
              </w:rPr>
            </w:pPr>
            <w:r w:rsidRPr="00B02164">
              <w:rPr>
                <w:b/>
              </w:rPr>
              <w:t>Total coal</w:t>
            </w:r>
          </w:p>
        </w:tc>
        <w:tc>
          <w:tcPr>
            <w:tcW w:w="2813" w:type="dxa"/>
          </w:tcPr>
          <w:p w14:paraId="5D9057A3" w14:textId="45C63880" w:rsidR="006662A6" w:rsidRPr="00B02164" w:rsidRDefault="006662A6" w:rsidP="00B02164">
            <w:pPr>
              <w:pStyle w:val="Tabletext"/>
              <w:jc w:val="right"/>
              <w:rPr>
                <w:b/>
                <w:lang w:eastAsia="en-AU"/>
              </w:rPr>
            </w:pPr>
            <w:r w:rsidRPr="00B02164">
              <w:rPr>
                <w:b/>
              </w:rPr>
              <w:t>201</w:t>
            </w:r>
          </w:p>
        </w:tc>
        <w:tc>
          <w:tcPr>
            <w:tcW w:w="3009" w:type="dxa"/>
          </w:tcPr>
          <w:p w14:paraId="057EEF65" w14:textId="60725CE4" w:rsidR="006662A6" w:rsidRPr="00B02164" w:rsidRDefault="006662A6" w:rsidP="00B02164">
            <w:pPr>
              <w:pStyle w:val="Tabletext"/>
              <w:jc w:val="right"/>
              <w:rPr>
                <w:b/>
                <w:lang w:eastAsia="en-AU"/>
              </w:rPr>
            </w:pPr>
            <w:r w:rsidRPr="00B02164">
              <w:rPr>
                <w:b/>
              </w:rPr>
              <w:t>56</w:t>
            </w:r>
          </w:p>
        </w:tc>
      </w:tr>
      <w:tr w:rsidR="006662A6" w14:paraId="23FC2D10"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1A6396CC" w14:textId="44046536" w:rsidR="006662A6" w:rsidRDefault="006662A6" w:rsidP="00301B3D">
            <w:pPr>
              <w:pStyle w:val="Tabletext"/>
              <w:rPr>
                <w:lang w:eastAsia="en-AU"/>
              </w:rPr>
            </w:pPr>
            <w:r>
              <w:rPr>
                <w:lang w:eastAsia="en-AU"/>
              </w:rPr>
              <w:t>Gas</w:t>
            </w:r>
          </w:p>
        </w:tc>
        <w:tc>
          <w:tcPr>
            <w:tcW w:w="2813" w:type="dxa"/>
          </w:tcPr>
          <w:p w14:paraId="799CD052" w14:textId="77ABABF8" w:rsidR="006662A6" w:rsidRDefault="006662A6" w:rsidP="00B02164">
            <w:pPr>
              <w:pStyle w:val="Tabletext"/>
              <w:jc w:val="right"/>
              <w:rPr>
                <w:lang w:eastAsia="en-AU"/>
              </w:rPr>
            </w:pPr>
            <w:r w:rsidRPr="00FA5BA2">
              <w:t>25</w:t>
            </w:r>
          </w:p>
        </w:tc>
        <w:tc>
          <w:tcPr>
            <w:tcW w:w="3009" w:type="dxa"/>
          </w:tcPr>
          <w:p w14:paraId="0FF0CD2F" w14:textId="0FF143C1" w:rsidR="006662A6" w:rsidRDefault="006662A6" w:rsidP="00B02164">
            <w:pPr>
              <w:pStyle w:val="Tabletext"/>
              <w:jc w:val="right"/>
              <w:rPr>
                <w:lang w:eastAsia="en-AU"/>
              </w:rPr>
            </w:pPr>
            <w:r w:rsidRPr="00FA5BA2">
              <w:t>7</w:t>
            </w:r>
          </w:p>
        </w:tc>
      </w:tr>
      <w:tr w:rsidR="006662A6" w14:paraId="19383164"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7A5921CA" w14:textId="59287F73" w:rsidR="006662A6" w:rsidRDefault="006662A6" w:rsidP="00301B3D">
            <w:pPr>
              <w:pStyle w:val="Tabletext"/>
              <w:rPr>
                <w:lang w:eastAsia="en-AU"/>
              </w:rPr>
            </w:pPr>
            <w:r>
              <w:rPr>
                <w:lang w:eastAsia="en-AU"/>
              </w:rPr>
              <w:t>Diesel</w:t>
            </w:r>
          </w:p>
        </w:tc>
        <w:tc>
          <w:tcPr>
            <w:tcW w:w="2813" w:type="dxa"/>
          </w:tcPr>
          <w:p w14:paraId="48723865" w14:textId="1B0244F9" w:rsidR="006662A6" w:rsidRDefault="006662A6" w:rsidP="00B02164">
            <w:pPr>
              <w:pStyle w:val="Tabletext"/>
              <w:jc w:val="right"/>
              <w:rPr>
                <w:lang w:eastAsia="en-AU"/>
              </w:rPr>
            </w:pPr>
            <w:r w:rsidRPr="00FA5BA2">
              <w:t>1</w:t>
            </w:r>
          </w:p>
        </w:tc>
        <w:tc>
          <w:tcPr>
            <w:tcW w:w="3009" w:type="dxa"/>
          </w:tcPr>
          <w:p w14:paraId="60EA57D3" w14:textId="411CC8A4" w:rsidR="006662A6" w:rsidRDefault="006662A6" w:rsidP="00B02164">
            <w:pPr>
              <w:pStyle w:val="Tabletext"/>
              <w:jc w:val="right"/>
              <w:rPr>
                <w:lang w:eastAsia="en-AU"/>
              </w:rPr>
            </w:pPr>
            <w:r w:rsidRPr="00FA5BA2">
              <w:t>0</w:t>
            </w:r>
          </w:p>
        </w:tc>
      </w:tr>
      <w:tr w:rsidR="006662A6" w14:paraId="24ABB1B4"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0880182C" w14:textId="6239AC41" w:rsidR="006662A6" w:rsidRPr="00B02164" w:rsidRDefault="006662A6" w:rsidP="00301B3D">
            <w:pPr>
              <w:pStyle w:val="Tabletext"/>
              <w:rPr>
                <w:b/>
                <w:lang w:eastAsia="en-AU"/>
              </w:rPr>
            </w:pPr>
            <w:r w:rsidRPr="00B02164">
              <w:rPr>
                <w:b/>
              </w:rPr>
              <w:t>Total thermal</w:t>
            </w:r>
          </w:p>
        </w:tc>
        <w:tc>
          <w:tcPr>
            <w:tcW w:w="2813" w:type="dxa"/>
          </w:tcPr>
          <w:p w14:paraId="352BF394" w14:textId="38E6687C" w:rsidR="006662A6" w:rsidRPr="00B02164" w:rsidRDefault="006662A6" w:rsidP="00B02164">
            <w:pPr>
              <w:pStyle w:val="Tabletext"/>
              <w:jc w:val="right"/>
              <w:rPr>
                <w:b/>
                <w:lang w:eastAsia="en-AU"/>
              </w:rPr>
            </w:pPr>
            <w:r w:rsidRPr="00B02164">
              <w:rPr>
                <w:b/>
              </w:rPr>
              <w:t>226</w:t>
            </w:r>
          </w:p>
        </w:tc>
        <w:tc>
          <w:tcPr>
            <w:tcW w:w="3009" w:type="dxa"/>
          </w:tcPr>
          <w:p w14:paraId="722C32F4" w14:textId="7A433D1A" w:rsidR="006662A6" w:rsidRPr="00B02164" w:rsidRDefault="006662A6" w:rsidP="00B02164">
            <w:pPr>
              <w:pStyle w:val="Tabletext"/>
              <w:jc w:val="right"/>
              <w:rPr>
                <w:b/>
                <w:lang w:eastAsia="en-AU"/>
              </w:rPr>
            </w:pPr>
            <w:r w:rsidRPr="00B02164">
              <w:rPr>
                <w:b/>
              </w:rPr>
              <w:t>63</w:t>
            </w:r>
          </w:p>
        </w:tc>
      </w:tr>
      <w:tr w:rsidR="006662A6" w14:paraId="417A5987"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45E0A1B0" w14:textId="01AE52C5" w:rsidR="006662A6" w:rsidRDefault="006662A6" w:rsidP="00301B3D">
            <w:pPr>
              <w:pStyle w:val="Tabletext"/>
              <w:rPr>
                <w:lang w:eastAsia="en-AU"/>
              </w:rPr>
            </w:pPr>
            <w:r>
              <w:rPr>
                <w:lang w:eastAsia="en-AU"/>
              </w:rPr>
              <w:t>Small-scale hydro</w:t>
            </w:r>
          </w:p>
        </w:tc>
        <w:tc>
          <w:tcPr>
            <w:tcW w:w="2813" w:type="dxa"/>
          </w:tcPr>
          <w:p w14:paraId="55A7B9EC" w14:textId="2F3886BD" w:rsidR="006662A6" w:rsidRDefault="006662A6" w:rsidP="00B02164">
            <w:pPr>
              <w:pStyle w:val="Tabletext"/>
              <w:jc w:val="right"/>
              <w:rPr>
                <w:lang w:eastAsia="en-AU"/>
              </w:rPr>
            </w:pPr>
            <w:r w:rsidRPr="00FA5BA2">
              <w:t>5</w:t>
            </w:r>
          </w:p>
        </w:tc>
        <w:tc>
          <w:tcPr>
            <w:tcW w:w="3009" w:type="dxa"/>
          </w:tcPr>
          <w:p w14:paraId="1E947C89" w14:textId="2695BC0B" w:rsidR="006662A6" w:rsidRDefault="006662A6" w:rsidP="00B02164">
            <w:pPr>
              <w:pStyle w:val="Tabletext"/>
              <w:jc w:val="right"/>
              <w:rPr>
                <w:lang w:eastAsia="en-AU"/>
              </w:rPr>
            </w:pPr>
            <w:r w:rsidRPr="00FA5BA2">
              <w:t>1</w:t>
            </w:r>
          </w:p>
        </w:tc>
      </w:tr>
      <w:tr w:rsidR="006662A6" w14:paraId="57994561"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7A737CFF" w14:textId="17AA09F0" w:rsidR="006662A6" w:rsidRDefault="006662A6" w:rsidP="00301B3D">
            <w:pPr>
              <w:pStyle w:val="Tabletext"/>
              <w:rPr>
                <w:lang w:eastAsia="en-AU"/>
              </w:rPr>
            </w:pPr>
            <w:r>
              <w:rPr>
                <w:lang w:eastAsia="en-AU"/>
              </w:rPr>
              <w:t>Wind</w:t>
            </w:r>
          </w:p>
        </w:tc>
        <w:tc>
          <w:tcPr>
            <w:tcW w:w="2813" w:type="dxa"/>
          </w:tcPr>
          <w:p w14:paraId="3B8F3341" w14:textId="44A125B7" w:rsidR="006662A6" w:rsidRDefault="006662A6" w:rsidP="00B02164">
            <w:pPr>
              <w:pStyle w:val="Tabletext"/>
              <w:jc w:val="right"/>
              <w:rPr>
                <w:lang w:eastAsia="en-AU"/>
              </w:rPr>
            </w:pPr>
            <w:r w:rsidRPr="00FA5BA2">
              <w:t>36</w:t>
            </w:r>
          </w:p>
        </w:tc>
        <w:tc>
          <w:tcPr>
            <w:tcW w:w="3009" w:type="dxa"/>
          </w:tcPr>
          <w:p w14:paraId="7FAE2A4A" w14:textId="7530A5A2" w:rsidR="006662A6" w:rsidRDefault="006662A6" w:rsidP="00B02164">
            <w:pPr>
              <w:pStyle w:val="Tabletext"/>
              <w:jc w:val="right"/>
              <w:rPr>
                <w:lang w:eastAsia="en-AU"/>
              </w:rPr>
            </w:pPr>
            <w:r w:rsidRPr="00FA5BA2">
              <w:t>10</w:t>
            </w:r>
          </w:p>
        </w:tc>
      </w:tr>
      <w:tr w:rsidR="006662A6" w14:paraId="6B144238"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7609AB04" w14:textId="07B06837" w:rsidR="006662A6" w:rsidRDefault="006662A6" w:rsidP="00301B3D">
            <w:pPr>
              <w:pStyle w:val="Tabletext"/>
              <w:rPr>
                <w:lang w:eastAsia="en-AU"/>
              </w:rPr>
            </w:pPr>
            <w:r w:rsidRPr="00FA5BA2">
              <w:t>Bio-power</w:t>
            </w:r>
          </w:p>
        </w:tc>
        <w:tc>
          <w:tcPr>
            <w:tcW w:w="2813" w:type="dxa"/>
          </w:tcPr>
          <w:p w14:paraId="6BF2ACAA" w14:textId="159AB018" w:rsidR="006662A6" w:rsidRDefault="006662A6" w:rsidP="00B02164">
            <w:pPr>
              <w:pStyle w:val="Tabletext"/>
              <w:jc w:val="right"/>
              <w:rPr>
                <w:lang w:eastAsia="en-AU"/>
              </w:rPr>
            </w:pPr>
            <w:r w:rsidRPr="00FA5BA2">
              <w:t>9</w:t>
            </w:r>
          </w:p>
        </w:tc>
        <w:tc>
          <w:tcPr>
            <w:tcW w:w="3009" w:type="dxa"/>
          </w:tcPr>
          <w:p w14:paraId="57D6EB78" w14:textId="6A623F57" w:rsidR="006662A6" w:rsidRDefault="006662A6" w:rsidP="00B02164">
            <w:pPr>
              <w:pStyle w:val="Tabletext"/>
              <w:jc w:val="right"/>
              <w:rPr>
                <w:lang w:eastAsia="en-AU"/>
              </w:rPr>
            </w:pPr>
            <w:r w:rsidRPr="00FA5BA2">
              <w:t>3</w:t>
            </w:r>
          </w:p>
        </w:tc>
      </w:tr>
      <w:tr w:rsidR="006662A6" w14:paraId="1797D0DE"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0A5A6E4E" w14:textId="5E42198A" w:rsidR="006662A6" w:rsidRDefault="006662A6" w:rsidP="00301B3D">
            <w:pPr>
              <w:pStyle w:val="Tabletext"/>
              <w:rPr>
                <w:lang w:eastAsia="en-AU"/>
              </w:rPr>
            </w:pPr>
            <w:r w:rsidRPr="00FA5BA2">
              <w:t>Solar</w:t>
            </w:r>
          </w:p>
        </w:tc>
        <w:tc>
          <w:tcPr>
            <w:tcW w:w="2813" w:type="dxa"/>
          </w:tcPr>
          <w:p w14:paraId="4A4663A1" w14:textId="28DAA118" w:rsidR="006662A6" w:rsidRDefault="006662A6" w:rsidP="00B02164">
            <w:pPr>
              <w:pStyle w:val="Tabletext"/>
              <w:jc w:val="right"/>
              <w:rPr>
                <w:lang w:eastAsia="en-AU"/>
              </w:rPr>
            </w:pPr>
            <w:r w:rsidRPr="00FA5BA2">
              <w:t>29</w:t>
            </w:r>
          </w:p>
        </w:tc>
        <w:tc>
          <w:tcPr>
            <w:tcW w:w="3009" w:type="dxa"/>
          </w:tcPr>
          <w:p w14:paraId="0968E14C" w14:textId="6662E704" w:rsidR="006662A6" w:rsidRDefault="006662A6" w:rsidP="00B02164">
            <w:pPr>
              <w:pStyle w:val="Tabletext"/>
              <w:jc w:val="right"/>
              <w:rPr>
                <w:lang w:eastAsia="en-AU"/>
              </w:rPr>
            </w:pPr>
            <w:r w:rsidRPr="00FA5BA2">
              <w:t>8</w:t>
            </w:r>
          </w:p>
        </w:tc>
      </w:tr>
      <w:tr w:rsidR="006662A6" w14:paraId="5CEEC580"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63D53178" w14:textId="57D02DC4" w:rsidR="006662A6" w:rsidRPr="00B02164" w:rsidRDefault="006662A6" w:rsidP="00301B3D">
            <w:pPr>
              <w:pStyle w:val="Tabletext"/>
              <w:rPr>
                <w:b/>
                <w:lang w:eastAsia="en-AU"/>
              </w:rPr>
            </w:pPr>
            <w:r w:rsidRPr="00B02164">
              <w:rPr>
                <w:b/>
              </w:rPr>
              <w:t>Total renewables (ex large hydro)</w:t>
            </w:r>
          </w:p>
        </w:tc>
        <w:tc>
          <w:tcPr>
            <w:tcW w:w="2813" w:type="dxa"/>
          </w:tcPr>
          <w:p w14:paraId="04D7AD14" w14:textId="5024EA5A" w:rsidR="006662A6" w:rsidRPr="00B02164" w:rsidRDefault="006662A6" w:rsidP="00B02164">
            <w:pPr>
              <w:pStyle w:val="Tabletext"/>
              <w:jc w:val="right"/>
              <w:rPr>
                <w:b/>
                <w:lang w:eastAsia="en-AU"/>
              </w:rPr>
            </w:pPr>
            <w:r w:rsidRPr="00B02164">
              <w:rPr>
                <w:b/>
              </w:rPr>
              <w:t>79</w:t>
            </w:r>
          </w:p>
        </w:tc>
        <w:tc>
          <w:tcPr>
            <w:tcW w:w="3009" w:type="dxa"/>
          </w:tcPr>
          <w:p w14:paraId="61177BA1" w14:textId="333F6340" w:rsidR="006662A6" w:rsidRPr="00B02164" w:rsidRDefault="006662A6" w:rsidP="00B02164">
            <w:pPr>
              <w:pStyle w:val="Tabletext"/>
              <w:jc w:val="right"/>
              <w:rPr>
                <w:b/>
                <w:lang w:eastAsia="en-AU"/>
              </w:rPr>
            </w:pPr>
            <w:r w:rsidRPr="00B02164">
              <w:rPr>
                <w:b/>
              </w:rPr>
              <w:t>22</w:t>
            </w:r>
          </w:p>
        </w:tc>
      </w:tr>
      <w:tr w:rsidR="006662A6" w14:paraId="70E3D534"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16C5D44A" w14:textId="2B7A5BCF" w:rsidR="006662A6" w:rsidRDefault="006662A6" w:rsidP="00301B3D">
            <w:pPr>
              <w:pStyle w:val="Tabletext"/>
              <w:rPr>
                <w:lang w:eastAsia="en-AU"/>
              </w:rPr>
            </w:pPr>
            <w:r w:rsidRPr="00FA5BA2">
              <w:t>Large-scale hydro</w:t>
            </w:r>
          </w:p>
        </w:tc>
        <w:tc>
          <w:tcPr>
            <w:tcW w:w="2813" w:type="dxa"/>
          </w:tcPr>
          <w:p w14:paraId="3E6DD268" w14:textId="1020CB46" w:rsidR="006662A6" w:rsidRDefault="006662A6" w:rsidP="00B02164">
            <w:pPr>
              <w:pStyle w:val="Tabletext"/>
              <w:jc w:val="right"/>
              <w:rPr>
                <w:lang w:eastAsia="en-AU"/>
              </w:rPr>
            </w:pPr>
            <w:r w:rsidRPr="00FA5BA2">
              <w:t>45</w:t>
            </w:r>
          </w:p>
        </w:tc>
        <w:tc>
          <w:tcPr>
            <w:tcW w:w="3009" w:type="dxa"/>
          </w:tcPr>
          <w:p w14:paraId="162DAA1D" w14:textId="55230350" w:rsidR="006662A6" w:rsidRDefault="006662A6" w:rsidP="00B02164">
            <w:pPr>
              <w:pStyle w:val="Tabletext"/>
              <w:jc w:val="right"/>
              <w:rPr>
                <w:lang w:eastAsia="en-AU"/>
              </w:rPr>
            </w:pPr>
            <w:r w:rsidRPr="00FA5BA2">
              <w:t>13</w:t>
            </w:r>
          </w:p>
        </w:tc>
      </w:tr>
      <w:tr w:rsidR="006662A6" w14:paraId="7A0FA184" w14:textId="77777777" w:rsidTr="00B02164">
        <w:trPr>
          <w:cnfStyle w:val="000000100000" w:firstRow="0" w:lastRow="0" w:firstColumn="0" w:lastColumn="0" w:oddVBand="0" w:evenVBand="0" w:oddHBand="1" w:evenHBand="0" w:firstRowFirstColumn="0" w:firstRowLastColumn="0" w:lastRowFirstColumn="0" w:lastRowLastColumn="0"/>
        </w:trPr>
        <w:tc>
          <w:tcPr>
            <w:tcW w:w="3204" w:type="dxa"/>
          </w:tcPr>
          <w:p w14:paraId="1ABD5313" w14:textId="10B653B7" w:rsidR="006662A6" w:rsidRDefault="006662A6" w:rsidP="00301B3D">
            <w:pPr>
              <w:pStyle w:val="Tabletext"/>
              <w:rPr>
                <w:lang w:eastAsia="en-AU"/>
              </w:rPr>
            </w:pPr>
            <w:r w:rsidRPr="00FA5BA2">
              <w:t xml:space="preserve">Nuclear </w:t>
            </w:r>
          </w:p>
        </w:tc>
        <w:tc>
          <w:tcPr>
            <w:tcW w:w="2813" w:type="dxa"/>
          </w:tcPr>
          <w:p w14:paraId="6C28D132" w14:textId="3DB64FA6" w:rsidR="006662A6" w:rsidRDefault="006662A6" w:rsidP="00B02164">
            <w:pPr>
              <w:pStyle w:val="Tabletext"/>
              <w:jc w:val="right"/>
              <w:rPr>
                <w:lang w:eastAsia="en-AU"/>
              </w:rPr>
            </w:pPr>
            <w:r w:rsidRPr="00FA5BA2">
              <w:t>7</w:t>
            </w:r>
          </w:p>
        </w:tc>
        <w:tc>
          <w:tcPr>
            <w:tcW w:w="3009" w:type="dxa"/>
          </w:tcPr>
          <w:p w14:paraId="74EE6E6F" w14:textId="161A67AD" w:rsidR="006662A6" w:rsidRDefault="006662A6" w:rsidP="00B02164">
            <w:pPr>
              <w:pStyle w:val="Tabletext"/>
              <w:jc w:val="right"/>
              <w:rPr>
                <w:lang w:eastAsia="en-AU"/>
              </w:rPr>
            </w:pPr>
            <w:r w:rsidRPr="00FA5BA2">
              <w:t>2</w:t>
            </w:r>
          </w:p>
        </w:tc>
      </w:tr>
      <w:tr w:rsidR="006662A6" w14:paraId="62BCAB65" w14:textId="77777777" w:rsidTr="00B02164">
        <w:trPr>
          <w:cnfStyle w:val="000000010000" w:firstRow="0" w:lastRow="0" w:firstColumn="0" w:lastColumn="0" w:oddVBand="0" w:evenVBand="0" w:oddHBand="0" w:evenHBand="1" w:firstRowFirstColumn="0" w:firstRowLastColumn="0" w:lastRowFirstColumn="0" w:lastRowLastColumn="0"/>
        </w:trPr>
        <w:tc>
          <w:tcPr>
            <w:tcW w:w="3204" w:type="dxa"/>
          </w:tcPr>
          <w:p w14:paraId="4233AFAE" w14:textId="11B96D83" w:rsidR="006662A6" w:rsidRPr="00B02164" w:rsidRDefault="006662A6" w:rsidP="00301B3D">
            <w:pPr>
              <w:pStyle w:val="Tabletext"/>
              <w:rPr>
                <w:b/>
                <w:lang w:eastAsia="en-AU"/>
              </w:rPr>
            </w:pPr>
            <w:r w:rsidRPr="00B02164">
              <w:rPr>
                <w:b/>
              </w:rPr>
              <w:t>Total installed</w:t>
            </w:r>
            <w:r>
              <w:rPr>
                <w:b/>
              </w:rPr>
              <w:t xml:space="preserve"> capacity</w:t>
            </w:r>
          </w:p>
        </w:tc>
        <w:tc>
          <w:tcPr>
            <w:tcW w:w="2813" w:type="dxa"/>
          </w:tcPr>
          <w:p w14:paraId="53E788BE" w14:textId="2AB26686" w:rsidR="006662A6" w:rsidRPr="00B02164" w:rsidRDefault="006662A6" w:rsidP="00B02164">
            <w:pPr>
              <w:pStyle w:val="Tabletext"/>
              <w:jc w:val="right"/>
              <w:rPr>
                <w:b/>
                <w:lang w:eastAsia="en-AU"/>
              </w:rPr>
            </w:pPr>
            <w:r w:rsidRPr="00B02164">
              <w:rPr>
                <w:b/>
              </w:rPr>
              <w:t>358</w:t>
            </w:r>
          </w:p>
        </w:tc>
        <w:tc>
          <w:tcPr>
            <w:tcW w:w="3009" w:type="dxa"/>
          </w:tcPr>
          <w:p w14:paraId="7475B564" w14:textId="1913E2F9" w:rsidR="006662A6" w:rsidRPr="00B02164" w:rsidRDefault="006662A6" w:rsidP="00B02164">
            <w:pPr>
              <w:pStyle w:val="Tabletext"/>
              <w:jc w:val="right"/>
              <w:rPr>
                <w:b/>
                <w:lang w:eastAsia="en-AU"/>
              </w:rPr>
            </w:pPr>
            <w:r w:rsidRPr="00B02164">
              <w:rPr>
                <w:b/>
              </w:rPr>
              <w:t>100</w:t>
            </w:r>
          </w:p>
        </w:tc>
      </w:tr>
    </w:tbl>
    <w:p w14:paraId="05DD8AFD" w14:textId="30EAB1E8" w:rsidR="006662A6" w:rsidRDefault="006662A6" w:rsidP="00301B3D">
      <w:pPr>
        <w:pStyle w:val="Source"/>
        <w:rPr>
          <w:lang w:eastAsia="en-AU"/>
        </w:rPr>
      </w:pPr>
      <w:r>
        <w:rPr>
          <w:lang w:eastAsia="en-AU"/>
        </w:rPr>
        <w:t>Source: Central Electricity Authority (2019)</w:t>
      </w:r>
    </w:p>
    <w:p w14:paraId="37A1BF97" w14:textId="6EC0253A" w:rsidR="006662A6" w:rsidRPr="00747926" w:rsidRDefault="006662A6" w:rsidP="0023021E">
      <w:pPr>
        <w:pStyle w:val="Heading1"/>
      </w:pPr>
      <w:bookmarkStart w:id="43" w:name="_Toc17210768"/>
      <w:r>
        <w:lastRenderedPageBreak/>
        <w:t>1.2 Structure of India’s energy and electricity sectors</w:t>
      </w:r>
      <w:bookmarkEnd w:id="38"/>
      <w:bookmarkEnd w:id="39"/>
      <w:bookmarkEnd w:id="40"/>
      <w:bookmarkEnd w:id="41"/>
      <w:bookmarkEnd w:id="42"/>
      <w:bookmarkEnd w:id="43"/>
    </w:p>
    <w:p w14:paraId="533FE5A3" w14:textId="77777777" w:rsidR="006662A6" w:rsidRDefault="006662A6" w:rsidP="0023021E">
      <w:pPr>
        <w:pStyle w:val="Heading2"/>
      </w:pPr>
      <w:bookmarkStart w:id="44" w:name="_Toc15641156"/>
      <w:bookmarkStart w:id="45" w:name="_Toc15645844"/>
      <w:bookmarkStart w:id="46" w:name="_Toc16247576"/>
      <w:bookmarkStart w:id="47" w:name="_Toc16250039"/>
      <w:bookmarkStart w:id="48" w:name="_Toc16256894"/>
      <w:bookmarkStart w:id="49" w:name="_Toc17210769"/>
      <w:r>
        <w:t>India’s energy sector</w:t>
      </w:r>
      <w:bookmarkEnd w:id="44"/>
      <w:bookmarkEnd w:id="45"/>
      <w:bookmarkEnd w:id="46"/>
      <w:bookmarkEnd w:id="47"/>
      <w:bookmarkEnd w:id="48"/>
      <w:bookmarkEnd w:id="49"/>
      <w:r>
        <w:t xml:space="preserve"> </w:t>
      </w:r>
    </w:p>
    <w:p w14:paraId="555979A0" w14:textId="17CC87D2" w:rsidR="006662A6" w:rsidRDefault="006662A6" w:rsidP="0023021E">
      <w:pPr>
        <w:pStyle w:val="BodyText"/>
      </w:pPr>
      <w:r>
        <w:rPr>
          <w:lang w:val="en-GB"/>
        </w:rPr>
        <w:t xml:space="preserve">India’s energy sector is governed by a complex set of institutional arrangements. The Indian government is the principal agent in the energy market, with responsibility for both setting energy policy and administering the public companies that produce energy. There are five major government ministries that are directly involved in policy making, and which have responsibility for energy provision: </w:t>
      </w:r>
      <w:r>
        <w:t xml:space="preserve">the </w:t>
      </w:r>
      <w:r w:rsidRPr="00F921ED">
        <w:t>Ministry of Power</w:t>
      </w:r>
      <w:r>
        <w:t>;</w:t>
      </w:r>
      <w:r w:rsidRPr="00F921ED">
        <w:t xml:space="preserve"> </w:t>
      </w:r>
      <w:r>
        <w:t xml:space="preserve">the </w:t>
      </w:r>
      <w:r w:rsidRPr="00F921ED">
        <w:t>Ministry of Coal</w:t>
      </w:r>
      <w:r>
        <w:t>;</w:t>
      </w:r>
      <w:r w:rsidRPr="002D17FA">
        <w:t xml:space="preserve"> </w:t>
      </w:r>
      <w:r>
        <w:t xml:space="preserve">the </w:t>
      </w:r>
      <w:r w:rsidRPr="00F921ED">
        <w:t>Ministry of New and Renewable Energy</w:t>
      </w:r>
      <w:r>
        <w:t xml:space="preserve">; the </w:t>
      </w:r>
      <w:r w:rsidRPr="00F921ED">
        <w:t>Ministry of Petroleum and Natural Gas</w:t>
      </w:r>
      <w:r>
        <w:t>; and t</w:t>
      </w:r>
      <w:r w:rsidRPr="00F921ED">
        <w:t>he Department of Atomic Energy</w:t>
      </w:r>
      <w:r>
        <w:t xml:space="preserve"> (Figure 1.5).</w:t>
      </w:r>
      <w:r w:rsidRPr="006114A4">
        <w:t xml:space="preserve"> </w:t>
      </w:r>
      <w:r>
        <w:t>These ministries have stakes in state-owned enterprises — known as Public Sector Undertakings (PSUs) — as well as statutory bodies and research institutions. T</w:t>
      </w:r>
      <w:r w:rsidRPr="00F921ED">
        <w:t xml:space="preserve">he National Institution for Transforming India (NITI), </w:t>
      </w:r>
      <w:r>
        <w:t>also known as NITI Aayog,</w:t>
      </w:r>
      <w:r w:rsidRPr="00F921ED">
        <w:t xml:space="preserve"> </w:t>
      </w:r>
      <w:r>
        <w:t>is the premier policy think tank of the Indian Government.</w:t>
      </w:r>
      <w:r>
        <w:rPr>
          <w:rStyle w:val="EndnoteReference"/>
        </w:rPr>
        <w:endnoteReference w:id="13"/>
      </w:r>
      <w:r>
        <w:t xml:space="preserve"> NITI Aayog designs strategy and long-term policies and programs for the Indian government, and</w:t>
      </w:r>
      <w:r w:rsidRPr="00F921ED">
        <w:t xml:space="preserve"> </w:t>
      </w:r>
      <w:r>
        <w:t xml:space="preserve">provides technical advice to both central and state governments. </w:t>
      </w:r>
    </w:p>
    <w:p w14:paraId="0450A913" w14:textId="474E0FE0" w:rsidR="006662A6" w:rsidRDefault="006662A6" w:rsidP="00910DB1">
      <w:pPr>
        <w:pStyle w:val="Caption"/>
      </w:pPr>
      <w:r>
        <w:t>Figure</w:t>
      </w:r>
      <w:r w:rsidRPr="000618FB">
        <w:t xml:space="preserve"> </w:t>
      </w:r>
      <w:r>
        <w:rPr>
          <w:noProof/>
        </w:rPr>
        <w:t>1</w:t>
      </w:r>
      <w:r w:rsidRPr="000618FB">
        <w:t>.</w:t>
      </w:r>
      <w:r>
        <w:t xml:space="preserve">5: </w:t>
      </w:r>
      <w:r w:rsidRPr="004B01F4">
        <w:t>Institutional structure of energy administration in India</w:t>
      </w:r>
    </w:p>
    <w:tbl>
      <w:tblPr>
        <w:tblStyle w:val="OCETable"/>
        <w:tblW w:w="4940" w:type="pct"/>
        <w:tblInd w:w="108" w:type="dxa"/>
        <w:tblLayout w:type="fixed"/>
        <w:tblLook w:val="04A0" w:firstRow="1" w:lastRow="0" w:firstColumn="1" w:lastColumn="0" w:noHBand="0" w:noVBand="1"/>
        <w:tblCaption w:val="Table contains Figure 1.5"/>
      </w:tblPr>
      <w:tblGrid>
        <w:gridCol w:w="8918"/>
      </w:tblGrid>
      <w:tr w:rsidR="006662A6" w14:paraId="4FBCC599"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2F51894" w14:textId="75442F69" w:rsidR="006662A6" w:rsidRDefault="006662A6" w:rsidP="00294435">
            <w:pPr>
              <w:pStyle w:val="PlaceholderWide"/>
            </w:pPr>
            <w:r w:rsidRPr="00E1384D">
              <w:rPr>
                <w:b/>
                <w:noProof/>
                <w:lang w:eastAsia="en-AU"/>
              </w:rPr>
              <w:drawing>
                <wp:inline distT="0" distB="0" distL="0" distR="0" wp14:anchorId="53DBBFE9" wp14:editId="4A8AD1D9">
                  <wp:extent cx="5456555" cy="2486025"/>
                  <wp:effectExtent l="0" t="0" r="67945" b="0"/>
                  <wp:docPr id="25" name="Diagram 25" descr="This chart shows the structure of energy administration in India and how five different ministries report to the Indian government and how the National Institution for Transforming India plays an advisory role." title="Institutional structure of energy administration in Ind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3C2283D4" w14:textId="442DC336" w:rsidR="006662A6" w:rsidRDefault="006662A6" w:rsidP="00294435">
      <w:pPr>
        <w:pStyle w:val="Source"/>
      </w:pPr>
      <w:r>
        <w:t>Source: adapted from IEA (2012)</w:t>
      </w:r>
      <w:r w:rsidRPr="00A45094">
        <w:t xml:space="preserve"> Understanding energy challenges in India</w:t>
      </w:r>
    </w:p>
    <w:p w14:paraId="649BE00A" w14:textId="77777777" w:rsidR="006662A6" w:rsidRDefault="006662A6" w:rsidP="0023021E">
      <w:pPr>
        <w:pStyle w:val="Heading2"/>
      </w:pPr>
      <w:bookmarkStart w:id="50" w:name="_Toc15641157"/>
      <w:bookmarkStart w:id="51" w:name="_Toc15645845"/>
      <w:bookmarkStart w:id="52" w:name="_Toc16247577"/>
      <w:bookmarkStart w:id="53" w:name="_Toc16250040"/>
      <w:bookmarkStart w:id="54" w:name="_Toc16256895"/>
      <w:bookmarkStart w:id="55" w:name="_Toc17210770"/>
      <w:r>
        <w:t>India’s electricity sector</w:t>
      </w:r>
      <w:bookmarkEnd w:id="50"/>
      <w:bookmarkEnd w:id="51"/>
      <w:bookmarkEnd w:id="52"/>
      <w:bookmarkEnd w:id="53"/>
      <w:bookmarkEnd w:id="54"/>
      <w:bookmarkEnd w:id="55"/>
      <w:r>
        <w:t xml:space="preserve"> </w:t>
      </w:r>
    </w:p>
    <w:p w14:paraId="37AFDBE1" w14:textId="20AA2202" w:rsidR="006662A6" w:rsidRDefault="006662A6" w:rsidP="007B26C2">
      <w:pPr>
        <w:pStyle w:val="Heading3"/>
      </w:pPr>
      <w:r>
        <w:t>Government</w:t>
      </w:r>
    </w:p>
    <w:p w14:paraId="0BF4969B" w14:textId="31B73955" w:rsidR="006662A6" w:rsidRDefault="006662A6" w:rsidP="0023021E">
      <w:pPr>
        <w:pStyle w:val="BodyText"/>
      </w:pPr>
      <w:r>
        <w:t xml:space="preserve">India’s electricity sector can be divided into regulators, generation, transmission and distribution </w:t>
      </w:r>
      <w:r w:rsidRPr="00635011">
        <w:t xml:space="preserve">(Figure </w:t>
      </w:r>
      <w:r>
        <w:t>1.6</w:t>
      </w:r>
      <w:r w:rsidRPr="00635011">
        <w:t>)</w:t>
      </w:r>
      <w:r>
        <w:t>. Both central and state governments play an important role in the power sector, which is a shared responsibility under the Indian Constitution. The central government has a key role in the electricity sector through the Ministry of Power, which has responsibility for planning and policy formulation in the sector, as well as for project approvals, monitoring and implementation.</w:t>
      </w:r>
      <w:r>
        <w:rPr>
          <w:rStyle w:val="EndnoteReference"/>
        </w:rPr>
        <w:endnoteReference w:id="14"/>
      </w:r>
      <w:r>
        <w:t xml:space="preserve"> The Central Electricity Authority (CEA) — a statutory body overseen by the Ministry of Power — undertakes short and long-term policy planning and coordination in the power sector, acting as an advisory body to the central government. </w:t>
      </w:r>
    </w:p>
    <w:p w14:paraId="4AEED592" w14:textId="1B5128CE" w:rsidR="006662A6" w:rsidRDefault="006662A6" w:rsidP="0023021E">
      <w:pPr>
        <w:pStyle w:val="BodyText"/>
        <w:rPr>
          <w:rFonts w:cs="Arial"/>
          <w:color w:val="2D2D2D"/>
          <w:lang w:val="en"/>
        </w:rPr>
      </w:pPr>
      <w:r>
        <w:t xml:space="preserve">State governments also play an important role in the Indian electricity sector, with state-owned utilities controlling a large share of the transmission and distribution network. State </w:t>
      </w:r>
      <w:r>
        <w:rPr>
          <w:rFonts w:cs="Arial"/>
          <w:color w:val="2D2D2D"/>
          <w:lang w:val="en"/>
        </w:rPr>
        <w:t>governments are responsible for the day-to-day operation and maintenance of their grids.</w:t>
      </w:r>
      <w:r>
        <w:rPr>
          <w:rStyle w:val="EndnoteReference"/>
          <w:rFonts w:cs="Arial"/>
          <w:color w:val="2D2D2D"/>
          <w:lang w:val="en"/>
        </w:rPr>
        <w:endnoteReference w:id="15"/>
      </w:r>
    </w:p>
    <w:p w14:paraId="78405F6B" w14:textId="012CCB0C" w:rsidR="006662A6" w:rsidRDefault="006662A6" w:rsidP="00842B98">
      <w:pPr>
        <w:pStyle w:val="Heading3"/>
      </w:pPr>
      <w:r>
        <w:t>Regulators</w:t>
      </w:r>
    </w:p>
    <w:p w14:paraId="47B3CF77" w14:textId="6F74AADB" w:rsidR="006662A6" w:rsidRDefault="006662A6" w:rsidP="004034BC">
      <w:pPr>
        <w:pStyle w:val="BodyText"/>
      </w:pPr>
      <w:r w:rsidRPr="00635011">
        <w:t>The Central Electricity Regulatory Commission (CERC) — a statutory body that plays a key role</w:t>
      </w:r>
      <w:r>
        <w:t xml:space="preserve"> in power sector regulation in India — sets tariffs charged by generating companies that are controlled by the central government and by independent power producers which deliver electricity to more than one state.</w:t>
      </w:r>
      <w:r>
        <w:rPr>
          <w:rStyle w:val="EndnoteReference"/>
        </w:rPr>
        <w:endnoteReference w:id="16"/>
      </w:r>
      <w:r>
        <w:t xml:space="preserve"> The CERC also advises the central government on electricity tariff policy. State Electricity Regulatory Commissions (SERCs) set tariffs charged by state-owned utilities. </w:t>
      </w:r>
    </w:p>
    <w:p w14:paraId="4E80F443" w14:textId="150A3107" w:rsidR="006662A6" w:rsidRDefault="006662A6" w:rsidP="007B26C2">
      <w:pPr>
        <w:pStyle w:val="Heading3"/>
      </w:pPr>
      <w:r>
        <w:t>Generation</w:t>
      </w:r>
    </w:p>
    <w:p w14:paraId="3D75294F" w14:textId="62B6D3EF" w:rsidR="006662A6" w:rsidRDefault="006662A6" w:rsidP="0023021E">
      <w:pPr>
        <w:pStyle w:val="BodyText"/>
      </w:pPr>
      <w:r>
        <w:t>While government-owned utilities have historically dominated India’s generation sector, the role of private utilities has been growing. In June 2019, government-owned utilities accounted for 54 per cent of India’s installed electricity generation capacity (29 per cent state governments, 24 per cent central government).</w:t>
      </w:r>
      <w:r>
        <w:rPr>
          <w:rStyle w:val="EndnoteReference"/>
        </w:rPr>
        <w:endnoteReference w:id="17"/>
      </w:r>
      <w:r>
        <w:t xml:space="preserve"> Private utilities accounted for 46 per cent of installed capacity. While government-owned utilities dominate thermal generation (coal and gas), private investors account for the vast majority of renewable energy generation. Captive power plants (CPPs) are another feature of India’s electricity market; these are power plants owned by industry that generate electricity for self-consumption.</w:t>
      </w:r>
      <w:r>
        <w:rPr>
          <w:rStyle w:val="EndnoteReference"/>
        </w:rPr>
        <w:endnoteReference w:id="18"/>
      </w:r>
      <w:r>
        <w:t xml:space="preserve"> Table 1.3 shows the </w:t>
      </w:r>
      <w:r w:rsidR="0012223C">
        <w:t>four</w:t>
      </w:r>
      <w:r>
        <w:t xml:space="preserve"> largest power companies in India. </w:t>
      </w:r>
    </w:p>
    <w:p w14:paraId="319E9EE1" w14:textId="1A05B901" w:rsidR="006662A6" w:rsidRDefault="006662A6" w:rsidP="0023021E">
      <w:pPr>
        <w:pStyle w:val="Caption"/>
      </w:pPr>
      <w:r w:rsidRPr="000618FB">
        <w:t xml:space="preserve">Table </w:t>
      </w:r>
      <w:r>
        <w:rPr>
          <w:noProof/>
        </w:rPr>
        <w:t>1</w:t>
      </w:r>
      <w:r w:rsidRPr="000618FB">
        <w:t>.</w:t>
      </w:r>
      <w:r>
        <w:t>3</w:t>
      </w:r>
      <w:r w:rsidRPr="000618FB">
        <w:t xml:space="preserve">: </w:t>
      </w:r>
      <w:r>
        <w:t xml:space="preserve">Key power providers in India </w:t>
      </w:r>
    </w:p>
    <w:tbl>
      <w:tblPr>
        <w:tblStyle w:val="OCETable"/>
        <w:tblW w:w="5000" w:type="pct"/>
        <w:tblInd w:w="57" w:type="dxa"/>
        <w:tblLayout w:type="fixed"/>
        <w:tblLook w:val="04A0" w:firstRow="1" w:lastRow="0" w:firstColumn="1" w:lastColumn="0" w:noHBand="0" w:noVBand="1"/>
        <w:tblCaption w:val="Key power providers in India"/>
        <w:tblDescription w:val="This chart shows the installed capacity of India's largest power companies."/>
      </w:tblPr>
      <w:tblGrid>
        <w:gridCol w:w="3912"/>
        <w:gridCol w:w="2557"/>
        <w:gridCol w:w="2557"/>
      </w:tblGrid>
      <w:tr w:rsidR="006662A6" w14:paraId="0717EEFD"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3912" w:type="dxa"/>
          </w:tcPr>
          <w:p w14:paraId="2D41DF01" w14:textId="77777777" w:rsidR="006662A6" w:rsidRDefault="006662A6" w:rsidP="008A13A0">
            <w:pPr>
              <w:pStyle w:val="Tableheader"/>
              <w:rPr>
                <w:lang w:eastAsia="en-AU"/>
              </w:rPr>
            </w:pPr>
          </w:p>
        </w:tc>
        <w:tc>
          <w:tcPr>
            <w:tcW w:w="2557" w:type="dxa"/>
            <w:vAlign w:val="center"/>
          </w:tcPr>
          <w:p w14:paraId="5314E4DB" w14:textId="77777777" w:rsidR="006662A6" w:rsidRDefault="006662A6" w:rsidP="008A13A0">
            <w:pPr>
              <w:pStyle w:val="Tableheader"/>
              <w:jc w:val="right"/>
              <w:rPr>
                <w:lang w:eastAsia="en-AU"/>
              </w:rPr>
            </w:pPr>
            <w:r>
              <w:rPr>
                <w:lang w:eastAsia="en-AU"/>
              </w:rPr>
              <w:t>Capacity (Megawatts)</w:t>
            </w:r>
          </w:p>
        </w:tc>
        <w:tc>
          <w:tcPr>
            <w:tcW w:w="2557" w:type="dxa"/>
            <w:vAlign w:val="center"/>
          </w:tcPr>
          <w:p w14:paraId="639C87F0" w14:textId="77777777" w:rsidR="006662A6" w:rsidRDefault="006662A6" w:rsidP="008A13A0">
            <w:pPr>
              <w:pStyle w:val="Tableheader"/>
              <w:jc w:val="right"/>
              <w:rPr>
                <w:lang w:eastAsia="en-AU"/>
              </w:rPr>
            </w:pPr>
            <w:r>
              <w:rPr>
                <w:lang w:eastAsia="en-AU"/>
              </w:rPr>
              <w:t xml:space="preserve">Ownership </w:t>
            </w:r>
          </w:p>
        </w:tc>
      </w:tr>
      <w:tr w:rsidR="006662A6" w14:paraId="3DAA99C5" w14:textId="77777777" w:rsidTr="008A13A0">
        <w:trPr>
          <w:cnfStyle w:val="000000100000" w:firstRow="0" w:lastRow="0" w:firstColumn="0" w:lastColumn="0" w:oddVBand="0" w:evenVBand="0" w:oddHBand="1" w:evenHBand="0" w:firstRowFirstColumn="0" w:firstRowLastColumn="0" w:lastRowFirstColumn="0" w:lastRowLastColumn="0"/>
        </w:trPr>
        <w:tc>
          <w:tcPr>
            <w:tcW w:w="3912" w:type="dxa"/>
          </w:tcPr>
          <w:p w14:paraId="3C38097F" w14:textId="77777777" w:rsidR="006662A6" w:rsidRDefault="006662A6" w:rsidP="008A13A0">
            <w:pPr>
              <w:pStyle w:val="Tabletext"/>
              <w:rPr>
                <w:lang w:eastAsia="en-AU"/>
              </w:rPr>
            </w:pPr>
            <w:r w:rsidRPr="00E028D0">
              <w:t>National Thermal Power Corporation</w:t>
            </w:r>
          </w:p>
        </w:tc>
        <w:tc>
          <w:tcPr>
            <w:tcW w:w="2557" w:type="dxa"/>
            <w:vAlign w:val="center"/>
          </w:tcPr>
          <w:p w14:paraId="4CD11FB5" w14:textId="77777777" w:rsidR="006662A6" w:rsidRDefault="006662A6" w:rsidP="008A13A0">
            <w:pPr>
              <w:pStyle w:val="Tabletext"/>
              <w:jc w:val="right"/>
              <w:rPr>
                <w:lang w:eastAsia="en-AU"/>
              </w:rPr>
            </w:pPr>
            <w:r>
              <w:rPr>
                <w:lang w:eastAsia="en-AU"/>
              </w:rPr>
              <w:t>55,000</w:t>
            </w:r>
          </w:p>
        </w:tc>
        <w:tc>
          <w:tcPr>
            <w:tcW w:w="2557" w:type="dxa"/>
            <w:vAlign w:val="center"/>
          </w:tcPr>
          <w:p w14:paraId="0DBA430A" w14:textId="77777777" w:rsidR="006662A6" w:rsidRDefault="006662A6" w:rsidP="008A13A0">
            <w:pPr>
              <w:pStyle w:val="Tabletext"/>
              <w:jc w:val="right"/>
              <w:rPr>
                <w:lang w:eastAsia="en-AU"/>
              </w:rPr>
            </w:pPr>
            <w:r>
              <w:rPr>
                <w:lang w:eastAsia="en-AU"/>
              </w:rPr>
              <w:t>Government</w:t>
            </w:r>
          </w:p>
        </w:tc>
      </w:tr>
      <w:tr w:rsidR="006662A6" w14:paraId="70F027AD" w14:textId="77777777" w:rsidTr="008A13A0">
        <w:trPr>
          <w:cnfStyle w:val="000000010000" w:firstRow="0" w:lastRow="0" w:firstColumn="0" w:lastColumn="0" w:oddVBand="0" w:evenVBand="0" w:oddHBand="0" w:evenHBand="1" w:firstRowFirstColumn="0" w:firstRowLastColumn="0" w:lastRowFirstColumn="0" w:lastRowLastColumn="0"/>
        </w:trPr>
        <w:tc>
          <w:tcPr>
            <w:tcW w:w="3912" w:type="dxa"/>
          </w:tcPr>
          <w:p w14:paraId="54D9EAD0" w14:textId="77777777" w:rsidR="006662A6" w:rsidRDefault="006662A6" w:rsidP="008A13A0">
            <w:pPr>
              <w:pStyle w:val="Tabletext"/>
              <w:rPr>
                <w:lang w:eastAsia="en-AU"/>
              </w:rPr>
            </w:pPr>
            <w:r w:rsidRPr="00BE4530">
              <w:t>Tata Power</w:t>
            </w:r>
          </w:p>
        </w:tc>
        <w:tc>
          <w:tcPr>
            <w:tcW w:w="2557" w:type="dxa"/>
            <w:vAlign w:val="center"/>
          </w:tcPr>
          <w:p w14:paraId="47121C02" w14:textId="77777777" w:rsidR="006662A6" w:rsidRDefault="006662A6" w:rsidP="008A13A0">
            <w:pPr>
              <w:pStyle w:val="Tabletext"/>
              <w:jc w:val="right"/>
              <w:rPr>
                <w:lang w:eastAsia="en-AU"/>
              </w:rPr>
            </w:pPr>
            <w:r>
              <w:rPr>
                <w:lang w:eastAsia="en-AU"/>
              </w:rPr>
              <w:t>10,957</w:t>
            </w:r>
          </w:p>
        </w:tc>
        <w:tc>
          <w:tcPr>
            <w:tcW w:w="2557" w:type="dxa"/>
            <w:vAlign w:val="center"/>
          </w:tcPr>
          <w:p w14:paraId="1CC94887" w14:textId="77777777" w:rsidR="006662A6" w:rsidRDefault="006662A6" w:rsidP="008A13A0">
            <w:pPr>
              <w:pStyle w:val="Tabletext"/>
              <w:jc w:val="right"/>
              <w:rPr>
                <w:lang w:eastAsia="en-AU"/>
              </w:rPr>
            </w:pPr>
            <w:r>
              <w:rPr>
                <w:lang w:eastAsia="en-AU"/>
              </w:rPr>
              <w:t>Private</w:t>
            </w:r>
          </w:p>
        </w:tc>
      </w:tr>
      <w:tr w:rsidR="006662A6" w14:paraId="54AD45AB" w14:textId="77777777" w:rsidTr="008A13A0">
        <w:trPr>
          <w:cnfStyle w:val="000000100000" w:firstRow="0" w:lastRow="0" w:firstColumn="0" w:lastColumn="0" w:oddVBand="0" w:evenVBand="0" w:oddHBand="1" w:evenHBand="0" w:firstRowFirstColumn="0" w:firstRowLastColumn="0" w:lastRowFirstColumn="0" w:lastRowLastColumn="0"/>
        </w:trPr>
        <w:tc>
          <w:tcPr>
            <w:tcW w:w="3912" w:type="dxa"/>
          </w:tcPr>
          <w:p w14:paraId="482F005F" w14:textId="77777777" w:rsidR="006662A6" w:rsidRDefault="006662A6" w:rsidP="008A13A0">
            <w:pPr>
              <w:pStyle w:val="Tabletext"/>
              <w:rPr>
                <w:lang w:eastAsia="en-AU"/>
              </w:rPr>
            </w:pPr>
            <w:r w:rsidRPr="00BE4530">
              <w:t>Adani Power</w:t>
            </w:r>
          </w:p>
        </w:tc>
        <w:tc>
          <w:tcPr>
            <w:tcW w:w="2557" w:type="dxa"/>
            <w:vAlign w:val="center"/>
          </w:tcPr>
          <w:p w14:paraId="4E2E2556" w14:textId="77777777" w:rsidR="006662A6" w:rsidRDefault="006662A6" w:rsidP="008A13A0">
            <w:pPr>
              <w:pStyle w:val="Tabletext"/>
              <w:jc w:val="right"/>
              <w:rPr>
                <w:lang w:eastAsia="en-AU"/>
              </w:rPr>
            </w:pPr>
            <w:r>
              <w:rPr>
                <w:lang w:eastAsia="en-AU"/>
              </w:rPr>
              <w:t>10,440</w:t>
            </w:r>
          </w:p>
        </w:tc>
        <w:tc>
          <w:tcPr>
            <w:tcW w:w="2557" w:type="dxa"/>
            <w:vAlign w:val="center"/>
          </w:tcPr>
          <w:p w14:paraId="5B5B3280" w14:textId="77777777" w:rsidR="006662A6" w:rsidRDefault="006662A6" w:rsidP="008A13A0">
            <w:pPr>
              <w:pStyle w:val="Tabletext"/>
              <w:jc w:val="right"/>
              <w:rPr>
                <w:lang w:eastAsia="en-AU"/>
              </w:rPr>
            </w:pPr>
            <w:r>
              <w:rPr>
                <w:lang w:eastAsia="en-AU"/>
              </w:rPr>
              <w:t>Private</w:t>
            </w:r>
          </w:p>
        </w:tc>
      </w:tr>
      <w:tr w:rsidR="006662A6" w14:paraId="3D7475ED" w14:textId="77777777" w:rsidTr="008A13A0">
        <w:trPr>
          <w:cnfStyle w:val="000000010000" w:firstRow="0" w:lastRow="0" w:firstColumn="0" w:lastColumn="0" w:oddVBand="0" w:evenVBand="0" w:oddHBand="0" w:evenHBand="1" w:firstRowFirstColumn="0" w:firstRowLastColumn="0" w:lastRowFirstColumn="0" w:lastRowLastColumn="0"/>
        </w:trPr>
        <w:tc>
          <w:tcPr>
            <w:tcW w:w="3912" w:type="dxa"/>
          </w:tcPr>
          <w:p w14:paraId="1656A3EA" w14:textId="77777777" w:rsidR="006662A6" w:rsidRPr="00BE4530" w:rsidRDefault="006662A6" w:rsidP="008A13A0">
            <w:pPr>
              <w:pStyle w:val="Tabletext"/>
            </w:pPr>
            <w:r w:rsidRPr="00BE4530">
              <w:t>National Hydroelectric Power Corporation</w:t>
            </w:r>
          </w:p>
        </w:tc>
        <w:tc>
          <w:tcPr>
            <w:tcW w:w="2557" w:type="dxa"/>
            <w:vAlign w:val="center"/>
          </w:tcPr>
          <w:p w14:paraId="14DB05FA" w14:textId="77777777" w:rsidR="006662A6" w:rsidRDefault="006662A6" w:rsidP="008A13A0">
            <w:pPr>
              <w:pStyle w:val="Tabletext"/>
              <w:jc w:val="right"/>
              <w:rPr>
                <w:lang w:eastAsia="en-AU"/>
              </w:rPr>
            </w:pPr>
            <w:r>
              <w:rPr>
                <w:lang w:eastAsia="en-AU"/>
              </w:rPr>
              <w:t>7,071</w:t>
            </w:r>
          </w:p>
        </w:tc>
        <w:tc>
          <w:tcPr>
            <w:tcW w:w="2557" w:type="dxa"/>
            <w:vAlign w:val="center"/>
          </w:tcPr>
          <w:p w14:paraId="3181039D" w14:textId="77777777" w:rsidR="006662A6" w:rsidRDefault="006662A6" w:rsidP="008A13A0">
            <w:pPr>
              <w:pStyle w:val="Tabletext"/>
              <w:jc w:val="right"/>
              <w:rPr>
                <w:lang w:eastAsia="en-AU"/>
              </w:rPr>
            </w:pPr>
            <w:r>
              <w:rPr>
                <w:lang w:eastAsia="en-AU"/>
              </w:rPr>
              <w:t>Government</w:t>
            </w:r>
          </w:p>
        </w:tc>
      </w:tr>
    </w:tbl>
    <w:p w14:paraId="4A14A3E3" w14:textId="54EDA708" w:rsidR="006662A6" w:rsidRDefault="006662A6" w:rsidP="0023021E">
      <w:pPr>
        <w:pStyle w:val="Source"/>
        <w:rPr>
          <w:lang w:eastAsia="en-AU"/>
        </w:rPr>
      </w:pPr>
      <w:r>
        <w:rPr>
          <w:lang w:eastAsia="en-AU"/>
        </w:rPr>
        <w:t xml:space="preserve">Source: Department of Industry, Innovation and Science (2015) Coal in India; </w:t>
      </w:r>
      <w:r w:rsidRPr="00E028D0">
        <w:t>NTPC</w:t>
      </w:r>
      <w:r>
        <w:t xml:space="preserve">(2019); </w:t>
      </w:r>
      <w:r w:rsidRPr="00BE4530">
        <w:t xml:space="preserve">NHPC </w:t>
      </w:r>
      <w:r>
        <w:t>(</w:t>
      </w:r>
      <w:r w:rsidRPr="00BE4530">
        <w:t>201</w:t>
      </w:r>
      <w:r>
        <w:t>9);Tata Power (2019); Adani Power (2019</w:t>
      </w:r>
      <w:r w:rsidRPr="00BE4530">
        <w:t>)</w:t>
      </w:r>
      <w:r>
        <w:t>.</w:t>
      </w:r>
    </w:p>
    <w:p w14:paraId="4DC2BFD8" w14:textId="3BE4433E" w:rsidR="006662A6" w:rsidRDefault="006662A6" w:rsidP="007B26C2">
      <w:pPr>
        <w:pStyle w:val="Heading3"/>
      </w:pPr>
      <w:r>
        <w:t>Transmission</w:t>
      </w:r>
    </w:p>
    <w:p w14:paraId="7A37A9FE" w14:textId="76C23E81" w:rsidR="006662A6" w:rsidRDefault="006662A6" w:rsidP="007B26C2">
      <w:pPr>
        <w:pStyle w:val="BodyText"/>
      </w:pPr>
      <w:r>
        <w:t>Transmission and distribution are dominated by state-owned companies, although they are open to the private sector. State transmission utilities (STUs) are responsible for inter-state transmission. State distribution companies (also referred to as ‘DisComs’) generally buy power from both public and private generators, for sale to final consumers. These purchases are generally made through power purchase agreements (PPAs), which are generally long-lived (frequently 25 years). In financial year 2017 (April 2016 to March 2017), 90 per cent of electricity was sold on PPAs, 6 per cent on bilateral contracts and only 4 per cent through competitive wholesale markets and power exchanges.</w:t>
      </w:r>
      <w:r>
        <w:rPr>
          <w:rStyle w:val="EndnoteReference"/>
          <w:rFonts w:cs="Arial"/>
          <w:color w:val="2D2D2D"/>
          <w:lang w:val="en"/>
        </w:rPr>
        <w:endnoteReference w:id="19"/>
      </w:r>
      <w:r>
        <w:t xml:space="preserve"> Distribution companies have faced mounting losses in recent years (discussed below), partly explaining why the sector has struggled to attract funding from private investors.</w:t>
      </w:r>
    </w:p>
    <w:p w14:paraId="3F9DFB2F" w14:textId="0C56A420" w:rsidR="006662A6" w:rsidRDefault="006662A6" w:rsidP="004D5DF6">
      <w:pPr>
        <w:pStyle w:val="BodyText"/>
        <w:spacing w:after="0"/>
      </w:pPr>
      <w:r>
        <w:t xml:space="preserve">India’s transmission network consists of five regional grids: northern, eastern, southern, western, and north eastern. In December 2013, these grids were synchronously connected to operate at one frequency, </w:t>
      </w:r>
      <w:r w:rsidRPr="00E9142F">
        <w:rPr>
          <w:rStyle w:val="EndnoteReference"/>
          <w:rFonts w:cs="Arial"/>
          <w:color w:val="2D2D2D"/>
          <w:lang w:val="en"/>
        </w:rPr>
        <w:t xml:space="preserve"> </w:t>
      </w:r>
      <w:r>
        <w:t>although the process of fully integrating India’s electricity grids is ongoing.</w:t>
      </w:r>
      <w:r>
        <w:rPr>
          <w:rStyle w:val="EndnoteReference"/>
          <w:rFonts w:cs="Arial"/>
          <w:color w:val="2D2D2D"/>
          <w:lang w:val="en"/>
        </w:rPr>
        <w:endnoteReference w:id="20"/>
      </w:r>
      <w:r>
        <w:t xml:space="preserve"> The Power Grid Corporation of India (POWERGRID) is mandated to establish the national electricity transmission network, or ‘National Grid’, to operate the regional power grids and improve reliability, stability and security of the transmission sector.</w:t>
      </w:r>
      <w:r>
        <w:rPr>
          <w:rStyle w:val="EndnoteReference"/>
        </w:rPr>
        <w:endnoteReference w:id="21"/>
      </w:r>
    </w:p>
    <w:p w14:paraId="5C984364" w14:textId="742DCC34" w:rsidR="006662A6" w:rsidRDefault="006662A6" w:rsidP="0052573C">
      <w:pPr>
        <w:pStyle w:val="Caption"/>
      </w:pPr>
      <w:r>
        <w:t>Figure</w:t>
      </w:r>
      <w:r w:rsidRPr="000618FB">
        <w:t xml:space="preserve"> </w:t>
      </w:r>
      <w:r>
        <w:rPr>
          <w:noProof/>
        </w:rPr>
        <w:t>1</w:t>
      </w:r>
      <w:r w:rsidRPr="000618FB">
        <w:t>.</w:t>
      </w:r>
      <w:r>
        <w:t>6: India’s electricity sector</w:t>
      </w:r>
    </w:p>
    <w:tbl>
      <w:tblPr>
        <w:tblStyle w:val="OCETable"/>
        <w:tblW w:w="4940" w:type="pct"/>
        <w:tblInd w:w="108" w:type="dxa"/>
        <w:tblLayout w:type="fixed"/>
        <w:tblLook w:val="04A0" w:firstRow="1" w:lastRow="0" w:firstColumn="1" w:lastColumn="0" w:noHBand="0" w:noVBand="1"/>
        <w:tblCaption w:val="Table contains figure 1.6"/>
      </w:tblPr>
      <w:tblGrid>
        <w:gridCol w:w="8918"/>
      </w:tblGrid>
      <w:tr w:rsidR="006662A6" w14:paraId="31F18588"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585E3A5A" w14:textId="22B305FE" w:rsidR="006662A6" w:rsidRDefault="006662A6" w:rsidP="00A85661">
            <w:pPr>
              <w:pStyle w:val="PlaceholderWide"/>
            </w:pPr>
            <w:r>
              <w:rPr>
                <w:noProof/>
                <w:lang w:eastAsia="en-AU"/>
              </w:rPr>
              <w:drawing>
                <wp:anchor distT="0" distB="0" distL="114300" distR="114300" simplePos="0" relativeHeight="251658259" behindDoc="1" locked="0" layoutInCell="1" allowOverlap="1" wp14:anchorId="48F99D11" wp14:editId="4AA1618D">
                  <wp:simplePos x="0" y="0"/>
                  <wp:positionH relativeFrom="margin">
                    <wp:posOffset>-68033</wp:posOffset>
                  </wp:positionH>
                  <wp:positionV relativeFrom="margin">
                    <wp:posOffset>325</wp:posOffset>
                  </wp:positionV>
                  <wp:extent cx="5494655" cy="5463540"/>
                  <wp:effectExtent l="0" t="0" r="0" b="3810"/>
                  <wp:wrapSquare wrapText="bothSides"/>
                  <wp:docPr id="14" name="Picture 14" descr="This chart shows the structure of India's electricity sector, and the key central government, state government and private sector players within the policy, regulatory, generation, transmission and distribution segments." title="India's electric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ucture of indias electricty sector option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4655" cy="5463540"/>
                          </a:xfrm>
                          <a:prstGeom prst="rect">
                            <a:avLst/>
                          </a:prstGeom>
                        </pic:spPr>
                      </pic:pic>
                    </a:graphicData>
                  </a:graphic>
                  <wp14:sizeRelH relativeFrom="page">
                    <wp14:pctWidth>0</wp14:pctWidth>
                  </wp14:sizeRelH>
                  <wp14:sizeRelV relativeFrom="page">
                    <wp14:pctHeight>0</wp14:pctHeight>
                  </wp14:sizeRelV>
                </wp:anchor>
              </w:drawing>
            </w:r>
          </w:p>
        </w:tc>
      </w:tr>
    </w:tbl>
    <w:p w14:paraId="2635D921" w14:textId="1A3E0EBC" w:rsidR="006662A6" w:rsidRDefault="006662A6" w:rsidP="00A85661">
      <w:pPr>
        <w:pStyle w:val="Source"/>
      </w:pPr>
      <w:r>
        <w:t>Source: Adapted from IEA (2012)</w:t>
      </w:r>
      <w:r w:rsidRPr="00A45094">
        <w:t xml:space="preserve"> Understanding energy challenges in India</w:t>
      </w:r>
    </w:p>
    <w:p w14:paraId="146F289D" w14:textId="77777777" w:rsidR="006662A6" w:rsidRDefault="006662A6" w:rsidP="00AE44FF">
      <w:pPr>
        <w:pStyle w:val="Heading2"/>
      </w:pPr>
      <w:bookmarkStart w:id="56" w:name="_Toc15641158"/>
      <w:bookmarkStart w:id="57" w:name="_Toc15645846"/>
      <w:bookmarkStart w:id="58" w:name="_Toc16247578"/>
      <w:bookmarkStart w:id="59" w:name="_Toc16250041"/>
      <w:bookmarkStart w:id="60" w:name="_Toc16256896"/>
      <w:bookmarkStart w:id="61" w:name="_Toc17210771"/>
      <w:r>
        <w:t>India’s electricity challenges</w:t>
      </w:r>
      <w:bookmarkEnd w:id="56"/>
      <w:bookmarkEnd w:id="57"/>
      <w:bookmarkEnd w:id="58"/>
      <w:bookmarkEnd w:id="59"/>
      <w:bookmarkEnd w:id="60"/>
      <w:bookmarkEnd w:id="61"/>
    </w:p>
    <w:p w14:paraId="250761B8" w14:textId="2C415E03" w:rsidR="006662A6" w:rsidRDefault="006662A6" w:rsidP="007357AB">
      <w:pPr>
        <w:pStyle w:val="BodyText"/>
      </w:pPr>
      <w:r>
        <w:t>India faces a range of challenges across its electricity</w:t>
      </w:r>
      <w:r w:rsidRPr="00E52C56">
        <w:t xml:space="preserve"> </w:t>
      </w:r>
      <w:r>
        <w:t>sector. These include inefficient state-owned generators, overcapacity in generation, bottlenecks in transmission, financial pressure on distribution companies (due to transmission and distribution losses and the underpricing of electricity), and distortionary subsidies. These challenges have flow-on effects for the speed, scale and nature of energy investment in India, and are fundamental to understanding the broader context in which the producers and consumers of electricity and coal operate.</w:t>
      </w:r>
    </w:p>
    <w:p w14:paraId="673566AA" w14:textId="0DDFA662" w:rsidR="006662A6" w:rsidRDefault="006662A6" w:rsidP="00AE44FF">
      <w:pPr>
        <w:pStyle w:val="Heading3"/>
      </w:pPr>
      <w:r>
        <w:t>Inefficient state-owned generation companies</w:t>
      </w:r>
    </w:p>
    <w:p w14:paraId="7490AF03" w14:textId="14EFFF5C" w:rsidR="006662A6" w:rsidRDefault="006662A6" w:rsidP="007357AB">
      <w:pPr>
        <w:pStyle w:val="BodyText"/>
      </w:pPr>
      <w:r>
        <w:t>A key challenge in India’s electricity sector is the inefficiency of state-owned generation companies, which account for a large share of India’s generation mix</w:t>
      </w:r>
      <w:r>
        <w:rPr>
          <w:rStyle w:val="EndnoteReference"/>
          <w:rFonts w:cs="Arial"/>
          <w:color w:val="2D2D2D"/>
          <w:lang w:val="en"/>
        </w:rPr>
        <w:endnoteReference w:id="22"/>
      </w:r>
      <w:r>
        <w:t xml:space="preserve"> (see the previous section).</w:t>
      </w:r>
      <w:r w:rsidRPr="00E9142F">
        <w:rPr>
          <w:rStyle w:val="EndnoteReference"/>
          <w:rFonts w:cs="Arial"/>
          <w:color w:val="2D2D2D"/>
          <w:lang w:val="en"/>
        </w:rPr>
        <w:t xml:space="preserve"> </w:t>
      </w:r>
      <w:r>
        <w:t>A key driver of this inefficiency is a lack of competition in India’s electricity market, which reduces the incentives of power plants to control costs. As discussed, the vast majority of electricity in India is sold under long-term PPAs, with very little electricity sold through wholesale markets and power exchanges. In addition, there are high barriers to entry for private generators seeking to enter the market. State governments, for instance, levy additional charges on consumers that purchase electricity from a party other than a state-distribution utility.</w:t>
      </w:r>
    </w:p>
    <w:p w14:paraId="6360255A" w14:textId="188BFB4E" w:rsidR="006662A6" w:rsidRDefault="006662A6" w:rsidP="00AE44FF">
      <w:pPr>
        <w:pStyle w:val="Heading3"/>
      </w:pPr>
      <w:r>
        <w:t>Overcapacity in generation</w:t>
      </w:r>
    </w:p>
    <w:p w14:paraId="17BD3743" w14:textId="5E96E085" w:rsidR="006662A6" w:rsidRDefault="006662A6" w:rsidP="007357AB">
      <w:pPr>
        <w:pStyle w:val="BodyText"/>
        <w:rPr>
          <w:rFonts w:cs="Arial"/>
          <w:color w:val="2D2D2D"/>
          <w:lang w:val="en"/>
        </w:rPr>
      </w:pPr>
      <w:r>
        <w:t>Despite the lack of competition in India’s electricity sector, many coal-fired generators have come under financial pressure.</w:t>
      </w:r>
      <w:r>
        <w:rPr>
          <w:rStyle w:val="EndnoteReference"/>
          <w:rFonts w:cs="Arial"/>
          <w:color w:val="2D2D2D"/>
          <w:lang w:val="en"/>
        </w:rPr>
        <w:endnoteReference w:id="23"/>
      </w:r>
      <w:r>
        <w:t xml:space="preserve"> Generation capacity has grown faste</w:t>
      </w:r>
      <w:r w:rsidRPr="003C72ED">
        <w:t>r</w:t>
      </w:r>
      <w:r>
        <w:t xml:space="preserve"> than electricity demand in recent years, driven primarily by an expansion in coal-fired power generation (as discussed in the previous section). This expansion has led to over-capacity in thermal (coal, gas etc.) generation.</w:t>
      </w:r>
      <w:r>
        <w:rPr>
          <w:rStyle w:val="EndnoteReference"/>
        </w:rPr>
        <w:endnoteReference w:id="24"/>
      </w:r>
      <w:r>
        <w:t xml:space="preserve"> Growing</w:t>
      </w:r>
      <w:r>
        <w:rPr>
          <w:rFonts w:cs="Arial"/>
          <w:color w:val="2D2D2D"/>
          <w:lang w:val="en"/>
        </w:rPr>
        <w:t xml:space="preserve"> renewable energy generation has further added to pressure on coal generators, lowering their utilisation rates and reducing their profitability. Renewable energy in India has a de-facto ‘must run’ status in India — which requires any renewable power that is generated to be accepted by the grid — and therefore displaces thermal generation when available.</w:t>
      </w:r>
      <w:r>
        <w:rPr>
          <w:rStyle w:val="EndnoteReference"/>
          <w:rFonts w:cs="Arial"/>
          <w:color w:val="2D2D2D"/>
          <w:lang w:val="en"/>
        </w:rPr>
        <w:endnoteReference w:id="25"/>
      </w:r>
    </w:p>
    <w:p w14:paraId="1B6E2BED" w14:textId="1CE84458" w:rsidR="006662A6" w:rsidRDefault="006662A6" w:rsidP="00AE44FF">
      <w:pPr>
        <w:pStyle w:val="Heading3"/>
        <w:rPr>
          <w:lang w:val="en"/>
        </w:rPr>
      </w:pPr>
      <w:r>
        <w:rPr>
          <w:lang w:val="en"/>
        </w:rPr>
        <w:t>Transmission bottlenecks</w:t>
      </w:r>
    </w:p>
    <w:p w14:paraId="64A47BB7" w14:textId="2BA0A252" w:rsidR="006662A6" w:rsidRDefault="006662A6" w:rsidP="007357AB">
      <w:pPr>
        <w:pStyle w:val="BodyText"/>
      </w:pPr>
      <w:r>
        <w:t>There are also substantial bottlenecks in the transmission system. While transmission constraints have been easing, a considerable amount of electricity is lost each year due to congestion in the electricity network. According to the World Bank, almost 4 per cent more electricity could have been transmitted in financial year 2017 if it had not been for transmission congestion.</w:t>
      </w:r>
      <w:r w:rsidRPr="00EA5F71">
        <w:rPr>
          <w:rStyle w:val="EndnoteReference"/>
          <w:rFonts w:cs="Arial"/>
          <w:color w:val="2D2D2D"/>
          <w:lang w:val="en"/>
        </w:rPr>
        <w:t xml:space="preserve"> </w:t>
      </w:r>
      <w:r>
        <w:rPr>
          <w:rStyle w:val="EndnoteReference"/>
          <w:rFonts w:cs="Arial"/>
          <w:color w:val="2D2D2D"/>
          <w:lang w:val="en"/>
        </w:rPr>
        <w:endnoteReference w:id="26"/>
      </w:r>
    </w:p>
    <w:p w14:paraId="7C271EAE" w14:textId="12365130" w:rsidR="006662A6" w:rsidRPr="00CE30AB" w:rsidRDefault="006662A6" w:rsidP="00AE44FF">
      <w:pPr>
        <w:pStyle w:val="Heading3"/>
      </w:pPr>
      <w:r>
        <w:t>Financial pressure on distribution companies</w:t>
      </w:r>
    </w:p>
    <w:p w14:paraId="077F3F5A" w14:textId="6185E573" w:rsidR="006662A6" w:rsidRDefault="006662A6" w:rsidP="00F0247D">
      <w:pPr>
        <w:pStyle w:val="BodyText"/>
        <w:rPr>
          <w:rFonts w:cs="Arial"/>
          <w:color w:val="2D2D2D"/>
          <w:lang w:val="en"/>
        </w:rPr>
      </w:pPr>
      <w:r>
        <w:rPr>
          <w:rFonts w:cs="Arial"/>
          <w:color w:val="2D2D2D"/>
          <w:lang w:val="en"/>
        </w:rPr>
        <w:t xml:space="preserve">Power distribution companies in India — the main buyers of power from the generation companies — are also under significant financial pressure. Transmission and distribution losses are a key factor. </w:t>
      </w:r>
      <w:r>
        <w:t xml:space="preserve">A combination of power theft, poor infrastructure, outdated equipment and faulty metering led to the loss of over one fifth of electricity in transmission and distribution </w:t>
      </w:r>
      <w:r w:rsidRPr="00DC0E7C">
        <w:t xml:space="preserve">in </w:t>
      </w:r>
      <w:r>
        <w:t>India in financial</w:t>
      </w:r>
      <w:r w:rsidRPr="00DC0E7C">
        <w:t xml:space="preserve"> year 2016 — a much higher loss rate than elsewhere in the world</w:t>
      </w:r>
      <w:r>
        <w:t>.</w:t>
      </w:r>
      <w:r w:rsidRPr="008C5244">
        <w:t xml:space="preserve"> </w:t>
      </w:r>
      <w:r>
        <w:rPr>
          <w:rFonts w:cs="Arial"/>
          <w:color w:val="2D2D2D"/>
          <w:lang w:val="en"/>
        </w:rPr>
        <w:t>The Indian Government has launched several reforms aimed at reducing electricity losses during transmission and distribution, including the Restructured Accelerated Power Development and Reforms Program (R-ADRP) and the Integrated Power Scheme (IPDS).</w:t>
      </w:r>
    </w:p>
    <w:p w14:paraId="50FDBAB0" w14:textId="3C2DC30F" w:rsidR="006662A6" w:rsidRDefault="006662A6" w:rsidP="007357AB">
      <w:pPr>
        <w:pStyle w:val="BodyText"/>
        <w:rPr>
          <w:rFonts w:cs="Arial"/>
          <w:color w:val="2D2D2D"/>
          <w:lang w:val="en"/>
        </w:rPr>
      </w:pPr>
      <w:r>
        <w:rPr>
          <w:rFonts w:cs="Arial"/>
          <w:color w:val="2D2D2D"/>
          <w:lang w:val="en"/>
        </w:rPr>
        <w:t xml:space="preserve">The underpricing of electricity by central and state electricity commissions has also contributed to the poor financial position of distribution companies. As outlined in the previous section, electricity tariffs for end users are regulated in India and are, on average, below the cost of supply in many states. </w:t>
      </w:r>
      <w:r>
        <w:t>As a result, many distribution companies are losing money on the electricity they supply.</w:t>
      </w:r>
      <w:r>
        <w:rPr>
          <w:rStyle w:val="EndnoteReference"/>
        </w:rPr>
        <w:endnoteReference w:id="27"/>
      </w:r>
      <w:r>
        <w:t xml:space="preserve"> </w:t>
      </w:r>
      <w:r>
        <w:rPr>
          <w:rFonts w:cs="Arial"/>
          <w:color w:val="2D2D2D"/>
          <w:lang w:val="en"/>
        </w:rPr>
        <w:t xml:space="preserve">Both central and state governments provide financial support for distribution companies to cover the losses of supplying power at low rates. However, government subsidies are not always paid on time, and sometimes fall short of the amount booked by distribution companies, adding to their financial problems. </w:t>
      </w:r>
    </w:p>
    <w:p w14:paraId="3979768C" w14:textId="4ED43359" w:rsidR="006662A6" w:rsidRDefault="006662A6" w:rsidP="007357AB">
      <w:pPr>
        <w:pStyle w:val="BodyText"/>
      </w:pPr>
      <w:r>
        <w:t xml:space="preserve">At the retail level, the Indian government finances the underpricing of electricity for households and farmers (who are the main beneficiaries of electricity price regulation) </w:t>
      </w:r>
      <w:r w:rsidR="0012223C">
        <w:t xml:space="preserve">by making </w:t>
      </w:r>
      <w:r>
        <w:t>commercial and industrial customers pay higher rates. The use of subsidies creates distortions in the market, and artificially low electricity prices do not send the appropriate signals for consumers to improve energy efficiency or alter their electricity use. However, pricing reforms are difficult, due to the substantial social, economic and political challenges of raising electricity prices.</w:t>
      </w:r>
      <w:r w:rsidRPr="00D45DD3">
        <w:t xml:space="preserve"> </w:t>
      </w:r>
      <w:r>
        <w:t xml:space="preserve">In short, distortions exist across multiple segments of India’s power generation sector. These distortions have flow-on implications to the coal sector in India (see Chapter 2). </w:t>
      </w:r>
    </w:p>
    <w:p w14:paraId="2756FA59" w14:textId="5BC4B55A" w:rsidR="006662A6" w:rsidRDefault="006662A6" w:rsidP="00310698">
      <w:pPr>
        <w:pStyle w:val="Heading1"/>
      </w:pPr>
      <w:bookmarkStart w:id="62" w:name="_Toc15641159"/>
      <w:bookmarkStart w:id="63" w:name="_Toc15645847"/>
      <w:bookmarkStart w:id="64" w:name="_Toc16247579"/>
      <w:bookmarkStart w:id="65" w:name="_Toc16250042"/>
      <w:bookmarkStart w:id="66" w:name="_Toc16256897"/>
      <w:bookmarkStart w:id="67" w:name="_Toc17210772"/>
      <w:r>
        <w:t>1.3 Government policies and reforms</w:t>
      </w:r>
      <w:bookmarkEnd w:id="62"/>
      <w:bookmarkEnd w:id="63"/>
      <w:bookmarkEnd w:id="64"/>
      <w:bookmarkEnd w:id="65"/>
      <w:bookmarkEnd w:id="66"/>
      <w:bookmarkEnd w:id="67"/>
    </w:p>
    <w:p w14:paraId="4ECEFF19" w14:textId="7204C99E" w:rsidR="006662A6" w:rsidRDefault="006662A6" w:rsidP="00310698">
      <w:pPr>
        <w:pStyle w:val="Heading2"/>
      </w:pPr>
      <w:bookmarkStart w:id="68" w:name="_Toc15641160"/>
      <w:bookmarkStart w:id="69" w:name="_Toc15645848"/>
      <w:bookmarkStart w:id="70" w:name="_Toc16247580"/>
      <w:bookmarkStart w:id="71" w:name="_Toc16250043"/>
      <w:bookmarkStart w:id="72" w:name="_Toc16256898"/>
      <w:bookmarkStart w:id="73" w:name="_Toc17210773"/>
      <w:r>
        <w:t>Economic policy</w:t>
      </w:r>
      <w:bookmarkEnd w:id="68"/>
      <w:bookmarkEnd w:id="69"/>
      <w:bookmarkEnd w:id="70"/>
      <w:bookmarkEnd w:id="71"/>
      <w:bookmarkEnd w:id="72"/>
      <w:bookmarkEnd w:id="73"/>
    </w:p>
    <w:p w14:paraId="1DDDC62A" w14:textId="0467B444" w:rsidR="006662A6" w:rsidRDefault="006662A6" w:rsidP="00E60E61">
      <w:pPr>
        <w:pStyle w:val="BodyText"/>
      </w:pPr>
      <w:r>
        <w:t>The Modi Government has instituted a number of major economic reforms since taking office in 2014. Major reforms in its first term</w:t>
      </w:r>
      <w:r w:rsidDel="00456827">
        <w:t xml:space="preserve"> </w:t>
      </w:r>
      <w:r>
        <w:t>included a demonetisation policy (designed to reduce informal economy activity, increase tax revenue, and prevent the financing of illegal activities), the introduction of a goods and services tax, and the delivery of public goods programs — in areas such as affordable housing, sanitation and electricity. The Modi Government returned to power for a second five-year term in May 2019, with a strong mandate to continue its growth agenda.</w:t>
      </w:r>
    </w:p>
    <w:p w14:paraId="171905FA" w14:textId="3DC2CBB4" w:rsidR="006662A6" w:rsidRDefault="006662A6" w:rsidP="000E2E3E">
      <w:pPr>
        <w:pStyle w:val="BodyText"/>
      </w:pPr>
      <w:r>
        <w:t xml:space="preserve">The Modi Government has also continued to push forward with the </w:t>
      </w:r>
      <w:r w:rsidRPr="00605B65">
        <w:rPr>
          <w:i/>
        </w:rPr>
        <w:t>Make in India</w:t>
      </w:r>
      <w:r>
        <w:t xml:space="preserve"> program — an initiative designed to transform India into a global manufacturing hub. The growth in India’s manufacturing and industrial sectors will be a key contributor </w:t>
      </w:r>
      <w:r w:rsidR="0012223C">
        <w:t>to</w:t>
      </w:r>
      <w:r>
        <w:t xml:space="preserve"> rising energy demand in the country. While the introduction of some of the Modi Government’s reforms (such as demonetisation) weighed on economic activity in the short-term, they will likely help bolster economic growth and support the Government’s financial position over the longer-term. The Modi Government is aiming to make India into a US$5 trillion economy.</w:t>
      </w:r>
      <w:r>
        <w:rPr>
          <w:rStyle w:val="EndnoteReference"/>
        </w:rPr>
        <w:endnoteReference w:id="28"/>
      </w:r>
    </w:p>
    <w:p w14:paraId="5CCDA599" w14:textId="750D8138" w:rsidR="006662A6" w:rsidRDefault="006662A6" w:rsidP="000E2E3E">
      <w:pPr>
        <w:pStyle w:val="BodyText"/>
      </w:pPr>
      <w:r>
        <w:t xml:space="preserve">While the global economy is battling strong headwinds — including the escalation of </w:t>
      </w:r>
      <w:r w:rsidDel="00E77DD4">
        <w:t>trade</w:t>
      </w:r>
      <w:r>
        <w:t xml:space="preserve"> tensions between the US and China — the International Monetary Fund (IMF) expects India to be the fastest growing major economy in the world until 2023.</w:t>
      </w:r>
      <w:r w:rsidRPr="000E2E3E">
        <w:t xml:space="preserve"> </w:t>
      </w:r>
      <w:r w:rsidRPr="002926AD">
        <w:t xml:space="preserve">India’s GDP grew </w:t>
      </w:r>
      <w:r w:rsidRPr="007E2489">
        <w:t>by 7.</w:t>
      </w:r>
      <w:r>
        <w:t>1</w:t>
      </w:r>
      <w:r w:rsidRPr="002926AD">
        <w:t xml:space="preserve"> per cent in 2018</w:t>
      </w:r>
      <w:r>
        <w:t>,</w:t>
      </w:r>
      <w:r w:rsidRPr="002926AD">
        <w:t xml:space="preserve"> </w:t>
      </w:r>
      <w:r>
        <w:t>and g</w:t>
      </w:r>
      <w:r w:rsidRPr="002926AD">
        <w:t xml:space="preserve">rowth is expected to remain strong over the next five years, </w:t>
      </w:r>
      <w:r>
        <w:t>averaging</w:t>
      </w:r>
      <w:r w:rsidRPr="002926AD">
        <w:t xml:space="preserve"> an annual growth rate of around 7.</w:t>
      </w:r>
      <w:r>
        <w:t>6</w:t>
      </w:r>
      <w:r w:rsidRPr="002926AD">
        <w:t xml:space="preserve"> per cent</w:t>
      </w:r>
      <w:r>
        <w:t>.</w:t>
      </w:r>
      <w:r>
        <w:rPr>
          <w:rStyle w:val="EndnoteReference"/>
        </w:rPr>
        <w:endnoteReference w:id="29"/>
      </w:r>
    </w:p>
    <w:p w14:paraId="71B1E202" w14:textId="2EB2A0FA" w:rsidR="006662A6" w:rsidRDefault="006662A6" w:rsidP="00310698">
      <w:pPr>
        <w:pStyle w:val="Heading2"/>
      </w:pPr>
      <w:bookmarkStart w:id="74" w:name="_Toc15641161"/>
      <w:bookmarkStart w:id="75" w:name="_Toc15645849"/>
      <w:bookmarkStart w:id="76" w:name="_Toc16247581"/>
      <w:bookmarkStart w:id="77" w:name="_Toc16250044"/>
      <w:bookmarkStart w:id="78" w:name="_Toc16256899"/>
      <w:bookmarkStart w:id="79" w:name="_Toc17210774"/>
      <w:r>
        <w:t>National energy policy</w:t>
      </w:r>
      <w:bookmarkEnd w:id="74"/>
      <w:bookmarkEnd w:id="75"/>
      <w:bookmarkEnd w:id="76"/>
      <w:bookmarkEnd w:id="77"/>
      <w:bookmarkEnd w:id="78"/>
      <w:bookmarkEnd w:id="79"/>
    </w:p>
    <w:p w14:paraId="5AB344DB" w14:textId="6F4D7645" w:rsidR="006662A6" w:rsidRDefault="006662A6" w:rsidP="00310698">
      <w:pPr>
        <w:pStyle w:val="BodyText"/>
        <w:rPr>
          <w:rFonts w:cs="Arial"/>
          <w:color w:val="2D2D2D"/>
          <w:lang w:val="en"/>
        </w:rPr>
      </w:pPr>
      <w:r>
        <w:rPr>
          <w:rFonts w:cs="Arial"/>
          <w:color w:val="2D2D2D"/>
          <w:lang w:val="en"/>
        </w:rPr>
        <w:t>India’s draft national energy policy was published by the National Institution for Transforming India (Niti Aayog) in July 2017. At the time of writing, the final version of the national energy policy had not been released.</w:t>
      </w:r>
      <w:r>
        <w:rPr>
          <w:rStyle w:val="EndnoteReference"/>
          <w:rFonts w:cs="Arial"/>
          <w:color w:val="2D2D2D"/>
          <w:lang w:val="en"/>
        </w:rPr>
        <w:endnoteReference w:id="30"/>
      </w:r>
      <w:r>
        <w:rPr>
          <w:rFonts w:cs="Arial"/>
          <w:color w:val="2D2D2D"/>
          <w:lang w:val="en"/>
        </w:rPr>
        <w:t xml:space="preserve"> The draft national energy policy focuses on a short-term horizon (to 2022), and a medium-term horizon (through to 2040), when the aim is to have India’s economy ‘energy ready’. It identifies four key energy policy objectives. </w:t>
      </w:r>
    </w:p>
    <w:p w14:paraId="511BC7A2" w14:textId="43C8E0B4" w:rsidR="006662A6" w:rsidRDefault="006662A6" w:rsidP="00345B54">
      <w:pPr>
        <w:pStyle w:val="BodyText"/>
        <w:numPr>
          <w:ilvl w:val="0"/>
          <w:numId w:val="18"/>
        </w:numPr>
        <w:rPr>
          <w:rFonts w:cs="Arial"/>
          <w:color w:val="2D2D2D"/>
          <w:lang w:val="en"/>
        </w:rPr>
      </w:pPr>
      <w:r w:rsidRPr="00172DAB">
        <w:rPr>
          <w:rFonts w:cs="Arial"/>
          <w:b/>
          <w:color w:val="2D2D2D"/>
          <w:lang w:val="en"/>
        </w:rPr>
        <w:t>Access at affordable prices.</w:t>
      </w:r>
      <w:r>
        <w:rPr>
          <w:rFonts w:cs="Arial"/>
          <w:color w:val="2D2D2D"/>
          <w:lang w:val="en"/>
        </w:rPr>
        <w:t xml:space="preserve"> This objective is described as being of the ‘utmost importance’ given ‘poverty and deprivation’ in India. It aims to ensure universal access to ‘24x7 electricity by 2022’ and clean cooking fuel within a ‘reasonable time’. In July 2019, the Indian Government brought forward its target for clean cooking fuel to 2022.</w:t>
      </w:r>
      <w:r>
        <w:rPr>
          <w:rStyle w:val="EndnoteReference"/>
          <w:rFonts w:cs="Arial"/>
          <w:color w:val="2D2D2D"/>
          <w:lang w:val="en"/>
        </w:rPr>
        <w:endnoteReference w:id="31"/>
      </w:r>
    </w:p>
    <w:p w14:paraId="2C7DC425" w14:textId="1F072F44" w:rsidR="006662A6" w:rsidRDefault="006662A6" w:rsidP="00345B54">
      <w:pPr>
        <w:pStyle w:val="BodyText"/>
        <w:numPr>
          <w:ilvl w:val="0"/>
          <w:numId w:val="18"/>
        </w:numPr>
        <w:rPr>
          <w:rFonts w:cs="Arial"/>
          <w:color w:val="2D2D2D"/>
          <w:lang w:val="en"/>
        </w:rPr>
      </w:pPr>
      <w:r w:rsidRPr="00172DAB">
        <w:rPr>
          <w:rFonts w:cs="Arial"/>
          <w:b/>
          <w:color w:val="2D2D2D"/>
          <w:lang w:val="en"/>
        </w:rPr>
        <w:t>Improved security and self-sufficiency.</w:t>
      </w:r>
      <w:r>
        <w:rPr>
          <w:rFonts w:cs="Arial"/>
          <w:color w:val="2D2D2D"/>
          <w:lang w:val="en"/>
        </w:rPr>
        <w:t xml:space="preserve"> The national energy policy notes that there is ‘a strong case for reduced dependence on imports’, given the availability of domestic oil, coal and gas, but that the diversification of import sources can also enhance energy security. </w:t>
      </w:r>
    </w:p>
    <w:p w14:paraId="6AEFFEA9" w14:textId="66560DE4" w:rsidR="006662A6" w:rsidRDefault="006662A6" w:rsidP="00345B54">
      <w:pPr>
        <w:pStyle w:val="BodyText"/>
        <w:numPr>
          <w:ilvl w:val="0"/>
          <w:numId w:val="18"/>
        </w:numPr>
        <w:rPr>
          <w:rFonts w:cs="Arial"/>
          <w:color w:val="2D2D2D"/>
          <w:lang w:val="en"/>
        </w:rPr>
      </w:pPr>
      <w:r w:rsidRPr="00172DAB">
        <w:rPr>
          <w:rFonts w:cs="Arial"/>
          <w:b/>
          <w:color w:val="2D2D2D"/>
          <w:lang w:val="en"/>
        </w:rPr>
        <w:t>Greater sustainability.</w:t>
      </w:r>
      <w:r>
        <w:rPr>
          <w:rFonts w:cs="Arial"/>
          <w:color w:val="2D2D2D"/>
          <w:lang w:val="en"/>
        </w:rPr>
        <w:t xml:space="preserve"> This objective seeks to address the ‘catastrophic effects of climate change and detrimental effects of fossil fuel usage of local air quality’ through increasing energy efficiency and renewable energy. </w:t>
      </w:r>
    </w:p>
    <w:p w14:paraId="2BFE3944" w14:textId="13FB8EC8" w:rsidR="006662A6" w:rsidRDefault="006662A6" w:rsidP="00345B54">
      <w:pPr>
        <w:pStyle w:val="BodyText"/>
        <w:numPr>
          <w:ilvl w:val="0"/>
          <w:numId w:val="18"/>
        </w:numPr>
        <w:rPr>
          <w:rFonts w:cs="Arial"/>
          <w:color w:val="2D2D2D"/>
          <w:lang w:val="en"/>
        </w:rPr>
      </w:pPr>
      <w:r w:rsidRPr="00172DAB">
        <w:rPr>
          <w:rFonts w:cs="Arial"/>
          <w:b/>
          <w:color w:val="2D2D2D"/>
          <w:lang w:val="en"/>
        </w:rPr>
        <w:t>Economic growth.</w:t>
      </w:r>
      <w:r>
        <w:rPr>
          <w:rFonts w:cs="Arial"/>
          <w:color w:val="2D2D2D"/>
          <w:lang w:val="en"/>
        </w:rPr>
        <w:t xml:space="preserve"> The national energy policy notes that energy policy must support rapid economic growth by underpinning economic activity across the economy, as well as support economic activity in the energy sector.</w:t>
      </w:r>
    </w:p>
    <w:p w14:paraId="77B4DAF6" w14:textId="156AE0C6" w:rsidR="006662A6" w:rsidRDefault="006662A6" w:rsidP="00D71CA1">
      <w:pPr>
        <w:pStyle w:val="ListBullet"/>
        <w:ind w:left="0" w:firstLine="0"/>
      </w:pPr>
      <w:r>
        <w:rPr>
          <w:rFonts w:cs="Arial"/>
          <w:color w:val="2D2D2D"/>
          <w:lang w:val="en"/>
        </w:rPr>
        <w:t xml:space="preserve">The draft national energy plan states that there are complementarities and tensions between these four objectives. For example, on the one hand, reducing fossil fuel consumption would ‘promote the twin goals of sustainability and security’. However, as long as fossil fuels remain the cheapest source of energy, ‘the goal of affordable prices would come into conflict with the goal of sustainability and possibly energy security as well’. </w:t>
      </w:r>
      <w:r>
        <w:t>Box 2.1 outlines the costs of different types of generation in India in more detail.</w:t>
      </w:r>
    </w:p>
    <w:p w14:paraId="542D1BC6" w14:textId="251A5DF0" w:rsidR="006662A6" w:rsidRDefault="006662A6" w:rsidP="00827C30">
      <w:pPr>
        <w:pStyle w:val="BodyText"/>
        <w:rPr>
          <w:rFonts w:cs="Arial"/>
          <w:color w:val="2D2D2D"/>
          <w:lang w:val="en"/>
        </w:rPr>
      </w:pPr>
      <w:r>
        <w:rPr>
          <w:rFonts w:cs="Arial"/>
          <w:color w:val="2D2D2D"/>
          <w:lang w:val="en"/>
        </w:rPr>
        <w:t>The details of India’s national energy plan related to coal are discussed in Chapter 2 of this report.</w:t>
      </w:r>
    </w:p>
    <w:p w14:paraId="599E7B93" w14:textId="0DCF0BBF" w:rsidR="006662A6" w:rsidRDefault="006662A6" w:rsidP="003C69D7">
      <w:pPr>
        <w:pStyle w:val="Heading2"/>
      </w:pPr>
      <w:bookmarkStart w:id="80" w:name="_Toc15641162"/>
      <w:bookmarkStart w:id="81" w:name="_Toc15645850"/>
      <w:bookmarkStart w:id="82" w:name="_Toc16247582"/>
      <w:bookmarkStart w:id="83" w:name="_Toc16250045"/>
      <w:bookmarkStart w:id="84" w:name="_Toc16256900"/>
      <w:bookmarkStart w:id="85" w:name="_Toc17210775"/>
      <w:r>
        <w:t>National electricity plan and electricity market reform</w:t>
      </w:r>
      <w:bookmarkEnd w:id="80"/>
      <w:bookmarkEnd w:id="81"/>
      <w:bookmarkEnd w:id="82"/>
      <w:bookmarkEnd w:id="83"/>
      <w:bookmarkEnd w:id="84"/>
      <w:bookmarkEnd w:id="85"/>
    </w:p>
    <w:p w14:paraId="62DCB96A" w14:textId="22233077" w:rsidR="006662A6" w:rsidRDefault="006662A6" w:rsidP="008A7872">
      <w:pPr>
        <w:pStyle w:val="BodyText"/>
      </w:pPr>
      <w:r>
        <w:t>The Central Electricity Authority (CEA) published India’s most recent national electricity plan in January 2018.</w:t>
      </w:r>
      <w:r>
        <w:rPr>
          <w:rStyle w:val="EndnoteReference"/>
        </w:rPr>
        <w:endnoteReference w:id="32"/>
      </w:r>
      <w:r>
        <w:t xml:space="preserve"> It envisages a massive expansion in electricity generation capacity over the next decade (Table 1.4), led by renewable generation (excluding large-scale hydro), which increases by 196 GW on present levels. Coal is the next largest contributor (37 GW), followed by large-scale hydro (18 GW) and nuclear (10 GW). Gas generation capacity remain</w:t>
      </w:r>
      <w:r w:rsidR="0012223C">
        <w:t>s</w:t>
      </w:r>
      <w:r>
        <w:t xml:space="preserve"> largely unchanged from present levels. </w:t>
      </w:r>
    </w:p>
    <w:p w14:paraId="7478C7EE" w14:textId="2F0E8390" w:rsidR="006662A6" w:rsidRDefault="006662A6" w:rsidP="008A7872">
      <w:pPr>
        <w:pStyle w:val="BodyText"/>
      </w:pPr>
      <w:r>
        <w:t xml:space="preserve">The expansion in coal-fired generation capacity is expected to be driven by a combination of capacity already under construction and additions through new projects, which will offset retirements of coal power stations. </w:t>
      </w:r>
      <w:r w:rsidRPr="00E013FC">
        <w:t xml:space="preserve">The </w:t>
      </w:r>
      <w:r>
        <w:t>national electricity plan notes that,</w:t>
      </w:r>
      <w:r w:rsidRPr="005A527E">
        <w:t xml:space="preserve"> </w:t>
      </w:r>
      <w:r w:rsidRPr="00E013FC">
        <w:t xml:space="preserve">other than </w:t>
      </w:r>
      <w:r>
        <w:t>capacity already under construction,</w:t>
      </w:r>
      <w:r w:rsidRPr="00E013FC">
        <w:t xml:space="preserve"> no </w:t>
      </w:r>
      <w:r>
        <w:t>additional</w:t>
      </w:r>
      <w:r w:rsidRPr="00E013FC">
        <w:t xml:space="preserve"> coal-fired capacity will be required </w:t>
      </w:r>
      <w:r>
        <w:t>before 2021</w:t>
      </w:r>
      <w:r w:rsidRPr="00E013FC">
        <w:t>–22</w:t>
      </w:r>
      <w:r>
        <w:t>, with new capacity expected to come online between 2022–23 and 2026–27.</w:t>
      </w:r>
    </w:p>
    <w:p w14:paraId="5C772A2B" w14:textId="1B6BA3E7" w:rsidR="006662A6" w:rsidRDefault="006662A6" w:rsidP="00C42429">
      <w:pPr>
        <w:pStyle w:val="Caption"/>
      </w:pPr>
      <w:r w:rsidRPr="000618FB">
        <w:t xml:space="preserve">Table </w:t>
      </w:r>
      <w:r>
        <w:rPr>
          <w:noProof/>
        </w:rPr>
        <w:t>1</w:t>
      </w:r>
      <w:r>
        <w:t>.</w:t>
      </w:r>
      <w:r>
        <w:rPr>
          <w:noProof/>
        </w:rPr>
        <w:t>4</w:t>
      </w:r>
      <w:r w:rsidRPr="000618FB">
        <w:t xml:space="preserve">: </w:t>
      </w:r>
      <w:r>
        <w:t>India’s projected installed capacity</w:t>
      </w:r>
    </w:p>
    <w:tbl>
      <w:tblPr>
        <w:tblStyle w:val="OCETable"/>
        <w:tblW w:w="4968" w:type="pct"/>
        <w:tblInd w:w="57" w:type="dxa"/>
        <w:tblLayout w:type="fixed"/>
        <w:tblLook w:val="04A0" w:firstRow="1" w:lastRow="0" w:firstColumn="1" w:lastColumn="0" w:noHBand="0" w:noVBand="1"/>
        <w:tblCaption w:val="India's projected installed capacity"/>
        <w:tblDescription w:val="This table shows how, under India's National Electricity Plan, renewable generation is expected to account for the majority of new installed capacity, followed by coal."/>
      </w:tblPr>
      <w:tblGrid>
        <w:gridCol w:w="1278"/>
        <w:gridCol w:w="1281"/>
        <w:gridCol w:w="1281"/>
        <w:gridCol w:w="1282"/>
        <w:gridCol w:w="1282"/>
        <w:gridCol w:w="1282"/>
        <w:gridCol w:w="1282"/>
      </w:tblGrid>
      <w:tr w:rsidR="006662A6" w14:paraId="399844C9" w14:textId="77777777" w:rsidTr="00C667B0">
        <w:trPr>
          <w:cnfStyle w:val="100000000000" w:firstRow="1" w:lastRow="0" w:firstColumn="0" w:lastColumn="0" w:oddVBand="0" w:evenVBand="0" w:oddHBand="0" w:evenHBand="0" w:firstRowFirstColumn="0" w:firstRowLastColumn="0" w:lastRowFirstColumn="0" w:lastRowLastColumn="0"/>
          <w:trHeight w:val="526"/>
          <w:tblHeader/>
        </w:trPr>
        <w:tc>
          <w:tcPr>
            <w:tcW w:w="1278" w:type="dxa"/>
          </w:tcPr>
          <w:p w14:paraId="62998FA2" w14:textId="70ABF5E7" w:rsidR="006662A6" w:rsidRDefault="006662A6" w:rsidP="00C42429">
            <w:pPr>
              <w:pStyle w:val="Tableheader"/>
              <w:rPr>
                <w:lang w:eastAsia="en-AU"/>
              </w:rPr>
            </w:pPr>
            <w:r>
              <w:rPr>
                <w:lang w:eastAsia="en-AU"/>
              </w:rPr>
              <w:t>Fuel type</w:t>
            </w:r>
          </w:p>
        </w:tc>
        <w:tc>
          <w:tcPr>
            <w:tcW w:w="1281" w:type="dxa"/>
          </w:tcPr>
          <w:p w14:paraId="00B5A324" w14:textId="476CA988" w:rsidR="006662A6" w:rsidRDefault="006662A6" w:rsidP="00157CED">
            <w:pPr>
              <w:pStyle w:val="Tableheader"/>
              <w:jc w:val="right"/>
              <w:rPr>
                <w:lang w:eastAsia="en-AU"/>
              </w:rPr>
            </w:pPr>
            <w:r>
              <w:rPr>
                <w:lang w:eastAsia="en-AU"/>
              </w:rPr>
              <w:t>June 2019 (actual)</w:t>
            </w:r>
          </w:p>
        </w:tc>
        <w:tc>
          <w:tcPr>
            <w:tcW w:w="1281" w:type="dxa"/>
          </w:tcPr>
          <w:p w14:paraId="382815CA" w14:textId="11605A20" w:rsidR="006662A6" w:rsidRDefault="006662A6" w:rsidP="00157CED">
            <w:pPr>
              <w:pStyle w:val="Tableheader"/>
              <w:jc w:val="right"/>
              <w:rPr>
                <w:lang w:eastAsia="en-AU"/>
              </w:rPr>
            </w:pPr>
            <w:r>
              <w:rPr>
                <w:lang w:eastAsia="en-AU"/>
              </w:rPr>
              <w:t>2021–22 (projection)</w:t>
            </w:r>
          </w:p>
        </w:tc>
        <w:tc>
          <w:tcPr>
            <w:tcW w:w="1282" w:type="dxa"/>
          </w:tcPr>
          <w:p w14:paraId="7309C205" w14:textId="454BEA72" w:rsidR="006662A6" w:rsidRDefault="006662A6" w:rsidP="00157CED">
            <w:pPr>
              <w:pStyle w:val="Tableheader"/>
              <w:jc w:val="right"/>
              <w:rPr>
                <w:lang w:eastAsia="en-AU"/>
              </w:rPr>
            </w:pPr>
            <w:r>
              <w:rPr>
                <w:lang w:eastAsia="en-AU"/>
              </w:rPr>
              <w:t>2026–27 (projection)</w:t>
            </w:r>
          </w:p>
        </w:tc>
        <w:tc>
          <w:tcPr>
            <w:tcW w:w="1282" w:type="dxa"/>
          </w:tcPr>
          <w:p w14:paraId="6FB08C4D" w14:textId="5324B8DC" w:rsidR="006662A6" w:rsidRDefault="006662A6" w:rsidP="00157CED">
            <w:pPr>
              <w:pStyle w:val="Tableheader"/>
              <w:jc w:val="right"/>
              <w:rPr>
                <w:lang w:eastAsia="en-AU"/>
              </w:rPr>
            </w:pPr>
            <w:r>
              <w:rPr>
                <w:lang w:eastAsia="en-AU"/>
              </w:rPr>
              <w:t>2018–19 (share)</w:t>
            </w:r>
          </w:p>
        </w:tc>
        <w:tc>
          <w:tcPr>
            <w:tcW w:w="1282" w:type="dxa"/>
          </w:tcPr>
          <w:p w14:paraId="5E0831E5" w14:textId="5DAFA3BF" w:rsidR="006662A6" w:rsidRDefault="006662A6" w:rsidP="00157CED">
            <w:pPr>
              <w:pStyle w:val="Tableheader"/>
              <w:jc w:val="right"/>
              <w:rPr>
                <w:lang w:eastAsia="en-AU"/>
              </w:rPr>
            </w:pPr>
            <w:r>
              <w:rPr>
                <w:lang w:eastAsia="en-AU"/>
              </w:rPr>
              <w:t>2021–22 (share)</w:t>
            </w:r>
          </w:p>
        </w:tc>
        <w:tc>
          <w:tcPr>
            <w:tcW w:w="1282" w:type="dxa"/>
          </w:tcPr>
          <w:p w14:paraId="74D8BB59" w14:textId="176B8CAF" w:rsidR="006662A6" w:rsidRDefault="006662A6" w:rsidP="00157CED">
            <w:pPr>
              <w:pStyle w:val="Tableheader"/>
              <w:jc w:val="right"/>
              <w:rPr>
                <w:lang w:eastAsia="en-AU"/>
              </w:rPr>
            </w:pPr>
            <w:r>
              <w:rPr>
                <w:lang w:eastAsia="en-AU"/>
              </w:rPr>
              <w:t>2026–27 (share)</w:t>
            </w:r>
          </w:p>
        </w:tc>
      </w:tr>
      <w:tr w:rsidR="006662A6" w14:paraId="65BC6C18" w14:textId="77777777" w:rsidTr="00157CED">
        <w:trPr>
          <w:cnfStyle w:val="000000100000" w:firstRow="0" w:lastRow="0" w:firstColumn="0" w:lastColumn="0" w:oddVBand="0" w:evenVBand="0" w:oddHBand="1" w:evenHBand="0" w:firstRowFirstColumn="0" w:firstRowLastColumn="0" w:lastRowFirstColumn="0" w:lastRowLastColumn="0"/>
          <w:trHeight w:val="383"/>
        </w:trPr>
        <w:tc>
          <w:tcPr>
            <w:tcW w:w="1278" w:type="dxa"/>
            <w:shd w:val="clear" w:color="auto" w:fill="005CAF"/>
          </w:tcPr>
          <w:p w14:paraId="05E94111" w14:textId="0F9592A1" w:rsidR="006662A6" w:rsidRPr="008A7872" w:rsidRDefault="006662A6" w:rsidP="00157CED">
            <w:pPr>
              <w:pStyle w:val="Tabletext"/>
              <w:rPr>
                <w:color w:val="FFFFFF" w:themeColor="background1"/>
                <w:lang w:eastAsia="en-AU"/>
              </w:rPr>
            </w:pPr>
            <w:r>
              <w:rPr>
                <w:color w:val="FFFFFF" w:themeColor="background1"/>
                <w:lang w:eastAsia="en-AU"/>
              </w:rPr>
              <w:t>Unit</w:t>
            </w:r>
          </w:p>
        </w:tc>
        <w:tc>
          <w:tcPr>
            <w:tcW w:w="1281" w:type="dxa"/>
            <w:shd w:val="clear" w:color="auto" w:fill="005CAF"/>
          </w:tcPr>
          <w:p w14:paraId="6071EFD5" w14:textId="63F3B3EC" w:rsidR="006662A6" w:rsidRPr="008A7872" w:rsidRDefault="006662A6" w:rsidP="00157CED">
            <w:pPr>
              <w:pStyle w:val="Tabletext"/>
              <w:jc w:val="right"/>
              <w:rPr>
                <w:color w:val="FFFFFF" w:themeColor="background1"/>
                <w:lang w:eastAsia="en-AU"/>
              </w:rPr>
            </w:pPr>
            <w:r w:rsidRPr="008A7872">
              <w:rPr>
                <w:color w:val="FFFFFF" w:themeColor="background1"/>
                <w:lang w:eastAsia="en-AU"/>
              </w:rPr>
              <w:t>GW</w:t>
            </w:r>
          </w:p>
        </w:tc>
        <w:tc>
          <w:tcPr>
            <w:tcW w:w="1281" w:type="dxa"/>
            <w:shd w:val="clear" w:color="auto" w:fill="005CAF"/>
          </w:tcPr>
          <w:p w14:paraId="0E0AA33C" w14:textId="6E6742EB" w:rsidR="006662A6" w:rsidRPr="008A7872" w:rsidRDefault="006662A6" w:rsidP="00157CED">
            <w:pPr>
              <w:pStyle w:val="Tabletext"/>
              <w:jc w:val="right"/>
              <w:rPr>
                <w:color w:val="FFFFFF" w:themeColor="background1"/>
                <w:lang w:eastAsia="en-AU"/>
              </w:rPr>
            </w:pPr>
            <w:r>
              <w:rPr>
                <w:color w:val="FFFFFF" w:themeColor="background1"/>
                <w:lang w:eastAsia="en-AU"/>
              </w:rPr>
              <w:t>GW</w:t>
            </w:r>
          </w:p>
        </w:tc>
        <w:tc>
          <w:tcPr>
            <w:tcW w:w="1282" w:type="dxa"/>
            <w:shd w:val="clear" w:color="auto" w:fill="005CAF"/>
          </w:tcPr>
          <w:p w14:paraId="4924FB01" w14:textId="193ABD74" w:rsidR="006662A6" w:rsidRPr="008A7872" w:rsidRDefault="006662A6" w:rsidP="00157CED">
            <w:pPr>
              <w:pStyle w:val="Tabletext"/>
              <w:jc w:val="right"/>
              <w:rPr>
                <w:color w:val="FFFFFF" w:themeColor="background1"/>
                <w:lang w:eastAsia="en-AU"/>
              </w:rPr>
            </w:pPr>
            <w:r w:rsidRPr="008A7872">
              <w:rPr>
                <w:color w:val="FFFFFF" w:themeColor="background1"/>
                <w:lang w:eastAsia="en-AU"/>
              </w:rPr>
              <w:t>GW</w:t>
            </w:r>
          </w:p>
        </w:tc>
        <w:tc>
          <w:tcPr>
            <w:tcW w:w="1282" w:type="dxa"/>
            <w:shd w:val="clear" w:color="auto" w:fill="005CAF"/>
          </w:tcPr>
          <w:p w14:paraId="2ABE36C6" w14:textId="7D82C0DC" w:rsidR="006662A6" w:rsidRPr="008A7872" w:rsidRDefault="006662A6" w:rsidP="00157CED">
            <w:pPr>
              <w:pStyle w:val="Tabletext"/>
              <w:jc w:val="right"/>
              <w:rPr>
                <w:color w:val="FFFFFF" w:themeColor="background1"/>
                <w:lang w:eastAsia="en-AU"/>
              </w:rPr>
            </w:pPr>
            <w:r w:rsidRPr="008A7872">
              <w:rPr>
                <w:color w:val="FFFFFF" w:themeColor="background1"/>
                <w:lang w:eastAsia="en-AU"/>
              </w:rPr>
              <w:t>%</w:t>
            </w:r>
          </w:p>
        </w:tc>
        <w:tc>
          <w:tcPr>
            <w:tcW w:w="1282" w:type="dxa"/>
            <w:shd w:val="clear" w:color="auto" w:fill="005CAF"/>
          </w:tcPr>
          <w:p w14:paraId="5E480280" w14:textId="16FF2E68" w:rsidR="006662A6" w:rsidRPr="008A7872" w:rsidRDefault="006662A6" w:rsidP="00157CED">
            <w:pPr>
              <w:pStyle w:val="Tabletext"/>
              <w:jc w:val="right"/>
              <w:rPr>
                <w:color w:val="FFFFFF" w:themeColor="background1"/>
                <w:lang w:eastAsia="en-AU"/>
              </w:rPr>
            </w:pPr>
            <w:r>
              <w:rPr>
                <w:color w:val="FFFFFF" w:themeColor="background1"/>
                <w:lang w:eastAsia="en-AU"/>
              </w:rPr>
              <w:t>%</w:t>
            </w:r>
          </w:p>
        </w:tc>
        <w:tc>
          <w:tcPr>
            <w:tcW w:w="1282" w:type="dxa"/>
            <w:shd w:val="clear" w:color="auto" w:fill="005CAF"/>
          </w:tcPr>
          <w:p w14:paraId="0B94C7AA" w14:textId="007AFEFC" w:rsidR="006662A6" w:rsidRPr="008A7872" w:rsidRDefault="006662A6" w:rsidP="00157CED">
            <w:pPr>
              <w:pStyle w:val="Tabletext"/>
              <w:jc w:val="right"/>
              <w:rPr>
                <w:color w:val="FFFFFF" w:themeColor="background1"/>
                <w:lang w:eastAsia="en-AU"/>
              </w:rPr>
            </w:pPr>
            <w:r w:rsidRPr="008A7872">
              <w:rPr>
                <w:color w:val="FFFFFF" w:themeColor="background1"/>
                <w:lang w:eastAsia="en-AU"/>
              </w:rPr>
              <w:t>%</w:t>
            </w:r>
          </w:p>
        </w:tc>
      </w:tr>
      <w:tr w:rsidR="006662A6" w14:paraId="7843190E" w14:textId="77777777" w:rsidTr="00157CED">
        <w:trPr>
          <w:cnfStyle w:val="000000010000" w:firstRow="0" w:lastRow="0" w:firstColumn="0" w:lastColumn="0" w:oddVBand="0" w:evenVBand="0" w:oddHBand="0" w:evenHBand="1" w:firstRowFirstColumn="0" w:firstRowLastColumn="0" w:lastRowFirstColumn="0" w:lastRowLastColumn="0"/>
          <w:trHeight w:val="383"/>
        </w:trPr>
        <w:tc>
          <w:tcPr>
            <w:tcW w:w="1278" w:type="dxa"/>
          </w:tcPr>
          <w:p w14:paraId="2193ABD0" w14:textId="386048FD" w:rsidR="006662A6" w:rsidRDefault="006662A6" w:rsidP="00C42429">
            <w:pPr>
              <w:pStyle w:val="Tabletext"/>
              <w:rPr>
                <w:lang w:eastAsia="en-AU"/>
              </w:rPr>
            </w:pPr>
            <w:r>
              <w:rPr>
                <w:lang w:eastAsia="en-AU"/>
              </w:rPr>
              <w:t>Coal</w:t>
            </w:r>
          </w:p>
        </w:tc>
        <w:tc>
          <w:tcPr>
            <w:tcW w:w="1281" w:type="dxa"/>
          </w:tcPr>
          <w:p w14:paraId="1D90D88A" w14:textId="18B180EF" w:rsidR="006662A6" w:rsidRPr="00B61265" w:rsidRDefault="006662A6" w:rsidP="00157CED">
            <w:pPr>
              <w:pStyle w:val="Tabletext"/>
              <w:jc w:val="right"/>
            </w:pPr>
            <w:r w:rsidRPr="00B61265">
              <w:t>201</w:t>
            </w:r>
          </w:p>
        </w:tc>
        <w:tc>
          <w:tcPr>
            <w:tcW w:w="1281" w:type="dxa"/>
          </w:tcPr>
          <w:p w14:paraId="39330768" w14:textId="22AB9BEB" w:rsidR="006662A6" w:rsidRDefault="006662A6" w:rsidP="00157CED">
            <w:pPr>
              <w:pStyle w:val="Tabletext"/>
              <w:jc w:val="right"/>
              <w:rPr>
                <w:lang w:eastAsia="en-AU"/>
              </w:rPr>
            </w:pPr>
            <w:r w:rsidRPr="00B61265">
              <w:t>217</w:t>
            </w:r>
          </w:p>
        </w:tc>
        <w:tc>
          <w:tcPr>
            <w:tcW w:w="1282" w:type="dxa"/>
          </w:tcPr>
          <w:p w14:paraId="3E3BE5E4" w14:textId="279F89F4" w:rsidR="006662A6" w:rsidRDefault="006662A6" w:rsidP="00157CED">
            <w:pPr>
              <w:pStyle w:val="Tabletext"/>
              <w:jc w:val="right"/>
              <w:rPr>
                <w:lang w:eastAsia="en-AU"/>
              </w:rPr>
            </w:pPr>
            <w:r w:rsidRPr="00B61265">
              <w:t>238</w:t>
            </w:r>
          </w:p>
        </w:tc>
        <w:tc>
          <w:tcPr>
            <w:tcW w:w="1282" w:type="dxa"/>
          </w:tcPr>
          <w:p w14:paraId="14F21868" w14:textId="6B7BA745" w:rsidR="006662A6" w:rsidRDefault="006662A6" w:rsidP="00157CED">
            <w:pPr>
              <w:pStyle w:val="Tabletext"/>
              <w:jc w:val="right"/>
              <w:rPr>
                <w:lang w:eastAsia="en-AU"/>
              </w:rPr>
            </w:pPr>
            <w:r w:rsidRPr="00B61265">
              <w:t>56</w:t>
            </w:r>
          </w:p>
        </w:tc>
        <w:tc>
          <w:tcPr>
            <w:tcW w:w="1282" w:type="dxa"/>
          </w:tcPr>
          <w:p w14:paraId="6C8FACAB" w14:textId="2E2B01DA" w:rsidR="006662A6" w:rsidRDefault="006662A6" w:rsidP="00157CED">
            <w:pPr>
              <w:pStyle w:val="Tabletext"/>
              <w:jc w:val="right"/>
              <w:rPr>
                <w:lang w:eastAsia="en-AU"/>
              </w:rPr>
            </w:pPr>
            <w:r w:rsidRPr="00B61265">
              <w:t>45</w:t>
            </w:r>
          </w:p>
        </w:tc>
        <w:tc>
          <w:tcPr>
            <w:tcW w:w="1282" w:type="dxa"/>
          </w:tcPr>
          <w:p w14:paraId="75AFE723" w14:textId="7A8E7F2D" w:rsidR="006662A6" w:rsidRDefault="006662A6" w:rsidP="00157CED">
            <w:pPr>
              <w:pStyle w:val="Tabletext"/>
              <w:jc w:val="right"/>
              <w:rPr>
                <w:lang w:eastAsia="en-AU"/>
              </w:rPr>
            </w:pPr>
            <w:r w:rsidRPr="00B61265">
              <w:t>38</w:t>
            </w:r>
          </w:p>
        </w:tc>
      </w:tr>
      <w:tr w:rsidR="006662A6" w14:paraId="3168D4D4" w14:textId="77777777" w:rsidTr="00157CED">
        <w:trPr>
          <w:cnfStyle w:val="000000100000" w:firstRow="0" w:lastRow="0" w:firstColumn="0" w:lastColumn="0" w:oddVBand="0" w:evenVBand="0" w:oddHBand="1" w:evenHBand="0" w:firstRowFirstColumn="0" w:firstRowLastColumn="0" w:lastRowFirstColumn="0" w:lastRowLastColumn="0"/>
          <w:trHeight w:val="383"/>
        </w:trPr>
        <w:tc>
          <w:tcPr>
            <w:tcW w:w="1278" w:type="dxa"/>
          </w:tcPr>
          <w:p w14:paraId="41252B4B" w14:textId="37CB8EEE" w:rsidR="006662A6" w:rsidRDefault="006662A6" w:rsidP="00C42429">
            <w:pPr>
              <w:pStyle w:val="Tabletext"/>
              <w:rPr>
                <w:lang w:eastAsia="en-AU"/>
              </w:rPr>
            </w:pPr>
            <w:r>
              <w:rPr>
                <w:lang w:eastAsia="en-AU"/>
              </w:rPr>
              <w:t>Renewable</w:t>
            </w:r>
          </w:p>
        </w:tc>
        <w:tc>
          <w:tcPr>
            <w:tcW w:w="1281" w:type="dxa"/>
          </w:tcPr>
          <w:p w14:paraId="7D405879" w14:textId="139690BC" w:rsidR="006662A6" w:rsidRPr="00B61265" w:rsidRDefault="006662A6" w:rsidP="00157CED">
            <w:pPr>
              <w:pStyle w:val="Tabletext"/>
              <w:jc w:val="right"/>
            </w:pPr>
            <w:r w:rsidRPr="00B53569">
              <w:t>79</w:t>
            </w:r>
          </w:p>
        </w:tc>
        <w:tc>
          <w:tcPr>
            <w:tcW w:w="1281" w:type="dxa"/>
          </w:tcPr>
          <w:p w14:paraId="49FAA3CD" w14:textId="707FFAD8" w:rsidR="006662A6" w:rsidRDefault="006662A6" w:rsidP="00157CED">
            <w:pPr>
              <w:pStyle w:val="Tabletext"/>
              <w:jc w:val="right"/>
              <w:rPr>
                <w:lang w:eastAsia="en-AU"/>
              </w:rPr>
            </w:pPr>
            <w:r w:rsidRPr="00B61265">
              <w:t>175</w:t>
            </w:r>
          </w:p>
        </w:tc>
        <w:tc>
          <w:tcPr>
            <w:tcW w:w="1282" w:type="dxa"/>
          </w:tcPr>
          <w:p w14:paraId="66830BF0" w14:textId="0D1BC2CE" w:rsidR="006662A6" w:rsidRDefault="006662A6" w:rsidP="00157CED">
            <w:pPr>
              <w:pStyle w:val="Tabletext"/>
              <w:jc w:val="right"/>
              <w:rPr>
                <w:lang w:eastAsia="en-AU"/>
              </w:rPr>
            </w:pPr>
            <w:r w:rsidRPr="00B61265">
              <w:t>275</w:t>
            </w:r>
          </w:p>
        </w:tc>
        <w:tc>
          <w:tcPr>
            <w:tcW w:w="1282" w:type="dxa"/>
          </w:tcPr>
          <w:p w14:paraId="3F8C954B" w14:textId="76AA013C" w:rsidR="006662A6" w:rsidRDefault="006662A6" w:rsidP="00157CED">
            <w:pPr>
              <w:pStyle w:val="Tabletext"/>
              <w:jc w:val="right"/>
              <w:rPr>
                <w:lang w:eastAsia="en-AU"/>
              </w:rPr>
            </w:pPr>
            <w:r w:rsidRPr="00B61265">
              <w:t>22</w:t>
            </w:r>
          </w:p>
        </w:tc>
        <w:tc>
          <w:tcPr>
            <w:tcW w:w="1282" w:type="dxa"/>
          </w:tcPr>
          <w:p w14:paraId="5563BCA4" w14:textId="211E75F5" w:rsidR="006662A6" w:rsidRDefault="006662A6" w:rsidP="00157CED">
            <w:pPr>
              <w:pStyle w:val="Tabletext"/>
              <w:jc w:val="right"/>
              <w:rPr>
                <w:lang w:eastAsia="en-AU"/>
              </w:rPr>
            </w:pPr>
            <w:r w:rsidRPr="00B61265">
              <w:t>37</w:t>
            </w:r>
          </w:p>
        </w:tc>
        <w:tc>
          <w:tcPr>
            <w:tcW w:w="1282" w:type="dxa"/>
          </w:tcPr>
          <w:p w14:paraId="2F6ADB39" w14:textId="1EA2EB1C" w:rsidR="006662A6" w:rsidRDefault="006662A6" w:rsidP="00157CED">
            <w:pPr>
              <w:pStyle w:val="Tabletext"/>
              <w:jc w:val="right"/>
              <w:rPr>
                <w:lang w:eastAsia="en-AU"/>
              </w:rPr>
            </w:pPr>
            <w:r w:rsidRPr="00B61265">
              <w:t>44</w:t>
            </w:r>
          </w:p>
        </w:tc>
      </w:tr>
      <w:tr w:rsidR="006662A6" w14:paraId="6AE78ADB" w14:textId="77777777" w:rsidTr="00157CED">
        <w:trPr>
          <w:cnfStyle w:val="000000010000" w:firstRow="0" w:lastRow="0" w:firstColumn="0" w:lastColumn="0" w:oddVBand="0" w:evenVBand="0" w:oddHBand="0" w:evenHBand="1" w:firstRowFirstColumn="0" w:firstRowLastColumn="0" w:lastRowFirstColumn="0" w:lastRowLastColumn="0"/>
          <w:trHeight w:val="383"/>
        </w:trPr>
        <w:tc>
          <w:tcPr>
            <w:tcW w:w="1278" w:type="dxa"/>
          </w:tcPr>
          <w:p w14:paraId="1DB9888F" w14:textId="3BC2735E" w:rsidR="006662A6" w:rsidRDefault="006662A6" w:rsidP="00C42429">
            <w:pPr>
              <w:pStyle w:val="Tabletext"/>
              <w:rPr>
                <w:lang w:eastAsia="en-AU"/>
              </w:rPr>
            </w:pPr>
            <w:r>
              <w:rPr>
                <w:lang w:eastAsia="en-AU"/>
              </w:rPr>
              <w:t>Hydro</w:t>
            </w:r>
          </w:p>
        </w:tc>
        <w:tc>
          <w:tcPr>
            <w:tcW w:w="1281" w:type="dxa"/>
          </w:tcPr>
          <w:p w14:paraId="75C93A05" w14:textId="20147EEC" w:rsidR="006662A6" w:rsidRPr="00B61265" w:rsidRDefault="006662A6" w:rsidP="00157CED">
            <w:pPr>
              <w:pStyle w:val="Tabletext"/>
              <w:jc w:val="right"/>
            </w:pPr>
            <w:r w:rsidRPr="00B61265">
              <w:t>45</w:t>
            </w:r>
          </w:p>
        </w:tc>
        <w:tc>
          <w:tcPr>
            <w:tcW w:w="1281" w:type="dxa"/>
          </w:tcPr>
          <w:p w14:paraId="71B88A9F" w14:textId="7452E013" w:rsidR="006662A6" w:rsidRDefault="006662A6" w:rsidP="00157CED">
            <w:pPr>
              <w:pStyle w:val="Tabletext"/>
              <w:jc w:val="right"/>
              <w:rPr>
                <w:lang w:eastAsia="en-AU"/>
              </w:rPr>
            </w:pPr>
            <w:r w:rsidRPr="00B61265">
              <w:t>51</w:t>
            </w:r>
          </w:p>
        </w:tc>
        <w:tc>
          <w:tcPr>
            <w:tcW w:w="1282" w:type="dxa"/>
          </w:tcPr>
          <w:p w14:paraId="2D847AB0" w14:textId="6DF65880" w:rsidR="006662A6" w:rsidRDefault="006662A6" w:rsidP="00157CED">
            <w:pPr>
              <w:pStyle w:val="Tabletext"/>
              <w:jc w:val="right"/>
              <w:rPr>
                <w:lang w:eastAsia="en-AU"/>
              </w:rPr>
            </w:pPr>
            <w:r w:rsidRPr="00B61265">
              <w:t>63</w:t>
            </w:r>
          </w:p>
        </w:tc>
        <w:tc>
          <w:tcPr>
            <w:tcW w:w="1282" w:type="dxa"/>
          </w:tcPr>
          <w:p w14:paraId="5E54EFEA" w14:textId="1AB371B2" w:rsidR="006662A6" w:rsidRDefault="006662A6" w:rsidP="00157CED">
            <w:pPr>
              <w:pStyle w:val="Tabletext"/>
              <w:jc w:val="right"/>
              <w:rPr>
                <w:lang w:eastAsia="en-AU"/>
              </w:rPr>
            </w:pPr>
            <w:r w:rsidRPr="00B61265">
              <w:t>13</w:t>
            </w:r>
          </w:p>
        </w:tc>
        <w:tc>
          <w:tcPr>
            <w:tcW w:w="1282" w:type="dxa"/>
          </w:tcPr>
          <w:p w14:paraId="796253FE" w14:textId="102A78AD" w:rsidR="006662A6" w:rsidRDefault="006662A6" w:rsidP="00157CED">
            <w:pPr>
              <w:pStyle w:val="Tabletext"/>
              <w:jc w:val="right"/>
              <w:rPr>
                <w:lang w:eastAsia="en-AU"/>
              </w:rPr>
            </w:pPr>
            <w:r w:rsidRPr="00B61265">
              <w:t>11</w:t>
            </w:r>
          </w:p>
        </w:tc>
        <w:tc>
          <w:tcPr>
            <w:tcW w:w="1282" w:type="dxa"/>
          </w:tcPr>
          <w:p w14:paraId="4FAAEA33" w14:textId="4A21BF2F" w:rsidR="006662A6" w:rsidRDefault="006662A6" w:rsidP="00157CED">
            <w:pPr>
              <w:pStyle w:val="Tabletext"/>
              <w:jc w:val="right"/>
              <w:rPr>
                <w:lang w:eastAsia="en-AU"/>
              </w:rPr>
            </w:pPr>
            <w:r w:rsidRPr="00B61265">
              <w:t>10</w:t>
            </w:r>
          </w:p>
        </w:tc>
      </w:tr>
      <w:tr w:rsidR="006662A6" w14:paraId="12D62D0D" w14:textId="77777777" w:rsidTr="00157CED">
        <w:trPr>
          <w:cnfStyle w:val="000000100000" w:firstRow="0" w:lastRow="0" w:firstColumn="0" w:lastColumn="0" w:oddVBand="0" w:evenVBand="0" w:oddHBand="1" w:evenHBand="0" w:firstRowFirstColumn="0" w:firstRowLastColumn="0" w:lastRowFirstColumn="0" w:lastRowLastColumn="0"/>
          <w:trHeight w:val="383"/>
        </w:trPr>
        <w:tc>
          <w:tcPr>
            <w:tcW w:w="1278" w:type="dxa"/>
          </w:tcPr>
          <w:p w14:paraId="34C23341" w14:textId="011E8201" w:rsidR="006662A6" w:rsidRDefault="006662A6" w:rsidP="00C42429">
            <w:pPr>
              <w:pStyle w:val="Tabletext"/>
              <w:rPr>
                <w:lang w:eastAsia="en-AU"/>
              </w:rPr>
            </w:pPr>
            <w:r>
              <w:rPr>
                <w:lang w:eastAsia="en-AU"/>
              </w:rPr>
              <w:t>Gas</w:t>
            </w:r>
          </w:p>
        </w:tc>
        <w:tc>
          <w:tcPr>
            <w:tcW w:w="1281" w:type="dxa"/>
          </w:tcPr>
          <w:p w14:paraId="0A45263C" w14:textId="03F4B6FF" w:rsidR="006662A6" w:rsidRPr="00B61265" w:rsidRDefault="006662A6" w:rsidP="00157CED">
            <w:pPr>
              <w:pStyle w:val="Tabletext"/>
              <w:jc w:val="right"/>
            </w:pPr>
            <w:r w:rsidRPr="00B61265">
              <w:t>25</w:t>
            </w:r>
          </w:p>
        </w:tc>
        <w:tc>
          <w:tcPr>
            <w:tcW w:w="1281" w:type="dxa"/>
          </w:tcPr>
          <w:p w14:paraId="1935219A" w14:textId="1934E493" w:rsidR="006662A6" w:rsidRDefault="006662A6" w:rsidP="00157CED">
            <w:pPr>
              <w:pStyle w:val="Tabletext"/>
              <w:jc w:val="right"/>
              <w:rPr>
                <w:lang w:eastAsia="en-AU"/>
              </w:rPr>
            </w:pPr>
            <w:r w:rsidRPr="00B61265">
              <w:t>26</w:t>
            </w:r>
          </w:p>
        </w:tc>
        <w:tc>
          <w:tcPr>
            <w:tcW w:w="1282" w:type="dxa"/>
          </w:tcPr>
          <w:p w14:paraId="2656D462" w14:textId="12A78F60" w:rsidR="006662A6" w:rsidRDefault="006662A6" w:rsidP="00157CED">
            <w:pPr>
              <w:pStyle w:val="Tabletext"/>
              <w:jc w:val="right"/>
              <w:rPr>
                <w:lang w:eastAsia="en-AU"/>
              </w:rPr>
            </w:pPr>
            <w:r w:rsidRPr="00B61265">
              <w:t>26</w:t>
            </w:r>
          </w:p>
        </w:tc>
        <w:tc>
          <w:tcPr>
            <w:tcW w:w="1282" w:type="dxa"/>
          </w:tcPr>
          <w:p w14:paraId="6C1E795C" w14:textId="082EA724" w:rsidR="006662A6" w:rsidRDefault="006662A6" w:rsidP="00157CED">
            <w:pPr>
              <w:pStyle w:val="Tabletext"/>
              <w:jc w:val="right"/>
              <w:rPr>
                <w:lang w:eastAsia="en-AU"/>
              </w:rPr>
            </w:pPr>
            <w:r w:rsidRPr="00B61265">
              <w:t>7</w:t>
            </w:r>
          </w:p>
        </w:tc>
        <w:tc>
          <w:tcPr>
            <w:tcW w:w="1282" w:type="dxa"/>
          </w:tcPr>
          <w:p w14:paraId="64270DD3" w14:textId="18A0DFB5" w:rsidR="006662A6" w:rsidRDefault="006662A6" w:rsidP="00157CED">
            <w:pPr>
              <w:pStyle w:val="Tabletext"/>
              <w:jc w:val="right"/>
              <w:rPr>
                <w:lang w:eastAsia="en-AU"/>
              </w:rPr>
            </w:pPr>
            <w:r w:rsidRPr="00B61265">
              <w:t>5</w:t>
            </w:r>
          </w:p>
        </w:tc>
        <w:tc>
          <w:tcPr>
            <w:tcW w:w="1282" w:type="dxa"/>
          </w:tcPr>
          <w:p w14:paraId="68229C61" w14:textId="5F3022D4" w:rsidR="006662A6" w:rsidRDefault="006662A6" w:rsidP="00157CED">
            <w:pPr>
              <w:pStyle w:val="Tabletext"/>
              <w:jc w:val="right"/>
              <w:rPr>
                <w:lang w:eastAsia="en-AU"/>
              </w:rPr>
            </w:pPr>
            <w:r w:rsidRPr="00B61265">
              <w:t>4</w:t>
            </w:r>
          </w:p>
        </w:tc>
      </w:tr>
      <w:tr w:rsidR="006662A6" w14:paraId="468AF96B" w14:textId="77777777" w:rsidTr="00157CED">
        <w:trPr>
          <w:cnfStyle w:val="000000010000" w:firstRow="0" w:lastRow="0" w:firstColumn="0" w:lastColumn="0" w:oddVBand="0" w:evenVBand="0" w:oddHBand="0" w:evenHBand="1" w:firstRowFirstColumn="0" w:firstRowLastColumn="0" w:lastRowFirstColumn="0" w:lastRowLastColumn="0"/>
          <w:trHeight w:val="383"/>
        </w:trPr>
        <w:tc>
          <w:tcPr>
            <w:tcW w:w="1278" w:type="dxa"/>
          </w:tcPr>
          <w:p w14:paraId="1D20695E" w14:textId="45ADF57A" w:rsidR="006662A6" w:rsidRDefault="006662A6" w:rsidP="00C42429">
            <w:pPr>
              <w:pStyle w:val="Tabletext"/>
              <w:rPr>
                <w:lang w:eastAsia="en-AU"/>
              </w:rPr>
            </w:pPr>
            <w:r>
              <w:rPr>
                <w:lang w:eastAsia="en-AU"/>
              </w:rPr>
              <w:t>Nuclear</w:t>
            </w:r>
          </w:p>
        </w:tc>
        <w:tc>
          <w:tcPr>
            <w:tcW w:w="1281" w:type="dxa"/>
          </w:tcPr>
          <w:p w14:paraId="20B8AE84" w14:textId="3F42A9A4" w:rsidR="006662A6" w:rsidRPr="00B61265" w:rsidRDefault="006662A6" w:rsidP="00157CED">
            <w:pPr>
              <w:pStyle w:val="Tabletext"/>
              <w:jc w:val="right"/>
            </w:pPr>
            <w:r w:rsidRPr="00B61265">
              <w:t>7</w:t>
            </w:r>
          </w:p>
        </w:tc>
        <w:tc>
          <w:tcPr>
            <w:tcW w:w="1281" w:type="dxa"/>
          </w:tcPr>
          <w:p w14:paraId="7F76EDA6" w14:textId="012CCB75" w:rsidR="006662A6" w:rsidRDefault="006662A6" w:rsidP="00157CED">
            <w:pPr>
              <w:pStyle w:val="Tabletext"/>
              <w:jc w:val="right"/>
              <w:rPr>
                <w:lang w:eastAsia="en-AU"/>
              </w:rPr>
            </w:pPr>
            <w:r w:rsidRPr="00B61265">
              <w:t>10</w:t>
            </w:r>
          </w:p>
        </w:tc>
        <w:tc>
          <w:tcPr>
            <w:tcW w:w="1282" w:type="dxa"/>
          </w:tcPr>
          <w:p w14:paraId="1087E37B" w14:textId="65D4B707" w:rsidR="006662A6" w:rsidRDefault="006662A6" w:rsidP="00157CED">
            <w:pPr>
              <w:pStyle w:val="Tabletext"/>
              <w:jc w:val="right"/>
              <w:rPr>
                <w:lang w:eastAsia="en-AU"/>
              </w:rPr>
            </w:pPr>
            <w:r w:rsidRPr="00B61265">
              <w:t>17</w:t>
            </w:r>
          </w:p>
        </w:tc>
        <w:tc>
          <w:tcPr>
            <w:tcW w:w="1282" w:type="dxa"/>
          </w:tcPr>
          <w:p w14:paraId="482EA7FF" w14:textId="0821461A" w:rsidR="006662A6" w:rsidRDefault="006662A6" w:rsidP="00157CED">
            <w:pPr>
              <w:pStyle w:val="Tabletext"/>
              <w:jc w:val="right"/>
              <w:rPr>
                <w:lang w:eastAsia="en-AU"/>
              </w:rPr>
            </w:pPr>
            <w:r w:rsidRPr="00B61265">
              <w:t>2</w:t>
            </w:r>
          </w:p>
        </w:tc>
        <w:tc>
          <w:tcPr>
            <w:tcW w:w="1282" w:type="dxa"/>
          </w:tcPr>
          <w:p w14:paraId="3F3C963B" w14:textId="1510CC57" w:rsidR="006662A6" w:rsidRDefault="006662A6" w:rsidP="00157CED">
            <w:pPr>
              <w:pStyle w:val="Tabletext"/>
              <w:jc w:val="right"/>
              <w:rPr>
                <w:lang w:eastAsia="en-AU"/>
              </w:rPr>
            </w:pPr>
            <w:r w:rsidRPr="00B61265">
              <w:t>2</w:t>
            </w:r>
          </w:p>
        </w:tc>
        <w:tc>
          <w:tcPr>
            <w:tcW w:w="1282" w:type="dxa"/>
          </w:tcPr>
          <w:p w14:paraId="40EFB1F6" w14:textId="692FD8B7" w:rsidR="006662A6" w:rsidRDefault="006662A6" w:rsidP="00157CED">
            <w:pPr>
              <w:pStyle w:val="Tabletext"/>
              <w:jc w:val="right"/>
              <w:rPr>
                <w:lang w:eastAsia="en-AU"/>
              </w:rPr>
            </w:pPr>
            <w:r w:rsidRPr="00B61265">
              <w:t>3</w:t>
            </w:r>
          </w:p>
        </w:tc>
      </w:tr>
      <w:tr w:rsidR="006662A6" w14:paraId="677304AD" w14:textId="77777777" w:rsidTr="00157CED">
        <w:trPr>
          <w:cnfStyle w:val="000000100000" w:firstRow="0" w:lastRow="0" w:firstColumn="0" w:lastColumn="0" w:oddVBand="0" w:evenVBand="0" w:oddHBand="1" w:evenHBand="0" w:firstRowFirstColumn="0" w:firstRowLastColumn="0" w:lastRowFirstColumn="0" w:lastRowLastColumn="0"/>
          <w:trHeight w:val="383"/>
        </w:trPr>
        <w:tc>
          <w:tcPr>
            <w:tcW w:w="1278" w:type="dxa"/>
          </w:tcPr>
          <w:p w14:paraId="046D11AE" w14:textId="56A9C067" w:rsidR="006662A6" w:rsidRDefault="006662A6" w:rsidP="00C42429">
            <w:pPr>
              <w:pStyle w:val="Tabletext"/>
              <w:rPr>
                <w:lang w:eastAsia="en-AU"/>
              </w:rPr>
            </w:pPr>
            <w:r>
              <w:rPr>
                <w:lang w:eastAsia="en-AU"/>
              </w:rPr>
              <w:t>Total</w:t>
            </w:r>
          </w:p>
        </w:tc>
        <w:tc>
          <w:tcPr>
            <w:tcW w:w="1281" w:type="dxa"/>
          </w:tcPr>
          <w:p w14:paraId="0071EC78" w14:textId="43945EF7" w:rsidR="006662A6" w:rsidRPr="00B61265" w:rsidRDefault="006662A6" w:rsidP="00157CED">
            <w:pPr>
              <w:pStyle w:val="Tabletext"/>
              <w:jc w:val="right"/>
            </w:pPr>
            <w:r w:rsidRPr="00B53569">
              <w:t>358</w:t>
            </w:r>
          </w:p>
        </w:tc>
        <w:tc>
          <w:tcPr>
            <w:tcW w:w="1281" w:type="dxa"/>
          </w:tcPr>
          <w:p w14:paraId="674BE9CB" w14:textId="3E5C426E" w:rsidR="006662A6" w:rsidRDefault="006662A6" w:rsidP="00157CED">
            <w:pPr>
              <w:pStyle w:val="Tabletext"/>
              <w:jc w:val="right"/>
              <w:rPr>
                <w:lang w:eastAsia="en-AU"/>
              </w:rPr>
            </w:pPr>
            <w:r w:rsidRPr="00B61265">
              <w:t>479</w:t>
            </w:r>
          </w:p>
        </w:tc>
        <w:tc>
          <w:tcPr>
            <w:tcW w:w="1282" w:type="dxa"/>
          </w:tcPr>
          <w:p w14:paraId="665509AE" w14:textId="1DB59E83" w:rsidR="006662A6" w:rsidRDefault="006662A6" w:rsidP="00157CED">
            <w:pPr>
              <w:pStyle w:val="Tabletext"/>
              <w:jc w:val="right"/>
              <w:rPr>
                <w:lang w:eastAsia="en-AU"/>
              </w:rPr>
            </w:pPr>
            <w:r w:rsidRPr="00B61265">
              <w:t>619</w:t>
            </w:r>
          </w:p>
        </w:tc>
        <w:tc>
          <w:tcPr>
            <w:tcW w:w="1282" w:type="dxa"/>
          </w:tcPr>
          <w:p w14:paraId="6761387E" w14:textId="11B61E4B" w:rsidR="006662A6" w:rsidRDefault="006662A6" w:rsidP="00157CED">
            <w:pPr>
              <w:pStyle w:val="Tabletext"/>
              <w:jc w:val="right"/>
              <w:rPr>
                <w:lang w:eastAsia="en-AU"/>
              </w:rPr>
            </w:pPr>
            <w:r w:rsidRPr="00B61265">
              <w:t>100</w:t>
            </w:r>
          </w:p>
        </w:tc>
        <w:tc>
          <w:tcPr>
            <w:tcW w:w="1282" w:type="dxa"/>
          </w:tcPr>
          <w:p w14:paraId="72B16314" w14:textId="406FF3EE" w:rsidR="006662A6" w:rsidRDefault="006662A6" w:rsidP="00157CED">
            <w:pPr>
              <w:pStyle w:val="Tabletext"/>
              <w:jc w:val="right"/>
              <w:rPr>
                <w:lang w:eastAsia="en-AU"/>
              </w:rPr>
            </w:pPr>
            <w:r w:rsidRPr="00B61265">
              <w:t>100</w:t>
            </w:r>
          </w:p>
        </w:tc>
        <w:tc>
          <w:tcPr>
            <w:tcW w:w="1282" w:type="dxa"/>
          </w:tcPr>
          <w:p w14:paraId="17C12346" w14:textId="383BB610" w:rsidR="006662A6" w:rsidRDefault="006662A6" w:rsidP="00157CED">
            <w:pPr>
              <w:pStyle w:val="Tabletext"/>
              <w:jc w:val="right"/>
              <w:rPr>
                <w:lang w:eastAsia="en-AU"/>
              </w:rPr>
            </w:pPr>
            <w:r w:rsidRPr="00B61265">
              <w:t>100</w:t>
            </w:r>
          </w:p>
        </w:tc>
      </w:tr>
    </w:tbl>
    <w:p w14:paraId="4FC6D5B7" w14:textId="1BDFCBB9" w:rsidR="006662A6" w:rsidRDefault="006662A6" w:rsidP="00B12D7D">
      <w:pPr>
        <w:pStyle w:val="Note"/>
        <w:spacing w:before="0" w:after="0" w:line="240" w:lineRule="auto"/>
        <w:jc w:val="left"/>
        <w:rPr>
          <w:lang w:eastAsia="en-AU"/>
        </w:rPr>
      </w:pPr>
      <w:r>
        <w:rPr>
          <w:lang w:eastAsia="en-AU"/>
        </w:rPr>
        <w:t xml:space="preserve">Notes: Hydro refers to large-scale hydro. Coal includes thermal and lignite. Diesel is not included. Installed capacity figures are year ended March. According to the NEP, coal-fired capacity in 2017–18 was 192 GW and </w:t>
      </w:r>
      <w:r w:rsidR="0012223C">
        <w:rPr>
          <w:lang w:eastAsia="en-AU"/>
        </w:rPr>
        <w:t xml:space="preserve">is </w:t>
      </w:r>
      <w:r>
        <w:rPr>
          <w:lang w:eastAsia="en-AU"/>
        </w:rPr>
        <w:t>expected to increase to 238 GW in 2026–27, driven by 48 GW of capacity already under construction and new capacity additions of 46 GW between 2022–23 and 2026–27, less retirements of 48 GW of capacity.</w:t>
      </w:r>
    </w:p>
    <w:p w14:paraId="1A01A586" w14:textId="61EF049C" w:rsidR="006662A6" w:rsidRDefault="006662A6" w:rsidP="00B12D7D">
      <w:pPr>
        <w:pStyle w:val="Source"/>
        <w:spacing w:before="0" w:after="0" w:line="240" w:lineRule="auto"/>
        <w:jc w:val="left"/>
        <w:rPr>
          <w:lang w:eastAsia="en-AU"/>
        </w:rPr>
      </w:pPr>
      <w:r>
        <w:rPr>
          <w:lang w:eastAsia="en-AU"/>
        </w:rPr>
        <w:t>Source: Central Electricity Authority (2018) National Electricity Plan; Central Electricity Authority (2019) Monthly Reports Executive Summaries</w:t>
      </w:r>
    </w:p>
    <w:p w14:paraId="273331DD" w14:textId="0F1D4AD8" w:rsidR="006662A6" w:rsidRDefault="006662A6" w:rsidP="007364F7">
      <w:pPr>
        <w:pStyle w:val="BodyText"/>
        <w:spacing w:before="120"/>
        <w:rPr>
          <w:rFonts w:cs="Arial"/>
          <w:color w:val="2D2D2D"/>
          <w:lang w:val="en"/>
        </w:rPr>
      </w:pPr>
      <w:r>
        <w:rPr>
          <w:rFonts w:cs="Arial"/>
          <w:color w:val="2D2D2D"/>
          <w:lang w:val="en"/>
        </w:rPr>
        <w:t>In the July 2019 Union Budget speech, the Indian finance minister reaffirmed the government’s commitment to the ‘One Nation, One Grid’ model for the electricity sector.</w:t>
      </w:r>
      <w:r>
        <w:rPr>
          <w:rStyle w:val="EndnoteReference"/>
          <w:rFonts w:cs="Arial"/>
          <w:color w:val="2D2D2D"/>
          <w:lang w:val="en"/>
        </w:rPr>
        <w:endnoteReference w:id="33"/>
      </w:r>
      <w:r>
        <w:rPr>
          <w:rFonts w:cs="Arial"/>
          <w:color w:val="2D2D2D"/>
          <w:lang w:val="en"/>
        </w:rPr>
        <w:t xml:space="preserve"> One Nation, One Grid involves the integration of India’s five regional grids, a plan that was first conceptualised in the early 1990s, and one that remains ongoing.</w:t>
      </w:r>
      <w:r>
        <w:rPr>
          <w:rStyle w:val="EndnoteReference"/>
          <w:rFonts w:cs="Arial"/>
          <w:color w:val="2D2D2D"/>
          <w:lang w:val="en"/>
        </w:rPr>
        <w:endnoteReference w:id="34"/>
      </w:r>
    </w:p>
    <w:p w14:paraId="720CA79A" w14:textId="257658A3" w:rsidR="006662A6" w:rsidRDefault="006662A6" w:rsidP="00310698">
      <w:pPr>
        <w:pStyle w:val="Heading2"/>
      </w:pPr>
      <w:bookmarkStart w:id="86" w:name="_Toc15641163"/>
      <w:bookmarkStart w:id="87" w:name="_Toc15645851"/>
      <w:bookmarkStart w:id="88" w:name="_Toc16247583"/>
      <w:bookmarkStart w:id="89" w:name="_Toc16250046"/>
      <w:bookmarkStart w:id="90" w:name="_Toc16256901"/>
      <w:bookmarkStart w:id="91" w:name="_Toc17210776"/>
      <w:r>
        <w:t>Climate change, renewables</w:t>
      </w:r>
      <w:bookmarkEnd w:id="86"/>
      <w:bookmarkEnd w:id="87"/>
      <w:r>
        <w:t xml:space="preserve"> and air pollution</w:t>
      </w:r>
      <w:bookmarkEnd w:id="88"/>
      <w:bookmarkEnd w:id="89"/>
      <w:bookmarkEnd w:id="90"/>
      <w:bookmarkEnd w:id="91"/>
    </w:p>
    <w:p w14:paraId="7184A398" w14:textId="62C3BC9F" w:rsidR="006662A6" w:rsidRDefault="006662A6" w:rsidP="00464430">
      <w:pPr>
        <w:pStyle w:val="Heading3"/>
        <w:rPr>
          <w:lang w:val="en"/>
        </w:rPr>
      </w:pPr>
      <w:r>
        <w:rPr>
          <w:lang w:val="en"/>
        </w:rPr>
        <w:t>Nationally Determined Contribution</w:t>
      </w:r>
    </w:p>
    <w:p w14:paraId="584A6959" w14:textId="25791066" w:rsidR="006662A6" w:rsidRDefault="006662A6" w:rsidP="00310698">
      <w:pPr>
        <w:pStyle w:val="BodyText"/>
        <w:rPr>
          <w:rFonts w:cs="Arial"/>
          <w:color w:val="2D2D2D"/>
          <w:lang w:val="en"/>
        </w:rPr>
      </w:pPr>
      <w:r>
        <w:rPr>
          <w:rFonts w:cs="Arial"/>
          <w:color w:val="2D2D2D"/>
          <w:lang w:val="en"/>
        </w:rPr>
        <w:t>India’s Nationally Determined Contribution (NDC) under the Paris Agreement includes a target to reduce the emissions intensity of its GDP by 33-35 per cent from 2005 levels by 2030.</w:t>
      </w:r>
      <w:r>
        <w:rPr>
          <w:rStyle w:val="EndnoteReference"/>
          <w:rFonts w:cs="Arial"/>
          <w:color w:val="2D2D2D"/>
          <w:lang w:val="en"/>
        </w:rPr>
        <w:endnoteReference w:id="35"/>
      </w:r>
      <w:r>
        <w:rPr>
          <w:rFonts w:cs="Arial"/>
          <w:color w:val="2D2D2D"/>
          <w:lang w:val="en"/>
        </w:rPr>
        <w:t xml:space="preserve"> India could meet this target by reducing the amount of energy used per unit of GDP, or by reducing the carbon content of the energy it uses. However, the nature of the target means that, even if it is met, carbon emissions may continue to rise.</w:t>
      </w:r>
    </w:p>
    <w:p w14:paraId="5CA80E89" w14:textId="7639037A" w:rsidR="006662A6" w:rsidRDefault="006662A6" w:rsidP="00C10944">
      <w:pPr>
        <w:pStyle w:val="BodyText"/>
        <w:rPr>
          <w:rFonts w:cs="Arial"/>
          <w:color w:val="2D2D2D"/>
          <w:lang w:val="en"/>
        </w:rPr>
      </w:pPr>
      <w:r>
        <w:rPr>
          <w:rFonts w:cs="Arial"/>
          <w:color w:val="2D2D2D"/>
          <w:lang w:val="en"/>
        </w:rPr>
        <w:t>Under its NDC, India will aim to increase the share of non-fossil fuel based capacity in the electricity mix to over 40 per cent by 2030.</w:t>
      </w:r>
      <w:r>
        <w:rPr>
          <w:rStyle w:val="EndnoteReference"/>
          <w:rFonts w:cs="Arial"/>
          <w:color w:val="2D2D2D"/>
          <w:lang w:val="en"/>
        </w:rPr>
        <w:endnoteReference w:id="36"/>
      </w:r>
      <w:r>
        <w:rPr>
          <w:rFonts w:cs="Arial"/>
          <w:color w:val="2D2D2D"/>
          <w:lang w:val="en"/>
        </w:rPr>
        <w:t xml:space="preserve"> In the shorter term, India has set itself a target of 175 GW of installed renewable energy capacity by 2022 (excluding large-scale hydro): its 2022 target is for 100 GW for solar, 60 GW of wind, 10 GW of biomass and 5 GW of small-scale hydro.</w:t>
      </w:r>
      <w:r>
        <w:rPr>
          <w:rStyle w:val="EndnoteReference"/>
          <w:rFonts w:cs="Arial"/>
          <w:color w:val="2D2D2D"/>
          <w:lang w:val="en"/>
        </w:rPr>
        <w:endnoteReference w:id="37"/>
      </w:r>
    </w:p>
    <w:p w14:paraId="7390031D" w14:textId="4F49E804" w:rsidR="006662A6" w:rsidRDefault="006662A6" w:rsidP="009E013D">
      <w:pPr>
        <w:pStyle w:val="Heading3"/>
        <w:rPr>
          <w:lang w:val="en"/>
        </w:rPr>
      </w:pPr>
      <w:r>
        <w:rPr>
          <w:lang w:val="en"/>
        </w:rPr>
        <w:t>Recently announced targets and policies</w:t>
      </w:r>
    </w:p>
    <w:p w14:paraId="41E487BC" w14:textId="6F534323" w:rsidR="006662A6" w:rsidRDefault="006662A6" w:rsidP="00C10944">
      <w:pPr>
        <w:pStyle w:val="BodyText"/>
        <w:rPr>
          <w:rFonts w:cs="Arial"/>
          <w:color w:val="2D2D2D"/>
          <w:lang w:val="en"/>
        </w:rPr>
      </w:pPr>
      <w:r>
        <w:rPr>
          <w:rFonts w:cs="Arial"/>
          <w:color w:val="2D2D2D"/>
          <w:lang w:val="en"/>
        </w:rPr>
        <w:t>In mid-2018, the Indian Government announced plans to increase renewable energy capacity to 227 GW by March 2022, a significantly more ambitious target than the 175 GW set out in its NDC and in the  January 2018 National Electricity Plan.</w:t>
      </w:r>
      <w:r>
        <w:rPr>
          <w:rStyle w:val="EndnoteReference"/>
          <w:rFonts w:cs="Arial"/>
          <w:color w:val="2D2D2D"/>
          <w:lang w:val="en"/>
        </w:rPr>
        <w:endnoteReference w:id="38"/>
      </w:r>
    </w:p>
    <w:p w14:paraId="2BB7CCA2" w14:textId="77777777" w:rsidR="006662A6" w:rsidRDefault="006662A6" w:rsidP="0025527A">
      <w:pPr>
        <w:pStyle w:val="BodyText"/>
        <w:rPr>
          <w:rFonts w:cs="Arial"/>
          <w:color w:val="2D2D2D"/>
          <w:lang w:val="en"/>
        </w:rPr>
      </w:pPr>
      <w:r>
        <w:rPr>
          <w:rFonts w:cs="Arial"/>
          <w:color w:val="2D2D2D"/>
          <w:lang w:val="en"/>
        </w:rPr>
        <w:t>In January 2019, the Secretary of the Ministry of New and Renewable Energy announced plans to lift installed renewable energy capacity (excluding large-scale hydro) to 500 GW in 2028, up from 79 GW in June 2019.</w:t>
      </w:r>
      <w:r>
        <w:rPr>
          <w:rStyle w:val="EndnoteReference"/>
          <w:rFonts w:cs="Arial"/>
          <w:color w:val="2D2D2D"/>
          <w:lang w:val="en"/>
        </w:rPr>
        <w:endnoteReference w:id="39"/>
      </w:r>
      <w:r>
        <w:rPr>
          <w:rFonts w:cs="Arial"/>
          <w:color w:val="2D2D2D"/>
          <w:lang w:val="en"/>
        </w:rPr>
        <w:t xml:space="preserve"> Solar is expected to drive the bulk of the expansion in renewable capacity. The target is divided into 350 GW of solar, 140 GW of wind and 10 GW of other technologies, and excludes large-scale hydro.</w:t>
      </w:r>
      <w:r>
        <w:rPr>
          <w:rStyle w:val="EndnoteReference"/>
          <w:rFonts w:cs="Arial"/>
          <w:color w:val="2D2D2D"/>
          <w:lang w:val="en"/>
        </w:rPr>
        <w:endnoteReference w:id="40"/>
      </w:r>
      <w:r>
        <w:rPr>
          <w:rFonts w:cs="Arial"/>
          <w:color w:val="2D2D2D"/>
          <w:lang w:val="en"/>
        </w:rPr>
        <w:t xml:space="preserve"> </w:t>
      </w:r>
    </w:p>
    <w:p w14:paraId="5E2128B7" w14:textId="73554E6D" w:rsidR="006662A6" w:rsidRDefault="006662A6" w:rsidP="0025527A">
      <w:pPr>
        <w:pStyle w:val="BodyText"/>
        <w:rPr>
          <w:rFonts w:cs="Arial"/>
          <w:color w:val="2D2D2D"/>
          <w:lang w:val="en"/>
        </w:rPr>
      </w:pPr>
      <w:r>
        <w:rPr>
          <w:rFonts w:cs="Arial"/>
          <w:color w:val="2D2D2D"/>
          <w:lang w:val="en"/>
        </w:rPr>
        <w:t>The target aligns most closely with the IEA’s Sustainable Development Scenario (discussed below), which envisages almost 530 GW of installed renewable capacity in 2030 (excluding hydro). Achieving the target would likely see renewable installed capacity climb to around 60 per cent of India’s total generation capacity, well in excess of the 2040 target specified in India’s NDC. A target of 500 GW would represent a significant increase on the projection from the January 2018 national electricity plan for 275 GW of installed renewable capacity in 2026–27 (discussed in the previous section).</w:t>
      </w:r>
    </w:p>
    <w:p w14:paraId="332695EA" w14:textId="075280B0" w:rsidR="006662A6" w:rsidRDefault="006662A6" w:rsidP="00BD7826">
      <w:pPr>
        <w:pStyle w:val="BodyText"/>
        <w:rPr>
          <w:rFonts w:cs="Arial"/>
          <w:color w:val="2D2D2D"/>
          <w:lang w:val="en"/>
        </w:rPr>
      </w:pPr>
      <w:r>
        <w:rPr>
          <w:rFonts w:cs="Arial"/>
          <w:color w:val="2D2D2D"/>
          <w:lang w:val="en"/>
        </w:rPr>
        <w:t>In July 2019, the Indian government committed $5 billion to develop small-scale solar in the agriculture sector, including 10 GW of grid-connected solar plants on farmland and the roll-out of 2.75 million solar water pumps.</w:t>
      </w:r>
      <w:r>
        <w:rPr>
          <w:rStyle w:val="EndnoteReference"/>
          <w:rFonts w:cs="Arial"/>
          <w:color w:val="2D2D2D"/>
          <w:lang w:val="en"/>
        </w:rPr>
        <w:endnoteReference w:id="41"/>
      </w:r>
    </w:p>
    <w:p w14:paraId="58C727E1" w14:textId="3E2667DD" w:rsidR="006662A6" w:rsidRDefault="006662A6" w:rsidP="009E013D">
      <w:pPr>
        <w:pStyle w:val="Heading3"/>
        <w:rPr>
          <w:lang w:val="en"/>
        </w:rPr>
      </w:pPr>
      <w:r>
        <w:rPr>
          <w:lang w:val="en"/>
        </w:rPr>
        <w:t>Challenges to the uptake of renewable generation</w:t>
      </w:r>
    </w:p>
    <w:p w14:paraId="0363B929" w14:textId="34355489" w:rsidR="006662A6" w:rsidRDefault="006662A6" w:rsidP="00C10944">
      <w:pPr>
        <w:pStyle w:val="BodyText"/>
        <w:rPr>
          <w:rFonts w:cs="Arial"/>
          <w:color w:val="2D2D2D"/>
          <w:lang w:val="en"/>
        </w:rPr>
      </w:pPr>
      <w:r>
        <w:rPr>
          <w:rFonts w:cs="Arial"/>
          <w:color w:val="2D2D2D"/>
          <w:lang w:val="en"/>
        </w:rPr>
        <w:t>India will need to overcome significant challenges to achieve its capacity targets for renewable energy generation.</w:t>
      </w:r>
      <w:r>
        <w:rPr>
          <w:rStyle w:val="EndnoteReference"/>
          <w:rFonts w:cs="Arial"/>
          <w:color w:val="2D2D2D"/>
          <w:lang w:val="en"/>
        </w:rPr>
        <w:endnoteReference w:id="42"/>
      </w:r>
      <w:r>
        <w:rPr>
          <w:rFonts w:cs="Arial"/>
          <w:color w:val="2D2D2D"/>
          <w:lang w:val="en"/>
        </w:rPr>
        <w:t xml:space="preserve"> Some of these challenges relate to cost. As discussed in Chapter 2 (Box 2.1), renewable generation may, in some circumstances, be cheaper than new coal generation, but will struggle to outcompete existing coal power generation. Other challenges are more technical. India, for example, does not currently have sufficient transmission capacity or a sufficiently dynamic transmission system to easily integrate large amounts of renewables into the grid. </w:t>
      </w:r>
    </w:p>
    <w:p w14:paraId="6425861D" w14:textId="3B070718" w:rsidR="006662A6" w:rsidRDefault="006662A6" w:rsidP="00C10944">
      <w:pPr>
        <w:pStyle w:val="BodyText"/>
        <w:rPr>
          <w:rFonts w:cs="Arial"/>
          <w:color w:val="2D2D2D"/>
          <w:lang w:val="en"/>
        </w:rPr>
      </w:pPr>
      <w:r>
        <w:rPr>
          <w:rFonts w:cs="Arial"/>
          <w:color w:val="2D2D2D"/>
          <w:lang w:val="en"/>
        </w:rPr>
        <w:t xml:space="preserve">There are also a wide variety </w:t>
      </w:r>
      <w:r w:rsidR="0012223C">
        <w:rPr>
          <w:rFonts w:cs="Arial"/>
          <w:color w:val="2D2D2D"/>
          <w:lang w:val="en"/>
        </w:rPr>
        <w:t xml:space="preserve">of </w:t>
      </w:r>
      <w:r>
        <w:rPr>
          <w:rFonts w:cs="Arial"/>
          <w:color w:val="2D2D2D"/>
          <w:lang w:val="en"/>
        </w:rPr>
        <w:t>political factors to consider. The central government in India cannot require the states to align their renewable purchase obligations with national targets, and how states respond to national targets varies substantially.</w:t>
      </w:r>
      <w:r>
        <w:rPr>
          <w:rStyle w:val="EndnoteReference"/>
          <w:rFonts w:cs="Arial"/>
          <w:color w:val="2D2D2D"/>
          <w:lang w:val="en"/>
        </w:rPr>
        <w:endnoteReference w:id="43"/>
      </w:r>
      <w:r>
        <w:rPr>
          <w:rFonts w:cs="Arial"/>
          <w:color w:val="2D2D2D"/>
          <w:lang w:val="en"/>
        </w:rPr>
        <w:t xml:space="preserve"> Recently, the renewable energy industry has found itself under pressure from the state government in Andhra Pradesh, which has sought to cancel PPAs with wind-power projects, and has asked renewable energy firms to reduce prices on previously agreed contracts and cut their grid contributions.</w:t>
      </w:r>
      <w:r>
        <w:rPr>
          <w:rStyle w:val="EndnoteReference"/>
          <w:rFonts w:cs="Arial"/>
          <w:color w:val="2D2D2D"/>
          <w:lang w:val="en"/>
        </w:rPr>
        <w:endnoteReference w:id="44"/>
      </w:r>
      <w:r w:rsidRPr="00AE6C9F">
        <w:rPr>
          <w:rFonts w:cs="Arial"/>
          <w:color w:val="2D2D2D"/>
          <w:lang w:val="en"/>
        </w:rPr>
        <w:t xml:space="preserve"> </w:t>
      </w:r>
      <w:r>
        <w:rPr>
          <w:rFonts w:cs="Arial"/>
          <w:color w:val="2D2D2D"/>
          <w:lang w:val="en"/>
        </w:rPr>
        <w:t>Any efforts to reduce coal consumption could also be resisted by coal-producing regions, and would have significant implications for railways, which are the largest civilian employers in India.</w:t>
      </w:r>
    </w:p>
    <w:p w14:paraId="0780BBEE" w14:textId="0E96EA91" w:rsidR="006662A6" w:rsidRDefault="006662A6" w:rsidP="00C10944">
      <w:pPr>
        <w:pStyle w:val="BodyText"/>
        <w:rPr>
          <w:rFonts w:cs="Arial"/>
          <w:color w:val="2D2D2D"/>
          <w:lang w:val="en"/>
        </w:rPr>
      </w:pPr>
      <w:r>
        <w:rPr>
          <w:rFonts w:cs="Arial"/>
          <w:color w:val="2D2D2D"/>
          <w:lang w:val="en"/>
        </w:rPr>
        <w:t xml:space="preserve">India’s renewable energy targets are ambitious, and it remains to be seen whether they can be achieved. However, they do signal considerable ambition in expanding renewable energy generation on the part of the central government. </w:t>
      </w:r>
    </w:p>
    <w:p w14:paraId="6D22C491" w14:textId="3ADDEC23" w:rsidR="006662A6" w:rsidRDefault="006662A6" w:rsidP="00773BE7">
      <w:pPr>
        <w:pStyle w:val="Heading3"/>
        <w:rPr>
          <w:lang w:val="en"/>
        </w:rPr>
      </w:pPr>
      <w:r>
        <w:rPr>
          <w:lang w:val="en"/>
        </w:rPr>
        <w:t>Air pollution</w:t>
      </w:r>
    </w:p>
    <w:p w14:paraId="09CDD714" w14:textId="5A7D7426" w:rsidR="006662A6" w:rsidRDefault="006662A6" w:rsidP="00C10944">
      <w:pPr>
        <w:pStyle w:val="BodyText"/>
        <w:rPr>
          <w:rFonts w:cs="Arial"/>
          <w:color w:val="2D2D2D"/>
          <w:lang w:val="en"/>
        </w:rPr>
      </w:pPr>
      <w:r>
        <w:rPr>
          <w:rFonts w:cs="Arial"/>
          <w:color w:val="2D2D2D"/>
          <w:lang w:val="en"/>
        </w:rPr>
        <w:t>In January 2019, India launched its National Clean Air Program (NCAP), which aims to reduce fine particulate matter (PM</w:t>
      </w:r>
      <w:r w:rsidRPr="00021166">
        <w:rPr>
          <w:rFonts w:cs="Arial"/>
          <w:color w:val="2D2D2D"/>
          <w:vertAlign w:val="subscript"/>
          <w:lang w:val="en"/>
        </w:rPr>
        <w:t>2.5</w:t>
      </w:r>
      <w:r>
        <w:rPr>
          <w:rFonts w:cs="Arial"/>
          <w:color w:val="2D2D2D"/>
          <w:lang w:val="en"/>
        </w:rPr>
        <w:t>) and particulate (PM</w:t>
      </w:r>
      <w:r w:rsidRPr="00021166">
        <w:rPr>
          <w:rFonts w:cs="Arial"/>
          <w:color w:val="2D2D2D"/>
          <w:vertAlign w:val="subscript"/>
          <w:lang w:val="en"/>
        </w:rPr>
        <w:t>10</w:t>
      </w:r>
      <w:r>
        <w:rPr>
          <w:rFonts w:cs="Arial"/>
          <w:color w:val="2D2D2D"/>
          <w:lang w:val="en"/>
        </w:rPr>
        <w:t>) air pollution by 20–30 per cent by 2030. In India, exposure to PM</w:t>
      </w:r>
      <w:r w:rsidRPr="00021166">
        <w:rPr>
          <w:rFonts w:cs="Arial"/>
          <w:color w:val="2D2D2D"/>
          <w:vertAlign w:val="subscript"/>
          <w:lang w:val="en"/>
        </w:rPr>
        <w:t>2.5</w:t>
      </w:r>
      <w:r w:rsidRPr="0074131C">
        <w:rPr>
          <w:rFonts w:cs="Arial"/>
          <w:color w:val="2D2D2D"/>
          <w:lang w:val="en"/>
        </w:rPr>
        <w:t xml:space="preserve"> </w:t>
      </w:r>
      <w:r>
        <w:rPr>
          <w:rFonts w:cs="Arial"/>
          <w:color w:val="2D2D2D"/>
          <w:lang w:val="en"/>
        </w:rPr>
        <w:t>contributed to 673,000 deaths and the loss of 21.3 million years of healthy life</w:t>
      </w:r>
      <w:r w:rsidRPr="009B0DA8">
        <w:rPr>
          <w:rFonts w:cs="Arial"/>
          <w:color w:val="2D2D2D"/>
          <w:lang w:val="en"/>
        </w:rPr>
        <w:t xml:space="preserve"> </w:t>
      </w:r>
      <w:r>
        <w:rPr>
          <w:rFonts w:cs="Arial"/>
          <w:color w:val="2D2D2D"/>
          <w:lang w:val="en"/>
        </w:rPr>
        <w:t>in 2017.</w:t>
      </w:r>
      <w:r>
        <w:rPr>
          <w:rStyle w:val="EndnoteReference"/>
          <w:rFonts w:cs="Arial"/>
          <w:color w:val="2D2D2D"/>
          <w:lang w:val="en"/>
        </w:rPr>
        <w:endnoteReference w:id="45"/>
      </w:r>
      <w:r>
        <w:rPr>
          <w:rFonts w:cs="Arial"/>
          <w:color w:val="2D2D2D"/>
          <w:lang w:val="en"/>
        </w:rPr>
        <w:t xml:space="preserve"> The burning of coal is one contributor to PM</w:t>
      </w:r>
      <w:r w:rsidRPr="00021166">
        <w:rPr>
          <w:rFonts w:cs="Arial"/>
          <w:color w:val="2D2D2D"/>
          <w:vertAlign w:val="subscript"/>
          <w:lang w:val="en"/>
        </w:rPr>
        <w:t>2.5</w:t>
      </w:r>
      <w:r>
        <w:rPr>
          <w:rFonts w:cs="Arial"/>
          <w:color w:val="2D2D2D"/>
          <w:lang w:val="en"/>
        </w:rPr>
        <w:t xml:space="preserve"> levels. According to the World Bank, around</w:t>
      </w:r>
      <w:r w:rsidRPr="0074131C">
        <w:rPr>
          <w:rFonts w:cs="Arial"/>
          <w:color w:val="2D2D2D"/>
          <w:lang w:val="en"/>
        </w:rPr>
        <w:t xml:space="preserve"> 7.6 per</w:t>
      </w:r>
      <w:r>
        <w:rPr>
          <w:rFonts w:cs="Arial"/>
          <w:color w:val="2D2D2D"/>
          <w:lang w:val="en"/>
        </w:rPr>
        <w:t xml:space="preserve"> </w:t>
      </w:r>
      <w:r w:rsidRPr="0074131C">
        <w:rPr>
          <w:rFonts w:cs="Arial"/>
          <w:color w:val="2D2D2D"/>
          <w:lang w:val="en"/>
        </w:rPr>
        <w:t xml:space="preserve">cent of </w:t>
      </w:r>
      <w:r>
        <w:rPr>
          <w:rFonts w:cs="Arial"/>
          <w:color w:val="2D2D2D"/>
          <w:lang w:val="en"/>
        </w:rPr>
        <w:t>PM</w:t>
      </w:r>
      <w:r w:rsidRPr="00021166">
        <w:rPr>
          <w:rFonts w:cs="Arial"/>
          <w:color w:val="2D2D2D"/>
          <w:vertAlign w:val="subscript"/>
          <w:lang w:val="en"/>
        </w:rPr>
        <w:t>2.5</w:t>
      </w:r>
      <w:r w:rsidRPr="0074131C">
        <w:rPr>
          <w:rFonts w:cs="Arial"/>
          <w:color w:val="2D2D2D"/>
          <w:lang w:val="en"/>
        </w:rPr>
        <w:t xml:space="preserve"> emissions were attributable t</w:t>
      </w:r>
      <w:r>
        <w:rPr>
          <w:rFonts w:cs="Arial"/>
          <w:color w:val="2D2D2D"/>
          <w:lang w:val="en"/>
        </w:rPr>
        <w:t xml:space="preserve">o power generation and 7.7 percent </w:t>
      </w:r>
      <w:r w:rsidRPr="0074131C">
        <w:rPr>
          <w:rFonts w:cs="Arial"/>
          <w:color w:val="2D2D2D"/>
          <w:lang w:val="en"/>
        </w:rPr>
        <w:t>to industry coal combustion</w:t>
      </w:r>
      <w:r>
        <w:rPr>
          <w:rFonts w:cs="Arial"/>
          <w:color w:val="2D2D2D"/>
          <w:lang w:val="en"/>
        </w:rPr>
        <w:t>.</w:t>
      </w:r>
      <w:r>
        <w:rPr>
          <w:rStyle w:val="EndnoteReference"/>
          <w:rFonts w:cs="Arial"/>
          <w:color w:val="2D2D2D"/>
          <w:lang w:val="en"/>
        </w:rPr>
        <w:endnoteReference w:id="46"/>
      </w:r>
    </w:p>
    <w:p w14:paraId="669D8AB8" w14:textId="1A69AB45" w:rsidR="006662A6" w:rsidRDefault="006662A6" w:rsidP="00701341">
      <w:pPr>
        <w:pStyle w:val="Heading3"/>
        <w:rPr>
          <w:lang w:val="en"/>
        </w:rPr>
      </w:pPr>
      <w:r>
        <w:rPr>
          <w:lang w:val="en"/>
        </w:rPr>
        <w:t>Coal production tax</w:t>
      </w:r>
    </w:p>
    <w:p w14:paraId="11FA33FC" w14:textId="582EC8E8" w:rsidR="006662A6" w:rsidRPr="005F3712" w:rsidRDefault="006662A6" w:rsidP="00C10944">
      <w:pPr>
        <w:pStyle w:val="BodyText"/>
      </w:pPr>
      <w:r>
        <w:t>In the 2010 financial year, India introduced the Clean Environment Cess</w:t>
      </w:r>
      <w:r>
        <w:rPr>
          <w:rStyle w:val="EndnoteReference"/>
        </w:rPr>
        <w:endnoteReference w:id="47"/>
      </w:r>
      <w:r>
        <w:t xml:space="preserve"> – an environmental tax on coal consumption. The tax was levied at 50 rupees per tonne of coal, and was subsequently increased to 100 rupees per tonne in the 2014 financial year, 200 rupees per tonne in 2015 and 400 rupees per tonne in 2016.</w:t>
      </w:r>
      <w:r>
        <w:rPr>
          <w:rStyle w:val="EndnoteReference"/>
        </w:rPr>
        <w:endnoteReference w:id="48"/>
      </w:r>
      <w:r>
        <w:t xml:space="preserve"> With the introduction of the GST in 2017, the tax on coal consumption was abolished, and a new cess on coal production (GST compensation cess) was put in its place at the same rate of 400 rupees per tonne. India’s NDC specifies that ‘the coal cess translates into a carbon tax equivalent’.</w:t>
      </w:r>
      <w:r>
        <w:rPr>
          <w:rStyle w:val="EndnoteReference"/>
        </w:rPr>
        <w:endnoteReference w:id="49"/>
      </w:r>
      <w:r>
        <w:t xml:space="preserve"> </w:t>
      </w:r>
    </w:p>
    <w:p w14:paraId="26FAD6FB" w14:textId="21A15419" w:rsidR="006662A6" w:rsidRDefault="006662A6" w:rsidP="00A10717">
      <w:pPr>
        <w:pStyle w:val="Heading1"/>
      </w:pPr>
      <w:bookmarkStart w:id="92" w:name="_Toc15641164"/>
      <w:bookmarkStart w:id="93" w:name="_Toc15645852"/>
      <w:bookmarkStart w:id="94" w:name="_Toc16247584"/>
      <w:bookmarkStart w:id="95" w:name="_Toc16250047"/>
      <w:bookmarkStart w:id="96" w:name="_Toc16256902"/>
      <w:bookmarkStart w:id="97" w:name="_Toc17210777"/>
      <w:r>
        <w:t>1.4 India’s coal sector</w:t>
      </w:r>
      <w:bookmarkEnd w:id="92"/>
      <w:bookmarkEnd w:id="93"/>
      <w:bookmarkEnd w:id="94"/>
      <w:bookmarkEnd w:id="95"/>
      <w:bookmarkEnd w:id="96"/>
      <w:bookmarkEnd w:id="97"/>
    </w:p>
    <w:p w14:paraId="40102262" w14:textId="17A7F099" w:rsidR="006662A6" w:rsidRPr="00B167CB" w:rsidRDefault="006662A6" w:rsidP="00A76CDE">
      <w:pPr>
        <w:pStyle w:val="BodyText"/>
      </w:pPr>
      <w:r>
        <w:t>India’s coal sector plays an important role in the country. From an energy security perspective, it is the country’s most abundant non-renewable fuel, and coal-fired power dominates electricity generation. It also makes an important economic contribution. Coal mining and power generation are two major industries in India, and together account for around a tenth of the country’s industrial production, and directly employ around half a million people.</w:t>
      </w:r>
      <w:r>
        <w:rPr>
          <w:rStyle w:val="EndnoteReference"/>
        </w:rPr>
        <w:endnoteReference w:id="50"/>
      </w:r>
      <w:r>
        <w:t xml:space="preserve"> The coal sector also generates substantial additional employment through the transport sector. Rail is the </w:t>
      </w:r>
      <w:r>
        <w:rPr>
          <w:rFonts w:cs="Arial"/>
          <w:color w:val="2D2D2D"/>
          <w:lang w:val="en"/>
        </w:rPr>
        <w:t>largest civilian employer in India</w:t>
      </w:r>
      <w:r>
        <w:t>, and the coal and rail sectors are heavily interdependent through cross-subsidies (see Chapter 2).</w:t>
      </w:r>
    </w:p>
    <w:p w14:paraId="3FEF0017" w14:textId="0ED7BC7F" w:rsidR="006662A6" w:rsidRDefault="006662A6" w:rsidP="00214E08">
      <w:pPr>
        <w:pStyle w:val="Heading2"/>
      </w:pPr>
      <w:bookmarkStart w:id="98" w:name="_Toc15641165"/>
      <w:bookmarkStart w:id="99" w:name="_Toc15645853"/>
      <w:bookmarkStart w:id="100" w:name="_Toc16247585"/>
      <w:bookmarkStart w:id="101" w:name="_Toc16250048"/>
      <w:bookmarkStart w:id="102" w:name="_Toc16256903"/>
      <w:bookmarkStart w:id="103" w:name="_Toc17210778"/>
      <w:r>
        <w:t>India’s coal supply</w:t>
      </w:r>
      <w:bookmarkEnd w:id="98"/>
      <w:bookmarkEnd w:id="99"/>
      <w:bookmarkEnd w:id="100"/>
      <w:bookmarkEnd w:id="101"/>
      <w:bookmarkEnd w:id="102"/>
      <w:bookmarkEnd w:id="103"/>
    </w:p>
    <w:p w14:paraId="5320524E" w14:textId="2A246BA1" w:rsidR="006662A6" w:rsidRDefault="006662A6" w:rsidP="00214E08">
      <w:pPr>
        <w:pStyle w:val="Heading3"/>
      </w:pPr>
      <w:r>
        <w:t>Reserves</w:t>
      </w:r>
    </w:p>
    <w:p w14:paraId="5447A3BC" w14:textId="212EB857" w:rsidR="006662A6" w:rsidRDefault="006662A6" w:rsidP="00D532E6">
      <w:pPr>
        <w:pStyle w:val="BodyText"/>
      </w:pPr>
      <w:r>
        <w:t>Coal is a key commodity for India from an energy security perspective, because it is the country’s most abundant non-renewable energy source. India has the world’s fifth largest proved recoverable reserves of coal, at an estimated 101 billion tonnes (Figure 1.7).</w:t>
      </w:r>
      <w:r>
        <w:rPr>
          <w:rStyle w:val="EndnoteReference"/>
        </w:rPr>
        <w:endnoteReference w:id="51"/>
      </w:r>
      <w:r>
        <w:t xml:space="preserve"> Most of India’s coal reserves are located in the east, with the states of Jharkhand, Odisha, Chhattisgarh and West Bengal accounting for most of total proved reserves. </w:t>
      </w:r>
    </w:p>
    <w:p w14:paraId="693B1ACF" w14:textId="77777777" w:rsidR="00E91467" w:rsidRDefault="00E91467" w:rsidP="00E91467">
      <w:pPr>
        <w:pStyle w:val="BodyText"/>
      </w:pPr>
      <w:r>
        <w:t>The distribution of India’s coal reserves creates a supply challenge for India. The bulk of its coal reserves are geographically separated from its principal areas of consumption, and require substantial infrastructure networks for transportation from mine sites to generators (Figure 2.10).</w:t>
      </w:r>
    </w:p>
    <w:p w14:paraId="10F373EB" w14:textId="77777777" w:rsidR="00E91467" w:rsidRDefault="00E91467" w:rsidP="00D532E6">
      <w:pPr>
        <w:pStyle w:val="BodyText"/>
      </w:pPr>
    </w:p>
    <w:p w14:paraId="2A875B92" w14:textId="66693F19" w:rsidR="006662A6" w:rsidRDefault="006662A6" w:rsidP="00E91467">
      <w:pPr>
        <w:pStyle w:val="Caption"/>
        <w:spacing w:before="0"/>
      </w:pPr>
      <w:r>
        <w:t>Figure</w:t>
      </w:r>
      <w:r w:rsidRPr="000618FB">
        <w:t xml:space="preserve"> </w:t>
      </w:r>
      <w:r>
        <w:rPr>
          <w:noProof/>
        </w:rPr>
        <w:t>1</w:t>
      </w:r>
      <w:r w:rsidRPr="000618FB">
        <w:t>.</w:t>
      </w:r>
      <w:r>
        <w:t>7: Proved reserves of coal at end 2018</w:t>
      </w:r>
    </w:p>
    <w:tbl>
      <w:tblPr>
        <w:tblStyle w:val="OCETable"/>
        <w:tblW w:w="4923" w:type="pct"/>
        <w:tblInd w:w="108" w:type="dxa"/>
        <w:tblLayout w:type="fixed"/>
        <w:tblLook w:val="04A0" w:firstRow="1" w:lastRow="0" w:firstColumn="1" w:lastColumn="0" w:noHBand="0" w:noVBand="1"/>
        <w:tblCaption w:val="Table contains Figure 1.7"/>
      </w:tblPr>
      <w:tblGrid>
        <w:gridCol w:w="8887"/>
      </w:tblGrid>
      <w:tr w:rsidR="006662A6" w14:paraId="53CF8613" w14:textId="77777777" w:rsidTr="00C667B0">
        <w:trPr>
          <w:cnfStyle w:val="100000000000" w:firstRow="1" w:lastRow="0" w:firstColumn="0" w:lastColumn="0" w:oddVBand="0" w:evenVBand="0" w:oddHBand="0" w:evenHBand="0" w:firstRowFirstColumn="0" w:firstRowLastColumn="0" w:lastRowFirstColumn="0" w:lastRowLastColumn="0"/>
          <w:trHeight w:val="2016"/>
          <w:tblHeader/>
        </w:trPr>
        <w:tc>
          <w:tcPr>
            <w:tcW w:w="8887" w:type="dxa"/>
            <w:shd w:val="clear" w:color="auto" w:fill="auto"/>
          </w:tcPr>
          <w:p w14:paraId="25D0BC2B" w14:textId="51679AF9" w:rsidR="006662A6" w:rsidRDefault="006662A6" w:rsidP="00FB6294">
            <w:pPr>
              <w:pStyle w:val="PlaceholderWide"/>
            </w:pPr>
            <w:r w:rsidRPr="00D44C30">
              <w:rPr>
                <w:noProof/>
                <w:lang w:eastAsia="en-AU"/>
              </w:rPr>
              <w:drawing>
                <wp:inline distT="0" distB="0" distL="0" distR="0" wp14:anchorId="0EB13420" wp14:editId="2C283165">
                  <wp:extent cx="5667375" cy="2266950"/>
                  <wp:effectExtent l="0" t="0" r="0" b="0"/>
                  <wp:docPr id="9" name="Chart 9" descr="This chart shows how India has the fifth largest coal reserves in the world, after the US, Russia, Australia and China." title="Figure 1.7: Proved reserves of coal at end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5B57798B" w14:textId="7A1FF7FD" w:rsidR="006662A6" w:rsidRDefault="006662A6" w:rsidP="00376D71">
      <w:pPr>
        <w:pStyle w:val="Source"/>
        <w:pBdr>
          <w:bottom w:val="single" w:sz="4" w:space="0" w:color="595A5B"/>
        </w:pBdr>
      </w:pPr>
      <w:r>
        <w:t>Source: BP (2019) Statistical Review of World Energy</w:t>
      </w:r>
    </w:p>
    <w:p w14:paraId="27B34064" w14:textId="6042808E" w:rsidR="006662A6" w:rsidRDefault="006662A6" w:rsidP="00214E08">
      <w:pPr>
        <w:pStyle w:val="Heading3"/>
      </w:pPr>
      <w:r>
        <w:t>Quality</w:t>
      </w:r>
    </w:p>
    <w:p w14:paraId="23A8E2EB" w14:textId="7749DDDE" w:rsidR="006662A6" w:rsidRDefault="006662A6" w:rsidP="003A041A">
      <w:pPr>
        <w:pStyle w:val="BodyText"/>
      </w:pPr>
      <w:r>
        <w:t>Coal quality varies substantially across India. Compared to other internationally traded coals, Indian coals typically have lower energy content. Indian coals also have high ash content and low sulphur content. The moisture content of Indian coal is variable, and is typically higher in coal produced during the monsoon season. Over the last two decades, data suggests that there has been a continuous decline in the quality of indigenously produced coals, with average calorific values falling and mineral-ash content increasing.</w:t>
      </w:r>
      <w:r>
        <w:rPr>
          <w:rStyle w:val="EndnoteReference"/>
        </w:rPr>
        <w:endnoteReference w:id="52"/>
      </w:r>
      <w:r>
        <w:t xml:space="preserve"> </w:t>
      </w:r>
    </w:p>
    <w:p w14:paraId="0B0C0084" w14:textId="1FC103EE" w:rsidR="006662A6" w:rsidRDefault="006662A6" w:rsidP="00EB347E">
      <w:pPr>
        <w:pStyle w:val="BodyText"/>
        <w:spacing w:after="0"/>
      </w:pPr>
      <w:r>
        <w:t>To improve the combustion efficiency of India’s coal-fired fleet, the quality of India’s coal can be improved either by blending domestic coal with higher quality imported coal, or washing domestic coal to reduce the impurities.</w:t>
      </w:r>
    </w:p>
    <w:p w14:paraId="3E1C7BF0" w14:textId="6BC8CEAE" w:rsidR="006662A6" w:rsidRDefault="006662A6" w:rsidP="00A93E84">
      <w:pPr>
        <w:pStyle w:val="Heading3"/>
      </w:pPr>
      <w:r>
        <w:t>Production</w:t>
      </w:r>
    </w:p>
    <w:p w14:paraId="44F2C156" w14:textId="7D4365E2" w:rsidR="006662A6" w:rsidRPr="00E75ACA" w:rsidRDefault="006662A6" w:rsidP="000E6456">
      <w:pPr>
        <w:pStyle w:val="BodyText"/>
      </w:pPr>
      <w:r>
        <w:t>India’s total coal production in the 2018–19 Indian financial year (April to March) was an estimated 730 million tonnes.</w:t>
      </w:r>
      <w:r>
        <w:rPr>
          <w:rStyle w:val="EndnoteReference"/>
        </w:rPr>
        <w:endnoteReference w:id="53"/>
      </w:r>
      <w:r>
        <w:t xml:space="preserve"> Thermal coal accounted for 94 per cent of India’s domestic coal production, at 683 million tonnes in the same period.</w:t>
      </w:r>
    </w:p>
    <w:p w14:paraId="762537C8" w14:textId="3B414E89" w:rsidR="006662A6" w:rsidRDefault="006662A6">
      <w:pPr>
        <w:pStyle w:val="BodyText"/>
      </w:pPr>
      <w:r>
        <w:t>India’s thermal coal production increased more than six-fold between 1978–</w:t>
      </w:r>
      <w:r w:rsidR="00313894">
        <w:t>7</w:t>
      </w:r>
      <w:r>
        <w:t xml:space="preserve">9 and 2009–10, in response to rapid growth in coal consumption in the electricity generation sector (Figure 1.8). </w:t>
      </w:r>
    </w:p>
    <w:p w14:paraId="5C5F63E9" w14:textId="77777777" w:rsidR="008E2A4B" w:rsidRDefault="008E2A4B" w:rsidP="008E2A4B">
      <w:pPr>
        <w:pStyle w:val="BodyText"/>
      </w:pPr>
      <w:r>
        <w:t>Production growth slowed considerably after 2009–10, dropping from an annual average growth rate of 6.0 per cent between 1978–79 and 2008–09, to 1.1 per cent between 2009–10 and 2013–14. Coal India — the state-owned coal producer which accounts for over 80 per cent of coal production (see Box 1.2) — was not able to meet its annual production targets, and its inability to meet domestic requirements from the mid-2000s was one of the key challenges underpinning India’s energy policies.</w:t>
      </w:r>
    </w:p>
    <w:p w14:paraId="5288C42D" w14:textId="77777777" w:rsidR="008E2A4B" w:rsidRDefault="008E2A4B" w:rsidP="008E2A4B">
      <w:pPr>
        <w:pStyle w:val="BodyText"/>
      </w:pPr>
      <w:r>
        <w:t>Production growth has recently rebounded, with annual average growth accelerating to 5.5 per cent between 2014–15 and 2018–19.</w:t>
      </w:r>
      <w:r w:rsidRPr="00632473">
        <w:t xml:space="preserve"> </w:t>
      </w:r>
      <w:r>
        <w:t xml:space="preserve">In 2016, India overtook the US to become the world’s second largest producer of thermal coal after China. Coal India has boosted production by improving mechanisation and restructuring its coal operations to improve efficiency, progressing more projects through the complex approvals process, and expanding existing operations. </w:t>
      </w:r>
    </w:p>
    <w:p w14:paraId="2CF9DC92" w14:textId="77777777" w:rsidR="008E2A4B" w:rsidRDefault="008E2A4B">
      <w:pPr>
        <w:pStyle w:val="BodyText"/>
      </w:pPr>
    </w:p>
    <w:p w14:paraId="28569D19" w14:textId="77777777" w:rsidR="006662A6" w:rsidRDefault="006662A6" w:rsidP="003F6887">
      <w:pPr>
        <w:pStyle w:val="Caption"/>
      </w:pPr>
      <w:r>
        <w:t>Figure</w:t>
      </w:r>
      <w:r w:rsidRPr="000618FB">
        <w:t xml:space="preserve"> </w:t>
      </w:r>
      <w:r>
        <w:rPr>
          <w:noProof/>
        </w:rPr>
        <w:t>1</w:t>
      </w:r>
      <w:r w:rsidRPr="000618FB">
        <w:t>.</w:t>
      </w:r>
      <w:r>
        <w:t>8: India’s thermal coal production and consumption</w:t>
      </w:r>
    </w:p>
    <w:tbl>
      <w:tblPr>
        <w:tblStyle w:val="OCETable"/>
        <w:tblW w:w="4940" w:type="pct"/>
        <w:tblInd w:w="108" w:type="dxa"/>
        <w:tblLayout w:type="fixed"/>
        <w:tblLook w:val="04A0" w:firstRow="1" w:lastRow="0" w:firstColumn="1" w:lastColumn="0" w:noHBand="0" w:noVBand="1"/>
        <w:tblCaption w:val="Table contains Figure 1.8"/>
      </w:tblPr>
      <w:tblGrid>
        <w:gridCol w:w="8918"/>
      </w:tblGrid>
      <w:tr w:rsidR="006662A6" w14:paraId="25FCCE74" w14:textId="77777777" w:rsidTr="00C667B0">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1DD59689" w14:textId="28059E0C" w:rsidR="006662A6" w:rsidRDefault="006662A6" w:rsidP="002C1D11">
            <w:pPr>
              <w:pStyle w:val="PlaceholderWide"/>
            </w:pPr>
            <w:r>
              <w:rPr>
                <w:noProof/>
                <w:lang w:eastAsia="en-AU"/>
              </w:rPr>
              <mc:AlternateContent>
                <mc:Choice Requires="wps">
                  <w:drawing>
                    <wp:anchor distT="0" distB="0" distL="114300" distR="114300" simplePos="0" relativeHeight="251658252" behindDoc="0" locked="0" layoutInCell="1" allowOverlap="1" wp14:anchorId="04E175D6" wp14:editId="1CFBBAFF">
                      <wp:simplePos x="0" y="0"/>
                      <wp:positionH relativeFrom="column">
                        <wp:posOffset>3272790</wp:posOffset>
                      </wp:positionH>
                      <wp:positionV relativeFrom="paragraph">
                        <wp:posOffset>447675</wp:posOffset>
                      </wp:positionV>
                      <wp:extent cx="1552575" cy="238125"/>
                      <wp:effectExtent l="0" t="0" r="0" b="0"/>
                      <wp:wrapNone/>
                      <wp:docPr id="11" name="TextBox 9" title="2009–10 to 2013–14: 1%"/>
                      <wp:cNvGraphicFramePr/>
                      <a:graphic xmlns:a="http://schemas.openxmlformats.org/drawingml/2006/main">
                        <a:graphicData uri="http://schemas.microsoft.com/office/word/2010/wordprocessingShape">
                          <wps:wsp>
                            <wps:cNvSpPr txBox="1"/>
                            <wps:spPr>
                              <a:xfrm>
                                <a:off x="0" y="0"/>
                                <a:ext cx="15525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F1EB4AA" w14:textId="77777777"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2009–10 to 2013–14: 1%</w:t>
                                  </w:r>
                                </w:p>
                              </w:txbxContent>
                            </wps:txbx>
                            <wps:bodyPr vertOverflow="clip" horzOverflow="clip" wrap="square" rtlCol="0" anchor="t"/>
                          </wps:wsp>
                        </a:graphicData>
                      </a:graphic>
                      <wp14:sizeRelH relativeFrom="margin">
                        <wp14:pctWidth>0</wp14:pctWidth>
                      </wp14:sizeRelH>
                    </wp:anchor>
                  </w:drawing>
                </mc:Choice>
                <mc:Fallback>
                  <w:pict>
                    <v:shapetype w14:anchorId="04E175D6" id="_x0000_t202" coordsize="21600,21600" o:spt="202" path="m,l,21600r21600,l21600,xe">
                      <v:stroke joinstyle="miter"/>
                      <v:path gradientshapeok="t" o:connecttype="rect"/>
                    </v:shapetype>
                    <v:shape id="TextBox 9" o:spid="_x0000_s1026" type="#_x0000_t202" alt="Title: 2009–10 to 2013–14: 1%" style="position:absolute;left:0;text-align:left;margin-left:257.7pt;margin-top:35.25pt;width:122.25pt;height:18.7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NfKQIAAIIEAAAOAAAAZHJzL2Uyb0RvYy54bWysVMFuEzEQvSPxD5YljmSzKYFmlU0lWpUL&#10;ooiWD3C8dtbCaxvbzW448Q/8Yb+EZ2+yReVUxMVZj+e9mXkzk/XF0GmyFz4oa2pazuaUCMNto8yu&#10;pl/vrl+fUxIiMw3T1oiaHkSgF5uXL9a9q8TCtlY3whOQmFD1rqZtjK4qisBb0bEws04YPErrOxZx&#10;9bui8awHe6eLxXz+tuitb5y3XIQA69X4SDeZX0rB442UQUSia4rcYj59PrfpLDZrVu08c63ixzTY&#10;P2TRMWUQdKK6YpGRe6/+ouoU9zZYGWfcdoWVUnGRa0A15fxJNbctcyLXAnGCm2QK/4+Wf9p/9kQ1&#10;6F1JiWEdenQnhvjeDmQFvVTUsEDp1cPPX+WcREuQ6Fm6vKlI+SoJ2LtQgefWgSkOQILsZA8wJl0G&#10;6bv0i4oJ3tGKwyQ/whGeQMvlYvluSQnH2+LsvFwsE03xiHY+xA/CdiR91NSjvVl1tv8Y4uh6cknB&#10;jL1WWucWa0P6mq4QAPSdQ73B7DJ2ckIcbRAulTOmnb/iQYtEps0XIaFUzj4ZAve77aX2ZBwnzDuq&#10;Og1VJgMgOUok8UzsEZLQIk/xM/ETKMe3Jk74Thnrc+F5x0QqYM+wHc233DQkLkf/kxSjAEmLOGyH&#10;Y7+3tjmg3dj8eINDagt5uVaOktb6H09tPTYMkn+/Z15Q4qO+tONCMsPhX9OYO52CYNBzz49LmTbp&#10;z3vO6vGvY/MbAAD//wMAUEsDBBQABgAIAAAAIQDknXFi3gAAAAoBAAAPAAAAZHJzL2Rvd25yZXYu&#10;eG1sTI/LTsMwEEX3SP0Hayp1R+2imjYhToVA3YIoD4mdG0+TiHgcxW4T/p5hBcvRPbr3TLGbfCcu&#10;OMQ2kIHVUoFAqoJrqTbw9rq/3oKIyZKzXSA08I0RduXsqrC5CyO94OWQasElFHNroEmpz6WMVYPe&#10;xmXokTg7hcHbxOdQSzfYkct9J2+UupXetsQLje3xocHq63D2Bt6fTp8fa/VcP3rdj2FSknwmjVnM&#10;p/s7EAmn9AfDrz6rQ8lOx3AmF0VnQK/0mlEDG6VBMLDRWQbiyKTaKpBlIf+/UP4AAAD//wMAUEsB&#10;Ai0AFAAGAAgAAAAhALaDOJL+AAAA4QEAABMAAAAAAAAAAAAAAAAAAAAAAFtDb250ZW50X1R5cGVz&#10;XS54bWxQSwECLQAUAAYACAAAACEAOP0h/9YAAACUAQAACwAAAAAAAAAAAAAAAAAvAQAAX3JlbHMv&#10;LnJlbHNQSwECLQAUAAYACAAAACEAheMTXykCAACCBAAADgAAAAAAAAAAAAAAAAAuAgAAZHJzL2Uy&#10;b0RvYy54bWxQSwECLQAUAAYACAAAACEA5J1xYt4AAAAKAQAADwAAAAAAAAAAAAAAAACDBAAAZHJz&#10;L2Rvd25yZXYueG1sUEsFBgAAAAAEAAQA8wAAAI4FAAAAAA==&#10;" filled="f" stroked="f">
                      <v:textbox>
                        <w:txbxContent>
                          <w:p w14:paraId="0F1EB4AA" w14:textId="77777777"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2009–10 to 2013–14: 1%</w:t>
                            </w:r>
                          </w:p>
                        </w:txbxContent>
                      </v:textbox>
                    </v:shape>
                  </w:pict>
                </mc:Fallback>
              </mc:AlternateContent>
            </w:r>
            <w:r>
              <w:rPr>
                <w:noProof/>
                <w:lang w:eastAsia="en-AU"/>
              </w:rPr>
              <mc:AlternateContent>
                <mc:Choice Requires="wps">
                  <w:drawing>
                    <wp:anchor distT="0" distB="0" distL="114300" distR="114300" simplePos="0" relativeHeight="251658253" behindDoc="0" locked="0" layoutInCell="1" allowOverlap="1" wp14:anchorId="16DD9166" wp14:editId="0041912C">
                      <wp:simplePos x="0" y="0"/>
                      <wp:positionH relativeFrom="column">
                        <wp:posOffset>3768090</wp:posOffset>
                      </wp:positionH>
                      <wp:positionV relativeFrom="paragraph">
                        <wp:posOffset>95250</wp:posOffset>
                      </wp:positionV>
                      <wp:extent cx="1609725" cy="238125"/>
                      <wp:effectExtent l="0" t="0" r="0" b="0"/>
                      <wp:wrapNone/>
                      <wp:docPr id="12" name="TextBox 10" title="2014–15 to 2018–19: 5%"/>
                      <wp:cNvGraphicFramePr/>
                      <a:graphic xmlns:a="http://schemas.openxmlformats.org/drawingml/2006/main">
                        <a:graphicData uri="http://schemas.microsoft.com/office/word/2010/wordprocessingShape">
                          <wps:wsp>
                            <wps:cNvSpPr txBox="1"/>
                            <wps:spPr>
                              <a:xfrm>
                                <a:off x="0" y="0"/>
                                <a:ext cx="160972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01FE42" w14:textId="0B9911F2"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2014–15 to 2018–19: 5%</w:t>
                                  </w:r>
                                </w:p>
                              </w:txbxContent>
                            </wps:txbx>
                            <wps:bodyPr vertOverflow="clip" horzOverflow="clip" wrap="square" rtlCol="0" anchor="t"/>
                          </wps:wsp>
                        </a:graphicData>
                      </a:graphic>
                      <wp14:sizeRelH relativeFrom="margin">
                        <wp14:pctWidth>0</wp14:pctWidth>
                      </wp14:sizeRelH>
                    </wp:anchor>
                  </w:drawing>
                </mc:Choice>
                <mc:Fallback>
                  <w:pict>
                    <v:shape w14:anchorId="16DD9166" id="TextBox 10" o:spid="_x0000_s1027" type="#_x0000_t202" alt="Title: 2014–15 to 2018–19: 5%" style="position:absolute;left:0;text-align:left;margin-left:296.7pt;margin-top:7.5pt;width:126.75pt;height:18.7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G7KgIAAIoEAAAOAAAAZHJzL2Uyb0RvYy54bWysVM1uEzEQviPxDpYljnSTQEqyyqYSrcoF&#10;UUTLAzheO7HwH7ab3XDiHXjDPgmfvckWlVMRF6899vfNzDczu7rojSZ7EaJytqHTswklwnLXKrtt&#10;6Ne769cLSmJitmXaWdHQg4j0Yv3yxarztZi5ndOtCAQkNtadb+guJV9XVeQ7YVg8c15YXEoXDEs4&#10;hm3VBtaB3ehqNpmcV50LrQ+OixhhvRou6brwSyl4upEyikR0QxFbKmso6yav1XrF6m1gfqf4MQz2&#10;D1EYpiycjlRXLDFyH9RfVEbx4KKT6Yw7UzkpFRclB2QznTzJ5nbHvCi5QJzoR5ni/6Pln/afA1Et&#10;ajejxDKDGt2JPr13PZlmwVTSMCG4tw8/f03nJDmCwyIfljWZv8oKdj7WILr1oEo9oGA72SOMWZhe&#10;BpO/SJngHtSHUX/4IzyDzifLd7M5JRx3szeLKfagrx7RPsT0QThD8qahAfUtsrP9x5iGp6cn2Zl1&#10;10rrUmNtSdfQ5bzQG4+Eo90W7PgIfrSFu5zOEHbZpYMWmUzbL0JCqhJ9NkQetptLHcjQT2h4ZHXq&#10;qkIGQH4oEcQzsUdIRovSxs/Ej6Di39k04o2yLpTEy5CJnMCeYTzab6VoCFwO709SDAJkLVK/6Ydm&#10;OZV349oDqo4/QLrBIrWDylwrT8nOhR9PbR0mDcp/v2dBUBKSvnTDYDLL8b6hqRQ8+0LDl9IfhzNP&#10;1J/nEtzjL2T9GwAA//8DAFBLAwQUAAYACAAAACEAebm3o90AAAAJAQAADwAAAGRycy9kb3ducmV2&#10;LnhtbEyPwU7DMBBE70j8g7WVuFG7JamaEKdCIK5UFKjUmxtvk4h4HcVuE/6e7QmOq3mafVNsJteJ&#10;Cw6h9aRhMVcgkCpvW6o1fH683q9BhGjIms4TavjBAJvy9qYwufUjveNlF2vBJRRyo6GJsc+lDFWD&#10;zoS575E4O/nBmcjnUEs7mJHLXSeXSq2kMy3xh8b0+Nxg9b07Ow1fb6fDPlHb+sWl/egnJcllUuu7&#10;2fT0CCLiFP9guOqzOpTsdPRnskF0GtLsIWGUg5Q3MbBOVhmIIyfLFGRZyP8Lyl8AAAD//wMAUEsB&#10;Ai0AFAAGAAgAAAAhALaDOJL+AAAA4QEAABMAAAAAAAAAAAAAAAAAAAAAAFtDb250ZW50X1R5cGVz&#10;XS54bWxQSwECLQAUAAYACAAAACEAOP0h/9YAAACUAQAACwAAAAAAAAAAAAAAAAAvAQAAX3JlbHMv&#10;LnJlbHNQSwECLQAUAAYACAAAACEAc+jRuyoCAACKBAAADgAAAAAAAAAAAAAAAAAuAgAAZHJzL2Uy&#10;b0RvYy54bWxQSwECLQAUAAYACAAAACEAebm3o90AAAAJAQAADwAAAAAAAAAAAAAAAACEBAAAZHJz&#10;L2Rvd25yZXYueG1sUEsFBgAAAAAEAAQA8wAAAI4FAAAAAA==&#10;" filled="f" stroked="f">
                      <v:textbox>
                        <w:txbxContent>
                          <w:p w14:paraId="1101FE42" w14:textId="0B9911F2"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2014–15 to 2018–19: 5%</w:t>
                            </w:r>
                          </w:p>
                        </w:txbxContent>
                      </v:textbox>
                    </v:shape>
                  </w:pict>
                </mc:Fallback>
              </mc:AlternateContent>
            </w:r>
            <w:r>
              <w:rPr>
                <w:noProof/>
                <w:lang w:eastAsia="en-AU"/>
              </w:rPr>
              <mc:AlternateContent>
                <mc:Choice Requires="wps">
                  <w:drawing>
                    <wp:anchor distT="0" distB="0" distL="114300" distR="114300" simplePos="0" relativeHeight="251658251" behindDoc="0" locked="0" layoutInCell="1" allowOverlap="1" wp14:anchorId="555DF98E" wp14:editId="6E6AF1DD">
                      <wp:simplePos x="0" y="0"/>
                      <wp:positionH relativeFrom="column">
                        <wp:posOffset>2110740</wp:posOffset>
                      </wp:positionH>
                      <wp:positionV relativeFrom="paragraph">
                        <wp:posOffset>812800</wp:posOffset>
                      </wp:positionV>
                      <wp:extent cx="2143125" cy="418465"/>
                      <wp:effectExtent l="0" t="0" r="0" b="635"/>
                      <wp:wrapNone/>
                      <wp:docPr id="10" name="TextBox 8" title="Average annual production growth"/>
                      <wp:cNvGraphicFramePr/>
                      <a:graphic xmlns:a="http://schemas.openxmlformats.org/drawingml/2006/main">
                        <a:graphicData uri="http://schemas.microsoft.com/office/word/2010/wordprocessingShape">
                          <wps:wsp>
                            <wps:cNvSpPr txBox="1"/>
                            <wps:spPr>
                              <a:xfrm>
                                <a:off x="0" y="0"/>
                                <a:ext cx="2143125" cy="4184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83EE8A" w14:textId="77777777"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Average annual production growth</w:t>
                                  </w:r>
                                </w:p>
                                <w:p w14:paraId="2462DF54" w14:textId="58740C35"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1978–79 to 2008–09: 6%</w:t>
                                  </w:r>
                                </w:p>
                              </w:txbxContent>
                            </wps:txbx>
                            <wps:bodyPr vertOverflow="clip" horzOverflow="clip" wrap="square" rtlCol="0" anchor="t"/>
                          </wps:wsp>
                        </a:graphicData>
                      </a:graphic>
                      <wp14:sizeRelH relativeFrom="margin">
                        <wp14:pctWidth>0</wp14:pctWidth>
                      </wp14:sizeRelH>
                    </wp:anchor>
                  </w:drawing>
                </mc:Choice>
                <mc:Fallback>
                  <w:pict>
                    <v:shape w14:anchorId="555DF98E" id="TextBox 8" o:spid="_x0000_s1028" type="#_x0000_t202" alt="Title: Average annual production growth" style="position:absolute;left:0;text-align:left;margin-left:166.2pt;margin-top:64pt;width:168.75pt;height:32.9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D8KAIAAI8EAAAOAAAAZHJzL2Uyb0RvYy54bWysVMtu2zAQvBfoPxC817JdJ0gNy0GbIL0U&#10;TZGkH0BTpESUr5K0JffrO6RspUhPKXqhpOXu7O7MrjbXg9HkIEJUztZ0MZtTIix3jbJtTb8/3b27&#10;oiQmZhumnRU1PYpIr7dv32x6vxZL1zndiEAAYuO69zXtUvLrqoq8E4bFmfPC4lK6YFjCZ2irJrAe&#10;6EZXy/n8supdaHxwXMQI6+14SbcFX0rB072UUSSia4raUjlDOXf5rLYbtm4D853ipzLYP1RhmLJI&#10;OkHdssTIPqi/oIziwUUn04w7UzkpFRelB3SzmL/o5rFjXpReQE70E03x/8Hyr4dvgagG2oEeyww0&#10;ehJD+uQGAumSShqWj1CYtYIwa/dME/Dd7HmC5KQNrk9dprH3cQ20Rw+8NCAekGd7hDGzM8hg8hN9&#10;E9wj43ESAUkJh3G5WL1fLC8o4bhbLa5WlxcZpnqO9iGmz8IZ1BEhaIDIhXt2+BLT6Hp2ycmsu1Na&#10;F6G1JX1NP1wUeOPRdbRtiZ2ckEdbpMvtjGWXt3TUIoNp+yAk+CrVZ0Pkod3d6EDGocLUo6vzaBUw&#10;BGRHiSJeGXsKydGizPIr46egkt/ZNMUbZV0ojZdNE7mBA8OOND+KaChcjv5nKkYCMhdp2A1lYpZn&#10;eXeuOUJ1DEm6xyG1A8tcK09J58Kvl7Ye6wbmf+5ZEJSEpG/cuJ3McvjXNBXBcy5MfZH+tKF5rf78&#10;LsU9/0e2vwEAAP//AwBQSwMEFAAGAAgAAAAhAIxTsTDeAAAACwEAAA8AAABkcnMvZG93bnJldi54&#10;bWxMj81OwzAQhO9IvIO1SNyoTVKiOsSpEIgriPIjcXPjbRIRr6PYbcLbs5zguDOfZmeq7eIHccIp&#10;9oEMXK8UCKQmuJ5aA2+vj1cbEDFZcnYIhAa+McK2Pj+rbOnCTC942qVWcAjF0hroUhpLKWPTobdx&#10;FUYk9g5h8jbxObXSTXbmcD/ITKlCetsTf+jsiPcdNl+7ozfw/nT4/Fir5/bB34xzWJQkr6UxlxfL&#10;3S2IhEv6g+G3PleHmjvtw5FcFIOBPM/WjLKRbXgUE0WhNYg9KzrXIOtK/t9Q/wAAAP//AwBQSwEC&#10;LQAUAAYACAAAACEAtoM4kv4AAADhAQAAEwAAAAAAAAAAAAAAAAAAAAAAW0NvbnRlbnRfVHlwZXNd&#10;LnhtbFBLAQItABQABgAIAAAAIQA4/SH/1gAAAJQBAAALAAAAAAAAAAAAAAAAAC8BAABfcmVscy8u&#10;cmVsc1BLAQItABQABgAIAAAAIQA4rpD8KAIAAI8EAAAOAAAAAAAAAAAAAAAAAC4CAABkcnMvZTJv&#10;RG9jLnhtbFBLAQItABQABgAIAAAAIQCMU7Ew3gAAAAsBAAAPAAAAAAAAAAAAAAAAAIIEAABkcnMv&#10;ZG93bnJldi54bWxQSwUGAAAAAAQABADzAAAAjQUAAAAA&#10;" filled="f" stroked="f">
                      <v:textbox>
                        <w:txbxContent>
                          <w:p w14:paraId="1483EE8A" w14:textId="77777777"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Average annual production growth</w:t>
                            </w:r>
                          </w:p>
                          <w:p w14:paraId="2462DF54" w14:textId="58740C35" w:rsidR="003C3282" w:rsidRDefault="003C3282" w:rsidP="003F6887">
                            <w:pPr>
                              <w:pStyle w:val="NormalWeb"/>
                              <w:spacing w:before="0" w:beforeAutospacing="0" w:after="0" w:afterAutospacing="0"/>
                              <w:jc w:val="right"/>
                            </w:pPr>
                            <w:r>
                              <w:rPr>
                                <w:rFonts w:asciiTheme="minorHAnsi" w:hAnsi="Arial" w:cstheme="minorBidi"/>
                                <w:color w:val="373737"/>
                                <w:sz w:val="18"/>
                                <w:szCs w:val="18"/>
                              </w:rPr>
                              <w:t>1978–79 to 2008–09: 6%</w:t>
                            </w:r>
                          </w:p>
                        </w:txbxContent>
                      </v:textbox>
                    </v:shape>
                  </w:pict>
                </mc:Fallback>
              </mc:AlternateContent>
            </w:r>
            <w:r>
              <w:rPr>
                <w:noProof/>
                <w:lang w:eastAsia="en-AU"/>
              </w:rPr>
              <w:drawing>
                <wp:inline distT="0" distB="0" distL="0" distR="0" wp14:anchorId="39AFBB1C" wp14:editId="17CDA3ED">
                  <wp:extent cx="5760000" cy="2743200"/>
                  <wp:effectExtent l="0" t="0" r="0" b="0"/>
                  <wp:docPr id="32" name="Chart 32" descr="This chart shows how India's coal consumption has outpaced its production, with production growth falling sharply between 2009-10 and 2013-14. but picking up again from 2014-15." title="Figure 1.8: India’s thermal coal production and consump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6E88F2F5" w14:textId="0DAD487C" w:rsidR="006662A6" w:rsidRDefault="006662A6" w:rsidP="003F6887">
      <w:pPr>
        <w:pStyle w:val="Source"/>
        <w:jc w:val="left"/>
      </w:pPr>
      <w:r>
        <w:t>Note: Data is for the Indian financial (April to March)</w:t>
      </w:r>
      <w:r>
        <w:br/>
        <w:t>Source: IEA (2018) Coal Information 2018, IHS (2019) India coal data tables, June 2019</w:t>
      </w:r>
    </w:p>
    <w:p w14:paraId="4A876856" w14:textId="1DE12EEE" w:rsidR="006662A6" w:rsidRDefault="006662A6" w:rsidP="003A041A">
      <w:pPr>
        <w:pStyle w:val="BodyText"/>
      </w:pPr>
      <w:r>
        <w:t>Nevertheless, production still remains substantially lower than consumption, with the development of new greenfield coal mines in India constrained by ongoing challenges with land acquisition, approvals processes, and inadequate transport infrastructure. The Indian government will need to continue to pursue reforms so that production can keep up with growing power and industrial demand. However, the complex regulatory and institutional settings for India’s electricity and coal industries remain a barrier to implementing these reforms (discussed further in Chapter 2).</w:t>
      </w:r>
    </w:p>
    <w:p w14:paraId="3B6D2EE5" w14:textId="21492661" w:rsidR="006662A6" w:rsidRDefault="006662A6" w:rsidP="006068A4">
      <w:pPr>
        <w:pStyle w:val="Caption"/>
      </w:pPr>
      <w:r w:rsidRPr="00D26202">
        <w:t>Box</w:t>
      </w:r>
      <w:r>
        <w:t xml:space="preserve"> </w:t>
      </w:r>
      <w:r>
        <w:rPr>
          <w:noProof/>
        </w:rPr>
        <w:t>1.2</w:t>
      </w:r>
      <w:r>
        <w:t>: India’s coal market structure</w:t>
      </w:r>
    </w:p>
    <w:tbl>
      <w:tblPr>
        <w:tblStyle w:val="OCETable"/>
        <w:tblW w:w="5000" w:type="pct"/>
        <w:tblInd w:w="57" w:type="dxa"/>
        <w:shd w:val="clear" w:color="auto" w:fill="DEE8F1"/>
        <w:tblLayout w:type="fixed"/>
        <w:tblLook w:val="04A0" w:firstRow="1" w:lastRow="0" w:firstColumn="1" w:lastColumn="0" w:noHBand="0" w:noVBand="1"/>
        <w:tblCaption w:val="Table contains Box 1.2"/>
      </w:tblPr>
      <w:tblGrid>
        <w:gridCol w:w="9026"/>
      </w:tblGrid>
      <w:tr w:rsidR="006662A6" w14:paraId="7B2CF597" w14:textId="77777777" w:rsidTr="003E458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DEE8F1"/>
          </w:tcPr>
          <w:p w14:paraId="687D20A9" w14:textId="7A520D34" w:rsidR="006662A6" w:rsidRDefault="006662A6" w:rsidP="00E850B4">
            <w:pPr>
              <w:pStyle w:val="BodyText"/>
            </w:pPr>
            <w:r w:rsidRPr="003A041A">
              <w:t>India’s</w:t>
            </w:r>
            <w:r>
              <w:t xml:space="preserve"> coal sector is primarily government owned and coordinated. C</w:t>
            </w:r>
            <w:r w:rsidRPr="00110020">
              <w:t>oal production in India has been controlled by the central government since the nationalisation of India’s coal mines in the early 1970s.</w:t>
            </w:r>
            <w:r>
              <w:t xml:space="preserve"> State governments approve mining licences and leases. The complex institutional interactions make streamlining and reforming the approvals process challenging.</w:t>
            </w:r>
          </w:p>
          <w:p w14:paraId="160298DE" w14:textId="77777777" w:rsidR="008E2A4B" w:rsidRDefault="008E2A4B" w:rsidP="008E2A4B">
            <w:pPr>
              <w:pStyle w:val="BodyText"/>
            </w:pPr>
            <w:r>
              <w:t>Key government agencies include:</w:t>
            </w:r>
          </w:p>
          <w:p w14:paraId="7CAF4600" w14:textId="77777777" w:rsidR="008E2A4B" w:rsidRDefault="008E2A4B" w:rsidP="008E2A4B">
            <w:pPr>
              <w:pStyle w:val="BodyText"/>
              <w:numPr>
                <w:ilvl w:val="0"/>
                <w:numId w:val="14"/>
              </w:numPr>
            </w:pPr>
            <w:r>
              <w:rPr>
                <w:b/>
              </w:rPr>
              <w:t xml:space="preserve">The </w:t>
            </w:r>
            <w:r w:rsidRPr="007538AC">
              <w:rPr>
                <w:b/>
              </w:rPr>
              <w:t>Ministry of Coal</w:t>
            </w:r>
            <w:r>
              <w:rPr>
                <w:b/>
              </w:rPr>
              <w:t xml:space="preserve">: </w:t>
            </w:r>
            <w:r w:rsidRPr="007538AC">
              <w:t>R</w:t>
            </w:r>
            <w:r w:rsidRPr="00C66F09">
              <w:t>esponsible for the formulation of policies and strategies for coal exploration, project approvals and other issues relating to the production, supply, distribution and pricing of coal in India.</w:t>
            </w:r>
            <w:r w:rsidRPr="00C66F09">
              <w:rPr>
                <w:rStyle w:val="EndnoteReference"/>
              </w:rPr>
              <w:endnoteReference w:id="54"/>
            </w:r>
            <w:r>
              <w:t xml:space="preserve"> The Ministry of Coal also sets production targets and other performance indicators for Coal India through a </w:t>
            </w:r>
            <w:r w:rsidRPr="003912C0">
              <w:t>Memorandum of Understanding</w:t>
            </w:r>
            <w:r>
              <w:t xml:space="preserve"> (MoU).</w:t>
            </w:r>
          </w:p>
          <w:p w14:paraId="6B1D6788" w14:textId="77777777" w:rsidR="008E2A4B" w:rsidRDefault="008E2A4B" w:rsidP="008E2A4B">
            <w:pPr>
              <w:pStyle w:val="BodyText"/>
              <w:numPr>
                <w:ilvl w:val="0"/>
                <w:numId w:val="14"/>
              </w:numPr>
            </w:pPr>
            <w:r w:rsidRPr="007538AC">
              <w:rPr>
                <w:b/>
              </w:rPr>
              <w:t>The Coal Controller</w:t>
            </w:r>
            <w:r>
              <w:rPr>
                <w:b/>
              </w:rPr>
              <w:t xml:space="preserve">: </w:t>
            </w:r>
            <w:r>
              <w:t>A subordinate office of the Ministry of Coal</w:t>
            </w:r>
            <w:r w:rsidRPr="00C66F09">
              <w:t xml:space="preserve"> which sets standards and procedures for assessing coal quality, inspects coal quality, performs an arbitrator role in the event of quality disputes, issues project approvals, collects excise duties and manages coal-related statistics.</w:t>
            </w:r>
            <w:r w:rsidRPr="00C66F09">
              <w:rPr>
                <w:rStyle w:val="EndnoteReference"/>
              </w:rPr>
              <w:endnoteReference w:id="55"/>
            </w:r>
            <w:r w:rsidRPr="00C66F09">
              <w:t xml:space="preserve"> </w:t>
            </w:r>
          </w:p>
          <w:p w14:paraId="6219BE38" w14:textId="77777777" w:rsidR="008E2A4B" w:rsidRPr="000E6456" w:rsidRDefault="008E2A4B" w:rsidP="008E2A4B">
            <w:pPr>
              <w:pStyle w:val="BodyText"/>
              <w:numPr>
                <w:ilvl w:val="0"/>
                <w:numId w:val="14"/>
              </w:numPr>
            </w:pPr>
            <w:r w:rsidRPr="007538AC">
              <w:rPr>
                <w:b/>
              </w:rPr>
              <w:t>State governments</w:t>
            </w:r>
            <w:r>
              <w:rPr>
                <w:b/>
              </w:rPr>
              <w:t>:</w:t>
            </w:r>
            <w:r>
              <w:t xml:space="preserve"> Approve</w:t>
            </w:r>
            <w:r w:rsidRPr="003E458A">
              <w:t xml:space="preserve"> mining licences and leases</w:t>
            </w:r>
            <w:r>
              <w:t xml:space="preserve"> —</w:t>
            </w:r>
            <w:r w:rsidRPr="003E458A">
              <w:t xml:space="preserve"> w</w:t>
            </w:r>
            <w:r>
              <w:t>hich are required before the Ministry of Coal</w:t>
            </w:r>
            <w:r w:rsidRPr="003E458A">
              <w:t xml:space="preserve"> grants final project approval</w:t>
            </w:r>
            <w:r>
              <w:t xml:space="preserve"> —</w:t>
            </w:r>
            <w:r w:rsidRPr="003E458A">
              <w:t xml:space="preserve"> and </w:t>
            </w:r>
            <w:r>
              <w:t xml:space="preserve">sets </w:t>
            </w:r>
            <w:r w:rsidRPr="003E458A">
              <w:t>ro</w:t>
            </w:r>
            <w:r>
              <w:t xml:space="preserve">yalty </w:t>
            </w:r>
            <w:r w:rsidRPr="00B1538E">
              <w:t>rates</w:t>
            </w:r>
            <w:r w:rsidRPr="00B1538E">
              <w:rPr>
                <w:color w:val="auto"/>
              </w:rPr>
              <w:t>.</w:t>
            </w:r>
            <w:r w:rsidRPr="00B1538E">
              <w:rPr>
                <w:rStyle w:val="EndnoteReference"/>
              </w:rPr>
              <w:endnoteReference w:id="56"/>
            </w:r>
          </w:p>
          <w:p w14:paraId="59C3A327" w14:textId="77777777" w:rsidR="008E2A4B" w:rsidRDefault="008E2A4B" w:rsidP="00E850B4">
            <w:pPr>
              <w:pStyle w:val="BodyText"/>
            </w:pPr>
          </w:p>
          <w:p w14:paraId="0B93B9A4" w14:textId="58C34B7A" w:rsidR="006662A6" w:rsidRDefault="006662A6" w:rsidP="0015603A">
            <w:pPr>
              <w:pStyle w:val="Caption"/>
            </w:pPr>
            <w:r>
              <w:t>Figure</w:t>
            </w:r>
            <w:r w:rsidRPr="000618FB">
              <w:t xml:space="preserve"> </w:t>
            </w:r>
            <w:r>
              <w:rPr>
                <w:noProof/>
              </w:rPr>
              <w:t>1</w:t>
            </w:r>
            <w:r w:rsidRPr="000618FB">
              <w:t>.</w:t>
            </w:r>
            <w:r>
              <w:t>9: Structure of India’s coal sector</w:t>
            </w:r>
          </w:p>
          <w:tbl>
            <w:tblPr>
              <w:tblStyle w:val="OCETable"/>
              <w:tblW w:w="4940" w:type="pct"/>
              <w:tblInd w:w="108" w:type="dxa"/>
              <w:tblLayout w:type="fixed"/>
              <w:tblLook w:val="04A0" w:firstRow="1" w:lastRow="0" w:firstColumn="1" w:lastColumn="0" w:noHBand="0" w:noVBand="1"/>
              <w:tblCaption w:val="Table contains figure 1.9"/>
            </w:tblPr>
            <w:tblGrid>
              <w:gridCol w:w="8704"/>
            </w:tblGrid>
            <w:tr w:rsidR="006662A6" w14:paraId="2CCF011B" w14:textId="77777777" w:rsidTr="00C739F8">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3D45760F" w14:textId="1AD030B6" w:rsidR="006662A6" w:rsidRDefault="0052245F" w:rsidP="0052245F">
                  <w:pPr>
                    <w:pStyle w:val="PlaceholderWide"/>
                    <w:jc w:val="both"/>
                  </w:pPr>
                  <w:r>
                    <w:rPr>
                      <w:noProof/>
                      <w:lang w:eastAsia="en-AU"/>
                    </w:rPr>
                    <w:drawing>
                      <wp:inline distT="0" distB="0" distL="0" distR="0" wp14:anchorId="3FE97AAD" wp14:editId="47166788">
                        <wp:extent cx="5192008" cy="3072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9 - Structure of indias coal sector.png"/>
                                <pic:cNvPicPr/>
                              </pic:nvPicPr>
                              <pic:blipFill rotWithShape="1">
                                <a:blip r:embed="rId33" cstate="print">
                                  <a:extLst>
                                    <a:ext uri="{28A0092B-C50C-407E-A947-70E740481C1C}">
                                      <a14:useLocalDpi xmlns:a14="http://schemas.microsoft.com/office/drawing/2010/main" val="0"/>
                                    </a:ext>
                                  </a:extLst>
                                </a:blip>
                                <a:srcRect l="1214"/>
                                <a:stretch/>
                              </pic:blipFill>
                              <pic:spPr bwMode="auto">
                                <a:xfrm>
                                  <a:off x="0" y="0"/>
                                  <a:ext cx="5192202" cy="3072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2487A7" w14:textId="4AE887DC" w:rsidR="006662A6" w:rsidRDefault="006662A6" w:rsidP="0015603A">
            <w:pPr>
              <w:pStyle w:val="Source"/>
            </w:pPr>
            <w:r>
              <w:t>Source: IEA (2012), Ministry of Coal (2014)</w:t>
            </w:r>
          </w:p>
          <w:p w14:paraId="2EB202B7" w14:textId="6EAB07B1" w:rsidR="006662A6" w:rsidRPr="003A041A" w:rsidRDefault="006662A6" w:rsidP="000E6456">
            <w:pPr>
              <w:pStyle w:val="BodyText"/>
            </w:pPr>
            <w:r>
              <w:t>Coal production in India is dominated by Coal India Limited, with smaller producers making up the balance. Key producers are:</w:t>
            </w:r>
          </w:p>
          <w:p w14:paraId="14354B8D" w14:textId="40A2438C" w:rsidR="006662A6" w:rsidRDefault="006662A6" w:rsidP="000E6456">
            <w:pPr>
              <w:pStyle w:val="BodyText"/>
              <w:numPr>
                <w:ilvl w:val="0"/>
                <w:numId w:val="14"/>
              </w:numPr>
            </w:pPr>
            <w:r w:rsidRPr="00C45759">
              <w:rPr>
                <w:b/>
              </w:rPr>
              <w:t xml:space="preserve">Coal India </w:t>
            </w:r>
            <w:r w:rsidRPr="002B4552">
              <w:rPr>
                <w:b/>
              </w:rPr>
              <w:t>Limited</w:t>
            </w:r>
            <w:r w:rsidRPr="000E6456">
              <w:rPr>
                <w:b/>
              </w:rPr>
              <w:t xml:space="preserve"> (‘Coal India’):</w:t>
            </w:r>
            <w:r>
              <w:t xml:space="preserve"> F</w:t>
            </w:r>
            <w:r w:rsidRPr="00110020">
              <w:t>ormed as a holding company in 1975, incorporating the state-owned companies that were created following the nationalisation of India’s coal assets.</w:t>
            </w:r>
            <w:r>
              <w:t xml:space="preserve"> The government owns a 75 per cent stake in Coal India, which continues to dominate coal production in India, accounting for over 80</w:t>
            </w:r>
            <w:r w:rsidRPr="003912C0">
              <w:t xml:space="preserve"> per cent of India’s total coal production</w:t>
            </w:r>
            <w:r>
              <w:t xml:space="preserve"> (Figure 1.10)</w:t>
            </w:r>
            <w:r w:rsidRPr="003912C0">
              <w:t xml:space="preserve">. </w:t>
            </w:r>
          </w:p>
          <w:p w14:paraId="023C96F9" w14:textId="0E68B534" w:rsidR="006662A6" w:rsidRDefault="006662A6" w:rsidP="000E6456">
            <w:pPr>
              <w:pStyle w:val="BodyText"/>
              <w:ind w:left="720"/>
            </w:pPr>
            <w:r>
              <w:t xml:space="preserve">Coal India is targeting coal production of 660 million tonnes in the 2019–20 financial year (April 2019 to March 2020), as laid out in the 2019 MoU with the Ministry of Coal. The target represents an increase in production of 8.7 per cent on the previous year’s production of 607 million tonnes, which came in just below the 2018–19 target of 610 million tonnes. </w:t>
            </w:r>
          </w:p>
          <w:p w14:paraId="79735993" w14:textId="0ECE4BE1" w:rsidR="006662A6" w:rsidRDefault="006662A6" w:rsidP="000E6456">
            <w:pPr>
              <w:pStyle w:val="BodyText"/>
              <w:ind w:left="720"/>
            </w:pPr>
            <w:r>
              <w:t>Of the coal that Coal India supplies to power plants, around 80 per cent is through long-term fuel supply agreements (FSAs), and the rest is through e-auctions. FSA prices are generally much lower than those obtained through e-auctions.</w:t>
            </w:r>
            <w:r>
              <w:rPr>
                <w:rStyle w:val="EndnoteReference"/>
              </w:rPr>
              <w:endnoteReference w:id="57"/>
            </w:r>
          </w:p>
          <w:p w14:paraId="12033A91" w14:textId="1B41AF89" w:rsidR="006662A6" w:rsidRDefault="006662A6" w:rsidP="000E6456">
            <w:pPr>
              <w:pStyle w:val="BodyText"/>
              <w:numPr>
                <w:ilvl w:val="0"/>
                <w:numId w:val="14"/>
              </w:numPr>
            </w:pPr>
            <w:r w:rsidRPr="00C45759">
              <w:rPr>
                <w:b/>
              </w:rPr>
              <w:t>Singareni Collieries Company Limited (SCCL)</w:t>
            </w:r>
            <w:r>
              <w:rPr>
                <w:b/>
              </w:rPr>
              <w:t>:</w:t>
            </w:r>
            <w:r>
              <w:t xml:space="preserve"> Accounts for around 10 per cent of India’s coal production, which is primarily supplied to southern India. The central government has a 49 per cent interest in SSCL, with the state government of Andhra Pradesh owning the other 51 per cent interest.</w:t>
            </w:r>
          </w:p>
          <w:p w14:paraId="4418571E" w14:textId="5A332595" w:rsidR="006662A6" w:rsidRDefault="006662A6" w:rsidP="000E6456">
            <w:pPr>
              <w:pStyle w:val="BodyText"/>
              <w:numPr>
                <w:ilvl w:val="0"/>
                <w:numId w:val="14"/>
              </w:numPr>
            </w:pPr>
            <w:r>
              <w:rPr>
                <w:b/>
              </w:rPr>
              <w:t>C</w:t>
            </w:r>
            <w:r w:rsidRPr="00C45759">
              <w:rPr>
                <w:b/>
              </w:rPr>
              <w:t>aptive producers</w:t>
            </w:r>
            <w:r>
              <w:rPr>
                <w:b/>
              </w:rPr>
              <w:t xml:space="preserve">: </w:t>
            </w:r>
            <w:r>
              <w:t>Account for around 8 per cent of Indian production. The government allows privately-owned end-users (such as electricity generators and industrial sectors like cement production) to produce their own coal, through the auction of coal blocks. The producers are referred to as ‘captive’, as the coal can only be used in approved activities, and cannot be traded or exported, although any surplus production can be sold to Coal India. Recent reforms have sought to relax these restrictions (see Chapter 2).</w:t>
            </w:r>
          </w:p>
          <w:p w14:paraId="3F5B7D50" w14:textId="68515D01" w:rsidR="006662A6" w:rsidRDefault="006662A6" w:rsidP="00BF6B8B">
            <w:pPr>
              <w:pStyle w:val="Caption"/>
            </w:pPr>
            <w:r>
              <w:t>Figure</w:t>
            </w:r>
            <w:r w:rsidRPr="000618FB">
              <w:t xml:space="preserve"> </w:t>
            </w:r>
            <w:r>
              <w:rPr>
                <w:noProof/>
              </w:rPr>
              <w:t>1</w:t>
            </w:r>
            <w:r w:rsidRPr="000618FB">
              <w:t>.</w:t>
            </w:r>
            <w:r>
              <w:t>10: India’s thermal coal production by source</w:t>
            </w:r>
          </w:p>
          <w:tbl>
            <w:tblPr>
              <w:tblStyle w:val="OCETable"/>
              <w:tblW w:w="8704" w:type="dxa"/>
              <w:tblInd w:w="108" w:type="dxa"/>
              <w:tblLayout w:type="fixed"/>
              <w:tblLook w:val="04A0" w:firstRow="1" w:lastRow="0" w:firstColumn="1" w:lastColumn="0" w:noHBand="0" w:noVBand="1"/>
              <w:tblCaption w:val="Table contains figure 1.10"/>
            </w:tblPr>
            <w:tblGrid>
              <w:gridCol w:w="8704"/>
            </w:tblGrid>
            <w:tr w:rsidR="006662A6" w14:paraId="2F5C7AFF" w14:textId="77777777" w:rsidTr="00C739F8">
              <w:trPr>
                <w:cnfStyle w:val="100000000000" w:firstRow="1" w:lastRow="0" w:firstColumn="0" w:lastColumn="0" w:oddVBand="0" w:evenVBand="0" w:oddHBand="0" w:evenHBand="0" w:firstRowFirstColumn="0" w:firstRowLastColumn="0" w:lastRowFirstColumn="0" w:lastRowLastColumn="0"/>
                <w:tblHeader/>
              </w:trPr>
              <w:tc>
                <w:tcPr>
                  <w:tcW w:w="8704" w:type="dxa"/>
                  <w:shd w:val="clear" w:color="auto" w:fill="auto"/>
                </w:tcPr>
                <w:p w14:paraId="33E33B08" w14:textId="47716DC4" w:rsidR="006662A6" w:rsidRDefault="006662A6" w:rsidP="00BF6B8B">
                  <w:pPr>
                    <w:pStyle w:val="PlaceholderWide"/>
                  </w:pPr>
                  <w:r>
                    <w:rPr>
                      <w:noProof/>
                      <w:lang w:eastAsia="en-AU"/>
                    </w:rPr>
                    <w:t xml:space="preserve"> </w:t>
                  </w:r>
                  <w:r>
                    <w:rPr>
                      <w:noProof/>
                      <w:lang w:eastAsia="en-AU"/>
                    </w:rPr>
                    <w:drawing>
                      <wp:inline distT="0" distB="0" distL="0" distR="0" wp14:anchorId="658CCA9F" wp14:editId="418E9B3B">
                        <wp:extent cx="5362575" cy="2619375"/>
                        <wp:effectExtent l="0" t="0" r="0" b="0"/>
                        <wp:docPr id="18" name="Chart 18" descr="This chart shows how India's coal production has been growing, and how Coal India dominates coal output in India." title="Figure 1.10: India’s thermal coal production by 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11EE39D2" w14:textId="7F6EBED0" w:rsidR="006662A6" w:rsidRPr="00B01AA2" w:rsidRDefault="006662A6">
            <w:pPr>
              <w:pStyle w:val="Source"/>
              <w:jc w:val="left"/>
            </w:pPr>
            <w:r>
              <w:t xml:space="preserve">Notes: Production is for the Indian Financial Year, beginning in April </w:t>
            </w:r>
            <w:r>
              <w:br/>
              <w:t>Source: IHS (2019) India coal data tables, July 2019.</w:t>
            </w:r>
          </w:p>
        </w:tc>
      </w:tr>
    </w:tbl>
    <w:p w14:paraId="527E6BEC" w14:textId="77777777" w:rsidR="006662A6" w:rsidRDefault="006662A6" w:rsidP="00540E67">
      <w:pPr>
        <w:pStyle w:val="Heading2"/>
        <w:ind w:left="0" w:firstLine="0"/>
      </w:pPr>
      <w:bookmarkStart w:id="104" w:name="_Toc17210779"/>
      <w:bookmarkStart w:id="105" w:name="_Toc15641166"/>
      <w:bookmarkStart w:id="106" w:name="_Toc15645854"/>
      <w:bookmarkStart w:id="107" w:name="_Toc16247586"/>
      <w:bookmarkStart w:id="108" w:name="_Toc16250049"/>
      <w:bookmarkStart w:id="109" w:name="_Toc16256904"/>
      <w:r w:rsidRPr="00B442BD">
        <w:t>Coal imports</w:t>
      </w:r>
      <w:bookmarkEnd w:id="104"/>
    </w:p>
    <w:p w14:paraId="56FF2C4D" w14:textId="77777777" w:rsidR="006662A6" w:rsidRPr="00B56416" w:rsidRDefault="006662A6" w:rsidP="00540E67">
      <w:pPr>
        <w:pStyle w:val="Heading3"/>
      </w:pPr>
      <w:r>
        <w:t>Trends and policies</w:t>
      </w:r>
    </w:p>
    <w:p w14:paraId="16537193" w14:textId="5C4BBEC6" w:rsidR="006662A6" w:rsidRDefault="006662A6" w:rsidP="00540E67">
      <w:pPr>
        <w:pStyle w:val="BodyText"/>
      </w:pPr>
      <w:r>
        <w:t>Prior to 2003, India was either at, or close to, total self-sufficiency in thermal coal. A combination of rapidly increasing consumption and stalling production underpinned a surge in India’s coal imports from the mid-2000s onwards (Figure 1.11). In 2013, India overtook Japan to become the world’s second largest thermal coal importer, and has increasingly become a driving force in international thermal coal markets.</w:t>
      </w:r>
    </w:p>
    <w:p w14:paraId="1A38C196" w14:textId="051404E2" w:rsidR="006662A6" w:rsidRDefault="006662A6" w:rsidP="00540E67">
      <w:pPr>
        <w:pStyle w:val="BodyText"/>
      </w:pPr>
      <w:r>
        <w:t>Imports declined for a couple of years beginning 2013–14, due to government efforts to boost production combined with slowing industrial production growth (which weighed on power demand). However</w:t>
      </w:r>
      <w:r w:rsidR="00C8407F">
        <w:t>,</w:t>
      </w:r>
      <w:r>
        <w:t xml:space="preserve"> imports bounced back in the subsequent years, as power demand rebounded. India now relies on imports for around a fifth of its thermal coal consumption.</w:t>
      </w:r>
    </w:p>
    <w:p w14:paraId="0E675F47" w14:textId="2C1EDF08" w:rsidR="006662A6" w:rsidRDefault="006662A6" w:rsidP="00540E67">
      <w:pPr>
        <w:pStyle w:val="BodyText"/>
      </w:pPr>
      <w:r>
        <w:t>Despite the ongoing government target of self-sufficiency, the power and industrial sectors have had to source thermal coal from the seaborne market, with domestic production and infrastructure capacity failing to keep pace with consumption. Coal India has missed its production target every year since 2011, although it came close in 2018–19. It is likely that achieving self-sufficiency in thermal coal will remain on the Indian government’s agenda.</w:t>
      </w:r>
      <w:r>
        <w:rPr>
          <w:rStyle w:val="EndnoteReference"/>
        </w:rPr>
        <w:endnoteReference w:id="58"/>
      </w:r>
    </w:p>
    <w:p w14:paraId="2EBEDAB8" w14:textId="3E1E4A99" w:rsidR="006662A6" w:rsidRDefault="006662A6" w:rsidP="00540E67">
      <w:pPr>
        <w:pStyle w:val="Caption"/>
      </w:pPr>
      <w:r>
        <w:t>Figure</w:t>
      </w:r>
      <w:r w:rsidRPr="000618FB">
        <w:t xml:space="preserve"> </w:t>
      </w:r>
      <w:r>
        <w:rPr>
          <w:noProof/>
        </w:rPr>
        <w:t>1</w:t>
      </w:r>
      <w:r w:rsidRPr="000618FB">
        <w:t>.</w:t>
      </w:r>
      <w:r>
        <w:t>11: India’s coal imports and thermal coal self-sufficiency</w:t>
      </w:r>
    </w:p>
    <w:tbl>
      <w:tblPr>
        <w:tblStyle w:val="OCETable"/>
        <w:tblW w:w="4940" w:type="pct"/>
        <w:tblInd w:w="108" w:type="dxa"/>
        <w:tblLayout w:type="fixed"/>
        <w:tblLook w:val="04A0" w:firstRow="1" w:lastRow="0" w:firstColumn="1" w:lastColumn="0" w:noHBand="0" w:noVBand="1"/>
        <w:tblCaption w:val="Table contains figure 1.11"/>
      </w:tblPr>
      <w:tblGrid>
        <w:gridCol w:w="8918"/>
      </w:tblGrid>
      <w:tr w:rsidR="006662A6" w14:paraId="38F45965" w14:textId="77777777" w:rsidTr="003D6E2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6AD999F6" w14:textId="14EB7112" w:rsidR="006662A6" w:rsidRDefault="006662A6" w:rsidP="00540E67">
            <w:pPr>
              <w:pStyle w:val="PlaceholderWide"/>
            </w:pPr>
            <w:r>
              <w:rPr>
                <w:noProof/>
                <w:lang w:eastAsia="en-AU"/>
              </w:rPr>
              <w:drawing>
                <wp:inline distT="0" distB="0" distL="0" distR="0" wp14:anchorId="275D76EA" wp14:editId="16E60393">
                  <wp:extent cx="5286375" cy="2162175"/>
                  <wp:effectExtent l="0" t="0" r="0" b="0"/>
                  <wp:docPr id="35" name="Chart 35" descr="This chart shows how India's imports of thermal and met coal have increased rapidly since the end of last decade." title="Figure 1.11: India’s coal imports and thermal coal self-suffici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116483E" w14:textId="5006E5F1" w:rsidR="006662A6" w:rsidRDefault="006662A6" w:rsidP="00540E67">
      <w:pPr>
        <w:pStyle w:val="Source"/>
        <w:jc w:val="left"/>
      </w:pPr>
      <w:r>
        <w:t xml:space="preserve">Notes: Import requirements are thermal coal imports as a share of total thermal coal consumption. </w:t>
      </w:r>
      <w:r>
        <w:br/>
      </w:r>
      <w:r w:rsidRPr="00540E67">
        <w:t>Source: IEA (2018) Coal Information 2018, IHS (2019)</w:t>
      </w:r>
      <w:r>
        <w:t xml:space="preserve"> India coal data tables, June 2019</w:t>
      </w:r>
      <w:r w:rsidRPr="00540E67">
        <w:t>, Indian Department of Commerce (2019) Export Import Data Bank</w:t>
      </w:r>
    </w:p>
    <w:p w14:paraId="1EDE301E" w14:textId="77777777" w:rsidR="006662A6" w:rsidRDefault="006662A6" w:rsidP="00540E67">
      <w:pPr>
        <w:pStyle w:val="Heading3"/>
      </w:pPr>
      <w:r>
        <w:t>Import sources</w:t>
      </w:r>
    </w:p>
    <w:p w14:paraId="4CE8AE36" w14:textId="623F7DD0" w:rsidR="006662A6" w:rsidRDefault="006662A6" w:rsidP="00540E67">
      <w:pPr>
        <w:pStyle w:val="BodyText"/>
      </w:pPr>
      <w:r>
        <w:t>Indonesia has been the primary source of thermal coal imports for India, driven by two key factors. The similar properties of Indonesian and Indian coal makes it easy to substitute Indonesian coal into India’s coal-fired power generation fleet, which has largely been designed for low</w:t>
      </w:r>
      <w:r w:rsidR="00313894">
        <w:t>-</w:t>
      </w:r>
      <w:r>
        <w:t>energy, high</w:t>
      </w:r>
      <w:r w:rsidR="00313894">
        <w:t>-</w:t>
      </w:r>
      <w:r>
        <w:t xml:space="preserve">ash coal. The relatively low cost of Indonesian coal is also appealing to Indian buyers, who are relatively price sensitive. </w:t>
      </w:r>
    </w:p>
    <w:p w14:paraId="15703A1E" w14:textId="3DB627DA" w:rsidR="006662A6" w:rsidRDefault="006662A6" w:rsidP="00540E67">
      <w:pPr>
        <w:pStyle w:val="BodyText"/>
      </w:pPr>
      <w:r>
        <w:t>India also imports smaller volumes of thermal coal from the US, Australia, South Africa, Colombia, and Russia (Figure 1.12). Imports from the US have increased in recent years, driven by a ban on petroleum coke (or ‘petcoke’) use in the three states surrounding New Delhi, to improve air quality. Petcoke is a refinery by-product used as a cheaper substitute for coal, and is more carbon and sulphur-intensive. As a result of the ban, buyers replaced local petcoke with coal from the US Northern Appalachia region — which has comparable costs on a per kilocalorie basis, but lower sulphur content.</w:t>
      </w:r>
      <w:r>
        <w:rPr>
          <w:rStyle w:val="EndnoteReference"/>
        </w:rPr>
        <w:endnoteReference w:id="59"/>
      </w:r>
    </w:p>
    <w:p w14:paraId="0D7244FA" w14:textId="20FBEFCB" w:rsidR="006662A6" w:rsidRDefault="006662A6" w:rsidP="00540E67">
      <w:pPr>
        <w:pStyle w:val="Caption"/>
        <w:spacing w:after="0"/>
      </w:pPr>
      <w:r>
        <w:t>Figure</w:t>
      </w:r>
      <w:r w:rsidRPr="000618FB">
        <w:t xml:space="preserve"> </w:t>
      </w:r>
      <w:r>
        <w:rPr>
          <w:noProof/>
        </w:rPr>
        <w:t>1</w:t>
      </w:r>
      <w:r w:rsidRPr="000618FB">
        <w:t>.</w:t>
      </w:r>
      <w:r>
        <w:t>12: India’s thermal coal imports by source</w:t>
      </w:r>
    </w:p>
    <w:tbl>
      <w:tblPr>
        <w:tblStyle w:val="OCETable"/>
        <w:tblW w:w="4730" w:type="pct"/>
        <w:tblInd w:w="108" w:type="dxa"/>
        <w:tblLayout w:type="fixed"/>
        <w:tblLook w:val="04A0" w:firstRow="1" w:lastRow="0" w:firstColumn="1" w:lastColumn="0" w:noHBand="0" w:noVBand="1"/>
        <w:tblCaption w:val="Table contains figure 1.12"/>
      </w:tblPr>
      <w:tblGrid>
        <w:gridCol w:w="8539"/>
      </w:tblGrid>
      <w:tr w:rsidR="006662A6" w14:paraId="16DA6B61" w14:textId="77777777" w:rsidTr="00F27B51">
        <w:trPr>
          <w:cnfStyle w:val="100000000000" w:firstRow="1" w:lastRow="0" w:firstColumn="0" w:lastColumn="0" w:oddVBand="0" w:evenVBand="0" w:oddHBand="0" w:evenHBand="0" w:firstRowFirstColumn="0" w:firstRowLastColumn="0" w:lastRowFirstColumn="0" w:lastRowLastColumn="0"/>
          <w:trHeight w:val="2084"/>
          <w:tblHeader/>
        </w:trPr>
        <w:tc>
          <w:tcPr>
            <w:tcW w:w="8538" w:type="dxa"/>
            <w:shd w:val="clear" w:color="auto" w:fill="auto"/>
          </w:tcPr>
          <w:p w14:paraId="73CCE782" w14:textId="062F9619" w:rsidR="006662A6" w:rsidRDefault="006662A6" w:rsidP="00540E67">
            <w:pPr>
              <w:pStyle w:val="PlaceholderWide"/>
            </w:pPr>
            <w:r>
              <w:rPr>
                <w:noProof/>
                <w:lang w:eastAsia="en-AU"/>
              </w:rPr>
              <w:drawing>
                <wp:inline distT="0" distB="0" distL="0" distR="0" wp14:anchorId="18E53634" wp14:editId="1123C96A">
                  <wp:extent cx="5334000" cy="2181225"/>
                  <wp:effectExtent l="0" t="0" r="0" b="0"/>
                  <wp:docPr id="56" name="Chart 56" descr="This chart shows where India sources its thermal coal imports from. Indonesia accounts for the bulk of India's imports, with Australia a relatively small supplier." title="Figure 1.12: India’s thermal coal imports by 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5456132C" w14:textId="77777777" w:rsidR="006662A6" w:rsidRPr="00C62F3A" w:rsidRDefault="006662A6" w:rsidP="00540E67">
      <w:pPr>
        <w:pStyle w:val="Note"/>
        <w:spacing w:after="0"/>
      </w:pPr>
      <w:r>
        <w:t>Notes: 2019 data is for January to May</w:t>
      </w:r>
    </w:p>
    <w:p w14:paraId="052A5BE6" w14:textId="77777777" w:rsidR="006662A6" w:rsidRDefault="006662A6" w:rsidP="00540E67">
      <w:pPr>
        <w:pStyle w:val="Source"/>
        <w:spacing w:after="0"/>
      </w:pPr>
      <w:r>
        <w:t>Source: IHS (2019) India coal data tables, June 2019</w:t>
      </w:r>
    </w:p>
    <w:p w14:paraId="0C54C602" w14:textId="096E76D7" w:rsidR="006662A6" w:rsidRPr="00162DC1" w:rsidRDefault="006662A6" w:rsidP="00214E08">
      <w:pPr>
        <w:pStyle w:val="Heading2"/>
      </w:pPr>
      <w:bookmarkStart w:id="110" w:name="_Toc17210780"/>
      <w:r w:rsidRPr="00162DC1">
        <w:t>Coal consumption</w:t>
      </w:r>
      <w:bookmarkEnd w:id="105"/>
      <w:bookmarkEnd w:id="106"/>
      <w:bookmarkEnd w:id="107"/>
      <w:bookmarkEnd w:id="108"/>
      <w:bookmarkEnd w:id="109"/>
      <w:bookmarkEnd w:id="110"/>
    </w:p>
    <w:p w14:paraId="2597A930" w14:textId="1242079A" w:rsidR="006662A6" w:rsidRDefault="006662A6" w:rsidP="00CE3DCD">
      <w:pPr>
        <w:pStyle w:val="BodyText"/>
      </w:pPr>
      <w:r>
        <w:t>India is the world’s second largest coal consumer, behind China, with coal consumption reaching 942 million tonnes in 2017:</w:t>
      </w:r>
    </w:p>
    <w:p w14:paraId="24EE3BCE" w14:textId="67A99876" w:rsidR="006662A6" w:rsidRDefault="006662A6" w:rsidP="00345B54">
      <w:pPr>
        <w:pStyle w:val="ListBullet"/>
        <w:numPr>
          <w:ilvl w:val="0"/>
          <w:numId w:val="16"/>
        </w:numPr>
      </w:pPr>
      <w:r>
        <w:t xml:space="preserve">thermal coal accounts for 86 per cent (or 806 million tonnes) of India’s coal consumption </w:t>
      </w:r>
    </w:p>
    <w:p w14:paraId="793CFC8A" w14:textId="2617DC69" w:rsidR="006662A6" w:rsidRDefault="006662A6" w:rsidP="00345B54">
      <w:pPr>
        <w:pStyle w:val="ListBullet"/>
        <w:numPr>
          <w:ilvl w:val="0"/>
          <w:numId w:val="16"/>
        </w:numPr>
      </w:pPr>
      <w:r>
        <w:t>lignite (or brown coal) accounts for 5 per cent (or 47 million tonnes)</w:t>
      </w:r>
    </w:p>
    <w:p w14:paraId="149A0098" w14:textId="6687BEE2" w:rsidR="006662A6" w:rsidRDefault="006662A6" w:rsidP="00345B54">
      <w:pPr>
        <w:pStyle w:val="ListBullet"/>
        <w:numPr>
          <w:ilvl w:val="0"/>
          <w:numId w:val="16"/>
        </w:numPr>
      </w:pPr>
      <w:r>
        <w:t>metallurgical coal accounts for 9 per cent (or 89 million tonnes).</w:t>
      </w:r>
      <w:r>
        <w:rPr>
          <w:rStyle w:val="EndnoteReference"/>
        </w:rPr>
        <w:endnoteReference w:id="60"/>
      </w:r>
    </w:p>
    <w:p w14:paraId="23CCD33E" w14:textId="5CB9F92B" w:rsidR="006662A6" w:rsidRDefault="006662A6" w:rsidP="00AD24D4">
      <w:pPr>
        <w:pStyle w:val="ListBullet"/>
        <w:ind w:left="0" w:firstLine="0"/>
      </w:pPr>
      <w:r>
        <w:t>Coal consumption has grown rapidly in India over the last two decades, primarily driven by substantial growth in thermal coal use, which increased at an annual average rate of 6.3 per cent between 1978 and 2017 (Figure 1.13). The power sector accounts for almost 70 per cent of India’s coal consumption</w:t>
      </w:r>
      <w:r>
        <w:rPr>
          <w:rStyle w:val="EndnoteReference"/>
        </w:rPr>
        <w:endnoteReference w:id="61"/>
      </w:r>
      <w:r>
        <w:t>, and thus remains central to the outlook for coal consumption in India.</w:t>
      </w:r>
    </w:p>
    <w:p w14:paraId="1D293079" w14:textId="2661CDD1" w:rsidR="006662A6" w:rsidRPr="00EF5619" w:rsidRDefault="006662A6" w:rsidP="004E5115">
      <w:pPr>
        <w:pStyle w:val="ListBullet"/>
        <w:ind w:left="0" w:firstLine="0"/>
      </w:pPr>
      <w:r>
        <w:t>In more recent years, metallurgical coal consumption has increased considerably, driven by India’s rapidly expanding steel sector. The 2017 National Steel Policy</w:t>
      </w:r>
      <w:r>
        <w:rPr>
          <w:rStyle w:val="EndnoteReference"/>
        </w:rPr>
        <w:endnoteReference w:id="62"/>
      </w:r>
      <w:r>
        <w:t xml:space="preserve"> contains an ambitious plan for India’s steel </w:t>
      </w:r>
      <w:r w:rsidR="00E94EE5">
        <w:t xml:space="preserve">production </w:t>
      </w:r>
      <w:r>
        <w:t>capacity to reach 300 million tonnes by 2030. Other industrial sectors also use coal, including the cement industry and brick manufacturing.</w:t>
      </w:r>
    </w:p>
    <w:p w14:paraId="54A8E159" w14:textId="6B18F00A" w:rsidR="006662A6" w:rsidRDefault="006662A6" w:rsidP="00E165D2">
      <w:pPr>
        <w:pStyle w:val="Caption"/>
      </w:pPr>
      <w:r>
        <w:t>Figure</w:t>
      </w:r>
      <w:r w:rsidRPr="000618FB">
        <w:t xml:space="preserve"> </w:t>
      </w:r>
      <w:r>
        <w:t>1</w:t>
      </w:r>
      <w:r w:rsidRPr="000618FB">
        <w:t>.</w:t>
      </w:r>
      <w:r>
        <w:t>13: India’s coal consumption</w:t>
      </w:r>
    </w:p>
    <w:tbl>
      <w:tblPr>
        <w:tblStyle w:val="OCETable"/>
        <w:tblW w:w="4940" w:type="pct"/>
        <w:tblInd w:w="108" w:type="dxa"/>
        <w:tblLayout w:type="fixed"/>
        <w:tblLook w:val="04A0" w:firstRow="1" w:lastRow="0" w:firstColumn="1" w:lastColumn="0" w:noHBand="0" w:noVBand="1"/>
        <w:tblCaption w:val="Table contains figure 1.13"/>
      </w:tblPr>
      <w:tblGrid>
        <w:gridCol w:w="8918"/>
      </w:tblGrid>
      <w:tr w:rsidR="006662A6" w14:paraId="5B24D166" w14:textId="77777777" w:rsidTr="00F27B5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6DD9E4A0" w14:textId="0CD7E745" w:rsidR="006662A6" w:rsidRDefault="006662A6" w:rsidP="00564849">
            <w:pPr>
              <w:pStyle w:val="PlaceholderWide"/>
            </w:pPr>
            <w:r w:rsidRPr="00400867">
              <w:rPr>
                <w:noProof/>
                <w:lang w:eastAsia="en-AU"/>
              </w:rPr>
              <w:drawing>
                <wp:inline distT="0" distB="0" distL="0" distR="0" wp14:anchorId="51CFEDAD" wp14:editId="24F2A507">
                  <wp:extent cx="5760000" cy="2160000"/>
                  <wp:effectExtent l="0" t="0" r="0" b="0"/>
                  <wp:docPr id="2" name="Chart 2" descr="This chart shows how India's consumption of thermal and met coal, and lignite, have grown since the late 1970s. Thermal coal accounts for the overwhelming majority of coal consumption in India in terms of volumes." title="Figure 1.13: India’s coal consump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0018658" w14:textId="439A8D4B" w:rsidR="006662A6" w:rsidRDefault="006662A6" w:rsidP="00BC560B">
      <w:pPr>
        <w:pStyle w:val="Source"/>
        <w:pBdr>
          <w:bottom w:val="single" w:sz="4" w:space="0" w:color="595A5B"/>
        </w:pBdr>
      </w:pPr>
      <w:r>
        <w:t>Source: IEA (2018) Coal Information</w:t>
      </w:r>
    </w:p>
    <w:p w14:paraId="00BEEBBB" w14:textId="32FEE026" w:rsidR="006662A6" w:rsidRDefault="006662A6" w:rsidP="00214E08">
      <w:pPr>
        <w:pStyle w:val="Heading3"/>
      </w:pPr>
      <w:r w:rsidRPr="0037266D">
        <w:t>Coal-fired power generation</w:t>
      </w:r>
    </w:p>
    <w:p w14:paraId="1D2F6FB9" w14:textId="202CC2C5" w:rsidR="006662A6" w:rsidRDefault="006662A6" w:rsidP="001F5D18">
      <w:pPr>
        <w:pStyle w:val="BodyText"/>
      </w:pPr>
      <w:r>
        <w:t xml:space="preserve">India has invested heavily in new coal-fired power generation over the past few decades, in response to rapid growth in electricity consumption and shortfalls in energy supply. In mid-2019, installed coal-fired power </w:t>
      </w:r>
      <w:r w:rsidR="00313894">
        <w:t xml:space="preserve">capacity </w:t>
      </w:r>
      <w:r>
        <w:t>totalled over 200 GW.</w:t>
      </w:r>
      <w:r>
        <w:rPr>
          <w:rStyle w:val="EndnoteReference"/>
        </w:rPr>
        <w:endnoteReference w:id="63"/>
      </w:r>
      <w:r>
        <w:t xml:space="preserve"> The rate of growth in India’s coal-fired power generation accelerated in the mid-2000s, with installed capacity more than doubling in just six years (Figure 1.14).</w:t>
      </w:r>
    </w:p>
    <w:p w14:paraId="4BEC2F29" w14:textId="3DD138C3" w:rsidR="006662A6" w:rsidRDefault="006662A6" w:rsidP="001F5D18">
      <w:pPr>
        <w:pStyle w:val="BodyText"/>
      </w:pPr>
      <w:r>
        <w:t>The pace of growth in power-generation capacity has declined sharply since 2012. In 2018, an estimated 5.7 GW of coal-fired power capacity was added, the lowest rate of addition in more than a decade. The sharp decline has been driven by slowing investment and growing cancellations of coal-fired power projects, with the total stock of cancelled capacity reaching almost 300 GW.</w:t>
      </w:r>
      <w:r>
        <w:rPr>
          <w:rStyle w:val="EndnoteReference"/>
        </w:rPr>
        <w:endnoteReference w:id="64"/>
      </w:r>
      <w:r>
        <w:t xml:space="preserve"> The surge in project cancellations is a result of a glut in power supply and underutilisation of existing coal-fired power capacity. Utilisation rate</w:t>
      </w:r>
      <w:r w:rsidR="00F838FD" w:rsidRPr="00F838FD">
        <w:rPr>
          <w:noProof/>
          <w:lang w:eastAsia="en-AU"/>
        </w:rPr>
        <w:t xml:space="preserve"> </w:t>
      </w:r>
      <w:r>
        <w:t>s for coal-fired power stations have steadily declined over the last decade and remain low at around 60 per cent (Figure 1.15).</w:t>
      </w:r>
    </w:p>
    <w:p w14:paraId="15626AC4" w14:textId="20B0F910" w:rsidR="006662A6" w:rsidRDefault="006662A6" w:rsidP="009F76FF">
      <w:pPr>
        <w:pStyle w:val="Caption"/>
      </w:pPr>
      <w:r>
        <w:t>Figure</w:t>
      </w:r>
      <w:r w:rsidRPr="000618FB">
        <w:t xml:space="preserve"> </w:t>
      </w:r>
      <w:r>
        <w:t>1</w:t>
      </w:r>
      <w:r w:rsidRPr="000618FB">
        <w:t>.</w:t>
      </w:r>
      <w:r>
        <w:t>14: India’s installed coal-fired power capacity</w:t>
      </w:r>
    </w:p>
    <w:tbl>
      <w:tblPr>
        <w:tblStyle w:val="OCETable"/>
        <w:tblW w:w="4923" w:type="pct"/>
        <w:tblInd w:w="108" w:type="dxa"/>
        <w:tblLayout w:type="fixed"/>
        <w:tblLook w:val="04A0" w:firstRow="1" w:lastRow="0" w:firstColumn="1" w:lastColumn="0" w:noHBand="0" w:noVBand="1"/>
        <w:tblCaption w:val="Table contains figure 1.14"/>
      </w:tblPr>
      <w:tblGrid>
        <w:gridCol w:w="8887"/>
      </w:tblGrid>
      <w:tr w:rsidR="006662A6" w14:paraId="414C4141" w14:textId="77777777" w:rsidTr="002602F7">
        <w:trPr>
          <w:cnfStyle w:val="100000000000" w:firstRow="1" w:lastRow="0" w:firstColumn="0" w:lastColumn="0" w:oddVBand="0" w:evenVBand="0" w:oddHBand="0" w:evenHBand="0" w:firstRowFirstColumn="0" w:firstRowLastColumn="0" w:lastRowFirstColumn="0" w:lastRowLastColumn="0"/>
          <w:trHeight w:val="2621"/>
          <w:tblHeader/>
        </w:trPr>
        <w:tc>
          <w:tcPr>
            <w:tcW w:w="8887" w:type="dxa"/>
            <w:shd w:val="clear" w:color="auto" w:fill="auto"/>
          </w:tcPr>
          <w:p w14:paraId="7BA69919" w14:textId="69D2D796" w:rsidR="006662A6" w:rsidRDefault="006662A6" w:rsidP="009F76FF">
            <w:pPr>
              <w:pStyle w:val="PlaceholderWide"/>
            </w:pPr>
            <w:r>
              <w:rPr>
                <w:noProof/>
                <w:lang w:eastAsia="en-AU"/>
              </w:rPr>
              <w:t xml:space="preserve"> </w:t>
            </w:r>
            <w:r>
              <w:rPr>
                <w:noProof/>
                <w:lang w:eastAsia="en-AU"/>
              </w:rPr>
              <w:drawing>
                <wp:inline distT="0" distB="0" distL="0" distR="0" wp14:anchorId="68891BEA" wp14:editId="0BB1B5E4">
                  <wp:extent cx="5663184" cy="2162175"/>
                  <wp:effectExtent l="0" t="0" r="0" b="0"/>
                  <wp:docPr id="42" name="Chart 42" descr="This chart shows how growth in India's installed coal-fired power capacity accelerated from around the mid-2000s, but how growth has slowed more recently." title="Figure 1.14: India’s installed coal-fired power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5A996ED5" w14:textId="008BB1FD" w:rsidR="006662A6" w:rsidRDefault="006662A6" w:rsidP="000E6456">
      <w:pPr>
        <w:pStyle w:val="Source"/>
        <w:pBdr>
          <w:bottom w:val="single" w:sz="4" w:space="0" w:color="595A5B"/>
        </w:pBdr>
      </w:pPr>
      <w:r>
        <w:t>Source</w:t>
      </w:r>
      <w:r w:rsidR="0003704F">
        <w:t>:</w:t>
      </w:r>
      <w:r>
        <w:t xml:space="preserve"> Platts (2019) World Electric Power Plants database, March 2019.</w:t>
      </w:r>
    </w:p>
    <w:p w14:paraId="400126ED" w14:textId="119D2F14" w:rsidR="006662A6" w:rsidRDefault="006662A6" w:rsidP="00A55C93">
      <w:pPr>
        <w:pStyle w:val="Caption"/>
      </w:pPr>
      <w:r>
        <w:t>Figure</w:t>
      </w:r>
      <w:r w:rsidRPr="000618FB">
        <w:t xml:space="preserve"> </w:t>
      </w:r>
      <w:r>
        <w:t>1</w:t>
      </w:r>
      <w:r w:rsidRPr="000618FB">
        <w:t>.</w:t>
      </w:r>
      <w:r>
        <w:t>15: Plant load factor at India’s coal-fired power stations</w:t>
      </w:r>
    </w:p>
    <w:tbl>
      <w:tblPr>
        <w:tblStyle w:val="OCETable"/>
        <w:tblW w:w="4940" w:type="pct"/>
        <w:tblInd w:w="108" w:type="dxa"/>
        <w:tblLayout w:type="fixed"/>
        <w:tblLook w:val="04A0" w:firstRow="1" w:lastRow="0" w:firstColumn="1" w:lastColumn="0" w:noHBand="0" w:noVBand="1"/>
        <w:tblCaption w:val="Table contains figure 1.15"/>
      </w:tblPr>
      <w:tblGrid>
        <w:gridCol w:w="8918"/>
      </w:tblGrid>
      <w:tr w:rsidR="006662A6" w14:paraId="1E6E3D63" w14:textId="77777777" w:rsidTr="002602F7">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073F3202" w14:textId="1963A409" w:rsidR="006662A6" w:rsidRDefault="006662A6" w:rsidP="00A55C93">
            <w:pPr>
              <w:pStyle w:val="PlaceholderWide"/>
            </w:pPr>
            <w:r>
              <w:rPr>
                <w:noProof/>
                <w:lang w:eastAsia="en-AU"/>
              </w:rPr>
              <w:drawing>
                <wp:inline distT="0" distB="0" distL="0" distR="0" wp14:anchorId="1E989DC0" wp14:editId="3B9BB615">
                  <wp:extent cx="5495925" cy="1924050"/>
                  <wp:effectExtent l="0" t="0" r="0" b="0"/>
                  <wp:docPr id="15" name="Chart 15" descr="This chart shows how the capacity utilisation of India's coal-fired power stations has fallen sharply since 2009." title="Figure 1.15: Plant load factor at India’s coal-fired power s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56B1F7B6" w14:textId="6961E398" w:rsidR="006662A6" w:rsidRDefault="006662A6" w:rsidP="007E243D">
      <w:pPr>
        <w:pStyle w:val="Source"/>
        <w:jc w:val="left"/>
      </w:pPr>
      <w:r>
        <w:t>Notes: 2019 data point is for the year average to May. A plant load factor (PLF) is a measure of average capacity utilisation.</w:t>
      </w:r>
      <w:r>
        <w:br/>
        <w:t>Source: IHS Markit (2019) India coal data tables, June 2019, based on Central Electricity Authority data.</w:t>
      </w:r>
    </w:p>
    <w:p w14:paraId="57672AA6" w14:textId="2B17FD35" w:rsidR="006662A6" w:rsidRDefault="006662A6" w:rsidP="00DF50CD">
      <w:pPr>
        <w:pStyle w:val="BodyText"/>
      </w:pPr>
      <w:r>
        <w:t>Coal-fired power plants have remained underutilised because power producers have struggled to sell all the electricity they produce from existing plants, due to weaker than expected electricity demand. India’s energy demand has grown at a slower pace than original government forecasts, with industrial activity growing more slowly than anticipated. Further, state-owned distribution companies — which are the key buyers of electricity — have struggled to increase purchases amid large debts and financial losses, due to pricing, theft and other issues (discussed earlier in this chapter). An increase in renewable capacity — which has more than doubled in the past five years (see Figure 1.4) — and improvements in energy efficiency have weighed further on demand.</w:t>
      </w:r>
      <w:r>
        <w:rPr>
          <w:rStyle w:val="EndnoteReference"/>
        </w:rPr>
        <w:endnoteReference w:id="65"/>
      </w:r>
      <w:r>
        <w:t xml:space="preserve"> </w:t>
      </w:r>
    </w:p>
    <w:p w14:paraId="462412A7" w14:textId="1E0BECCA" w:rsidR="006662A6" w:rsidRDefault="006662A6" w:rsidP="007E243D">
      <w:pPr>
        <w:pStyle w:val="BodyText"/>
      </w:pPr>
      <w:r>
        <w:t>Nevertheless, with a large share of India’s installed capacity relatively new, the existing fleet has another two decades or so of operational life remaining. Even with a subdued outlook for new additions to capacity, coal consumption is expected to continue to grow in the short-term. The outlook for India’s coal-fired power capacity and coal consumption is discussed in Chapter 2.</w:t>
      </w:r>
    </w:p>
    <w:p w14:paraId="0BC72531" w14:textId="77777777" w:rsidR="0003704F" w:rsidRDefault="0003704F">
      <w:pPr>
        <w:spacing w:after="200" w:line="276" w:lineRule="auto"/>
        <w:ind w:left="0"/>
        <w:jc w:val="left"/>
        <w:rPr>
          <w:rFonts w:asciiTheme="majorHAnsi" w:eastAsia="Times New Roman" w:hAnsiTheme="majorHAnsi" w:cs="Arial"/>
          <w:b/>
          <w:bCs/>
          <w:color w:val="005CAF"/>
          <w:kern w:val="32"/>
          <w:sz w:val="32"/>
          <w:szCs w:val="32"/>
        </w:rPr>
      </w:pPr>
      <w:bookmarkStart w:id="111" w:name="_Toc15641168"/>
      <w:bookmarkStart w:id="112" w:name="_Toc15645856"/>
      <w:bookmarkStart w:id="113" w:name="_Toc16247588"/>
      <w:bookmarkStart w:id="114" w:name="_Toc16250051"/>
      <w:bookmarkStart w:id="115" w:name="_Toc16256906"/>
      <w:r>
        <w:br w:type="page"/>
      </w:r>
    </w:p>
    <w:p w14:paraId="468BA5D6" w14:textId="233A39C6" w:rsidR="006662A6" w:rsidRDefault="006662A6" w:rsidP="00C070A0">
      <w:pPr>
        <w:pStyle w:val="Heading1"/>
      </w:pPr>
      <w:bookmarkStart w:id="116" w:name="_Toc17210781"/>
      <w:r>
        <w:t>Chapter 2: Outlook for coal in India</w:t>
      </w:r>
      <w:bookmarkEnd w:id="111"/>
      <w:bookmarkEnd w:id="112"/>
      <w:bookmarkEnd w:id="113"/>
      <w:bookmarkEnd w:id="114"/>
      <w:bookmarkEnd w:id="115"/>
      <w:bookmarkEnd w:id="116"/>
    </w:p>
    <w:p w14:paraId="7FDD1E20" w14:textId="3C5027B0" w:rsidR="006662A6" w:rsidRDefault="006662A6" w:rsidP="00BF6B8B">
      <w:pPr>
        <w:pStyle w:val="BodyText"/>
      </w:pPr>
      <w:r>
        <w:t>India is one of the world’s most rapidly expanding economies, and its population is expected to surpass China’s in the late 2020s. As such, India’s future energy requirements are expected to increase rapidly, and the country looks set to drive much of the growth in world energy demand.</w:t>
      </w:r>
    </w:p>
    <w:p w14:paraId="33B9FCDC" w14:textId="50C40F3E" w:rsidR="006662A6" w:rsidRDefault="006662A6" w:rsidP="00E37E2D">
      <w:pPr>
        <w:pStyle w:val="BodyText"/>
      </w:pPr>
      <w:r>
        <w:t xml:space="preserve">The composition of India’s future energy mix — and thus the outlook for coal in India — will depend on how India addresses the challenges faced in its energy, electricity and coal sectors, including balancing economic growth and improving access to energy while limiting air pollution and carbon emissions. </w:t>
      </w:r>
    </w:p>
    <w:p w14:paraId="2FCC85A9" w14:textId="119FE470" w:rsidR="006662A6" w:rsidRPr="00BF6B8B" w:rsidRDefault="006662A6" w:rsidP="00BF6B8B">
      <w:pPr>
        <w:pStyle w:val="BodyText"/>
      </w:pPr>
      <w:r>
        <w:t>This chapter examines the IEA’s 2018 World Energy Outlook (WEO) and other projections for India’s future coal demand, and explores prospects for further growth in India’s thermal coal imports.</w:t>
      </w:r>
    </w:p>
    <w:p w14:paraId="7665E98A" w14:textId="3050C5DE" w:rsidR="006662A6" w:rsidRDefault="006662A6" w:rsidP="00B466BC">
      <w:pPr>
        <w:pStyle w:val="Heading1"/>
      </w:pPr>
      <w:bookmarkStart w:id="117" w:name="_Toc15641169"/>
      <w:bookmarkStart w:id="118" w:name="_Toc15645857"/>
      <w:bookmarkStart w:id="119" w:name="_Toc16247589"/>
      <w:bookmarkStart w:id="120" w:name="_Toc16250052"/>
      <w:bookmarkStart w:id="121" w:name="_Toc16256907"/>
      <w:bookmarkStart w:id="122" w:name="_Toc17210782"/>
      <w:r>
        <w:t>2.1 India’s energy mix</w:t>
      </w:r>
      <w:bookmarkEnd w:id="117"/>
      <w:bookmarkEnd w:id="118"/>
      <w:bookmarkEnd w:id="119"/>
      <w:bookmarkEnd w:id="120"/>
      <w:bookmarkEnd w:id="121"/>
      <w:bookmarkEnd w:id="122"/>
    </w:p>
    <w:p w14:paraId="3E75A434" w14:textId="6DD9C330" w:rsidR="006662A6" w:rsidRDefault="006662A6" w:rsidP="0065091F">
      <w:pPr>
        <w:pStyle w:val="BodyText"/>
      </w:pPr>
      <w:r>
        <w:t>The IEA’s WEO provides three scenarios for long-term energy use and the mix of sources that will supply this energy. The scenarios are not a forecast, but rather present pathways along which the world could travel if certain conditions are met. Box 2.1 describes the assumptions underpinning the IEA’s three WEO scenarios.</w:t>
      </w:r>
    </w:p>
    <w:p w14:paraId="0BE72628" w14:textId="7038CE50" w:rsidR="006662A6" w:rsidRDefault="006662A6" w:rsidP="000F5439">
      <w:pPr>
        <w:pStyle w:val="BodyText"/>
      </w:pPr>
      <w:r w:rsidRPr="002C080D">
        <w:t>Under the IEA</w:t>
      </w:r>
      <w:r>
        <w:t>’s</w:t>
      </w:r>
      <w:r w:rsidRPr="002C080D">
        <w:t xml:space="preserve"> New Policies Scenario, India </w:t>
      </w:r>
      <w:r>
        <w:t>would be</w:t>
      </w:r>
      <w:r w:rsidRPr="002C080D">
        <w:t xml:space="preserve"> the single largest source of new energy demand to 2040, with energy demand almost doubling. Even under the IEA’s S</w:t>
      </w:r>
      <w:r>
        <w:t>ustainable Development Scenario —</w:t>
      </w:r>
      <w:r w:rsidRPr="002C080D">
        <w:t xml:space="preserve"> where energy demand </w:t>
      </w:r>
      <w:r>
        <w:t>growth is more subdued —</w:t>
      </w:r>
      <w:r w:rsidRPr="002C080D">
        <w:t xml:space="preserve"> India’s energy requirements increase</w:t>
      </w:r>
      <w:r>
        <w:t xml:space="preserve"> by</w:t>
      </w:r>
      <w:r w:rsidRPr="002C080D">
        <w:t xml:space="preserve"> over 50 per cent.</w:t>
      </w:r>
      <w:r>
        <w:t xml:space="preserve"> </w:t>
      </w:r>
      <w:r w:rsidRPr="002C080D">
        <w:t>India</w:t>
      </w:r>
      <w:r>
        <w:t xml:space="preserve"> is expected to</w:t>
      </w:r>
      <w:r w:rsidRPr="002C080D">
        <w:t xml:space="preserve"> remain the world’s third largest energy consumer, but will rapidly close the gap on China and the </w:t>
      </w:r>
      <w:r w:rsidR="00420E15">
        <w:t>US</w:t>
      </w:r>
      <w:r w:rsidRPr="002C080D">
        <w:t>.</w:t>
      </w:r>
      <w:r w:rsidRPr="000F5439">
        <w:t xml:space="preserve"> </w:t>
      </w:r>
    </w:p>
    <w:p w14:paraId="71862452" w14:textId="0731351C" w:rsidR="006662A6" w:rsidRDefault="006662A6" w:rsidP="0065091F">
      <w:pPr>
        <w:pStyle w:val="BodyText"/>
      </w:pPr>
      <w:r w:rsidRPr="002C080D">
        <w:t>Under</w:t>
      </w:r>
      <w:r>
        <w:t xml:space="preserve"> both</w:t>
      </w:r>
      <w:r w:rsidRPr="002C080D">
        <w:t xml:space="preserve"> the Current Policies Scenario and</w:t>
      </w:r>
      <w:r>
        <w:t xml:space="preserve"> the </w:t>
      </w:r>
      <w:r w:rsidRPr="002C080D">
        <w:t xml:space="preserve">New Policies Scenario, coal </w:t>
      </w:r>
      <w:r>
        <w:t>(both thermal and metallurgical)</w:t>
      </w:r>
      <w:r w:rsidRPr="002C080D">
        <w:t xml:space="preserve"> account for the vast majority of the incremental increase in </w:t>
      </w:r>
      <w:r>
        <w:t xml:space="preserve">Indian </w:t>
      </w:r>
      <w:r w:rsidRPr="002C080D">
        <w:t xml:space="preserve">energy demand, with oil and renewables the next largest contributor. Under the Sustainable Development Scenario, where the goals of the Paris Agreement are met, renewables and gas </w:t>
      </w:r>
      <w:r>
        <w:t xml:space="preserve">would </w:t>
      </w:r>
      <w:r w:rsidRPr="002C080D">
        <w:t xml:space="preserve">grow more </w:t>
      </w:r>
      <w:r>
        <w:t>rapidly, with coal consumption</w:t>
      </w:r>
      <w:r w:rsidRPr="002C080D">
        <w:t xml:space="preserve"> largely unchanged</w:t>
      </w:r>
      <w:r>
        <w:t xml:space="preserve"> (Figure 2.1)</w:t>
      </w:r>
      <w:r w:rsidRPr="002C080D">
        <w:t>.</w:t>
      </w:r>
    </w:p>
    <w:p w14:paraId="3CF1F50D" w14:textId="22765749" w:rsidR="006662A6" w:rsidRDefault="006662A6" w:rsidP="002C080D">
      <w:pPr>
        <w:pStyle w:val="Caption"/>
      </w:pPr>
      <w:r>
        <w:t>Figure</w:t>
      </w:r>
      <w:r w:rsidRPr="000618FB">
        <w:t xml:space="preserve"> </w:t>
      </w:r>
      <w:r>
        <w:t>2</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3172B3">
        <w:rPr>
          <w:noProof/>
        </w:rPr>
        <w:t>1</w:t>
      </w:r>
      <w:r w:rsidRPr="000618FB">
        <w:fldChar w:fldCharType="end"/>
      </w:r>
      <w:r>
        <w:t>: Change in India’s energy use by source under different IEA scenarios</w:t>
      </w:r>
    </w:p>
    <w:tbl>
      <w:tblPr>
        <w:tblStyle w:val="OCETable"/>
        <w:tblW w:w="4940" w:type="pct"/>
        <w:tblInd w:w="108" w:type="dxa"/>
        <w:tblLayout w:type="fixed"/>
        <w:tblLook w:val="04A0" w:firstRow="1" w:lastRow="0" w:firstColumn="1" w:lastColumn="0" w:noHBand="0" w:noVBand="1"/>
        <w:tblCaption w:val="Table contains figure 2.1"/>
      </w:tblPr>
      <w:tblGrid>
        <w:gridCol w:w="8918"/>
      </w:tblGrid>
      <w:tr w:rsidR="006662A6" w14:paraId="652CA6F2" w14:textId="77777777" w:rsidTr="00391B1A">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2952B669" w14:textId="5C91E096" w:rsidR="006662A6" w:rsidRDefault="006662A6" w:rsidP="002D2548">
            <w:pPr>
              <w:pStyle w:val="PlaceholderWide"/>
            </w:pPr>
            <w:r>
              <w:rPr>
                <w:noProof/>
                <w:lang w:eastAsia="en-AU"/>
              </w:rPr>
              <w:drawing>
                <wp:inline distT="0" distB="0" distL="0" distR="0" wp14:anchorId="6361C124" wp14:editId="5FA51DB1">
                  <wp:extent cx="5760000" cy="2247900"/>
                  <wp:effectExtent l="0" t="0" r="0" b="0"/>
                  <wp:docPr id="6" name="Chart 6" descr="This chart shows the change in India’s energy use by source under different IEA scenarios." title="Figure 2.1: Change in India’s energy use by source under different IEA scenario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7D0D72B8" w14:textId="4E4FCF98" w:rsidR="006662A6" w:rsidRPr="00C62F3A" w:rsidRDefault="006662A6" w:rsidP="002D2548">
      <w:pPr>
        <w:pStyle w:val="Note"/>
      </w:pPr>
      <w:r>
        <w:t>Notes: Renewables includes hydro, bioenergy and other renewables (wind, solar etc</w:t>
      </w:r>
      <w:r w:rsidR="00420E15">
        <w:t>.</w:t>
      </w:r>
      <w:r>
        <w:t>)</w:t>
      </w:r>
    </w:p>
    <w:p w14:paraId="07F6F0C3" w14:textId="572E7446" w:rsidR="006662A6" w:rsidRDefault="006662A6" w:rsidP="002C080D">
      <w:pPr>
        <w:pStyle w:val="Source"/>
      </w:pPr>
      <w:r>
        <w:t xml:space="preserve">Source: </w:t>
      </w:r>
      <w:r w:rsidRPr="0024119F">
        <w:t>IEA (2018) World Energy Outlook 2018</w:t>
      </w:r>
      <w:r>
        <w:t xml:space="preserve">, </w:t>
      </w:r>
      <w:r w:rsidRPr="0024119F">
        <w:t>Int</w:t>
      </w:r>
      <w:r>
        <w:t>ernational Energy Agency</w:t>
      </w:r>
    </w:p>
    <w:p w14:paraId="53A92287" w14:textId="77777777" w:rsidR="006662A6" w:rsidRDefault="006662A6" w:rsidP="0065091F">
      <w:pPr>
        <w:pStyle w:val="BodyText"/>
      </w:pPr>
    </w:p>
    <w:p w14:paraId="0DB30327" w14:textId="2B8E143C" w:rsidR="006662A6" w:rsidRDefault="006662A6" w:rsidP="0068710E">
      <w:pPr>
        <w:pStyle w:val="BodyText"/>
        <w:rPr>
          <w:lang w:val="en"/>
        </w:rPr>
      </w:pPr>
      <w:r>
        <w:rPr>
          <w:lang w:val="en"/>
        </w:rPr>
        <w:t>Under all three scenarios, coal (both thermal and metallurgical) is expected to remain an important part of India’s energy mix (Figure 2.2). Under the Current Policies Scenario, coal would increase its share of India’s energy mix to 50 per cent over the next two decades. Coal’s share would drift lower in the New Policies Scenario but would fall more sharply under the Sustainable Development Scenario. However, even under the Sustainable Development Scenario — where growth in renewable energy is strongest — coal would still account for 28 per cent of India’s total energy demand in 2040.</w:t>
      </w:r>
    </w:p>
    <w:p w14:paraId="7B9816D8" w14:textId="04AB0E01" w:rsidR="006662A6" w:rsidRDefault="006662A6" w:rsidP="0036397E">
      <w:pPr>
        <w:pStyle w:val="Caption"/>
      </w:pPr>
      <w:r>
        <w:t>Figure 2</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3172B3">
        <w:rPr>
          <w:noProof/>
        </w:rPr>
        <w:t>2</w:t>
      </w:r>
      <w:r w:rsidRPr="000618FB">
        <w:fldChar w:fldCharType="end"/>
      </w:r>
      <w:r>
        <w:t>: India’s energy mix under three different IEA scenarios</w:t>
      </w:r>
    </w:p>
    <w:tbl>
      <w:tblPr>
        <w:tblStyle w:val="OCETable"/>
        <w:tblW w:w="4940" w:type="pct"/>
        <w:tblInd w:w="108" w:type="dxa"/>
        <w:tblLayout w:type="fixed"/>
        <w:tblLook w:val="04A0" w:firstRow="1" w:lastRow="0" w:firstColumn="1" w:lastColumn="0" w:noHBand="0" w:noVBand="1"/>
        <w:tblCaption w:val="Table contains figure 2.2"/>
      </w:tblPr>
      <w:tblGrid>
        <w:gridCol w:w="8918"/>
      </w:tblGrid>
      <w:tr w:rsidR="006662A6" w14:paraId="6FBC2C94" w14:textId="77777777" w:rsidTr="00391B1A">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14B1454C" w14:textId="3654FB1D" w:rsidR="006662A6" w:rsidRDefault="006662A6" w:rsidP="002D2548">
            <w:pPr>
              <w:pStyle w:val="PlaceholderWide"/>
            </w:pPr>
            <w:r>
              <w:rPr>
                <w:noProof/>
                <w:lang w:eastAsia="en-AU"/>
              </w:rPr>
              <w:drawing>
                <wp:inline distT="0" distB="0" distL="0" distR="0" wp14:anchorId="75325E99" wp14:editId="5C70F5E0">
                  <wp:extent cx="5695950" cy="2162175"/>
                  <wp:effectExtent l="0" t="0" r="0" b="0"/>
                  <wp:docPr id="17" name="Chart 17" descr="This chart shows India’s energy mix under three different IEA scenarios." title="Figure 2.2: India’s energy mix under three different IEA scenario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21071DE8" w14:textId="49F05D7E" w:rsidR="006662A6" w:rsidRPr="00C62F3A" w:rsidRDefault="006662A6" w:rsidP="002D2548">
      <w:pPr>
        <w:pStyle w:val="Note"/>
      </w:pPr>
      <w:r>
        <w:t>Notes: Renewables includes hydro, bioenergy and other renewables (wind, solar etc).</w:t>
      </w:r>
    </w:p>
    <w:p w14:paraId="291315BD" w14:textId="0050471F" w:rsidR="006662A6" w:rsidRDefault="006662A6" w:rsidP="0036397E">
      <w:pPr>
        <w:pStyle w:val="Source"/>
      </w:pPr>
      <w:r>
        <w:t xml:space="preserve">Source: </w:t>
      </w:r>
      <w:r w:rsidRPr="0024119F">
        <w:t>IEA (2018) World Energy Outlook 2018</w:t>
      </w:r>
      <w:r>
        <w:t xml:space="preserve">, </w:t>
      </w:r>
      <w:r w:rsidRPr="0024119F">
        <w:t>Int</w:t>
      </w:r>
      <w:r>
        <w:t>ernational Energy Agency</w:t>
      </w:r>
    </w:p>
    <w:p w14:paraId="234310D4" w14:textId="010784B8" w:rsidR="006662A6" w:rsidRDefault="006662A6" w:rsidP="0081328C">
      <w:pPr>
        <w:pStyle w:val="Caption"/>
      </w:pPr>
      <w:r w:rsidRPr="00D26202">
        <w:t>Box</w:t>
      </w:r>
      <w:r>
        <w:t xml:space="preserve"> </w:t>
      </w:r>
      <w:r>
        <w:rPr>
          <w:noProof/>
        </w:rPr>
        <w:t>2.</w:t>
      </w:r>
      <w:r>
        <w:rPr>
          <w:noProof/>
        </w:rPr>
        <w:fldChar w:fldCharType="begin"/>
      </w:r>
      <w:r>
        <w:rPr>
          <w:noProof/>
        </w:rPr>
        <w:instrText xml:space="preserve"> SEQ Box \* ARABIC \s 1  </w:instrText>
      </w:r>
      <w:r>
        <w:rPr>
          <w:noProof/>
        </w:rPr>
        <w:fldChar w:fldCharType="separate"/>
      </w:r>
      <w:r w:rsidR="003172B3">
        <w:rPr>
          <w:noProof/>
        </w:rPr>
        <w:t>1</w:t>
      </w:r>
      <w:r>
        <w:rPr>
          <w:noProof/>
        </w:rPr>
        <w:fldChar w:fldCharType="end"/>
      </w:r>
      <w:r>
        <w:t>: IEA World Energy Outlook scenarios and assumptions</w:t>
      </w:r>
    </w:p>
    <w:tbl>
      <w:tblPr>
        <w:tblStyle w:val="OCETable"/>
        <w:tblW w:w="5000" w:type="pct"/>
        <w:tblInd w:w="57" w:type="dxa"/>
        <w:shd w:val="clear" w:color="auto" w:fill="DEE8F1"/>
        <w:tblLayout w:type="fixed"/>
        <w:tblLook w:val="04A0" w:firstRow="1" w:lastRow="0" w:firstColumn="1" w:lastColumn="0" w:noHBand="0" w:noVBand="1"/>
        <w:tblCaption w:val="Table contains box 2.1"/>
      </w:tblPr>
      <w:tblGrid>
        <w:gridCol w:w="9026"/>
      </w:tblGrid>
      <w:tr w:rsidR="006662A6" w14:paraId="24F5EE9D" w14:textId="77777777" w:rsidTr="000F543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DEE8F1"/>
          </w:tcPr>
          <w:p w14:paraId="187B421D" w14:textId="56F1A542" w:rsidR="006662A6" w:rsidRPr="00E11EEF" w:rsidRDefault="006662A6" w:rsidP="003A011B">
            <w:pPr>
              <w:pStyle w:val="BodyText"/>
              <w:rPr>
                <w:color w:val="005CAF"/>
                <w:sz w:val="22"/>
              </w:rPr>
            </w:pPr>
            <w:r w:rsidRPr="00E11EEF">
              <w:rPr>
                <w:color w:val="005CAF"/>
                <w:sz w:val="22"/>
              </w:rPr>
              <w:t>IEA WEO scenarios</w:t>
            </w:r>
          </w:p>
          <w:p w14:paraId="1DC00C3A" w14:textId="052C9CA3" w:rsidR="006662A6" w:rsidRDefault="006662A6" w:rsidP="003A011B">
            <w:pPr>
              <w:pStyle w:val="BodyText"/>
            </w:pPr>
            <w:r>
              <w:t>The IEA WEO scenarios are primarily underpinned by different assumptions about the evolution of government policies on energy and climate.</w:t>
            </w:r>
          </w:p>
          <w:p w14:paraId="3A09C603" w14:textId="5621E978" w:rsidR="006662A6" w:rsidRDefault="006662A6" w:rsidP="003A011B">
            <w:pPr>
              <w:pStyle w:val="BodyText"/>
            </w:pPr>
            <w:r>
              <w:t xml:space="preserve">The central </w:t>
            </w:r>
            <w:r w:rsidRPr="00735F38">
              <w:rPr>
                <w:b/>
              </w:rPr>
              <w:t xml:space="preserve">New Policies Scenario </w:t>
            </w:r>
            <w:r>
              <w:t>incorporates policies and measures that governments have already put in place, and takes into account the effects of announced policies in official targets and plans. This includes the Nationally Determined Contributions of the Paris Agreement, although these may also be supplemented or superseded by more recent announcements.</w:t>
            </w:r>
          </w:p>
          <w:p w14:paraId="70E060FE" w14:textId="10079203" w:rsidR="006662A6" w:rsidRDefault="006662A6" w:rsidP="003A011B">
            <w:pPr>
              <w:pStyle w:val="BodyText"/>
            </w:pPr>
            <w:r>
              <w:t xml:space="preserve">The </w:t>
            </w:r>
            <w:r w:rsidRPr="00735F38">
              <w:rPr>
                <w:b/>
              </w:rPr>
              <w:t>Current Policies Scenario</w:t>
            </w:r>
            <w:r>
              <w:t xml:space="preserve"> considers the impact of only those policies and measures that are firmly enshrined in legislation as of mid-2018, and shows the lower bound estimate of any targeted range of outcomes. The Current Policies Scenario provides a conservative assessment of where existing policies might lead the energy sector in the absence of additional impetus from governments, and a reference case against which the impact of new policies can be measured.</w:t>
            </w:r>
          </w:p>
          <w:p w14:paraId="4D1FC342" w14:textId="6AF65F1F" w:rsidR="006662A6" w:rsidRDefault="006662A6" w:rsidP="003A011B">
            <w:pPr>
              <w:pStyle w:val="BodyText"/>
            </w:pPr>
            <w:r>
              <w:t xml:space="preserve">The </w:t>
            </w:r>
            <w:r w:rsidRPr="003A011B">
              <w:rPr>
                <w:b/>
              </w:rPr>
              <w:t>Sustainable Development Scenario</w:t>
            </w:r>
            <w:r>
              <w:t xml:space="preserve"> starts from the objectives of the Sustainable Development Goals of the United Nations, and then works backwards to assess what combination of actions would deliver them. The objectives include:</w:t>
            </w:r>
          </w:p>
          <w:p w14:paraId="269A2A0B" w14:textId="08AC29D1" w:rsidR="006662A6" w:rsidRDefault="006662A6" w:rsidP="00345B54">
            <w:pPr>
              <w:pStyle w:val="ListBullet"/>
              <w:numPr>
                <w:ilvl w:val="0"/>
                <w:numId w:val="11"/>
              </w:numPr>
            </w:pPr>
            <w:r>
              <w:t>universal access to affordable, reliable and modern energy services by 2030</w:t>
            </w:r>
          </w:p>
          <w:p w14:paraId="0A86555E" w14:textId="4FCCECA6" w:rsidR="006662A6" w:rsidRDefault="006662A6" w:rsidP="00345B54">
            <w:pPr>
              <w:pStyle w:val="ListBullet"/>
              <w:numPr>
                <w:ilvl w:val="0"/>
                <w:numId w:val="11"/>
              </w:numPr>
            </w:pPr>
            <w:r>
              <w:t>a substantial reduction in air pollution</w:t>
            </w:r>
          </w:p>
          <w:p w14:paraId="687864AC" w14:textId="77777777" w:rsidR="006662A6" w:rsidRDefault="006662A6" w:rsidP="00345B54">
            <w:pPr>
              <w:pStyle w:val="ListBullet"/>
              <w:numPr>
                <w:ilvl w:val="0"/>
                <w:numId w:val="11"/>
              </w:numPr>
            </w:pPr>
            <w:r>
              <w:t>effective action to combat climate change (aligned with the goal of the Paris Agreement to hold the increase in the global average temperature to well below 2 degrees Celsius above pre-industrial levels).</w:t>
            </w:r>
          </w:p>
          <w:p w14:paraId="17BD2B74" w14:textId="77777777" w:rsidR="006662A6" w:rsidRDefault="006662A6" w:rsidP="00BC3D7F">
            <w:pPr>
              <w:pStyle w:val="Heading3"/>
              <w:outlineLvl w:val="2"/>
            </w:pPr>
            <w:bookmarkStart w:id="123" w:name="_Toc15641170"/>
            <w:bookmarkStart w:id="124" w:name="_Toc15645858"/>
            <w:bookmarkStart w:id="125" w:name="_Toc16247590"/>
            <w:bookmarkStart w:id="126" w:name="_Toc16250053"/>
            <w:bookmarkStart w:id="127" w:name="_Toc16256908"/>
            <w:r>
              <w:t>IEA WEO assumptions for India</w:t>
            </w:r>
            <w:bookmarkEnd w:id="123"/>
            <w:bookmarkEnd w:id="124"/>
            <w:bookmarkEnd w:id="125"/>
            <w:bookmarkEnd w:id="126"/>
            <w:bookmarkEnd w:id="127"/>
          </w:p>
          <w:p w14:paraId="4F38D01D" w14:textId="4DFF69E2" w:rsidR="006662A6" w:rsidRDefault="006662A6" w:rsidP="00BC3D7F">
            <w:pPr>
              <w:pStyle w:val="BodyText"/>
            </w:pPr>
            <w:r>
              <w:t>The IEA makes a number of key assumptions for India in its scenarios. GDP growth is assumed to average over 6.5 per cent a year to 2040, almost double the rate of average global growth, but slightly lower than India’s 7.1 per cent growth in 2018.</w:t>
            </w:r>
            <w:r>
              <w:rPr>
                <w:rStyle w:val="EndnoteReference"/>
              </w:rPr>
              <w:endnoteReference w:id="66"/>
            </w:r>
            <w:r>
              <w:t xml:space="preserve"> India’s population is assumed to grow by 250 million people, overtaking China to become the world’s most populous country. The urbanisation rate is assumed to be almost half the population by 2040, up from around a third today.</w:t>
            </w:r>
          </w:p>
          <w:p w14:paraId="5194D39B" w14:textId="77777777" w:rsidR="006662A6" w:rsidRDefault="006662A6" w:rsidP="00BC3D7F">
            <w:pPr>
              <w:pStyle w:val="ListBullet"/>
            </w:pPr>
            <w:r>
              <w:t>Key policies in India included in the Current Policies Scenario are:</w:t>
            </w:r>
          </w:p>
          <w:p w14:paraId="5586D0CD" w14:textId="77777777" w:rsidR="006662A6" w:rsidRPr="009C04BB" w:rsidRDefault="006662A6" w:rsidP="00BC3D7F">
            <w:pPr>
              <w:pStyle w:val="ListBullet"/>
              <w:numPr>
                <w:ilvl w:val="0"/>
                <w:numId w:val="23"/>
              </w:numPr>
            </w:pPr>
            <w:r>
              <w:t xml:space="preserve">the </w:t>
            </w:r>
            <w:r w:rsidRPr="009C04BB">
              <w:t>National Mission on Enhanced Energy Efficiency</w:t>
            </w:r>
          </w:p>
          <w:p w14:paraId="30052D1A" w14:textId="77777777" w:rsidR="006662A6" w:rsidRPr="009C04BB" w:rsidRDefault="006662A6" w:rsidP="00BC3D7F">
            <w:pPr>
              <w:pStyle w:val="ListBullet"/>
              <w:numPr>
                <w:ilvl w:val="0"/>
                <w:numId w:val="23"/>
              </w:numPr>
            </w:pPr>
            <w:r>
              <w:t xml:space="preserve">the </w:t>
            </w:r>
            <w:r w:rsidRPr="009C04BB">
              <w:t xml:space="preserve">National Clean Energy Fund to promote clean energy </w:t>
            </w:r>
            <w:r>
              <w:t>technologies based on a levy of</w:t>
            </w:r>
            <w:r w:rsidRPr="009C04BB">
              <w:t xml:space="preserve"> 400</w:t>
            </w:r>
            <w:r>
              <w:t xml:space="preserve"> rupees</w:t>
            </w:r>
            <w:r w:rsidRPr="009C04BB">
              <w:t xml:space="preserve"> (</w:t>
            </w:r>
            <w:r>
              <w:t>US</w:t>
            </w:r>
            <w:r w:rsidRPr="009C04BB">
              <w:t>$6) per tonne of coal</w:t>
            </w:r>
          </w:p>
          <w:p w14:paraId="51A0161C" w14:textId="0BEE36AE" w:rsidR="006662A6" w:rsidRDefault="006662A6" w:rsidP="00BC3D7F">
            <w:pPr>
              <w:pStyle w:val="ListBullet"/>
              <w:numPr>
                <w:ilvl w:val="0"/>
                <w:numId w:val="23"/>
              </w:numPr>
            </w:pPr>
            <w:r>
              <w:t>the Make in India</w:t>
            </w:r>
            <w:r w:rsidRPr="009C04BB">
              <w:t xml:space="preserve"> campaign to increase the share o</w:t>
            </w:r>
            <w:r>
              <w:t xml:space="preserve">f manufacturing in the national </w:t>
            </w:r>
            <w:r w:rsidRPr="009C04BB">
              <w:t>economy.</w:t>
            </w:r>
          </w:p>
          <w:p w14:paraId="057D1DF2" w14:textId="77777777" w:rsidR="006662A6" w:rsidRDefault="006662A6" w:rsidP="00BC3D7F">
            <w:pPr>
              <w:pStyle w:val="ListBullet"/>
            </w:pPr>
            <w:r>
              <w:t>Key policies in India included in the New Policies Scenario are:</w:t>
            </w:r>
          </w:p>
          <w:p w14:paraId="2BF2845D" w14:textId="070CC522" w:rsidR="006662A6" w:rsidRPr="009C04BB" w:rsidRDefault="006662A6" w:rsidP="00BC3D7F">
            <w:pPr>
              <w:pStyle w:val="ListBullet"/>
              <w:numPr>
                <w:ilvl w:val="0"/>
                <w:numId w:val="22"/>
              </w:numPr>
            </w:pPr>
            <w:r>
              <w:t>a Nationally Determined Contribution greenhouse gas target: r</w:t>
            </w:r>
            <w:r w:rsidRPr="009C04BB">
              <w:t xml:space="preserve">educe emissions intensity of GDP </w:t>
            </w:r>
            <w:r>
              <w:t>to between 33 to 35 per cent below 2005 levels by 2030</w:t>
            </w:r>
          </w:p>
          <w:p w14:paraId="11CCA726" w14:textId="4AD9DC86" w:rsidR="006662A6" w:rsidRPr="009C04BB" w:rsidRDefault="006662A6" w:rsidP="00BC3D7F">
            <w:pPr>
              <w:pStyle w:val="ListBullet"/>
              <w:numPr>
                <w:ilvl w:val="0"/>
                <w:numId w:val="22"/>
              </w:numPr>
            </w:pPr>
            <w:r>
              <w:t>a Nationally Determined Contribution energy target: a</w:t>
            </w:r>
            <w:r w:rsidRPr="009C04BB">
              <w:t>chieve about 40</w:t>
            </w:r>
            <w:r>
              <w:t xml:space="preserve"> per cent</w:t>
            </w:r>
            <w:r w:rsidRPr="009C04BB">
              <w:t xml:space="preserve"> cumulative ins</w:t>
            </w:r>
            <w:r>
              <w:t xml:space="preserve">talled capacity from non-fossil </w:t>
            </w:r>
            <w:r w:rsidRPr="009C04BB">
              <w:t>fuel sources by 2030</w:t>
            </w:r>
            <w:r>
              <w:t>,</w:t>
            </w:r>
            <w:r w:rsidRPr="009C04BB">
              <w:t xml:space="preserve"> with the help of technology tran</w:t>
            </w:r>
            <w:r>
              <w:t>sfer and low-cost international finance</w:t>
            </w:r>
          </w:p>
          <w:p w14:paraId="73351B98" w14:textId="77777777" w:rsidR="006662A6" w:rsidRPr="009C04BB" w:rsidRDefault="006662A6" w:rsidP="00BC3D7F">
            <w:pPr>
              <w:pStyle w:val="ListBullet"/>
              <w:numPr>
                <w:ilvl w:val="0"/>
                <w:numId w:val="22"/>
              </w:numPr>
            </w:pPr>
            <w:r>
              <w:t>e</w:t>
            </w:r>
            <w:r w:rsidRPr="009C04BB">
              <w:t xml:space="preserve">fforts to expedite environmental clearances </w:t>
            </w:r>
            <w:r>
              <w:t xml:space="preserve">and land acquisition for energy </w:t>
            </w:r>
            <w:r w:rsidRPr="009C04BB">
              <w:t>projects</w:t>
            </w:r>
            <w:r>
              <w:t>, and</w:t>
            </w:r>
          </w:p>
          <w:p w14:paraId="5770784C" w14:textId="5D605F4F" w:rsidR="006662A6" w:rsidRDefault="006662A6" w:rsidP="00BC3D7F">
            <w:pPr>
              <w:pStyle w:val="ListBullet"/>
              <w:numPr>
                <w:ilvl w:val="0"/>
                <w:numId w:val="22"/>
              </w:numPr>
            </w:pPr>
            <w:r>
              <w:t>the o</w:t>
            </w:r>
            <w:r w:rsidRPr="009C04BB">
              <w:t>pening of</w:t>
            </w:r>
            <w:r>
              <w:t xml:space="preserve"> the</w:t>
            </w:r>
            <w:r w:rsidRPr="009C04BB">
              <w:t xml:space="preserve"> coal, gas and oil sectors to private and foreign investors.</w:t>
            </w:r>
          </w:p>
          <w:p w14:paraId="10C3F2F9" w14:textId="5F15494B" w:rsidR="006662A6" w:rsidRPr="0081328C" w:rsidRDefault="006662A6" w:rsidP="00157C38">
            <w:pPr>
              <w:pStyle w:val="ListBullet"/>
              <w:spacing w:after="60"/>
              <w:ind w:left="0" w:firstLine="0"/>
            </w:pPr>
            <w:r>
              <w:t>Table 2.1 sets out the IEA’s macroeconomic and technology cost assumptions for India.</w:t>
            </w:r>
          </w:p>
          <w:p w14:paraId="484CFB7F" w14:textId="5FA53600" w:rsidR="006662A6" w:rsidRDefault="006662A6" w:rsidP="00157C38">
            <w:pPr>
              <w:pStyle w:val="Caption"/>
              <w:tabs>
                <w:tab w:val="left" w:pos="2985"/>
              </w:tabs>
              <w:spacing w:before="120" w:after="0"/>
            </w:pPr>
            <w:r w:rsidRPr="000618FB">
              <w:t xml:space="preserve">Table </w:t>
            </w:r>
            <w:r>
              <w:rPr>
                <w:noProof/>
              </w:rPr>
              <w:t>2</w:t>
            </w:r>
            <w:r w:rsidRPr="000618FB">
              <w:t>.</w:t>
            </w:r>
            <w:r>
              <w:rPr>
                <w:noProof/>
              </w:rPr>
              <w:t>1</w:t>
            </w:r>
            <w:r w:rsidRPr="000618FB">
              <w:t xml:space="preserve">: </w:t>
            </w:r>
            <w:r>
              <w:t xml:space="preserve">Key IEA WEO assumptions for India </w:t>
            </w:r>
          </w:p>
          <w:tbl>
            <w:tblPr>
              <w:tblStyle w:val="OCETable"/>
              <w:tblW w:w="4976" w:type="pct"/>
              <w:tblInd w:w="57" w:type="dxa"/>
              <w:tblLayout w:type="fixed"/>
              <w:tblLook w:val="04A0" w:firstRow="1" w:lastRow="0" w:firstColumn="1" w:lastColumn="0" w:noHBand="0" w:noVBand="1"/>
              <w:tblCaption w:val="Table 2.1: Key IEA WEO assumptions for India "/>
              <w:tblDescription w:val="This table shows the key IEA WEO assumptions for India."/>
            </w:tblPr>
            <w:tblGrid>
              <w:gridCol w:w="3400"/>
              <w:gridCol w:w="972"/>
              <w:gridCol w:w="2198"/>
              <w:gridCol w:w="2198"/>
            </w:tblGrid>
            <w:tr w:rsidR="006662A6" w14:paraId="630F0D55" w14:textId="77777777" w:rsidTr="005E1CD1">
              <w:trPr>
                <w:cnfStyle w:val="100000000000" w:firstRow="1" w:lastRow="0" w:firstColumn="0" w:lastColumn="0" w:oddVBand="0" w:evenVBand="0" w:oddHBand="0" w:evenHBand="0" w:firstRowFirstColumn="0" w:firstRowLastColumn="0" w:lastRowFirstColumn="0" w:lastRowLastColumn="0"/>
                <w:trHeight w:val="399"/>
                <w:tblHeader/>
              </w:trPr>
              <w:tc>
                <w:tcPr>
                  <w:tcW w:w="3487" w:type="dxa"/>
                </w:tcPr>
                <w:p w14:paraId="4C590416" w14:textId="77777777" w:rsidR="006662A6" w:rsidRDefault="006662A6" w:rsidP="00BC3D7F">
                  <w:pPr>
                    <w:pStyle w:val="Tableheadertext"/>
                  </w:pPr>
                </w:p>
              </w:tc>
              <w:tc>
                <w:tcPr>
                  <w:tcW w:w="992" w:type="dxa"/>
                  <w:vAlign w:val="center"/>
                </w:tcPr>
                <w:p w14:paraId="0DFEAEBD" w14:textId="77777777" w:rsidR="006662A6" w:rsidRDefault="006662A6" w:rsidP="00BC3D7F">
                  <w:pPr>
                    <w:pStyle w:val="Tableheadertext"/>
                    <w:jc w:val="center"/>
                  </w:pPr>
                  <w:r>
                    <w:t>Unit</w:t>
                  </w:r>
                </w:p>
              </w:tc>
              <w:tc>
                <w:tcPr>
                  <w:tcW w:w="2252" w:type="dxa"/>
                  <w:vAlign w:val="center"/>
                </w:tcPr>
                <w:p w14:paraId="7E824DF7" w14:textId="77777777" w:rsidR="006662A6" w:rsidRDefault="006662A6" w:rsidP="00BC3D7F">
                  <w:pPr>
                    <w:pStyle w:val="Tableheadertext"/>
                    <w:jc w:val="right"/>
                  </w:pPr>
                  <w:r>
                    <w:t>2017</w:t>
                  </w:r>
                </w:p>
              </w:tc>
              <w:tc>
                <w:tcPr>
                  <w:tcW w:w="2252" w:type="dxa"/>
                  <w:vAlign w:val="center"/>
                </w:tcPr>
                <w:p w14:paraId="67F5FD9B" w14:textId="77777777" w:rsidR="006662A6" w:rsidRDefault="006662A6" w:rsidP="00BC3D7F">
                  <w:pPr>
                    <w:pStyle w:val="Tableheadertext"/>
                    <w:jc w:val="right"/>
                  </w:pPr>
                  <w:r>
                    <w:t>2040</w:t>
                  </w:r>
                </w:p>
              </w:tc>
            </w:tr>
            <w:tr w:rsidR="006662A6" w14:paraId="6040ACF9" w14:textId="77777777" w:rsidTr="002C1D11">
              <w:trPr>
                <w:cnfStyle w:val="000000100000" w:firstRow="0" w:lastRow="0" w:firstColumn="0" w:lastColumn="0" w:oddVBand="0" w:evenVBand="0" w:oddHBand="1" w:evenHBand="0" w:firstRowFirstColumn="0" w:firstRowLastColumn="0" w:lastRowFirstColumn="0" w:lastRowLastColumn="0"/>
                <w:trHeight w:val="292"/>
              </w:trPr>
              <w:tc>
                <w:tcPr>
                  <w:tcW w:w="3487" w:type="dxa"/>
                </w:tcPr>
                <w:p w14:paraId="537F508B" w14:textId="77777777" w:rsidR="006662A6" w:rsidRDefault="006662A6" w:rsidP="00BC3D7F">
                  <w:pPr>
                    <w:pStyle w:val="Tablebodytext"/>
                  </w:pPr>
                  <w:r>
                    <w:t>Population</w:t>
                  </w:r>
                </w:p>
              </w:tc>
              <w:tc>
                <w:tcPr>
                  <w:tcW w:w="992" w:type="dxa"/>
                  <w:vAlign w:val="center"/>
                </w:tcPr>
                <w:p w14:paraId="5641B618" w14:textId="77777777" w:rsidR="006662A6" w:rsidRDefault="006662A6" w:rsidP="00BC3D7F">
                  <w:pPr>
                    <w:pStyle w:val="Tablebodytext"/>
                    <w:jc w:val="center"/>
                  </w:pPr>
                  <w:r>
                    <w:t>Million</w:t>
                  </w:r>
                </w:p>
              </w:tc>
              <w:tc>
                <w:tcPr>
                  <w:tcW w:w="2252" w:type="dxa"/>
                  <w:vAlign w:val="center"/>
                </w:tcPr>
                <w:p w14:paraId="31F38924" w14:textId="77777777" w:rsidR="006662A6" w:rsidRDefault="006662A6" w:rsidP="00BC3D7F">
                  <w:pPr>
                    <w:pStyle w:val="Tablebodytext"/>
                    <w:jc w:val="right"/>
                  </w:pPr>
                  <w:r>
                    <w:t>1,339</w:t>
                  </w:r>
                </w:p>
              </w:tc>
              <w:tc>
                <w:tcPr>
                  <w:tcW w:w="2252" w:type="dxa"/>
                  <w:vAlign w:val="center"/>
                </w:tcPr>
                <w:p w14:paraId="66E0FC6C" w14:textId="77777777" w:rsidR="006662A6" w:rsidRDefault="006662A6" w:rsidP="00BC3D7F">
                  <w:pPr>
                    <w:pStyle w:val="Tablebodytext"/>
                    <w:jc w:val="right"/>
                  </w:pPr>
                  <w:r>
                    <w:t>1,605</w:t>
                  </w:r>
                </w:p>
              </w:tc>
            </w:tr>
            <w:tr w:rsidR="006662A6" w14:paraId="43F74AC0" w14:textId="77777777" w:rsidTr="002C1D11">
              <w:trPr>
                <w:cnfStyle w:val="000000010000" w:firstRow="0" w:lastRow="0" w:firstColumn="0" w:lastColumn="0" w:oddVBand="0" w:evenVBand="0" w:oddHBand="0" w:evenHBand="1" w:firstRowFirstColumn="0" w:firstRowLastColumn="0" w:lastRowFirstColumn="0" w:lastRowLastColumn="0"/>
                <w:trHeight w:val="279"/>
              </w:trPr>
              <w:tc>
                <w:tcPr>
                  <w:tcW w:w="3487" w:type="dxa"/>
                </w:tcPr>
                <w:p w14:paraId="2C38C252" w14:textId="77777777" w:rsidR="006662A6" w:rsidRDefault="006662A6" w:rsidP="00BC3D7F">
                  <w:pPr>
                    <w:pStyle w:val="Tablebodytext"/>
                    <w:numPr>
                      <w:ilvl w:val="0"/>
                      <w:numId w:val="12"/>
                    </w:numPr>
                  </w:pPr>
                  <w:r>
                    <w:t>Compound annual growth rate</w:t>
                  </w:r>
                </w:p>
              </w:tc>
              <w:tc>
                <w:tcPr>
                  <w:tcW w:w="992" w:type="dxa"/>
                  <w:vAlign w:val="center"/>
                </w:tcPr>
                <w:p w14:paraId="188392EB" w14:textId="77777777" w:rsidR="006662A6" w:rsidRDefault="006662A6" w:rsidP="00BC3D7F">
                  <w:pPr>
                    <w:pStyle w:val="Tablebodytext"/>
                    <w:jc w:val="center"/>
                  </w:pPr>
                  <w:r>
                    <w:t>Per cent</w:t>
                  </w:r>
                </w:p>
              </w:tc>
              <w:tc>
                <w:tcPr>
                  <w:tcW w:w="2252" w:type="dxa"/>
                  <w:vAlign w:val="center"/>
                </w:tcPr>
                <w:p w14:paraId="0AA7EDA8" w14:textId="77777777" w:rsidR="006662A6" w:rsidRDefault="006662A6" w:rsidP="00BC3D7F">
                  <w:pPr>
                    <w:pStyle w:val="Tablebodytext"/>
                    <w:jc w:val="right"/>
                  </w:pPr>
                  <w:r>
                    <w:t>1.0 (2017 to 2025)</w:t>
                  </w:r>
                </w:p>
              </w:tc>
              <w:tc>
                <w:tcPr>
                  <w:tcW w:w="2252" w:type="dxa"/>
                  <w:vAlign w:val="center"/>
                </w:tcPr>
                <w:p w14:paraId="675506EB" w14:textId="77777777" w:rsidR="006662A6" w:rsidRDefault="006662A6" w:rsidP="00BC3D7F">
                  <w:pPr>
                    <w:pStyle w:val="Tablebodytext"/>
                    <w:jc w:val="right"/>
                  </w:pPr>
                  <w:r>
                    <w:t>0.8 (2017 to 2040)</w:t>
                  </w:r>
                </w:p>
              </w:tc>
            </w:tr>
            <w:tr w:rsidR="006662A6" w14:paraId="179D2DF4" w14:textId="77777777" w:rsidTr="002C1D11">
              <w:trPr>
                <w:cnfStyle w:val="000000100000" w:firstRow="0" w:lastRow="0" w:firstColumn="0" w:lastColumn="0" w:oddVBand="0" w:evenVBand="0" w:oddHBand="1" w:evenHBand="0" w:firstRowFirstColumn="0" w:firstRowLastColumn="0" w:lastRowFirstColumn="0" w:lastRowLastColumn="0"/>
                <w:trHeight w:val="292"/>
              </w:trPr>
              <w:tc>
                <w:tcPr>
                  <w:tcW w:w="3487" w:type="dxa"/>
                </w:tcPr>
                <w:p w14:paraId="00FB7861" w14:textId="77777777" w:rsidR="006662A6" w:rsidRDefault="006662A6" w:rsidP="00BC3D7F">
                  <w:pPr>
                    <w:pStyle w:val="Tablebodytext"/>
                    <w:numPr>
                      <w:ilvl w:val="0"/>
                      <w:numId w:val="12"/>
                    </w:numPr>
                  </w:pPr>
                  <w:r>
                    <w:t>Urbanisation</w:t>
                  </w:r>
                </w:p>
              </w:tc>
              <w:tc>
                <w:tcPr>
                  <w:tcW w:w="992" w:type="dxa"/>
                  <w:vAlign w:val="center"/>
                </w:tcPr>
                <w:p w14:paraId="4A45BF6F" w14:textId="77777777" w:rsidR="006662A6" w:rsidRDefault="006662A6" w:rsidP="00BC3D7F">
                  <w:pPr>
                    <w:pStyle w:val="Tablebodytext"/>
                    <w:jc w:val="center"/>
                  </w:pPr>
                  <w:r>
                    <w:t>Per cent</w:t>
                  </w:r>
                </w:p>
              </w:tc>
              <w:tc>
                <w:tcPr>
                  <w:tcW w:w="2252" w:type="dxa"/>
                  <w:vAlign w:val="center"/>
                </w:tcPr>
                <w:p w14:paraId="70CDE6E1" w14:textId="77777777" w:rsidR="006662A6" w:rsidRDefault="006662A6" w:rsidP="00BC3D7F">
                  <w:pPr>
                    <w:pStyle w:val="Tablebodytext"/>
                    <w:jc w:val="right"/>
                  </w:pPr>
                  <w:r>
                    <w:t>34</w:t>
                  </w:r>
                </w:p>
              </w:tc>
              <w:tc>
                <w:tcPr>
                  <w:tcW w:w="2252" w:type="dxa"/>
                  <w:vAlign w:val="center"/>
                </w:tcPr>
                <w:p w14:paraId="261F3E13" w14:textId="77777777" w:rsidR="006662A6" w:rsidRDefault="006662A6" w:rsidP="00BC3D7F">
                  <w:pPr>
                    <w:pStyle w:val="Tablebodytext"/>
                    <w:jc w:val="right"/>
                  </w:pPr>
                  <w:r>
                    <w:t>46</w:t>
                  </w:r>
                </w:p>
              </w:tc>
            </w:tr>
            <w:tr w:rsidR="006662A6" w14:paraId="45336273" w14:textId="77777777" w:rsidTr="002C1D11">
              <w:trPr>
                <w:cnfStyle w:val="000000010000" w:firstRow="0" w:lastRow="0" w:firstColumn="0" w:lastColumn="0" w:oddVBand="0" w:evenVBand="0" w:oddHBand="0" w:evenHBand="1" w:firstRowFirstColumn="0" w:firstRowLastColumn="0" w:lastRowFirstColumn="0" w:lastRowLastColumn="0"/>
                <w:trHeight w:val="292"/>
              </w:trPr>
              <w:tc>
                <w:tcPr>
                  <w:tcW w:w="3487" w:type="dxa"/>
                </w:tcPr>
                <w:p w14:paraId="03F8B552" w14:textId="77777777" w:rsidR="006662A6" w:rsidRDefault="006662A6" w:rsidP="00BC3D7F">
                  <w:pPr>
                    <w:pStyle w:val="Tablebodytext"/>
                  </w:pPr>
                  <w:r>
                    <w:t>Economic growth</w:t>
                  </w:r>
                </w:p>
              </w:tc>
              <w:tc>
                <w:tcPr>
                  <w:tcW w:w="992" w:type="dxa"/>
                  <w:vAlign w:val="center"/>
                </w:tcPr>
                <w:p w14:paraId="7750CFCC" w14:textId="77777777" w:rsidR="006662A6" w:rsidRDefault="006662A6" w:rsidP="00BC3D7F">
                  <w:pPr>
                    <w:pStyle w:val="Tablebodytext"/>
                    <w:jc w:val="center"/>
                  </w:pPr>
                </w:p>
              </w:tc>
              <w:tc>
                <w:tcPr>
                  <w:tcW w:w="2252" w:type="dxa"/>
                  <w:vAlign w:val="center"/>
                </w:tcPr>
                <w:p w14:paraId="7240AA1C" w14:textId="77777777" w:rsidR="006662A6" w:rsidRDefault="006662A6" w:rsidP="00BC3D7F">
                  <w:pPr>
                    <w:pStyle w:val="Tablebodytext"/>
                    <w:jc w:val="right"/>
                  </w:pPr>
                </w:p>
              </w:tc>
              <w:tc>
                <w:tcPr>
                  <w:tcW w:w="2252" w:type="dxa"/>
                  <w:vAlign w:val="center"/>
                </w:tcPr>
                <w:p w14:paraId="35CAEEAE" w14:textId="77777777" w:rsidR="006662A6" w:rsidRDefault="006662A6" w:rsidP="00BC3D7F">
                  <w:pPr>
                    <w:pStyle w:val="Tablebodytext"/>
                    <w:jc w:val="right"/>
                  </w:pPr>
                </w:p>
              </w:tc>
            </w:tr>
            <w:tr w:rsidR="006662A6" w14:paraId="07501CDE" w14:textId="77777777" w:rsidTr="002C1D11">
              <w:trPr>
                <w:cnfStyle w:val="000000100000" w:firstRow="0" w:lastRow="0" w:firstColumn="0" w:lastColumn="0" w:oddVBand="0" w:evenVBand="0" w:oddHBand="1" w:evenHBand="0" w:firstRowFirstColumn="0" w:firstRowLastColumn="0" w:lastRowFirstColumn="0" w:lastRowLastColumn="0"/>
                <w:trHeight w:val="292"/>
              </w:trPr>
              <w:tc>
                <w:tcPr>
                  <w:tcW w:w="3487" w:type="dxa"/>
                </w:tcPr>
                <w:p w14:paraId="5F54BC6D" w14:textId="77777777" w:rsidR="006662A6" w:rsidRDefault="006662A6" w:rsidP="00BC3D7F">
                  <w:pPr>
                    <w:pStyle w:val="Tablebodytext"/>
                    <w:numPr>
                      <w:ilvl w:val="0"/>
                      <w:numId w:val="12"/>
                    </w:numPr>
                  </w:pPr>
                  <w:r>
                    <w:t>CAGR</w:t>
                  </w:r>
                </w:p>
              </w:tc>
              <w:tc>
                <w:tcPr>
                  <w:tcW w:w="992" w:type="dxa"/>
                  <w:vAlign w:val="center"/>
                </w:tcPr>
                <w:p w14:paraId="50CD9BF4" w14:textId="77777777" w:rsidR="006662A6" w:rsidRDefault="006662A6" w:rsidP="00BC3D7F">
                  <w:pPr>
                    <w:pStyle w:val="Tablebodytext"/>
                    <w:jc w:val="center"/>
                  </w:pPr>
                  <w:r>
                    <w:t>Per cent</w:t>
                  </w:r>
                </w:p>
              </w:tc>
              <w:tc>
                <w:tcPr>
                  <w:tcW w:w="2252" w:type="dxa"/>
                  <w:vAlign w:val="center"/>
                </w:tcPr>
                <w:p w14:paraId="7AE4D13B" w14:textId="77777777" w:rsidR="006662A6" w:rsidRDefault="006662A6" w:rsidP="00BC3D7F">
                  <w:pPr>
                    <w:pStyle w:val="Tablebodytext"/>
                    <w:jc w:val="right"/>
                  </w:pPr>
                  <w:r>
                    <w:t>7.8 (2017 to 2025)</w:t>
                  </w:r>
                </w:p>
              </w:tc>
              <w:tc>
                <w:tcPr>
                  <w:tcW w:w="2252" w:type="dxa"/>
                  <w:vAlign w:val="center"/>
                </w:tcPr>
                <w:p w14:paraId="373BAC5C" w14:textId="77777777" w:rsidR="006662A6" w:rsidRDefault="006662A6" w:rsidP="00BC3D7F">
                  <w:pPr>
                    <w:pStyle w:val="Tablebodytext"/>
                    <w:jc w:val="right"/>
                  </w:pPr>
                  <w:r>
                    <w:t>6.5 (2017 to 2040)</w:t>
                  </w:r>
                </w:p>
              </w:tc>
            </w:tr>
            <w:tr w:rsidR="006662A6" w14:paraId="2F3FBD07" w14:textId="77777777" w:rsidTr="002C1D11">
              <w:trPr>
                <w:cnfStyle w:val="000000010000" w:firstRow="0" w:lastRow="0" w:firstColumn="0" w:lastColumn="0" w:oddVBand="0" w:evenVBand="0" w:oddHBand="0" w:evenHBand="1" w:firstRowFirstColumn="0" w:firstRowLastColumn="0" w:lastRowFirstColumn="0" w:lastRowLastColumn="0"/>
                <w:trHeight w:val="292"/>
              </w:trPr>
              <w:tc>
                <w:tcPr>
                  <w:tcW w:w="3487" w:type="dxa"/>
                </w:tcPr>
                <w:p w14:paraId="27702327" w14:textId="77777777" w:rsidR="006662A6" w:rsidRDefault="006662A6" w:rsidP="00BC3D7F">
                  <w:pPr>
                    <w:pStyle w:val="Tablebodytext"/>
                  </w:pPr>
                  <w:r>
                    <w:t>Selected technology costs (VALCOE)</w:t>
                  </w:r>
                </w:p>
              </w:tc>
              <w:tc>
                <w:tcPr>
                  <w:tcW w:w="992" w:type="dxa"/>
                  <w:vAlign w:val="center"/>
                </w:tcPr>
                <w:p w14:paraId="140152FB" w14:textId="77777777" w:rsidR="006662A6" w:rsidRDefault="006662A6" w:rsidP="00BC3D7F">
                  <w:pPr>
                    <w:pStyle w:val="Tablebodytext"/>
                    <w:jc w:val="center"/>
                  </w:pPr>
                </w:p>
              </w:tc>
              <w:tc>
                <w:tcPr>
                  <w:tcW w:w="2252" w:type="dxa"/>
                  <w:vAlign w:val="center"/>
                </w:tcPr>
                <w:p w14:paraId="11D9296C" w14:textId="77777777" w:rsidR="006662A6" w:rsidRDefault="006662A6" w:rsidP="00BC3D7F">
                  <w:pPr>
                    <w:pStyle w:val="Tablebodytext"/>
                    <w:jc w:val="right"/>
                  </w:pPr>
                </w:p>
              </w:tc>
              <w:tc>
                <w:tcPr>
                  <w:tcW w:w="2252" w:type="dxa"/>
                  <w:vAlign w:val="center"/>
                </w:tcPr>
                <w:p w14:paraId="5316DD97" w14:textId="77777777" w:rsidR="006662A6" w:rsidRDefault="006662A6" w:rsidP="00BC3D7F">
                  <w:pPr>
                    <w:pStyle w:val="Tablebodytext"/>
                    <w:jc w:val="right"/>
                  </w:pPr>
                </w:p>
              </w:tc>
            </w:tr>
            <w:tr w:rsidR="006662A6" w14:paraId="7889961E" w14:textId="77777777" w:rsidTr="002C1D11">
              <w:trPr>
                <w:cnfStyle w:val="000000100000" w:firstRow="0" w:lastRow="0" w:firstColumn="0" w:lastColumn="0" w:oddVBand="0" w:evenVBand="0" w:oddHBand="1" w:evenHBand="0" w:firstRowFirstColumn="0" w:firstRowLastColumn="0" w:lastRowFirstColumn="0" w:lastRowLastColumn="0"/>
                <w:trHeight w:val="292"/>
              </w:trPr>
              <w:tc>
                <w:tcPr>
                  <w:tcW w:w="3487" w:type="dxa"/>
                </w:tcPr>
                <w:p w14:paraId="3B4380D9" w14:textId="77777777" w:rsidR="006662A6" w:rsidRDefault="006662A6" w:rsidP="00BC3D7F">
                  <w:pPr>
                    <w:pStyle w:val="Tablebodytext"/>
                    <w:numPr>
                      <w:ilvl w:val="0"/>
                      <w:numId w:val="12"/>
                    </w:numPr>
                  </w:pPr>
                  <w:r>
                    <w:t>Nuclear</w:t>
                  </w:r>
                </w:p>
              </w:tc>
              <w:tc>
                <w:tcPr>
                  <w:tcW w:w="992" w:type="dxa"/>
                  <w:vAlign w:val="center"/>
                </w:tcPr>
                <w:p w14:paraId="27B2CD5D" w14:textId="77777777" w:rsidR="006662A6" w:rsidRDefault="006662A6" w:rsidP="00BC3D7F">
                  <w:pPr>
                    <w:pStyle w:val="Tablebodytext"/>
                    <w:jc w:val="center"/>
                  </w:pPr>
                  <w:r>
                    <w:t>$/MWh</w:t>
                  </w:r>
                </w:p>
              </w:tc>
              <w:tc>
                <w:tcPr>
                  <w:tcW w:w="2252" w:type="dxa"/>
                  <w:vAlign w:val="center"/>
                </w:tcPr>
                <w:p w14:paraId="117D3C09" w14:textId="77777777" w:rsidR="006662A6" w:rsidRDefault="006662A6" w:rsidP="00BC3D7F">
                  <w:pPr>
                    <w:pStyle w:val="Tablebodytext"/>
                    <w:jc w:val="right"/>
                  </w:pPr>
                  <w:r>
                    <w:t>70</w:t>
                  </w:r>
                </w:p>
              </w:tc>
              <w:tc>
                <w:tcPr>
                  <w:tcW w:w="2252" w:type="dxa"/>
                  <w:vAlign w:val="center"/>
                </w:tcPr>
                <w:p w14:paraId="0C74D12E" w14:textId="77777777" w:rsidR="006662A6" w:rsidRDefault="006662A6" w:rsidP="00BC3D7F">
                  <w:pPr>
                    <w:pStyle w:val="Tablebodytext"/>
                    <w:jc w:val="right"/>
                  </w:pPr>
                  <w:r>
                    <w:t>70</w:t>
                  </w:r>
                </w:p>
              </w:tc>
            </w:tr>
            <w:tr w:rsidR="006662A6" w14:paraId="1362934D" w14:textId="77777777" w:rsidTr="002C1D11">
              <w:trPr>
                <w:cnfStyle w:val="000000010000" w:firstRow="0" w:lastRow="0" w:firstColumn="0" w:lastColumn="0" w:oddVBand="0" w:evenVBand="0" w:oddHBand="0" w:evenHBand="1" w:firstRowFirstColumn="0" w:firstRowLastColumn="0" w:lastRowFirstColumn="0" w:lastRowLastColumn="0"/>
                <w:trHeight w:val="292"/>
              </w:trPr>
              <w:tc>
                <w:tcPr>
                  <w:tcW w:w="3487" w:type="dxa"/>
                </w:tcPr>
                <w:p w14:paraId="5150F6E2" w14:textId="77777777" w:rsidR="006662A6" w:rsidRDefault="006662A6" w:rsidP="00BC3D7F">
                  <w:pPr>
                    <w:pStyle w:val="Tablebodytext"/>
                    <w:numPr>
                      <w:ilvl w:val="0"/>
                      <w:numId w:val="12"/>
                    </w:numPr>
                  </w:pPr>
                  <w:r>
                    <w:t xml:space="preserve">Coal </w:t>
                  </w:r>
                </w:p>
              </w:tc>
              <w:tc>
                <w:tcPr>
                  <w:tcW w:w="992" w:type="dxa"/>
                  <w:vAlign w:val="center"/>
                </w:tcPr>
                <w:p w14:paraId="2A1C0ADA" w14:textId="77777777" w:rsidR="006662A6" w:rsidRDefault="006662A6" w:rsidP="00BC3D7F">
                  <w:pPr>
                    <w:pStyle w:val="Tablebodytext"/>
                    <w:jc w:val="center"/>
                  </w:pPr>
                  <w:r>
                    <w:t>$/MWh</w:t>
                  </w:r>
                </w:p>
              </w:tc>
              <w:tc>
                <w:tcPr>
                  <w:tcW w:w="2252" w:type="dxa"/>
                  <w:vAlign w:val="center"/>
                </w:tcPr>
                <w:p w14:paraId="10D9235E" w14:textId="77777777" w:rsidR="006662A6" w:rsidRDefault="006662A6" w:rsidP="00BC3D7F">
                  <w:pPr>
                    <w:pStyle w:val="Tablebodytext"/>
                    <w:jc w:val="right"/>
                  </w:pPr>
                  <w:r>
                    <w:t>60</w:t>
                  </w:r>
                </w:p>
              </w:tc>
              <w:tc>
                <w:tcPr>
                  <w:tcW w:w="2252" w:type="dxa"/>
                  <w:vAlign w:val="center"/>
                </w:tcPr>
                <w:p w14:paraId="752E7C47" w14:textId="77777777" w:rsidR="006662A6" w:rsidRDefault="006662A6" w:rsidP="00BC3D7F">
                  <w:pPr>
                    <w:pStyle w:val="Tablebodytext"/>
                    <w:jc w:val="right"/>
                  </w:pPr>
                  <w:r>
                    <w:t>50</w:t>
                  </w:r>
                </w:p>
              </w:tc>
            </w:tr>
            <w:tr w:rsidR="006662A6" w14:paraId="564C0EE9" w14:textId="77777777" w:rsidTr="002C1D11">
              <w:trPr>
                <w:cnfStyle w:val="000000100000" w:firstRow="0" w:lastRow="0" w:firstColumn="0" w:lastColumn="0" w:oddVBand="0" w:evenVBand="0" w:oddHBand="1" w:evenHBand="0" w:firstRowFirstColumn="0" w:firstRowLastColumn="0" w:lastRowFirstColumn="0" w:lastRowLastColumn="0"/>
                <w:trHeight w:val="292"/>
              </w:trPr>
              <w:tc>
                <w:tcPr>
                  <w:tcW w:w="3487" w:type="dxa"/>
                </w:tcPr>
                <w:p w14:paraId="47B9ACD7" w14:textId="77777777" w:rsidR="006662A6" w:rsidRDefault="006662A6" w:rsidP="00BC3D7F">
                  <w:pPr>
                    <w:pStyle w:val="Tablebodytext"/>
                    <w:numPr>
                      <w:ilvl w:val="0"/>
                      <w:numId w:val="12"/>
                    </w:numPr>
                  </w:pPr>
                  <w:r>
                    <w:t>Gas CCGT</w:t>
                  </w:r>
                </w:p>
              </w:tc>
              <w:tc>
                <w:tcPr>
                  <w:tcW w:w="992" w:type="dxa"/>
                  <w:vAlign w:val="center"/>
                </w:tcPr>
                <w:p w14:paraId="392892F7" w14:textId="77777777" w:rsidR="006662A6" w:rsidRDefault="006662A6" w:rsidP="00BC3D7F">
                  <w:pPr>
                    <w:pStyle w:val="Tablebodytext"/>
                    <w:jc w:val="center"/>
                  </w:pPr>
                  <w:r>
                    <w:t>$/MWh</w:t>
                  </w:r>
                </w:p>
              </w:tc>
              <w:tc>
                <w:tcPr>
                  <w:tcW w:w="2252" w:type="dxa"/>
                  <w:vAlign w:val="center"/>
                </w:tcPr>
                <w:p w14:paraId="649AE5EB" w14:textId="77777777" w:rsidR="006662A6" w:rsidRDefault="006662A6" w:rsidP="00BC3D7F">
                  <w:pPr>
                    <w:pStyle w:val="Tablebodytext"/>
                    <w:jc w:val="right"/>
                  </w:pPr>
                  <w:r>
                    <w:t>90</w:t>
                  </w:r>
                </w:p>
              </w:tc>
              <w:tc>
                <w:tcPr>
                  <w:tcW w:w="2252" w:type="dxa"/>
                  <w:vAlign w:val="center"/>
                </w:tcPr>
                <w:p w14:paraId="2573608F" w14:textId="77777777" w:rsidR="006662A6" w:rsidRDefault="006662A6" w:rsidP="00BC3D7F">
                  <w:pPr>
                    <w:pStyle w:val="Tablebodytext"/>
                    <w:jc w:val="right"/>
                  </w:pPr>
                  <w:r>
                    <w:t>80</w:t>
                  </w:r>
                </w:p>
              </w:tc>
            </w:tr>
            <w:tr w:rsidR="006662A6" w14:paraId="1FC25E14" w14:textId="77777777" w:rsidTr="002C1D11">
              <w:trPr>
                <w:cnfStyle w:val="000000010000" w:firstRow="0" w:lastRow="0" w:firstColumn="0" w:lastColumn="0" w:oddVBand="0" w:evenVBand="0" w:oddHBand="0" w:evenHBand="1" w:firstRowFirstColumn="0" w:firstRowLastColumn="0" w:lastRowFirstColumn="0" w:lastRowLastColumn="0"/>
                <w:trHeight w:val="292"/>
              </w:trPr>
              <w:tc>
                <w:tcPr>
                  <w:tcW w:w="3487" w:type="dxa"/>
                </w:tcPr>
                <w:p w14:paraId="3EE4ECFE" w14:textId="77777777" w:rsidR="006662A6" w:rsidRDefault="006662A6" w:rsidP="00BC3D7F">
                  <w:pPr>
                    <w:pStyle w:val="Tablebodytext"/>
                    <w:numPr>
                      <w:ilvl w:val="0"/>
                      <w:numId w:val="12"/>
                    </w:numPr>
                  </w:pPr>
                  <w:r>
                    <w:t>Solar PV</w:t>
                  </w:r>
                </w:p>
              </w:tc>
              <w:tc>
                <w:tcPr>
                  <w:tcW w:w="992" w:type="dxa"/>
                  <w:vAlign w:val="center"/>
                </w:tcPr>
                <w:p w14:paraId="6F6498C6" w14:textId="77777777" w:rsidR="006662A6" w:rsidRDefault="006662A6" w:rsidP="00BC3D7F">
                  <w:pPr>
                    <w:pStyle w:val="Tablebodytext"/>
                    <w:jc w:val="center"/>
                  </w:pPr>
                  <w:r>
                    <w:t>$/MWh</w:t>
                  </w:r>
                </w:p>
              </w:tc>
              <w:tc>
                <w:tcPr>
                  <w:tcW w:w="2252" w:type="dxa"/>
                  <w:vAlign w:val="center"/>
                </w:tcPr>
                <w:p w14:paraId="0145CF3B" w14:textId="77777777" w:rsidR="006662A6" w:rsidRDefault="006662A6" w:rsidP="00BC3D7F">
                  <w:pPr>
                    <w:pStyle w:val="Tablebodytext"/>
                    <w:jc w:val="right"/>
                  </w:pPr>
                  <w:r>
                    <w:t>80</w:t>
                  </w:r>
                </w:p>
              </w:tc>
              <w:tc>
                <w:tcPr>
                  <w:tcW w:w="2252" w:type="dxa"/>
                  <w:vAlign w:val="center"/>
                </w:tcPr>
                <w:p w14:paraId="6E2BC21A" w14:textId="77777777" w:rsidR="006662A6" w:rsidRDefault="006662A6" w:rsidP="00BC3D7F">
                  <w:pPr>
                    <w:pStyle w:val="Tablebodytext"/>
                    <w:jc w:val="right"/>
                  </w:pPr>
                  <w:r>
                    <w:t>65</w:t>
                  </w:r>
                </w:p>
              </w:tc>
            </w:tr>
            <w:tr w:rsidR="006662A6" w14:paraId="144B4F69" w14:textId="77777777" w:rsidTr="002C1D11">
              <w:trPr>
                <w:cnfStyle w:val="000000100000" w:firstRow="0" w:lastRow="0" w:firstColumn="0" w:lastColumn="0" w:oddVBand="0" w:evenVBand="0" w:oddHBand="1" w:evenHBand="0" w:firstRowFirstColumn="0" w:firstRowLastColumn="0" w:lastRowFirstColumn="0" w:lastRowLastColumn="0"/>
                <w:trHeight w:val="292"/>
              </w:trPr>
              <w:tc>
                <w:tcPr>
                  <w:tcW w:w="3487" w:type="dxa"/>
                </w:tcPr>
                <w:p w14:paraId="7E9FE33A" w14:textId="77777777" w:rsidR="006662A6" w:rsidRDefault="006662A6" w:rsidP="00BC3D7F">
                  <w:pPr>
                    <w:pStyle w:val="Tablebodytext"/>
                    <w:numPr>
                      <w:ilvl w:val="0"/>
                      <w:numId w:val="12"/>
                    </w:numPr>
                  </w:pPr>
                  <w:r>
                    <w:t>Wind onshore</w:t>
                  </w:r>
                </w:p>
              </w:tc>
              <w:tc>
                <w:tcPr>
                  <w:tcW w:w="992" w:type="dxa"/>
                  <w:vAlign w:val="center"/>
                </w:tcPr>
                <w:p w14:paraId="56DD3097" w14:textId="77777777" w:rsidR="006662A6" w:rsidRDefault="006662A6" w:rsidP="00BC3D7F">
                  <w:pPr>
                    <w:pStyle w:val="Tablebodytext"/>
                    <w:jc w:val="center"/>
                  </w:pPr>
                  <w:r>
                    <w:t>$/MWh</w:t>
                  </w:r>
                </w:p>
              </w:tc>
              <w:tc>
                <w:tcPr>
                  <w:tcW w:w="2252" w:type="dxa"/>
                  <w:vAlign w:val="center"/>
                </w:tcPr>
                <w:p w14:paraId="7E9DE8E5" w14:textId="77777777" w:rsidR="006662A6" w:rsidRDefault="006662A6" w:rsidP="00BC3D7F">
                  <w:pPr>
                    <w:pStyle w:val="Tablebodytext"/>
                    <w:jc w:val="right"/>
                  </w:pPr>
                  <w:r>
                    <w:t>65</w:t>
                  </w:r>
                </w:p>
              </w:tc>
              <w:tc>
                <w:tcPr>
                  <w:tcW w:w="2252" w:type="dxa"/>
                  <w:vAlign w:val="center"/>
                </w:tcPr>
                <w:p w14:paraId="0AFC8371" w14:textId="77777777" w:rsidR="006662A6" w:rsidRDefault="006662A6" w:rsidP="00BC3D7F">
                  <w:pPr>
                    <w:pStyle w:val="Tablebodytext"/>
                    <w:jc w:val="right"/>
                  </w:pPr>
                  <w:r>
                    <w:t>55</w:t>
                  </w:r>
                </w:p>
              </w:tc>
            </w:tr>
            <w:tr w:rsidR="006662A6" w14:paraId="5AA5ABAB" w14:textId="77777777" w:rsidTr="002C1D11">
              <w:trPr>
                <w:cnfStyle w:val="000000010000" w:firstRow="0" w:lastRow="0" w:firstColumn="0" w:lastColumn="0" w:oddVBand="0" w:evenVBand="0" w:oddHBand="0" w:evenHBand="1" w:firstRowFirstColumn="0" w:firstRowLastColumn="0" w:lastRowFirstColumn="0" w:lastRowLastColumn="0"/>
                <w:trHeight w:val="292"/>
              </w:trPr>
              <w:tc>
                <w:tcPr>
                  <w:tcW w:w="3487" w:type="dxa"/>
                </w:tcPr>
                <w:p w14:paraId="28321BF4" w14:textId="77777777" w:rsidR="006662A6" w:rsidRDefault="006662A6" w:rsidP="00BC3D7F">
                  <w:pPr>
                    <w:pStyle w:val="Tablebodytext"/>
                    <w:numPr>
                      <w:ilvl w:val="0"/>
                      <w:numId w:val="12"/>
                    </w:numPr>
                  </w:pPr>
                  <w:r>
                    <w:t>Wind offshore</w:t>
                  </w:r>
                </w:p>
              </w:tc>
              <w:tc>
                <w:tcPr>
                  <w:tcW w:w="992" w:type="dxa"/>
                  <w:vAlign w:val="center"/>
                </w:tcPr>
                <w:p w14:paraId="25672AF2" w14:textId="77777777" w:rsidR="006662A6" w:rsidRDefault="006662A6" w:rsidP="00BC3D7F">
                  <w:pPr>
                    <w:pStyle w:val="Tablebodytext"/>
                    <w:jc w:val="center"/>
                  </w:pPr>
                  <w:r>
                    <w:t>$/MWh</w:t>
                  </w:r>
                </w:p>
              </w:tc>
              <w:tc>
                <w:tcPr>
                  <w:tcW w:w="2252" w:type="dxa"/>
                  <w:vAlign w:val="center"/>
                </w:tcPr>
                <w:p w14:paraId="01E74E73" w14:textId="77777777" w:rsidR="006662A6" w:rsidRDefault="006662A6" w:rsidP="00BC3D7F">
                  <w:pPr>
                    <w:pStyle w:val="Tablebodytext"/>
                    <w:jc w:val="right"/>
                  </w:pPr>
                  <w:r>
                    <w:t>160</w:t>
                  </w:r>
                </w:p>
              </w:tc>
              <w:tc>
                <w:tcPr>
                  <w:tcW w:w="2252" w:type="dxa"/>
                  <w:vAlign w:val="center"/>
                </w:tcPr>
                <w:p w14:paraId="21B93EA9" w14:textId="77777777" w:rsidR="006662A6" w:rsidRDefault="006662A6" w:rsidP="00BC3D7F">
                  <w:pPr>
                    <w:pStyle w:val="Tablebodytext"/>
                    <w:jc w:val="right"/>
                  </w:pPr>
                  <w:r>
                    <w:t>100</w:t>
                  </w:r>
                </w:p>
              </w:tc>
            </w:tr>
          </w:tbl>
          <w:p w14:paraId="398E58EA" w14:textId="039F7F37" w:rsidR="006662A6" w:rsidRDefault="006662A6" w:rsidP="00BC3D7F">
            <w:pPr>
              <w:pStyle w:val="ListBullet"/>
              <w:ind w:firstLine="0"/>
            </w:pPr>
          </w:p>
        </w:tc>
      </w:tr>
    </w:tbl>
    <w:p w14:paraId="0173CF17" w14:textId="22C50EC2" w:rsidR="006662A6" w:rsidRDefault="006662A6" w:rsidP="00157C38">
      <w:pPr>
        <w:pStyle w:val="Source"/>
        <w:spacing w:before="0"/>
      </w:pPr>
      <w:r>
        <w:t xml:space="preserve">Source: </w:t>
      </w:r>
      <w:r w:rsidRPr="0024119F">
        <w:t>IEA (2018) World Energy Outlook 2018</w:t>
      </w:r>
      <w:r>
        <w:t xml:space="preserve">, pp. 598, 605, </w:t>
      </w:r>
      <w:r w:rsidRPr="0024119F">
        <w:t>Int</w:t>
      </w:r>
      <w:r>
        <w:t>ernational Energy Agency</w:t>
      </w:r>
    </w:p>
    <w:p w14:paraId="01694E07" w14:textId="6ADB9857" w:rsidR="006662A6" w:rsidRDefault="006662A6" w:rsidP="00B466BC">
      <w:pPr>
        <w:pStyle w:val="Heading1"/>
      </w:pPr>
      <w:bookmarkStart w:id="128" w:name="_Toc15641171"/>
      <w:bookmarkStart w:id="129" w:name="_Toc15645859"/>
      <w:bookmarkStart w:id="130" w:name="_Toc16247591"/>
      <w:bookmarkStart w:id="131" w:name="_Toc16250054"/>
      <w:bookmarkStart w:id="132" w:name="_Toc16256909"/>
      <w:bookmarkStart w:id="133" w:name="_Toc17210783"/>
      <w:r>
        <w:t>2.2 India’s coal consumption</w:t>
      </w:r>
      <w:bookmarkEnd w:id="128"/>
      <w:bookmarkEnd w:id="129"/>
      <w:bookmarkEnd w:id="130"/>
      <w:bookmarkEnd w:id="131"/>
      <w:bookmarkEnd w:id="132"/>
      <w:bookmarkEnd w:id="133"/>
    </w:p>
    <w:p w14:paraId="36D2A9E2" w14:textId="4D60E916" w:rsidR="006662A6" w:rsidRDefault="006662A6" w:rsidP="00506FE3">
      <w:pPr>
        <w:pStyle w:val="Heading2"/>
      </w:pPr>
      <w:bookmarkStart w:id="134" w:name="_Toc16247592"/>
      <w:bookmarkStart w:id="135" w:name="_Toc16250055"/>
      <w:bookmarkStart w:id="136" w:name="_Toc16256910"/>
      <w:bookmarkStart w:id="137" w:name="_Toc17210784"/>
      <w:r>
        <w:t>Government policies</w:t>
      </w:r>
      <w:bookmarkEnd w:id="134"/>
      <w:bookmarkEnd w:id="135"/>
      <w:bookmarkEnd w:id="136"/>
      <w:bookmarkEnd w:id="137"/>
    </w:p>
    <w:p w14:paraId="36FF94A9" w14:textId="66DBCFDC" w:rsidR="006662A6" w:rsidRPr="009C389F" w:rsidRDefault="006662A6" w:rsidP="009C389F">
      <w:pPr>
        <w:pStyle w:val="BodyText"/>
      </w:pPr>
      <w:r>
        <w:t>Indian government policies and plans all point to growing coal consumption — until at least the mid to late 2020s, and possibly beyond — to meet India’s growing energy needs. A common theme emerges in these plans, with the emergence of renewables and storage flagged as a key uncertainty in the long</w:t>
      </w:r>
      <w:r w:rsidR="00C90F6E">
        <w:t>-</w:t>
      </w:r>
      <w:r>
        <w:t>term outlook for coal consumption.</w:t>
      </w:r>
    </w:p>
    <w:p w14:paraId="01BA2048" w14:textId="2C5BC7CC" w:rsidR="006662A6" w:rsidRPr="00E12F0F" w:rsidRDefault="006662A6" w:rsidP="00E12F0F">
      <w:pPr>
        <w:pStyle w:val="Heading3"/>
      </w:pPr>
      <w:r>
        <w:t>National energy policy</w:t>
      </w:r>
    </w:p>
    <w:p w14:paraId="07F1E0D0" w14:textId="2794CCFE" w:rsidR="006662A6" w:rsidRDefault="006662A6" w:rsidP="00506FE3">
      <w:pPr>
        <w:pStyle w:val="BodyText"/>
      </w:pPr>
      <w:r>
        <w:t>India’s 2017</w:t>
      </w:r>
      <w:r w:rsidRPr="00234FBD">
        <w:t xml:space="preserve"> </w:t>
      </w:r>
      <w:r>
        <w:t>draft national energy policy (see Chapter 1) expects coal-fired capacity to grow to between 330 and 441 GW by 2040, translating into thermal coal demand of between 1.1 and 1.4 billion tonnes.</w:t>
      </w:r>
      <w:r>
        <w:rPr>
          <w:rStyle w:val="EndnoteReference"/>
        </w:rPr>
        <w:endnoteReference w:id="67"/>
      </w:r>
      <w:r>
        <w:t xml:space="preserve"> However, the draft national energy policy also notes the challenges in projecting coal demand, with the role of coal in India’s energy future dependent on the evolution of renewables and storage technologies, especially in the longer term. </w:t>
      </w:r>
    </w:p>
    <w:p w14:paraId="375B165D" w14:textId="27153C5C" w:rsidR="006662A6" w:rsidRDefault="006662A6" w:rsidP="009C389F">
      <w:pPr>
        <w:pStyle w:val="Heading3"/>
      </w:pPr>
      <w:r>
        <w:t>National electricity plan</w:t>
      </w:r>
    </w:p>
    <w:p w14:paraId="321EB2E1" w14:textId="46C6F5C6" w:rsidR="006662A6" w:rsidRDefault="006662A6" w:rsidP="00506FE3">
      <w:pPr>
        <w:pStyle w:val="BodyText"/>
      </w:pPr>
      <w:r>
        <w:t xml:space="preserve">The 2018 national electricity plan (see Chapter 1) models thermal coal requirements based on projections of coal-fired power capacity. Thermal coal demand for use in power generation is projected to increase from 630 million tonnes in 2017–18 to </w:t>
      </w:r>
      <w:r w:rsidR="00C90F6E">
        <w:t>735</w:t>
      </w:r>
      <w:r>
        <w:t xml:space="preserve"> million tonnes in 2021–22, and to </w:t>
      </w:r>
      <w:r w:rsidR="00C90F6E">
        <w:t>877</w:t>
      </w:r>
      <w:r>
        <w:t xml:space="preserve"> million tonnes in 2026–27 (Table 2.2).</w:t>
      </w:r>
    </w:p>
    <w:p w14:paraId="46CAFE97" w14:textId="2C2654A2" w:rsidR="006662A6" w:rsidRDefault="006662A6" w:rsidP="00362C80">
      <w:pPr>
        <w:pStyle w:val="Caption"/>
      </w:pPr>
      <w:r w:rsidRPr="000618FB">
        <w:t xml:space="preserve">Table </w:t>
      </w:r>
      <w:r>
        <w:rPr>
          <w:noProof/>
        </w:rPr>
        <w:t>2</w:t>
      </w:r>
      <w:r w:rsidRPr="000618FB">
        <w:t>.</w:t>
      </w:r>
      <w:r>
        <w:t>2</w:t>
      </w:r>
      <w:r w:rsidRPr="000618FB">
        <w:t xml:space="preserve">: </w:t>
      </w:r>
      <w:r>
        <w:t>Projected coal requirements in India’s National Electricity Plan</w:t>
      </w:r>
    </w:p>
    <w:tbl>
      <w:tblPr>
        <w:tblStyle w:val="OCETable"/>
        <w:tblW w:w="5000" w:type="pct"/>
        <w:tblLook w:val="04A0" w:firstRow="1" w:lastRow="0" w:firstColumn="1" w:lastColumn="0" w:noHBand="0" w:noVBand="1"/>
        <w:tblCaption w:val="Table 2.2: Projected coal requirements in India’s National Electricity Plan"/>
        <w:tblDescription w:val="This table shows the projected coal capacity and coal requirements in India’s National Electricity Plan."/>
      </w:tblPr>
      <w:tblGrid>
        <w:gridCol w:w="3914"/>
        <w:gridCol w:w="1569"/>
        <w:gridCol w:w="1181"/>
        <w:gridCol w:w="1181"/>
        <w:gridCol w:w="1181"/>
      </w:tblGrid>
      <w:tr w:rsidR="006662A6" w:rsidRPr="00D055DA" w14:paraId="7462144A" w14:textId="77777777" w:rsidTr="00391B1A">
        <w:trPr>
          <w:cnfStyle w:val="100000000000" w:firstRow="1" w:lastRow="0" w:firstColumn="0" w:lastColumn="0" w:oddVBand="0" w:evenVBand="0" w:oddHBand="0" w:evenHBand="0" w:firstRowFirstColumn="0" w:firstRowLastColumn="0" w:lastRowFirstColumn="0" w:lastRowLastColumn="0"/>
          <w:trHeight w:val="255"/>
          <w:tblHeader/>
        </w:trPr>
        <w:tc>
          <w:tcPr>
            <w:tcW w:w="2169" w:type="pct"/>
            <w:noWrap/>
            <w:hideMark/>
          </w:tcPr>
          <w:p w14:paraId="7093A51E" w14:textId="77777777" w:rsidR="006662A6" w:rsidRPr="00D055DA" w:rsidRDefault="006662A6" w:rsidP="00D055DA">
            <w:pPr>
              <w:pStyle w:val="Tableheadertext"/>
              <w:rPr>
                <w:lang w:eastAsia="en-AU"/>
              </w:rPr>
            </w:pPr>
          </w:p>
        </w:tc>
        <w:tc>
          <w:tcPr>
            <w:tcW w:w="869" w:type="pct"/>
            <w:noWrap/>
            <w:hideMark/>
          </w:tcPr>
          <w:p w14:paraId="6B325C18" w14:textId="77777777" w:rsidR="006662A6" w:rsidRPr="00D055DA" w:rsidRDefault="006662A6" w:rsidP="00854480">
            <w:pPr>
              <w:pStyle w:val="Tableheadertext"/>
              <w:jc w:val="center"/>
              <w:rPr>
                <w:szCs w:val="20"/>
                <w:lang w:eastAsia="en-AU"/>
              </w:rPr>
            </w:pPr>
            <w:r w:rsidRPr="00D055DA">
              <w:rPr>
                <w:szCs w:val="20"/>
                <w:lang w:eastAsia="en-AU"/>
              </w:rPr>
              <w:t>Unit</w:t>
            </w:r>
          </w:p>
        </w:tc>
        <w:tc>
          <w:tcPr>
            <w:tcW w:w="654" w:type="pct"/>
            <w:noWrap/>
            <w:vAlign w:val="center"/>
            <w:hideMark/>
          </w:tcPr>
          <w:p w14:paraId="0603E9A7" w14:textId="77777777" w:rsidR="006662A6" w:rsidRPr="00D055DA" w:rsidRDefault="006662A6" w:rsidP="00D055DA">
            <w:pPr>
              <w:pStyle w:val="Tableheadertext"/>
              <w:jc w:val="right"/>
              <w:rPr>
                <w:szCs w:val="20"/>
                <w:lang w:eastAsia="en-AU"/>
              </w:rPr>
            </w:pPr>
            <w:r w:rsidRPr="00D055DA">
              <w:rPr>
                <w:szCs w:val="20"/>
                <w:lang w:eastAsia="en-AU"/>
              </w:rPr>
              <w:t>2017–18</w:t>
            </w:r>
          </w:p>
        </w:tc>
        <w:tc>
          <w:tcPr>
            <w:tcW w:w="654" w:type="pct"/>
            <w:noWrap/>
            <w:vAlign w:val="center"/>
            <w:hideMark/>
          </w:tcPr>
          <w:p w14:paraId="5F27528E" w14:textId="77777777" w:rsidR="006662A6" w:rsidRPr="00D055DA" w:rsidRDefault="006662A6" w:rsidP="00D055DA">
            <w:pPr>
              <w:pStyle w:val="Tableheadertext"/>
              <w:jc w:val="right"/>
              <w:rPr>
                <w:szCs w:val="20"/>
                <w:lang w:eastAsia="en-AU"/>
              </w:rPr>
            </w:pPr>
            <w:r w:rsidRPr="00D055DA">
              <w:rPr>
                <w:szCs w:val="20"/>
                <w:lang w:eastAsia="en-AU"/>
              </w:rPr>
              <w:t>2021–22</w:t>
            </w:r>
          </w:p>
        </w:tc>
        <w:tc>
          <w:tcPr>
            <w:tcW w:w="654" w:type="pct"/>
            <w:noWrap/>
            <w:vAlign w:val="center"/>
            <w:hideMark/>
          </w:tcPr>
          <w:p w14:paraId="0296F5D8" w14:textId="77777777" w:rsidR="006662A6" w:rsidRPr="00D055DA" w:rsidRDefault="006662A6" w:rsidP="00D055DA">
            <w:pPr>
              <w:pStyle w:val="Tableheadertext"/>
              <w:jc w:val="right"/>
              <w:rPr>
                <w:szCs w:val="20"/>
                <w:lang w:eastAsia="en-AU"/>
              </w:rPr>
            </w:pPr>
            <w:r w:rsidRPr="00D055DA">
              <w:rPr>
                <w:szCs w:val="20"/>
                <w:lang w:eastAsia="en-AU"/>
              </w:rPr>
              <w:t>2026–27</w:t>
            </w:r>
          </w:p>
        </w:tc>
      </w:tr>
      <w:tr w:rsidR="006662A6" w:rsidRPr="00D055DA" w14:paraId="0CD03242" w14:textId="77777777" w:rsidTr="0052573C">
        <w:trPr>
          <w:cnfStyle w:val="100000000000" w:firstRow="1" w:lastRow="0" w:firstColumn="0" w:lastColumn="0" w:oddVBand="0" w:evenVBand="0" w:oddHBand="0" w:evenHBand="0" w:firstRowFirstColumn="0" w:firstRowLastColumn="0" w:lastRowFirstColumn="0" w:lastRowLastColumn="0"/>
          <w:trHeight w:val="255"/>
          <w:tblHeader/>
        </w:trPr>
        <w:tc>
          <w:tcPr>
            <w:tcW w:w="2169" w:type="pct"/>
            <w:shd w:val="clear" w:color="auto" w:fill="FFFFFF" w:themeFill="background1"/>
            <w:noWrap/>
            <w:hideMark/>
          </w:tcPr>
          <w:p w14:paraId="71B15D42" w14:textId="77777777" w:rsidR="006662A6" w:rsidRPr="00D055DA" w:rsidRDefault="006662A6" w:rsidP="00D055DA">
            <w:pPr>
              <w:pStyle w:val="Tablebodytext"/>
              <w:rPr>
                <w:szCs w:val="20"/>
                <w:lang w:eastAsia="en-AU"/>
              </w:rPr>
            </w:pPr>
            <w:r w:rsidRPr="00D055DA">
              <w:rPr>
                <w:szCs w:val="20"/>
                <w:lang w:eastAsia="en-AU"/>
              </w:rPr>
              <w:t>Renewable capacity</w:t>
            </w:r>
          </w:p>
        </w:tc>
        <w:tc>
          <w:tcPr>
            <w:tcW w:w="869" w:type="pct"/>
            <w:shd w:val="clear" w:color="auto" w:fill="FFFFFF" w:themeFill="background1"/>
            <w:noWrap/>
            <w:hideMark/>
          </w:tcPr>
          <w:p w14:paraId="3C539FFE" w14:textId="77777777" w:rsidR="006662A6" w:rsidRPr="00D055DA" w:rsidRDefault="006662A6" w:rsidP="00854480">
            <w:pPr>
              <w:pStyle w:val="Tablebodytext"/>
              <w:jc w:val="center"/>
              <w:rPr>
                <w:szCs w:val="20"/>
                <w:lang w:eastAsia="en-AU"/>
              </w:rPr>
            </w:pPr>
            <w:r w:rsidRPr="00D055DA">
              <w:rPr>
                <w:szCs w:val="20"/>
                <w:lang w:eastAsia="en-AU"/>
              </w:rPr>
              <w:t>GW</w:t>
            </w:r>
          </w:p>
        </w:tc>
        <w:tc>
          <w:tcPr>
            <w:tcW w:w="654" w:type="pct"/>
            <w:shd w:val="clear" w:color="auto" w:fill="FFFFFF" w:themeFill="background1"/>
            <w:noWrap/>
            <w:vAlign w:val="center"/>
            <w:hideMark/>
          </w:tcPr>
          <w:p w14:paraId="6F2DA637" w14:textId="21D43F6A" w:rsidR="006662A6" w:rsidRPr="00D055DA" w:rsidRDefault="006662A6" w:rsidP="00D055DA">
            <w:pPr>
              <w:pStyle w:val="Tablebodytext"/>
              <w:jc w:val="right"/>
              <w:rPr>
                <w:szCs w:val="20"/>
                <w:lang w:eastAsia="en-AU"/>
              </w:rPr>
            </w:pPr>
            <w:r>
              <w:rPr>
                <w:szCs w:val="20"/>
                <w:lang w:eastAsia="en-AU"/>
              </w:rPr>
              <w:t>69</w:t>
            </w:r>
          </w:p>
        </w:tc>
        <w:tc>
          <w:tcPr>
            <w:tcW w:w="654" w:type="pct"/>
            <w:shd w:val="clear" w:color="auto" w:fill="FFFFFF" w:themeFill="background1"/>
            <w:noWrap/>
            <w:vAlign w:val="center"/>
            <w:hideMark/>
          </w:tcPr>
          <w:p w14:paraId="454E8F1B" w14:textId="77777777" w:rsidR="006662A6" w:rsidRPr="00D055DA" w:rsidRDefault="006662A6" w:rsidP="00D055DA">
            <w:pPr>
              <w:pStyle w:val="Tablebodytext"/>
              <w:jc w:val="right"/>
              <w:rPr>
                <w:szCs w:val="20"/>
                <w:lang w:eastAsia="en-AU"/>
              </w:rPr>
            </w:pPr>
            <w:r w:rsidRPr="00D055DA">
              <w:rPr>
                <w:szCs w:val="20"/>
                <w:lang w:eastAsia="en-AU"/>
              </w:rPr>
              <w:t>175</w:t>
            </w:r>
          </w:p>
        </w:tc>
        <w:tc>
          <w:tcPr>
            <w:tcW w:w="654" w:type="pct"/>
            <w:shd w:val="clear" w:color="auto" w:fill="FFFFFF" w:themeFill="background1"/>
            <w:noWrap/>
            <w:vAlign w:val="center"/>
            <w:hideMark/>
          </w:tcPr>
          <w:p w14:paraId="71D4D3D9" w14:textId="77777777" w:rsidR="006662A6" w:rsidRPr="00D055DA" w:rsidRDefault="006662A6" w:rsidP="00D055DA">
            <w:pPr>
              <w:pStyle w:val="Tablebodytext"/>
              <w:jc w:val="right"/>
              <w:rPr>
                <w:szCs w:val="20"/>
                <w:lang w:eastAsia="en-AU"/>
              </w:rPr>
            </w:pPr>
            <w:r w:rsidRPr="00D055DA">
              <w:rPr>
                <w:szCs w:val="20"/>
                <w:lang w:eastAsia="en-AU"/>
              </w:rPr>
              <w:t>275</w:t>
            </w:r>
          </w:p>
        </w:tc>
      </w:tr>
      <w:tr w:rsidR="006662A6" w:rsidRPr="00D055DA" w14:paraId="2469D263" w14:textId="77777777" w:rsidTr="0052573C">
        <w:trPr>
          <w:cnfStyle w:val="100000000000" w:firstRow="1" w:lastRow="0" w:firstColumn="0" w:lastColumn="0" w:oddVBand="0" w:evenVBand="0" w:oddHBand="0" w:evenHBand="0" w:firstRowFirstColumn="0" w:firstRowLastColumn="0" w:lastRowFirstColumn="0" w:lastRowLastColumn="0"/>
          <w:trHeight w:val="255"/>
          <w:tblHeader/>
        </w:trPr>
        <w:tc>
          <w:tcPr>
            <w:tcW w:w="2169" w:type="pct"/>
            <w:shd w:val="clear" w:color="auto" w:fill="DEE8F1"/>
            <w:noWrap/>
          </w:tcPr>
          <w:p w14:paraId="5EF3EF4A" w14:textId="4C2D971C" w:rsidR="006662A6" w:rsidRPr="00D055DA" w:rsidRDefault="006662A6" w:rsidP="00D055DA">
            <w:pPr>
              <w:pStyle w:val="Tablebodytext"/>
              <w:rPr>
                <w:szCs w:val="20"/>
                <w:lang w:eastAsia="en-AU"/>
              </w:rPr>
            </w:pPr>
            <w:r>
              <w:rPr>
                <w:szCs w:val="20"/>
                <w:lang w:eastAsia="en-AU"/>
              </w:rPr>
              <w:t>Coal-fired power capacity</w:t>
            </w:r>
          </w:p>
        </w:tc>
        <w:tc>
          <w:tcPr>
            <w:tcW w:w="869" w:type="pct"/>
            <w:shd w:val="clear" w:color="auto" w:fill="DEE8F1"/>
            <w:noWrap/>
          </w:tcPr>
          <w:p w14:paraId="4F2FD0AF" w14:textId="0C0AEC42" w:rsidR="006662A6" w:rsidRPr="00D055DA" w:rsidRDefault="006662A6" w:rsidP="00854480">
            <w:pPr>
              <w:pStyle w:val="Tablebodytext"/>
              <w:jc w:val="center"/>
              <w:rPr>
                <w:szCs w:val="20"/>
                <w:lang w:eastAsia="en-AU"/>
              </w:rPr>
            </w:pPr>
            <w:r>
              <w:rPr>
                <w:szCs w:val="20"/>
                <w:lang w:eastAsia="en-AU"/>
              </w:rPr>
              <w:t>GW</w:t>
            </w:r>
          </w:p>
        </w:tc>
        <w:tc>
          <w:tcPr>
            <w:tcW w:w="654" w:type="pct"/>
            <w:shd w:val="clear" w:color="auto" w:fill="DEE8F1"/>
            <w:noWrap/>
            <w:vAlign w:val="center"/>
          </w:tcPr>
          <w:p w14:paraId="7865AB81" w14:textId="43A31D92" w:rsidR="006662A6" w:rsidRDefault="00C700BE" w:rsidP="00D055DA">
            <w:pPr>
              <w:pStyle w:val="Tablebodytext"/>
              <w:jc w:val="right"/>
              <w:rPr>
                <w:szCs w:val="20"/>
                <w:lang w:eastAsia="en-AU"/>
              </w:rPr>
            </w:pPr>
            <w:r>
              <w:rPr>
                <w:szCs w:val="20"/>
                <w:lang w:eastAsia="en-AU"/>
              </w:rPr>
              <w:t>197</w:t>
            </w:r>
          </w:p>
        </w:tc>
        <w:tc>
          <w:tcPr>
            <w:tcW w:w="654" w:type="pct"/>
            <w:shd w:val="clear" w:color="auto" w:fill="DEE8F1"/>
            <w:noWrap/>
            <w:vAlign w:val="center"/>
          </w:tcPr>
          <w:p w14:paraId="6F715D36" w14:textId="686F1993" w:rsidR="006662A6" w:rsidRPr="00D055DA" w:rsidRDefault="006662A6" w:rsidP="00D055DA">
            <w:pPr>
              <w:pStyle w:val="Tablebodytext"/>
              <w:jc w:val="right"/>
              <w:rPr>
                <w:szCs w:val="20"/>
                <w:lang w:eastAsia="en-AU"/>
              </w:rPr>
            </w:pPr>
            <w:r>
              <w:rPr>
                <w:szCs w:val="20"/>
                <w:lang w:eastAsia="en-AU"/>
              </w:rPr>
              <w:t>217</w:t>
            </w:r>
          </w:p>
        </w:tc>
        <w:tc>
          <w:tcPr>
            <w:tcW w:w="654" w:type="pct"/>
            <w:shd w:val="clear" w:color="auto" w:fill="DEE8F1"/>
            <w:noWrap/>
            <w:vAlign w:val="center"/>
          </w:tcPr>
          <w:p w14:paraId="6B11C971" w14:textId="093504DB" w:rsidR="006662A6" w:rsidRPr="00D055DA" w:rsidRDefault="006662A6" w:rsidP="00D055DA">
            <w:pPr>
              <w:pStyle w:val="Tablebodytext"/>
              <w:jc w:val="right"/>
              <w:rPr>
                <w:szCs w:val="20"/>
                <w:lang w:eastAsia="en-AU"/>
              </w:rPr>
            </w:pPr>
            <w:r>
              <w:rPr>
                <w:szCs w:val="20"/>
                <w:lang w:eastAsia="en-AU"/>
              </w:rPr>
              <w:t>238</w:t>
            </w:r>
          </w:p>
        </w:tc>
      </w:tr>
      <w:tr w:rsidR="006662A6" w:rsidRPr="00D055DA" w14:paraId="152277C3" w14:textId="77777777" w:rsidTr="0052573C">
        <w:trPr>
          <w:cnfStyle w:val="100000000000" w:firstRow="1" w:lastRow="0" w:firstColumn="0" w:lastColumn="0" w:oddVBand="0" w:evenVBand="0" w:oddHBand="0" w:evenHBand="0" w:firstRowFirstColumn="0" w:firstRowLastColumn="0" w:lastRowFirstColumn="0" w:lastRowLastColumn="0"/>
          <w:trHeight w:val="255"/>
          <w:tblHeader/>
        </w:trPr>
        <w:tc>
          <w:tcPr>
            <w:tcW w:w="2169" w:type="pct"/>
            <w:shd w:val="clear" w:color="auto" w:fill="FFFFFF" w:themeFill="background1"/>
            <w:noWrap/>
            <w:hideMark/>
          </w:tcPr>
          <w:p w14:paraId="2A24BC5C" w14:textId="77777777" w:rsidR="006662A6" w:rsidRPr="00D055DA" w:rsidRDefault="006662A6" w:rsidP="00D055DA">
            <w:pPr>
              <w:pStyle w:val="Tablebodytext"/>
              <w:rPr>
                <w:szCs w:val="20"/>
                <w:lang w:eastAsia="en-AU"/>
              </w:rPr>
            </w:pPr>
            <w:r w:rsidRPr="00D055DA">
              <w:rPr>
                <w:szCs w:val="20"/>
                <w:lang w:eastAsia="en-AU"/>
              </w:rPr>
              <w:t>Coal-fired power generation</w:t>
            </w:r>
          </w:p>
        </w:tc>
        <w:tc>
          <w:tcPr>
            <w:tcW w:w="869" w:type="pct"/>
            <w:shd w:val="clear" w:color="auto" w:fill="FFFFFF" w:themeFill="background1"/>
            <w:noWrap/>
            <w:hideMark/>
          </w:tcPr>
          <w:p w14:paraId="5E5AD99B" w14:textId="77777777" w:rsidR="006662A6" w:rsidRPr="00D055DA" w:rsidRDefault="006662A6" w:rsidP="00854480">
            <w:pPr>
              <w:pStyle w:val="Tablebodytext"/>
              <w:jc w:val="center"/>
              <w:rPr>
                <w:szCs w:val="20"/>
                <w:lang w:eastAsia="en-AU"/>
              </w:rPr>
            </w:pPr>
            <w:r w:rsidRPr="00D055DA">
              <w:rPr>
                <w:szCs w:val="20"/>
                <w:lang w:eastAsia="en-AU"/>
              </w:rPr>
              <w:t>TWh</w:t>
            </w:r>
          </w:p>
        </w:tc>
        <w:tc>
          <w:tcPr>
            <w:tcW w:w="654" w:type="pct"/>
            <w:shd w:val="clear" w:color="auto" w:fill="FFFFFF" w:themeFill="background1"/>
            <w:noWrap/>
            <w:vAlign w:val="center"/>
            <w:hideMark/>
          </w:tcPr>
          <w:p w14:paraId="5E5AF463" w14:textId="77777777" w:rsidR="006662A6" w:rsidRPr="00D055DA" w:rsidRDefault="006662A6" w:rsidP="00D055DA">
            <w:pPr>
              <w:pStyle w:val="Tablebodytext"/>
              <w:jc w:val="right"/>
              <w:rPr>
                <w:szCs w:val="20"/>
                <w:lang w:eastAsia="en-AU"/>
              </w:rPr>
            </w:pPr>
            <w:r w:rsidRPr="00D055DA">
              <w:rPr>
                <w:szCs w:val="20"/>
                <w:lang w:eastAsia="en-AU"/>
              </w:rPr>
              <w:t>958</w:t>
            </w:r>
          </w:p>
        </w:tc>
        <w:tc>
          <w:tcPr>
            <w:tcW w:w="654" w:type="pct"/>
            <w:shd w:val="clear" w:color="auto" w:fill="FFFFFF" w:themeFill="background1"/>
            <w:noWrap/>
            <w:vAlign w:val="center"/>
            <w:hideMark/>
          </w:tcPr>
          <w:p w14:paraId="625E5513" w14:textId="55A6EEFC" w:rsidR="006662A6" w:rsidRPr="00D055DA" w:rsidRDefault="006662A6" w:rsidP="00D055DA">
            <w:pPr>
              <w:pStyle w:val="Tablebodytext"/>
              <w:jc w:val="right"/>
              <w:rPr>
                <w:szCs w:val="20"/>
                <w:lang w:eastAsia="en-AU"/>
              </w:rPr>
            </w:pPr>
            <w:r w:rsidRPr="00D055DA">
              <w:rPr>
                <w:szCs w:val="20"/>
                <w:lang w:eastAsia="en-AU"/>
              </w:rPr>
              <w:t>1</w:t>
            </w:r>
            <w:r>
              <w:rPr>
                <w:szCs w:val="20"/>
                <w:lang w:eastAsia="en-AU"/>
              </w:rPr>
              <w:t>,</w:t>
            </w:r>
            <w:r w:rsidRPr="00D055DA">
              <w:rPr>
                <w:szCs w:val="20"/>
                <w:lang w:eastAsia="en-AU"/>
              </w:rPr>
              <w:t>119</w:t>
            </w:r>
          </w:p>
        </w:tc>
        <w:tc>
          <w:tcPr>
            <w:tcW w:w="654" w:type="pct"/>
            <w:shd w:val="clear" w:color="auto" w:fill="FFFFFF" w:themeFill="background1"/>
            <w:noWrap/>
            <w:vAlign w:val="center"/>
            <w:hideMark/>
          </w:tcPr>
          <w:p w14:paraId="57F2B54F" w14:textId="002B2A18" w:rsidR="006662A6" w:rsidRPr="00D055DA" w:rsidRDefault="006662A6" w:rsidP="00D055DA">
            <w:pPr>
              <w:pStyle w:val="Tablebodytext"/>
              <w:jc w:val="right"/>
              <w:rPr>
                <w:szCs w:val="20"/>
                <w:lang w:eastAsia="en-AU"/>
              </w:rPr>
            </w:pPr>
            <w:r w:rsidRPr="00D055DA">
              <w:rPr>
                <w:szCs w:val="20"/>
                <w:lang w:eastAsia="en-AU"/>
              </w:rPr>
              <w:t>1</w:t>
            </w:r>
            <w:r>
              <w:rPr>
                <w:szCs w:val="20"/>
                <w:lang w:eastAsia="en-AU"/>
              </w:rPr>
              <w:t>,</w:t>
            </w:r>
            <w:r w:rsidRPr="00D055DA">
              <w:rPr>
                <w:szCs w:val="20"/>
                <w:lang w:eastAsia="en-AU"/>
              </w:rPr>
              <w:t>336</w:t>
            </w:r>
          </w:p>
        </w:tc>
      </w:tr>
      <w:tr w:rsidR="006662A6" w:rsidRPr="00D055DA" w14:paraId="14DC8B8C" w14:textId="77777777" w:rsidTr="0052573C">
        <w:trPr>
          <w:cnfStyle w:val="100000000000" w:firstRow="1" w:lastRow="0" w:firstColumn="0" w:lastColumn="0" w:oddVBand="0" w:evenVBand="0" w:oddHBand="0" w:evenHBand="0" w:firstRowFirstColumn="0" w:firstRowLastColumn="0" w:lastRowFirstColumn="0" w:lastRowLastColumn="0"/>
          <w:trHeight w:val="255"/>
          <w:tblHeader/>
        </w:trPr>
        <w:tc>
          <w:tcPr>
            <w:tcW w:w="2169" w:type="pct"/>
            <w:shd w:val="clear" w:color="auto" w:fill="DEE8F1"/>
            <w:noWrap/>
            <w:hideMark/>
          </w:tcPr>
          <w:p w14:paraId="66592212" w14:textId="77777777" w:rsidR="006662A6" w:rsidRPr="00D055DA" w:rsidRDefault="006662A6" w:rsidP="00D055DA">
            <w:pPr>
              <w:pStyle w:val="Tablebodytext"/>
              <w:rPr>
                <w:szCs w:val="20"/>
                <w:lang w:eastAsia="en-AU"/>
              </w:rPr>
            </w:pPr>
            <w:r w:rsidRPr="00D055DA">
              <w:rPr>
                <w:szCs w:val="20"/>
                <w:lang w:eastAsia="en-AU"/>
              </w:rPr>
              <w:t>Coal requirement</w:t>
            </w:r>
          </w:p>
        </w:tc>
        <w:tc>
          <w:tcPr>
            <w:tcW w:w="869" w:type="pct"/>
            <w:shd w:val="clear" w:color="auto" w:fill="DEE8F1"/>
            <w:noWrap/>
            <w:hideMark/>
          </w:tcPr>
          <w:p w14:paraId="047CE928" w14:textId="77777777" w:rsidR="006662A6" w:rsidRPr="00D055DA" w:rsidRDefault="006662A6" w:rsidP="00854480">
            <w:pPr>
              <w:pStyle w:val="Tablebodytext"/>
              <w:jc w:val="center"/>
              <w:rPr>
                <w:szCs w:val="20"/>
                <w:lang w:eastAsia="en-AU"/>
              </w:rPr>
            </w:pPr>
            <w:r w:rsidRPr="00D055DA">
              <w:rPr>
                <w:szCs w:val="20"/>
                <w:lang w:eastAsia="en-AU"/>
              </w:rPr>
              <w:t>Mt</w:t>
            </w:r>
          </w:p>
        </w:tc>
        <w:tc>
          <w:tcPr>
            <w:tcW w:w="654" w:type="pct"/>
            <w:shd w:val="clear" w:color="auto" w:fill="DEE8F1"/>
            <w:noWrap/>
            <w:vAlign w:val="center"/>
            <w:hideMark/>
          </w:tcPr>
          <w:p w14:paraId="47094420" w14:textId="77777777" w:rsidR="006662A6" w:rsidRPr="00D055DA" w:rsidRDefault="006662A6" w:rsidP="00D055DA">
            <w:pPr>
              <w:pStyle w:val="Tablebodytext"/>
              <w:jc w:val="right"/>
              <w:rPr>
                <w:szCs w:val="20"/>
                <w:lang w:eastAsia="en-AU"/>
              </w:rPr>
            </w:pPr>
            <w:r w:rsidRPr="00D055DA">
              <w:rPr>
                <w:szCs w:val="20"/>
                <w:lang w:eastAsia="en-AU"/>
              </w:rPr>
              <w:t>584</w:t>
            </w:r>
          </w:p>
        </w:tc>
        <w:tc>
          <w:tcPr>
            <w:tcW w:w="654" w:type="pct"/>
            <w:shd w:val="clear" w:color="auto" w:fill="DEE8F1"/>
            <w:noWrap/>
            <w:vAlign w:val="center"/>
            <w:hideMark/>
          </w:tcPr>
          <w:p w14:paraId="498759FD" w14:textId="77777777" w:rsidR="006662A6" w:rsidRPr="00D055DA" w:rsidRDefault="006662A6" w:rsidP="00D055DA">
            <w:pPr>
              <w:pStyle w:val="Tablebodytext"/>
              <w:jc w:val="right"/>
              <w:rPr>
                <w:szCs w:val="20"/>
                <w:lang w:eastAsia="en-AU"/>
              </w:rPr>
            </w:pPr>
            <w:r w:rsidRPr="00D055DA">
              <w:rPr>
                <w:szCs w:val="20"/>
                <w:lang w:eastAsia="en-AU"/>
              </w:rPr>
              <w:t>685</w:t>
            </w:r>
          </w:p>
        </w:tc>
        <w:tc>
          <w:tcPr>
            <w:tcW w:w="654" w:type="pct"/>
            <w:shd w:val="clear" w:color="auto" w:fill="DEE8F1"/>
            <w:noWrap/>
            <w:vAlign w:val="center"/>
            <w:hideMark/>
          </w:tcPr>
          <w:p w14:paraId="68941AFF" w14:textId="77777777" w:rsidR="006662A6" w:rsidRPr="00D055DA" w:rsidRDefault="006662A6" w:rsidP="00D055DA">
            <w:pPr>
              <w:pStyle w:val="Tablebodytext"/>
              <w:jc w:val="right"/>
              <w:rPr>
                <w:szCs w:val="20"/>
                <w:lang w:eastAsia="en-AU"/>
              </w:rPr>
            </w:pPr>
            <w:r w:rsidRPr="00D055DA">
              <w:rPr>
                <w:szCs w:val="20"/>
                <w:lang w:eastAsia="en-AU"/>
              </w:rPr>
              <w:t>827</w:t>
            </w:r>
          </w:p>
        </w:tc>
      </w:tr>
      <w:tr w:rsidR="006662A6" w:rsidRPr="00D055DA" w14:paraId="14285955" w14:textId="77777777" w:rsidTr="0052573C">
        <w:trPr>
          <w:cnfStyle w:val="100000000000" w:firstRow="1" w:lastRow="0" w:firstColumn="0" w:lastColumn="0" w:oddVBand="0" w:evenVBand="0" w:oddHBand="0" w:evenHBand="0" w:firstRowFirstColumn="0" w:firstRowLastColumn="0" w:lastRowFirstColumn="0" w:lastRowLastColumn="0"/>
          <w:trHeight w:val="255"/>
          <w:tblHeader/>
        </w:trPr>
        <w:tc>
          <w:tcPr>
            <w:tcW w:w="2169" w:type="pct"/>
            <w:shd w:val="clear" w:color="auto" w:fill="FFFFFF" w:themeFill="background1"/>
            <w:noWrap/>
            <w:hideMark/>
          </w:tcPr>
          <w:p w14:paraId="6BE22457" w14:textId="77777777" w:rsidR="006662A6" w:rsidRPr="00D055DA" w:rsidRDefault="006662A6" w:rsidP="00D055DA">
            <w:pPr>
              <w:pStyle w:val="Tablebodytext"/>
              <w:rPr>
                <w:szCs w:val="20"/>
                <w:lang w:eastAsia="en-AU"/>
              </w:rPr>
            </w:pPr>
            <w:r w:rsidRPr="00D055DA">
              <w:rPr>
                <w:szCs w:val="20"/>
                <w:lang w:eastAsia="en-AU"/>
              </w:rPr>
              <w:t>Coastal power plant imports</w:t>
            </w:r>
          </w:p>
        </w:tc>
        <w:tc>
          <w:tcPr>
            <w:tcW w:w="869" w:type="pct"/>
            <w:shd w:val="clear" w:color="auto" w:fill="FFFFFF" w:themeFill="background1"/>
            <w:noWrap/>
            <w:hideMark/>
          </w:tcPr>
          <w:p w14:paraId="5D991D6F" w14:textId="77777777" w:rsidR="006662A6" w:rsidRPr="00D055DA" w:rsidRDefault="006662A6" w:rsidP="00854480">
            <w:pPr>
              <w:pStyle w:val="Tablebodytext"/>
              <w:jc w:val="center"/>
              <w:rPr>
                <w:szCs w:val="20"/>
                <w:lang w:eastAsia="en-AU"/>
              </w:rPr>
            </w:pPr>
            <w:r w:rsidRPr="00D055DA">
              <w:rPr>
                <w:szCs w:val="20"/>
                <w:lang w:eastAsia="en-AU"/>
              </w:rPr>
              <w:t>Mt</w:t>
            </w:r>
          </w:p>
        </w:tc>
        <w:tc>
          <w:tcPr>
            <w:tcW w:w="654" w:type="pct"/>
            <w:shd w:val="clear" w:color="auto" w:fill="FFFFFF" w:themeFill="background1"/>
            <w:noWrap/>
            <w:vAlign w:val="center"/>
            <w:hideMark/>
          </w:tcPr>
          <w:p w14:paraId="560B00AB" w14:textId="77777777" w:rsidR="006662A6" w:rsidRPr="00D055DA" w:rsidRDefault="006662A6" w:rsidP="00D055DA">
            <w:pPr>
              <w:pStyle w:val="Tablebodytext"/>
              <w:jc w:val="right"/>
              <w:rPr>
                <w:szCs w:val="20"/>
                <w:lang w:eastAsia="en-AU"/>
              </w:rPr>
            </w:pPr>
            <w:r w:rsidRPr="00D055DA">
              <w:rPr>
                <w:szCs w:val="20"/>
                <w:lang w:eastAsia="en-AU"/>
              </w:rPr>
              <w:t>46</w:t>
            </w:r>
          </w:p>
        </w:tc>
        <w:tc>
          <w:tcPr>
            <w:tcW w:w="654" w:type="pct"/>
            <w:shd w:val="clear" w:color="auto" w:fill="FFFFFF" w:themeFill="background1"/>
            <w:noWrap/>
            <w:vAlign w:val="center"/>
            <w:hideMark/>
          </w:tcPr>
          <w:p w14:paraId="7F2575B0" w14:textId="77777777" w:rsidR="006662A6" w:rsidRPr="00D055DA" w:rsidRDefault="006662A6" w:rsidP="00D055DA">
            <w:pPr>
              <w:pStyle w:val="Tablebodytext"/>
              <w:jc w:val="right"/>
              <w:rPr>
                <w:szCs w:val="20"/>
                <w:lang w:eastAsia="en-AU"/>
              </w:rPr>
            </w:pPr>
            <w:r w:rsidRPr="00D055DA">
              <w:rPr>
                <w:szCs w:val="20"/>
                <w:lang w:eastAsia="en-AU"/>
              </w:rPr>
              <w:t>50</w:t>
            </w:r>
          </w:p>
        </w:tc>
        <w:tc>
          <w:tcPr>
            <w:tcW w:w="654" w:type="pct"/>
            <w:shd w:val="clear" w:color="auto" w:fill="FFFFFF" w:themeFill="background1"/>
            <w:noWrap/>
            <w:vAlign w:val="center"/>
            <w:hideMark/>
          </w:tcPr>
          <w:p w14:paraId="5B20CB69" w14:textId="77777777" w:rsidR="006662A6" w:rsidRPr="00D055DA" w:rsidRDefault="006662A6" w:rsidP="00D055DA">
            <w:pPr>
              <w:pStyle w:val="Tablebodytext"/>
              <w:jc w:val="right"/>
              <w:rPr>
                <w:szCs w:val="20"/>
                <w:lang w:eastAsia="en-AU"/>
              </w:rPr>
            </w:pPr>
            <w:r w:rsidRPr="00D055DA">
              <w:rPr>
                <w:szCs w:val="20"/>
                <w:lang w:eastAsia="en-AU"/>
              </w:rPr>
              <w:t>50</w:t>
            </w:r>
          </w:p>
        </w:tc>
      </w:tr>
      <w:tr w:rsidR="006662A6" w:rsidRPr="00D055DA" w14:paraId="45BBEE04" w14:textId="77777777" w:rsidTr="0052573C">
        <w:trPr>
          <w:cnfStyle w:val="100000000000" w:firstRow="1" w:lastRow="0" w:firstColumn="0" w:lastColumn="0" w:oddVBand="0" w:evenVBand="0" w:oddHBand="0" w:evenHBand="0" w:firstRowFirstColumn="0" w:firstRowLastColumn="0" w:lastRowFirstColumn="0" w:lastRowLastColumn="0"/>
          <w:trHeight w:val="255"/>
          <w:tblHeader/>
        </w:trPr>
        <w:tc>
          <w:tcPr>
            <w:tcW w:w="2169" w:type="pct"/>
            <w:shd w:val="clear" w:color="auto" w:fill="DEE8F1"/>
            <w:noWrap/>
            <w:hideMark/>
          </w:tcPr>
          <w:p w14:paraId="6AF7D1B7" w14:textId="77777777" w:rsidR="006662A6" w:rsidRPr="00D055DA" w:rsidRDefault="006662A6" w:rsidP="00D055DA">
            <w:pPr>
              <w:pStyle w:val="Tablebodytext"/>
              <w:rPr>
                <w:szCs w:val="20"/>
                <w:lang w:eastAsia="en-AU"/>
              </w:rPr>
            </w:pPr>
            <w:r w:rsidRPr="00D055DA">
              <w:rPr>
                <w:szCs w:val="20"/>
                <w:lang w:eastAsia="en-AU"/>
              </w:rPr>
              <w:t>Total coal requirement</w:t>
            </w:r>
          </w:p>
        </w:tc>
        <w:tc>
          <w:tcPr>
            <w:tcW w:w="869" w:type="pct"/>
            <w:shd w:val="clear" w:color="auto" w:fill="DEE8F1"/>
            <w:noWrap/>
            <w:hideMark/>
          </w:tcPr>
          <w:p w14:paraId="40355064" w14:textId="77777777" w:rsidR="006662A6" w:rsidRPr="00D055DA" w:rsidRDefault="006662A6" w:rsidP="00854480">
            <w:pPr>
              <w:pStyle w:val="Tablebodytext"/>
              <w:jc w:val="center"/>
              <w:rPr>
                <w:szCs w:val="20"/>
                <w:lang w:eastAsia="en-AU"/>
              </w:rPr>
            </w:pPr>
            <w:r w:rsidRPr="00D055DA">
              <w:rPr>
                <w:szCs w:val="20"/>
                <w:lang w:eastAsia="en-AU"/>
              </w:rPr>
              <w:t>Mt</w:t>
            </w:r>
          </w:p>
        </w:tc>
        <w:tc>
          <w:tcPr>
            <w:tcW w:w="654" w:type="pct"/>
            <w:shd w:val="clear" w:color="auto" w:fill="DEE8F1"/>
            <w:noWrap/>
            <w:vAlign w:val="center"/>
            <w:hideMark/>
          </w:tcPr>
          <w:p w14:paraId="5859F05B" w14:textId="77777777" w:rsidR="006662A6" w:rsidRPr="00D055DA" w:rsidRDefault="006662A6" w:rsidP="00D055DA">
            <w:pPr>
              <w:pStyle w:val="Tablebodytext"/>
              <w:jc w:val="right"/>
              <w:rPr>
                <w:szCs w:val="20"/>
                <w:lang w:eastAsia="en-AU"/>
              </w:rPr>
            </w:pPr>
            <w:r w:rsidRPr="00D055DA">
              <w:rPr>
                <w:szCs w:val="20"/>
                <w:lang w:eastAsia="en-AU"/>
              </w:rPr>
              <w:t>630</w:t>
            </w:r>
          </w:p>
        </w:tc>
        <w:tc>
          <w:tcPr>
            <w:tcW w:w="654" w:type="pct"/>
            <w:shd w:val="clear" w:color="auto" w:fill="DEE8F1"/>
            <w:noWrap/>
            <w:vAlign w:val="center"/>
            <w:hideMark/>
          </w:tcPr>
          <w:p w14:paraId="0D66BFB5" w14:textId="77777777" w:rsidR="006662A6" w:rsidRPr="00D055DA" w:rsidRDefault="006662A6" w:rsidP="00D055DA">
            <w:pPr>
              <w:pStyle w:val="Tablebodytext"/>
              <w:jc w:val="right"/>
              <w:rPr>
                <w:szCs w:val="20"/>
                <w:lang w:eastAsia="en-AU"/>
              </w:rPr>
            </w:pPr>
            <w:r w:rsidRPr="00D055DA">
              <w:rPr>
                <w:szCs w:val="20"/>
                <w:lang w:eastAsia="en-AU"/>
              </w:rPr>
              <w:t>735</w:t>
            </w:r>
          </w:p>
        </w:tc>
        <w:tc>
          <w:tcPr>
            <w:tcW w:w="654" w:type="pct"/>
            <w:shd w:val="clear" w:color="auto" w:fill="DEE8F1"/>
            <w:noWrap/>
            <w:vAlign w:val="center"/>
            <w:hideMark/>
          </w:tcPr>
          <w:p w14:paraId="39D544C4" w14:textId="77777777" w:rsidR="006662A6" w:rsidRPr="00D055DA" w:rsidRDefault="006662A6" w:rsidP="00D055DA">
            <w:pPr>
              <w:pStyle w:val="Tablebodytext"/>
              <w:jc w:val="right"/>
              <w:rPr>
                <w:szCs w:val="20"/>
                <w:lang w:eastAsia="en-AU"/>
              </w:rPr>
            </w:pPr>
            <w:r w:rsidRPr="00D055DA">
              <w:rPr>
                <w:szCs w:val="20"/>
                <w:lang w:eastAsia="en-AU"/>
              </w:rPr>
              <w:t>877</w:t>
            </w:r>
          </w:p>
        </w:tc>
      </w:tr>
    </w:tbl>
    <w:p w14:paraId="40E5D29F" w14:textId="2E1D4D95" w:rsidR="006662A6" w:rsidRDefault="006662A6" w:rsidP="00362C80">
      <w:pPr>
        <w:pStyle w:val="Source"/>
        <w:rPr>
          <w:lang w:eastAsia="en-AU"/>
        </w:rPr>
      </w:pPr>
      <w:r>
        <w:rPr>
          <w:lang w:eastAsia="en-AU"/>
        </w:rPr>
        <w:t>Source: CEA (2018) National Electricity Plan, January 2018, Central Electricity Authority.</w:t>
      </w:r>
    </w:p>
    <w:p w14:paraId="651C7F61" w14:textId="77777777" w:rsidR="006662A6" w:rsidRDefault="006662A6" w:rsidP="00D055DA">
      <w:pPr>
        <w:pStyle w:val="Heading3"/>
      </w:pPr>
      <w:r>
        <w:t>Coal Vision 2030</w:t>
      </w:r>
    </w:p>
    <w:p w14:paraId="572AD72A" w14:textId="7B1C14E2" w:rsidR="006662A6" w:rsidRDefault="006662A6" w:rsidP="0038670C">
      <w:pPr>
        <w:pStyle w:val="BodyText"/>
      </w:pPr>
      <w:r>
        <w:t>In 2018, Coal India commissioned a study — Coal Vision 2030 — to assess future demand scenarios for the coal sector in India.</w:t>
      </w:r>
      <w:r>
        <w:rPr>
          <w:rStyle w:val="EndnoteReference"/>
        </w:rPr>
        <w:endnoteReference w:id="68"/>
      </w:r>
      <w:r>
        <w:t xml:space="preserve"> The report finds that coal demand will continue to grow, until at least 2030, and perhaps beyond. The projections for India’s thermal coal demand have a wide range, with projected demand ranging between 1.15 billion tonnes and 1.75 million tonnes in 2030, reflecting the uncertainties underpinning the outlook for thermal coal.</w:t>
      </w:r>
    </w:p>
    <w:p w14:paraId="5DDE0DF4" w14:textId="2433B523" w:rsidR="006662A6" w:rsidRDefault="006662A6" w:rsidP="006B0878">
      <w:pPr>
        <w:pStyle w:val="Heading2"/>
      </w:pPr>
      <w:bookmarkStart w:id="138" w:name="_Toc16247593"/>
      <w:bookmarkStart w:id="139" w:name="_Toc16250056"/>
      <w:bookmarkStart w:id="140" w:name="_Toc16256911"/>
      <w:bookmarkStart w:id="141" w:name="_Toc17210785"/>
      <w:r>
        <w:t>IEA World Energy Outlook</w:t>
      </w:r>
      <w:bookmarkEnd w:id="138"/>
      <w:bookmarkEnd w:id="139"/>
      <w:bookmarkEnd w:id="140"/>
      <w:bookmarkEnd w:id="141"/>
    </w:p>
    <w:p w14:paraId="59A1B71E" w14:textId="769264F3" w:rsidR="006662A6" w:rsidRDefault="006662A6" w:rsidP="0038585E">
      <w:pPr>
        <w:pStyle w:val="BodyText"/>
      </w:pPr>
      <w:r>
        <w:t>The role of policy and technology in determining India’s future coal consumption is reflected in the IEA’s WEO projections. The IEA’s three scenarios produce widely divergent outcomes for India’s coal consumption, highlighting both the dominant role of coal in India’s power sector, and the fact that coal is one of the most emission-intensive fuels. Coal demand increases in all scenarios to 2025, but the pathways quickly diverge</w:t>
      </w:r>
      <w:r w:rsidR="00AE122B">
        <w:t xml:space="preserve"> (Figure 2.3)</w:t>
      </w:r>
      <w:r>
        <w:t>:</w:t>
      </w:r>
    </w:p>
    <w:p w14:paraId="07898CDA" w14:textId="38181A4A" w:rsidR="006662A6" w:rsidRDefault="006662A6" w:rsidP="00345B54">
      <w:pPr>
        <w:pStyle w:val="BodyText"/>
        <w:numPr>
          <w:ilvl w:val="0"/>
          <w:numId w:val="15"/>
        </w:numPr>
      </w:pPr>
      <w:r>
        <w:t xml:space="preserve">in the New Policies Scenario, India’s coal demand more than doubles between 2017 and 2040, increasing at an annual average rate of 3.4 per cent, to reach 868 mtoe. </w:t>
      </w:r>
    </w:p>
    <w:p w14:paraId="23271C31" w14:textId="27412AFB" w:rsidR="006662A6" w:rsidRDefault="006662A6" w:rsidP="00345B54">
      <w:pPr>
        <w:pStyle w:val="BodyText"/>
        <w:numPr>
          <w:ilvl w:val="0"/>
          <w:numId w:val="15"/>
        </w:numPr>
      </w:pPr>
      <w:r>
        <w:t xml:space="preserve">in the Current Policies Scenario, coal consumption rises at a more rapid pace of 4.1 per cent to reach 1,009 mtoe in 2040. </w:t>
      </w:r>
    </w:p>
    <w:p w14:paraId="602684FC" w14:textId="3A4D2427" w:rsidR="006662A6" w:rsidRDefault="006662A6" w:rsidP="00345B54">
      <w:pPr>
        <w:pStyle w:val="BodyText"/>
        <w:numPr>
          <w:ilvl w:val="0"/>
          <w:numId w:val="15"/>
        </w:numPr>
      </w:pPr>
      <w:r>
        <w:t>in the Sustainable Development Scenario, coal consumption continues to grow to 2025 — although at a slower pace — before declining to 376 mtoe in 2040.</w:t>
      </w:r>
    </w:p>
    <w:p w14:paraId="0D351CBF" w14:textId="6C72A734" w:rsidR="006662A6" w:rsidRDefault="006662A6" w:rsidP="00EA2BD3">
      <w:pPr>
        <w:pStyle w:val="Caption"/>
      </w:pPr>
      <w:r>
        <w:t>Figure 2</w:t>
      </w:r>
      <w:r w:rsidRPr="000618FB">
        <w:t>.</w:t>
      </w:r>
      <w:r>
        <w:t>3: India’s coal demand under different IEA scenarios</w:t>
      </w:r>
    </w:p>
    <w:p w14:paraId="4A239D16" w14:textId="04BCA659" w:rsidR="006662A6" w:rsidRPr="00636CC1" w:rsidRDefault="006662A6" w:rsidP="00636CC1">
      <w:pPr>
        <w:pStyle w:val="Placeholder"/>
      </w:pPr>
      <w:r>
        <w:rPr>
          <w:noProof/>
          <w:lang w:eastAsia="en-AU"/>
        </w:rPr>
        <w:drawing>
          <wp:inline distT="0" distB="0" distL="0" distR="0" wp14:anchorId="54465A94" wp14:editId="749585C3">
            <wp:extent cx="5760000" cy="2743200"/>
            <wp:effectExtent l="0" t="0" r="0" b="0"/>
            <wp:docPr id="49" name="Chart 49" descr="This chart shows India’s coal demand under different IEA scenarios." title="Figure 2.3: India’s coal demand under different IEA scenario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76987E" w14:textId="3F69C4C3" w:rsidR="006662A6" w:rsidRDefault="006662A6" w:rsidP="00DF5913">
      <w:pPr>
        <w:pStyle w:val="Source"/>
      </w:pPr>
      <w:r>
        <w:t xml:space="preserve">Source: </w:t>
      </w:r>
      <w:r w:rsidRPr="0024119F">
        <w:t>IEA (2018) World Energy Outlook 2018</w:t>
      </w:r>
      <w:r>
        <w:t xml:space="preserve">, </w:t>
      </w:r>
      <w:r w:rsidRPr="0024119F">
        <w:t>Int</w:t>
      </w:r>
      <w:r>
        <w:t>ernational Energy Agency</w:t>
      </w:r>
    </w:p>
    <w:p w14:paraId="5AECBFAE" w14:textId="0CD8C52C" w:rsidR="006662A6" w:rsidRDefault="006662A6" w:rsidP="005F69D2">
      <w:pPr>
        <w:pStyle w:val="Heading1"/>
      </w:pPr>
      <w:bookmarkStart w:id="142" w:name="_Toc15641172"/>
      <w:bookmarkStart w:id="143" w:name="_Toc15645860"/>
      <w:bookmarkStart w:id="144" w:name="_Toc16247594"/>
      <w:bookmarkStart w:id="145" w:name="_Toc16250057"/>
      <w:bookmarkStart w:id="146" w:name="_Toc16256912"/>
      <w:bookmarkStart w:id="147" w:name="_Toc17210786"/>
      <w:r>
        <w:t>2.3 Coal-fired power capacity</w:t>
      </w:r>
      <w:bookmarkEnd w:id="142"/>
      <w:bookmarkEnd w:id="143"/>
      <w:bookmarkEnd w:id="144"/>
      <w:bookmarkEnd w:id="145"/>
      <w:bookmarkEnd w:id="146"/>
      <w:r>
        <w:t xml:space="preserve"> and generation</w:t>
      </w:r>
      <w:bookmarkEnd w:id="147"/>
    </w:p>
    <w:p w14:paraId="42A43B26" w14:textId="5A7FEDFC" w:rsidR="006662A6" w:rsidRPr="002A478A" w:rsidRDefault="006662A6" w:rsidP="002A478A">
      <w:pPr>
        <w:pStyle w:val="BodyText"/>
      </w:pPr>
      <w:r>
        <w:t>Understanding the Indian power sector — which accounts for almost 70 per cent of India’s coal consumption</w:t>
      </w:r>
      <w:r>
        <w:rPr>
          <w:rStyle w:val="EndnoteReference"/>
        </w:rPr>
        <w:endnoteReference w:id="69"/>
      </w:r>
      <w:r>
        <w:t xml:space="preserve"> — is fundamental to understanding India’s future thermal coal demand. There is a divergence in the outlook for coal-fired power capacity and coal-fired power generation, although both will influence thermal coal consumption.</w:t>
      </w:r>
    </w:p>
    <w:p w14:paraId="1D83094E" w14:textId="1D491B21" w:rsidR="006662A6" w:rsidRDefault="006662A6" w:rsidP="005F69D2">
      <w:pPr>
        <w:pStyle w:val="Heading2"/>
      </w:pPr>
      <w:bookmarkStart w:id="148" w:name="_Toc17210787"/>
      <w:r>
        <w:t>Coal-fired power capacity</w:t>
      </w:r>
      <w:bookmarkEnd w:id="148"/>
    </w:p>
    <w:p w14:paraId="030A6014" w14:textId="3475CED7" w:rsidR="006662A6" w:rsidRDefault="006662A6" w:rsidP="00871950">
      <w:pPr>
        <w:pStyle w:val="Heading3"/>
      </w:pPr>
      <w:r>
        <w:t>Project pipeline and government plans</w:t>
      </w:r>
    </w:p>
    <w:p w14:paraId="2DEB3CE0" w14:textId="6B657A6F" w:rsidR="006662A6" w:rsidRDefault="006662A6" w:rsidP="00871950">
      <w:pPr>
        <w:pStyle w:val="BodyText"/>
      </w:pPr>
      <w:r>
        <w:t xml:space="preserve">Growth in Indian coal-fired power capacity has slowed substantially in recent years (see Chapter 1) and will likely remain subdued, especially in the short term. There is almost 40 GW of capacity currently under construction (Table 2.3). Despite another 45 GW of capacity in the planning phase, it is unlikely that much of this capacity will eventuate in the short term. </w:t>
      </w:r>
    </w:p>
    <w:p w14:paraId="1EC98812" w14:textId="59CF8C89" w:rsidR="006662A6" w:rsidRPr="00871950" w:rsidRDefault="006662A6" w:rsidP="00871950">
      <w:pPr>
        <w:pStyle w:val="BodyText"/>
      </w:pPr>
      <w:r>
        <w:t>In its January 2018 national electricity plan (see Chapter 1), the Central Electricity Authority noted that beyond projects already under construction, no new coal-based capacity will be required before 2021–22 to meet energy demand.</w:t>
      </w:r>
      <w:r>
        <w:rPr>
          <w:rStyle w:val="EndnoteReference"/>
        </w:rPr>
        <w:endnoteReference w:id="70"/>
      </w:r>
      <w:r>
        <w:t xml:space="preserve"> Existing plants are currently running well below capacity, and there is considerable scope to ramp up capacity utilisation to meet growing demand. 26 GW of new coal-fired power capacity is expected to come online between 2022–23 and 2026–27 to meet growing electricity demand (Table 2.2).</w:t>
      </w:r>
    </w:p>
    <w:p w14:paraId="582C46D1" w14:textId="4ACBB84A" w:rsidR="006662A6" w:rsidRDefault="006662A6" w:rsidP="00B15CBA">
      <w:pPr>
        <w:pStyle w:val="Caption"/>
      </w:pPr>
      <w:r w:rsidRPr="000618FB">
        <w:t>Table</w:t>
      </w:r>
      <w:r>
        <w:t xml:space="preserve"> 2</w:t>
      </w:r>
      <w:r w:rsidRPr="000618FB">
        <w:t>.</w:t>
      </w:r>
      <w:r>
        <w:t>3</w:t>
      </w:r>
      <w:r w:rsidRPr="000618FB">
        <w:t xml:space="preserve">: </w:t>
      </w:r>
      <w:r>
        <w:t>Coal-fired power station status in India</w:t>
      </w:r>
    </w:p>
    <w:tbl>
      <w:tblPr>
        <w:tblStyle w:val="OCETable"/>
        <w:tblW w:w="3335" w:type="pct"/>
        <w:tblLook w:val="04A0" w:firstRow="1" w:lastRow="0" w:firstColumn="1" w:lastColumn="0" w:noHBand="0" w:noVBand="1"/>
        <w:tblCaption w:val="Table 2.3: Coal-fired power station status in India"/>
        <w:tblDescription w:val="This table shows the status of coal-fired power stations in India"/>
      </w:tblPr>
      <w:tblGrid>
        <w:gridCol w:w="2832"/>
        <w:gridCol w:w="1592"/>
        <w:gridCol w:w="1596"/>
      </w:tblGrid>
      <w:tr w:rsidR="006662A6" w:rsidRPr="00FA51FF" w14:paraId="57EA8EAD" w14:textId="77777777" w:rsidTr="00391B1A">
        <w:trPr>
          <w:cnfStyle w:val="100000000000" w:firstRow="1" w:lastRow="0" w:firstColumn="0" w:lastColumn="0" w:oddVBand="0" w:evenVBand="0" w:oddHBand="0" w:evenHBand="0" w:firstRowFirstColumn="0" w:firstRowLastColumn="0" w:lastRowFirstColumn="0" w:lastRowLastColumn="0"/>
          <w:trHeight w:val="205"/>
          <w:tblHeader/>
        </w:trPr>
        <w:tc>
          <w:tcPr>
            <w:tcW w:w="2354" w:type="pct"/>
            <w:noWrap/>
            <w:hideMark/>
          </w:tcPr>
          <w:p w14:paraId="35A5A082" w14:textId="77777777" w:rsidR="006662A6" w:rsidRPr="00FA51FF" w:rsidRDefault="006662A6" w:rsidP="00871950">
            <w:pPr>
              <w:pStyle w:val="Tableheadertext"/>
              <w:rPr>
                <w:lang w:eastAsia="en-AU"/>
              </w:rPr>
            </w:pPr>
          </w:p>
        </w:tc>
        <w:tc>
          <w:tcPr>
            <w:tcW w:w="1323" w:type="pct"/>
            <w:noWrap/>
            <w:vAlign w:val="center"/>
            <w:hideMark/>
          </w:tcPr>
          <w:p w14:paraId="2E0B7A3D" w14:textId="77777777" w:rsidR="006662A6" w:rsidRPr="00FA51FF" w:rsidRDefault="006662A6" w:rsidP="00871950">
            <w:pPr>
              <w:pStyle w:val="Tableheadertext"/>
              <w:jc w:val="right"/>
              <w:rPr>
                <w:szCs w:val="20"/>
                <w:lang w:eastAsia="en-AU"/>
              </w:rPr>
            </w:pPr>
            <w:r>
              <w:rPr>
                <w:szCs w:val="20"/>
                <w:lang w:eastAsia="en-AU"/>
              </w:rPr>
              <w:t>Capacity (GW)</w:t>
            </w:r>
          </w:p>
        </w:tc>
        <w:tc>
          <w:tcPr>
            <w:tcW w:w="1323" w:type="pct"/>
            <w:noWrap/>
            <w:vAlign w:val="center"/>
            <w:hideMark/>
          </w:tcPr>
          <w:p w14:paraId="095D35EE" w14:textId="77777777" w:rsidR="006662A6" w:rsidRPr="00FA51FF" w:rsidRDefault="006662A6" w:rsidP="00871950">
            <w:pPr>
              <w:pStyle w:val="Tableheadertext"/>
              <w:jc w:val="right"/>
              <w:rPr>
                <w:szCs w:val="20"/>
                <w:lang w:eastAsia="en-AU"/>
              </w:rPr>
            </w:pPr>
            <w:r w:rsidRPr="00FA51FF">
              <w:rPr>
                <w:szCs w:val="20"/>
                <w:lang w:eastAsia="en-AU"/>
              </w:rPr>
              <w:t>Number of units</w:t>
            </w:r>
          </w:p>
        </w:tc>
      </w:tr>
      <w:tr w:rsidR="006662A6" w:rsidRPr="00FA51FF" w14:paraId="047C1191" w14:textId="77777777" w:rsidTr="00871950">
        <w:trPr>
          <w:cnfStyle w:val="000000100000" w:firstRow="0" w:lastRow="0" w:firstColumn="0" w:lastColumn="0" w:oddVBand="0" w:evenVBand="0" w:oddHBand="1" w:evenHBand="0" w:firstRowFirstColumn="0" w:firstRowLastColumn="0" w:lastRowFirstColumn="0" w:lastRowLastColumn="0"/>
          <w:trHeight w:val="205"/>
        </w:trPr>
        <w:tc>
          <w:tcPr>
            <w:tcW w:w="2354" w:type="pct"/>
            <w:noWrap/>
            <w:hideMark/>
          </w:tcPr>
          <w:p w14:paraId="5C706AEC" w14:textId="77777777" w:rsidR="006662A6" w:rsidRPr="00FA51FF" w:rsidRDefault="006662A6" w:rsidP="00871950">
            <w:pPr>
              <w:pStyle w:val="Tablebodytext"/>
              <w:rPr>
                <w:szCs w:val="20"/>
                <w:lang w:eastAsia="en-AU"/>
              </w:rPr>
            </w:pPr>
            <w:r w:rsidRPr="00FA51FF">
              <w:rPr>
                <w:szCs w:val="20"/>
                <w:lang w:eastAsia="en-AU"/>
              </w:rPr>
              <w:t>Operating</w:t>
            </w:r>
          </w:p>
        </w:tc>
        <w:tc>
          <w:tcPr>
            <w:tcW w:w="1323" w:type="pct"/>
            <w:noWrap/>
            <w:vAlign w:val="center"/>
            <w:hideMark/>
          </w:tcPr>
          <w:p w14:paraId="5FC2C509" w14:textId="77777777" w:rsidR="006662A6" w:rsidRPr="00FA51FF" w:rsidRDefault="006662A6" w:rsidP="00871950">
            <w:pPr>
              <w:pStyle w:val="Tablebodytext"/>
              <w:jc w:val="right"/>
              <w:rPr>
                <w:szCs w:val="20"/>
                <w:lang w:eastAsia="en-AU"/>
              </w:rPr>
            </w:pPr>
            <w:r w:rsidRPr="00FA51FF">
              <w:rPr>
                <w:szCs w:val="20"/>
                <w:lang w:eastAsia="en-AU"/>
              </w:rPr>
              <w:t>230.6</w:t>
            </w:r>
          </w:p>
        </w:tc>
        <w:tc>
          <w:tcPr>
            <w:tcW w:w="1323" w:type="pct"/>
            <w:noWrap/>
            <w:vAlign w:val="center"/>
            <w:hideMark/>
          </w:tcPr>
          <w:p w14:paraId="4E0DDA49" w14:textId="77777777" w:rsidR="006662A6" w:rsidRPr="00FA51FF" w:rsidRDefault="006662A6" w:rsidP="00871950">
            <w:pPr>
              <w:pStyle w:val="Tablebodytext"/>
              <w:jc w:val="right"/>
              <w:rPr>
                <w:szCs w:val="20"/>
                <w:lang w:eastAsia="en-AU"/>
              </w:rPr>
            </w:pPr>
            <w:r w:rsidRPr="00FA51FF">
              <w:rPr>
                <w:szCs w:val="20"/>
                <w:lang w:eastAsia="en-AU"/>
              </w:rPr>
              <w:t>1,333</w:t>
            </w:r>
          </w:p>
        </w:tc>
      </w:tr>
      <w:tr w:rsidR="006662A6" w:rsidRPr="00FA51FF" w14:paraId="59646F3B" w14:textId="77777777" w:rsidTr="00871950">
        <w:trPr>
          <w:cnfStyle w:val="000000010000" w:firstRow="0" w:lastRow="0" w:firstColumn="0" w:lastColumn="0" w:oddVBand="0" w:evenVBand="0" w:oddHBand="0" w:evenHBand="1" w:firstRowFirstColumn="0" w:firstRowLastColumn="0" w:lastRowFirstColumn="0" w:lastRowLastColumn="0"/>
          <w:trHeight w:val="205"/>
        </w:trPr>
        <w:tc>
          <w:tcPr>
            <w:tcW w:w="2354" w:type="pct"/>
            <w:noWrap/>
            <w:hideMark/>
          </w:tcPr>
          <w:p w14:paraId="26BAA27F" w14:textId="77777777" w:rsidR="006662A6" w:rsidRPr="00FA51FF" w:rsidRDefault="006662A6" w:rsidP="00871950">
            <w:pPr>
              <w:pStyle w:val="Tablebodytext"/>
              <w:rPr>
                <w:szCs w:val="20"/>
                <w:lang w:eastAsia="en-AU"/>
              </w:rPr>
            </w:pPr>
            <w:r w:rsidRPr="00FA51FF">
              <w:rPr>
                <w:szCs w:val="20"/>
                <w:lang w:eastAsia="en-AU"/>
              </w:rPr>
              <w:t>Construction</w:t>
            </w:r>
          </w:p>
        </w:tc>
        <w:tc>
          <w:tcPr>
            <w:tcW w:w="1323" w:type="pct"/>
            <w:noWrap/>
            <w:vAlign w:val="center"/>
            <w:hideMark/>
          </w:tcPr>
          <w:p w14:paraId="60F8AC2A" w14:textId="77777777" w:rsidR="006662A6" w:rsidRPr="00FA51FF" w:rsidRDefault="006662A6" w:rsidP="00871950">
            <w:pPr>
              <w:pStyle w:val="Tablebodytext"/>
              <w:jc w:val="right"/>
              <w:rPr>
                <w:szCs w:val="20"/>
                <w:lang w:eastAsia="en-AU"/>
              </w:rPr>
            </w:pPr>
            <w:r w:rsidRPr="00FA51FF">
              <w:rPr>
                <w:szCs w:val="20"/>
                <w:lang w:eastAsia="en-AU"/>
              </w:rPr>
              <w:t>39.0</w:t>
            </w:r>
          </w:p>
        </w:tc>
        <w:tc>
          <w:tcPr>
            <w:tcW w:w="1323" w:type="pct"/>
            <w:noWrap/>
            <w:vAlign w:val="center"/>
            <w:hideMark/>
          </w:tcPr>
          <w:p w14:paraId="3EF1B2C8" w14:textId="77777777" w:rsidR="006662A6" w:rsidRPr="00FA51FF" w:rsidRDefault="006662A6" w:rsidP="00871950">
            <w:pPr>
              <w:pStyle w:val="Tablebodytext"/>
              <w:jc w:val="right"/>
              <w:rPr>
                <w:szCs w:val="20"/>
                <w:lang w:eastAsia="en-AU"/>
              </w:rPr>
            </w:pPr>
            <w:r w:rsidRPr="00FA51FF">
              <w:rPr>
                <w:szCs w:val="20"/>
                <w:lang w:eastAsia="en-AU"/>
              </w:rPr>
              <w:t>75</w:t>
            </w:r>
          </w:p>
        </w:tc>
      </w:tr>
      <w:tr w:rsidR="006662A6" w:rsidRPr="00FA51FF" w14:paraId="2BA02312" w14:textId="77777777" w:rsidTr="00871950">
        <w:trPr>
          <w:cnfStyle w:val="000000100000" w:firstRow="0" w:lastRow="0" w:firstColumn="0" w:lastColumn="0" w:oddVBand="0" w:evenVBand="0" w:oddHBand="1" w:evenHBand="0" w:firstRowFirstColumn="0" w:firstRowLastColumn="0" w:lastRowFirstColumn="0" w:lastRowLastColumn="0"/>
          <w:trHeight w:val="205"/>
        </w:trPr>
        <w:tc>
          <w:tcPr>
            <w:tcW w:w="2354" w:type="pct"/>
            <w:noWrap/>
            <w:hideMark/>
          </w:tcPr>
          <w:p w14:paraId="7D0C1CB2" w14:textId="77777777" w:rsidR="006662A6" w:rsidRPr="00FA51FF" w:rsidRDefault="006662A6" w:rsidP="00871950">
            <w:pPr>
              <w:pStyle w:val="Tablebodytext"/>
              <w:rPr>
                <w:szCs w:val="20"/>
                <w:lang w:eastAsia="en-AU"/>
              </w:rPr>
            </w:pPr>
            <w:r w:rsidRPr="00FA51FF">
              <w:rPr>
                <w:szCs w:val="20"/>
                <w:lang w:eastAsia="en-AU"/>
              </w:rPr>
              <w:t>Planned</w:t>
            </w:r>
          </w:p>
        </w:tc>
        <w:tc>
          <w:tcPr>
            <w:tcW w:w="1323" w:type="pct"/>
            <w:noWrap/>
            <w:vAlign w:val="center"/>
            <w:hideMark/>
          </w:tcPr>
          <w:p w14:paraId="54B5D8F1" w14:textId="77777777" w:rsidR="006662A6" w:rsidRPr="00FA51FF" w:rsidRDefault="006662A6" w:rsidP="00871950">
            <w:pPr>
              <w:pStyle w:val="Tablebodytext"/>
              <w:jc w:val="right"/>
              <w:rPr>
                <w:szCs w:val="20"/>
                <w:lang w:eastAsia="en-AU"/>
              </w:rPr>
            </w:pPr>
            <w:r w:rsidRPr="00FA51FF">
              <w:rPr>
                <w:szCs w:val="20"/>
                <w:lang w:eastAsia="en-AU"/>
              </w:rPr>
              <w:t>45.1</w:t>
            </w:r>
          </w:p>
        </w:tc>
        <w:tc>
          <w:tcPr>
            <w:tcW w:w="1323" w:type="pct"/>
            <w:noWrap/>
            <w:vAlign w:val="center"/>
            <w:hideMark/>
          </w:tcPr>
          <w:p w14:paraId="5F506E30" w14:textId="77777777" w:rsidR="006662A6" w:rsidRPr="00FA51FF" w:rsidRDefault="006662A6" w:rsidP="00871950">
            <w:pPr>
              <w:pStyle w:val="Tablebodytext"/>
              <w:jc w:val="right"/>
              <w:rPr>
                <w:szCs w:val="20"/>
                <w:lang w:eastAsia="en-AU"/>
              </w:rPr>
            </w:pPr>
            <w:r w:rsidRPr="00FA51FF">
              <w:rPr>
                <w:szCs w:val="20"/>
                <w:lang w:eastAsia="en-AU"/>
              </w:rPr>
              <w:t>89</w:t>
            </w:r>
          </w:p>
        </w:tc>
      </w:tr>
      <w:tr w:rsidR="006662A6" w:rsidRPr="00FA51FF" w14:paraId="40345614" w14:textId="77777777" w:rsidTr="00871950">
        <w:trPr>
          <w:cnfStyle w:val="000000010000" w:firstRow="0" w:lastRow="0" w:firstColumn="0" w:lastColumn="0" w:oddVBand="0" w:evenVBand="0" w:oddHBand="0" w:evenHBand="1" w:firstRowFirstColumn="0" w:firstRowLastColumn="0" w:lastRowFirstColumn="0" w:lastRowLastColumn="0"/>
          <w:trHeight w:val="205"/>
        </w:trPr>
        <w:tc>
          <w:tcPr>
            <w:tcW w:w="2354" w:type="pct"/>
            <w:noWrap/>
            <w:hideMark/>
          </w:tcPr>
          <w:p w14:paraId="396E3824" w14:textId="77777777" w:rsidR="006662A6" w:rsidRPr="00FA51FF" w:rsidRDefault="006662A6" w:rsidP="00871950">
            <w:pPr>
              <w:pStyle w:val="Tablebodytext"/>
              <w:rPr>
                <w:szCs w:val="20"/>
                <w:lang w:eastAsia="en-AU"/>
              </w:rPr>
            </w:pPr>
            <w:r w:rsidRPr="00FA51FF">
              <w:rPr>
                <w:szCs w:val="20"/>
                <w:lang w:eastAsia="en-AU"/>
              </w:rPr>
              <w:t>Cancelled/deferred</w:t>
            </w:r>
          </w:p>
        </w:tc>
        <w:tc>
          <w:tcPr>
            <w:tcW w:w="1323" w:type="pct"/>
            <w:noWrap/>
            <w:vAlign w:val="center"/>
            <w:hideMark/>
          </w:tcPr>
          <w:p w14:paraId="546C854F" w14:textId="77777777" w:rsidR="006662A6" w:rsidRPr="00FA51FF" w:rsidRDefault="006662A6" w:rsidP="00871950">
            <w:pPr>
              <w:pStyle w:val="Tablebodytext"/>
              <w:jc w:val="right"/>
              <w:rPr>
                <w:szCs w:val="20"/>
                <w:lang w:eastAsia="en-AU"/>
              </w:rPr>
            </w:pPr>
            <w:r w:rsidRPr="00FA51FF">
              <w:rPr>
                <w:szCs w:val="20"/>
                <w:lang w:eastAsia="en-AU"/>
              </w:rPr>
              <w:t>310.6</w:t>
            </w:r>
          </w:p>
        </w:tc>
        <w:tc>
          <w:tcPr>
            <w:tcW w:w="1323" w:type="pct"/>
            <w:noWrap/>
            <w:vAlign w:val="center"/>
            <w:hideMark/>
          </w:tcPr>
          <w:p w14:paraId="6243056F" w14:textId="77777777" w:rsidR="006662A6" w:rsidRPr="00FA51FF" w:rsidRDefault="006662A6" w:rsidP="00871950">
            <w:pPr>
              <w:pStyle w:val="Tablebodytext"/>
              <w:jc w:val="right"/>
              <w:rPr>
                <w:szCs w:val="20"/>
                <w:lang w:eastAsia="en-AU"/>
              </w:rPr>
            </w:pPr>
            <w:r w:rsidRPr="00FA51FF">
              <w:rPr>
                <w:szCs w:val="20"/>
                <w:lang w:eastAsia="en-AU"/>
              </w:rPr>
              <w:t>580</w:t>
            </w:r>
          </w:p>
        </w:tc>
      </w:tr>
      <w:tr w:rsidR="006662A6" w:rsidRPr="00FA51FF" w14:paraId="551750E6" w14:textId="77777777" w:rsidTr="00871950">
        <w:trPr>
          <w:cnfStyle w:val="000000100000" w:firstRow="0" w:lastRow="0" w:firstColumn="0" w:lastColumn="0" w:oddVBand="0" w:evenVBand="0" w:oddHBand="1" w:evenHBand="0" w:firstRowFirstColumn="0" w:firstRowLastColumn="0" w:lastRowFirstColumn="0" w:lastRowLastColumn="0"/>
          <w:trHeight w:val="205"/>
        </w:trPr>
        <w:tc>
          <w:tcPr>
            <w:tcW w:w="2354" w:type="pct"/>
            <w:noWrap/>
            <w:hideMark/>
          </w:tcPr>
          <w:p w14:paraId="32D7268A" w14:textId="77777777" w:rsidR="006662A6" w:rsidRPr="00FA51FF" w:rsidRDefault="006662A6" w:rsidP="00871950">
            <w:pPr>
              <w:pStyle w:val="Tablebodytext"/>
              <w:rPr>
                <w:szCs w:val="20"/>
                <w:lang w:eastAsia="en-AU"/>
              </w:rPr>
            </w:pPr>
            <w:r w:rsidRPr="00FA51FF">
              <w:rPr>
                <w:szCs w:val="20"/>
                <w:lang w:eastAsia="en-AU"/>
              </w:rPr>
              <w:t>Closed</w:t>
            </w:r>
          </w:p>
        </w:tc>
        <w:tc>
          <w:tcPr>
            <w:tcW w:w="1323" w:type="pct"/>
            <w:noWrap/>
            <w:vAlign w:val="center"/>
            <w:hideMark/>
          </w:tcPr>
          <w:p w14:paraId="02EE5DD8" w14:textId="77777777" w:rsidR="006662A6" w:rsidRPr="00FA51FF" w:rsidRDefault="006662A6" w:rsidP="00871950">
            <w:pPr>
              <w:pStyle w:val="Tablebodytext"/>
              <w:jc w:val="right"/>
              <w:rPr>
                <w:szCs w:val="20"/>
                <w:lang w:eastAsia="en-AU"/>
              </w:rPr>
            </w:pPr>
            <w:r w:rsidRPr="00FA51FF">
              <w:rPr>
                <w:szCs w:val="20"/>
                <w:lang w:eastAsia="en-AU"/>
              </w:rPr>
              <w:t>8.9</w:t>
            </w:r>
          </w:p>
        </w:tc>
        <w:tc>
          <w:tcPr>
            <w:tcW w:w="1323" w:type="pct"/>
            <w:noWrap/>
            <w:vAlign w:val="center"/>
            <w:hideMark/>
          </w:tcPr>
          <w:p w14:paraId="0D92D58E" w14:textId="77777777" w:rsidR="006662A6" w:rsidRPr="00FA51FF" w:rsidRDefault="006662A6" w:rsidP="00871950">
            <w:pPr>
              <w:pStyle w:val="Tablebodytext"/>
              <w:jc w:val="right"/>
              <w:rPr>
                <w:szCs w:val="20"/>
                <w:lang w:eastAsia="en-AU"/>
              </w:rPr>
            </w:pPr>
            <w:r w:rsidRPr="00FA51FF">
              <w:rPr>
                <w:szCs w:val="20"/>
                <w:lang w:eastAsia="en-AU"/>
              </w:rPr>
              <w:t>195</w:t>
            </w:r>
          </w:p>
        </w:tc>
      </w:tr>
    </w:tbl>
    <w:p w14:paraId="7A876DC1" w14:textId="77777777" w:rsidR="006662A6" w:rsidRPr="00FA51FF" w:rsidRDefault="006662A6" w:rsidP="00B15CBA">
      <w:pPr>
        <w:pStyle w:val="Placeholder"/>
      </w:pPr>
    </w:p>
    <w:p w14:paraId="388A7C06" w14:textId="6E9C99DC" w:rsidR="006662A6" w:rsidRDefault="006662A6" w:rsidP="00CB2E90">
      <w:pPr>
        <w:pStyle w:val="Note"/>
        <w:spacing w:after="0" w:line="240" w:lineRule="auto"/>
        <w:jc w:val="left"/>
        <w:rPr>
          <w:lang w:eastAsia="en-AU"/>
        </w:rPr>
      </w:pPr>
      <w:r>
        <w:rPr>
          <w:lang w:eastAsia="en-AU"/>
        </w:rPr>
        <w:t>Notes: The estimate for installed capacity differs from the Central Electricity Authority (CEA) estimates of 201 GW as at June 2019, due to time-dependent variations in unit capacity and operating status, and the inclusion of captive (non-utility) power capacity in the Platts World Electric Power Plants database. The most recent CEA estimates are provided in Chapter 1.</w:t>
      </w:r>
    </w:p>
    <w:p w14:paraId="33C4D636" w14:textId="77777777" w:rsidR="006662A6" w:rsidRDefault="006662A6" w:rsidP="00CB2E90">
      <w:pPr>
        <w:pStyle w:val="Source"/>
        <w:pBdr>
          <w:bottom w:val="single" w:sz="4" w:space="0" w:color="595A5B"/>
        </w:pBdr>
        <w:spacing w:after="0" w:line="240" w:lineRule="auto"/>
        <w:jc w:val="left"/>
        <w:rPr>
          <w:lang w:eastAsia="en-AU"/>
        </w:rPr>
      </w:pPr>
      <w:r>
        <w:rPr>
          <w:lang w:eastAsia="en-AU"/>
        </w:rPr>
        <w:t xml:space="preserve">Source: </w:t>
      </w:r>
      <w:r w:rsidRPr="00DF5913">
        <w:rPr>
          <w:lang w:eastAsia="en-AU"/>
        </w:rPr>
        <w:t>Platts (2019) World Electric Po</w:t>
      </w:r>
      <w:r>
        <w:rPr>
          <w:lang w:eastAsia="en-AU"/>
        </w:rPr>
        <w:t>wer Plants database, March 2019</w:t>
      </w:r>
    </w:p>
    <w:p w14:paraId="3B60CCE6" w14:textId="77777777" w:rsidR="006662A6" w:rsidRPr="00B15CBA" w:rsidRDefault="006662A6" w:rsidP="00B15CBA">
      <w:pPr>
        <w:pStyle w:val="BodyText"/>
      </w:pPr>
    </w:p>
    <w:p w14:paraId="29DA2C43" w14:textId="15078DF8" w:rsidR="006662A6" w:rsidRPr="006B0878" w:rsidRDefault="006662A6" w:rsidP="006B0878">
      <w:pPr>
        <w:pStyle w:val="Heading3"/>
      </w:pPr>
      <w:r>
        <w:t xml:space="preserve">IEA World Energy Outlook </w:t>
      </w:r>
    </w:p>
    <w:p w14:paraId="5F9AE586" w14:textId="2C5D7338" w:rsidR="006662A6" w:rsidRDefault="006662A6" w:rsidP="00DF4D7E">
      <w:pPr>
        <w:pStyle w:val="BodyText"/>
      </w:pPr>
      <w:r>
        <w:t xml:space="preserve">The outlook for coal-fired power capacity diverges substantially in the IEA’s three scenarios. In the IEA’s New Policies Scenario, coal-fired power capacity increases at an annual average rate of 2.8 per cent to reach 421 GW in 2040, up from 224 GW in 2017. In the Sustainable Development Scenario, coal-fired power capacity declines sharply to 166 GW in 2040. Achieving the Sustainable Development Scenario would be challenging for India, and would require a significant shift in government policy and the energy mix. </w:t>
      </w:r>
    </w:p>
    <w:p w14:paraId="04C5AA91" w14:textId="1ABDE99E" w:rsidR="006662A6" w:rsidRDefault="006662A6" w:rsidP="00DF4D7E">
      <w:pPr>
        <w:pStyle w:val="BodyText"/>
      </w:pPr>
      <w:r>
        <w:t>If India’s future energy mix is to reflect the Sustainable Development Scenario, coal consumption would need to peak before 2030. However, the current fleet of coal-fired power plants in operation and under construction already indicates that this is unlikely. A large share of India’s installed capacity is relatively new — more than half of India’s current coal capacity was installed in the last decade</w:t>
      </w:r>
      <w:r>
        <w:rPr>
          <w:rStyle w:val="EndnoteReference"/>
        </w:rPr>
        <w:endnoteReference w:id="71"/>
      </w:r>
      <w:r>
        <w:t xml:space="preserve"> — and have many years of operational life remaining. Relatively new coal-fired power capacity may need to close prematurely, which would further exacerbate economic costs. The Indian government’s 2018–19 annual economic survey warned against abruptly halting coal-fired power stations before the end of their useful lives, due to the risks it presents to both the Indian banking sector and the stability of the electricity grid.</w:t>
      </w:r>
      <w:r>
        <w:rPr>
          <w:rStyle w:val="EndnoteReference"/>
        </w:rPr>
        <w:endnoteReference w:id="72"/>
      </w:r>
      <w:r>
        <w:t xml:space="preserve"> The report notes that, ‘considering the intermittency of renewable power supply, unless sufficient technological breakthrough in energy storage happens in the near future, it is unlikely that thermal power can be easily replaced as the main source of energy for a growing economy such as India.’</w:t>
      </w:r>
    </w:p>
    <w:p w14:paraId="00BA0DE0" w14:textId="60A5DCFE" w:rsidR="006662A6" w:rsidRDefault="006662A6" w:rsidP="004E5A30">
      <w:pPr>
        <w:pStyle w:val="BodyText"/>
      </w:pPr>
      <w:r>
        <w:t xml:space="preserve">Gas capacity would need to grow by a factor of almost seven from its current capacity of 29 GW to reach 197 GW in 2040 — more than double than in the New Policies Scenario. India has considerable reserves of gas, but faces regulatory, social licence and cost challenges in developing them; gas exploration has remained low due to a lack of development incentives. Using imported LNG in electricity generation may be difficult for India’s price-sensitive utilities. </w:t>
      </w:r>
    </w:p>
    <w:p w14:paraId="10125BF9" w14:textId="138049B9" w:rsidR="006662A6" w:rsidRDefault="006662A6" w:rsidP="004E5A30">
      <w:pPr>
        <w:pStyle w:val="BodyText"/>
      </w:pPr>
      <w:r>
        <w:t>Nuclear capacity would also need to grow by a factor of almost seven to reach 47 GW — beyond the already ambitious target of 39 GW — and hydro capacity would need to more than double to reach 130 GW by 2040. The availability of water and the distance of India’s hydro schemes from key demand centres — in addition to the socioeconomic impacts — are likely to remain substantial barriers to growth in hydro capacity.</w:t>
      </w:r>
    </w:p>
    <w:p w14:paraId="1D0C127B" w14:textId="5A28BF0D" w:rsidR="006662A6" w:rsidRDefault="006662A6" w:rsidP="004E5A30">
      <w:pPr>
        <w:pStyle w:val="BodyText"/>
      </w:pPr>
      <w:r>
        <w:t>There would also need to be substantial and sustained investment in renewable technologies under the Sustainable Development Scenario. Solar PV capacity would need to grow by a factor of 34 to reach 651 GW by 2040, and produce 1,125 TWh in 2040 — 50 per cent higher than the New Policies Scenario projection. Wind would need to grow by a factor of over nine to reach 512 GW, and produce 749 TWh of power in 2040 — 50 per cent higher than the New Policies Scenario projection. Renewables have surpassed expectations in India, with a faster than expected uptake and a sharper than expected decline in costs in recent years. The potential implications of a growing share of renewables is discussed in further detail in the next section.</w:t>
      </w:r>
    </w:p>
    <w:p w14:paraId="208C5206" w14:textId="04EDE195" w:rsidR="006662A6" w:rsidRDefault="006662A6" w:rsidP="00F2199E">
      <w:pPr>
        <w:pStyle w:val="Heading3"/>
      </w:pPr>
      <w:r>
        <w:t>BNEF’s New Energy Outlook</w:t>
      </w:r>
    </w:p>
    <w:p w14:paraId="0975396C" w14:textId="09361463" w:rsidR="006662A6" w:rsidRDefault="006662A6" w:rsidP="00CA43C2">
      <w:pPr>
        <w:pStyle w:val="BodyText"/>
      </w:pPr>
      <w:r>
        <w:t xml:space="preserve">In contrast to the IEA’s World Energy Outlook, which is largely driven by policy scenarios, Bloomberg New Energy Finance’s (BNEF) New Energy Outlook projections emerge from </w:t>
      </w:r>
      <w:r w:rsidRPr="00F2199E">
        <w:t>l</w:t>
      </w:r>
      <w:r>
        <w:t>east-cost optimisation modelling. This exercise is</w:t>
      </w:r>
      <w:r w:rsidRPr="00F2199E">
        <w:t xml:space="preserve"> driven by the cost of building different power generation technologies to meet projected peak and total demand.</w:t>
      </w:r>
    </w:p>
    <w:p w14:paraId="1018CA87" w14:textId="03A99313" w:rsidR="006662A6" w:rsidRDefault="006662A6" w:rsidP="00CA43C2">
      <w:pPr>
        <w:pStyle w:val="BodyText"/>
      </w:pPr>
      <w:r>
        <w:t>BNEF projections suggest that India’s coal-fired power capacity is expected to grow for at least the next few decades, although at a slower pace than renewables. Projected coal capacity falls to somewhere between the IEA’s New Policies and Sustainable Development scenarios (Figure 2.4). According to BNEF projections, coal capacity is not expected to peak until 2043 at 289 GW.</w:t>
      </w:r>
    </w:p>
    <w:p w14:paraId="49CC45B1" w14:textId="65B6AA73" w:rsidR="006662A6" w:rsidRDefault="006662A6" w:rsidP="00CA43C2">
      <w:pPr>
        <w:pStyle w:val="BodyText"/>
      </w:pPr>
      <w:r>
        <w:t>The BNEF projections also indicate that solar and wind will likely fall short of the levels needed in the Sustainable Development Scenario; solar PV capacity is projected to reach 586 GW, and wind capacity is projected to reach 226 GW</w:t>
      </w:r>
      <w:r w:rsidRPr="00E30079">
        <w:t xml:space="preserve"> </w:t>
      </w:r>
      <w:r>
        <w:t>in 2040.</w:t>
      </w:r>
    </w:p>
    <w:p w14:paraId="408CBEB2" w14:textId="4631AB04" w:rsidR="006662A6" w:rsidRDefault="006662A6" w:rsidP="00E1664A">
      <w:pPr>
        <w:pStyle w:val="Caption"/>
      </w:pPr>
      <w:r>
        <w:t>Figure</w:t>
      </w:r>
      <w:r w:rsidRPr="000618FB">
        <w:t xml:space="preserve"> </w:t>
      </w:r>
      <w:r>
        <w:t>2</w:t>
      </w:r>
      <w:r w:rsidRPr="000618FB">
        <w:t>.</w:t>
      </w:r>
      <w:r>
        <w:t>4: India’s projected coal-fired power capacity</w:t>
      </w:r>
    </w:p>
    <w:tbl>
      <w:tblPr>
        <w:tblStyle w:val="OCETable"/>
        <w:tblW w:w="4940" w:type="pct"/>
        <w:tblInd w:w="108" w:type="dxa"/>
        <w:tblLayout w:type="fixed"/>
        <w:tblLook w:val="04A0" w:firstRow="1" w:lastRow="0" w:firstColumn="1" w:lastColumn="0" w:noHBand="0" w:noVBand="1"/>
        <w:tblCaption w:val="Table contains figure 2.4"/>
      </w:tblPr>
      <w:tblGrid>
        <w:gridCol w:w="8918"/>
      </w:tblGrid>
      <w:tr w:rsidR="006662A6" w14:paraId="3051F516" w14:textId="77777777" w:rsidTr="00391B1A">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727C944B" w14:textId="1527E191" w:rsidR="006662A6" w:rsidRDefault="006662A6" w:rsidP="00E1664A">
            <w:pPr>
              <w:pStyle w:val="PlaceholderWide"/>
            </w:pPr>
            <w:r>
              <w:rPr>
                <w:noProof/>
                <w:lang w:eastAsia="en-AU"/>
              </w:rPr>
              <w:drawing>
                <wp:inline distT="0" distB="0" distL="0" distR="0" wp14:anchorId="36053797" wp14:editId="27397F8E">
                  <wp:extent cx="5686425" cy="1743075"/>
                  <wp:effectExtent l="0" t="0" r="0" b="0"/>
                  <wp:docPr id="4" name="Chart 4" descr="This chart shows India’s projected coal-fired power capacity based on IEA and BNEF projections." title="Figure 2.4: India’s projected coal-fired power capa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F12EB8B" w14:textId="736A4CAF" w:rsidR="006662A6" w:rsidRDefault="006662A6" w:rsidP="00E834B8">
      <w:pPr>
        <w:pStyle w:val="Source"/>
        <w:jc w:val="left"/>
      </w:pPr>
      <w:r>
        <w:t>Notes: The IEA projections represent the range between the Sustainable Development and Current Policies Scenarios.</w:t>
      </w:r>
      <w:r>
        <w:br/>
        <w:t xml:space="preserve">Source: </w:t>
      </w:r>
      <w:r w:rsidRPr="00DF5913">
        <w:t>IEA (2018) World Energy Outlook 2018</w:t>
      </w:r>
      <w:r>
        <w:t>, International Energy Agency; BNEF (2019) New Energy Outlook, Bloomberg New Energy Finance.</w:t>
      </w:r>
    </w:p>
    <w:p w14:paraId="396BE82A" w14:textId="379F0F16" w:rsidR="006662A6" w:rsidRDefault="006662A6" w:rsidP="005F69D2">
      <w:pPr>
        <w:pStyle w:val="Heading2"/>
      </w:pPr>
      <w:bookmarkStart w:id="149" w:name="_Toc17210788"/>
      <w:bookmarkStart w:id="150" w:name="_Toc15641173"/>
      <w:bookmarkStart w:id="151" w:name="_Toc15645861"/>
      <w:bookmarkStart w:id="152" w:name="_Toc16247595"/>
      <w:bookmarkStart w:id="153" w:name="_Toc16250058"/>
      <w:bookmarkStart w:id="154" w:name="_Toc16256913"/>
      <w:r>
        <w:t>C</w:t>
      </w:r>
      <w:r w:rsidRPr="00B804A6">
        <w:t>oal-fired power generation</w:t>
      </w:r>
      <w:bookmarkEnd w:id="149"/>
    </w:p>
    <w:p w14:paraId="7AE347A5" w14:textId="4C28DE5D" w:rsidR="006662A6" w:rsidRDefault="006662A6" w:rsidP="005F69D2">
      <w:pPr>
        <w:pStyle w:val="BodyText"/>
      </w:pPr>
      <w:r>
        <w:t>There is a divergence in the outlook for capacity and generation in the short term. While coal-fired power capacity growth will likely remain subdued in the near term — due to the factors outlined above — there is scope to substantially increase coal-fired power generation. Currently low utilisation rates and ongoing growth in energy demand could increase coal-fired generation and thus coal consumption.</w:t>
      </w:r>
    </w:p>
    <w:p w14:paraId="3CB67CD4" w14:textId="7C4077F4" w:rsidR="006662A6" w:rsidRPr="005F69D2" w:rsidRDefault="006662A6" w:rsidP="005F69D2">
      <w:pPr>
        <w:pStyle w:val="Heading3"/>
      </w:pPr>
      <w:r>
        <w:t>IEA World Energy Outlook</w:t>
      </w:r>
    </w:p>
    <w:p w14:paraId="02FC0279" w14:textId="3759413E" w:rsidR="006662A6" w:rsidRDefault="006662A6" w:rsidP="005F69D2">
      <w:pPr>
        <w:pStyle w:val="BodyText"/>
      </w:pPr>
      <w:r>
        <w:t>In the IEA’s New Policies Scenario, electricity generation increases at an annual average rate of 4.6 per cent to 4,554 TWh in 2040. While coal’s share of power generation declines from 74 per cent in 2017 to 48 per cent in 2040, coal-fired electricity generation increases in absolute terms — at an annual average rate of 2.7 per cent, to reach 2,195 TWh — and remains the main fuel in power generation (Figure 2.5). Power demand is growing rapidly in India, and coal is expected to continue to play a key role in the energy mix. Coal consumption for power is likely to grow more slowly than generation — at an annual average rate of 2.5 per cent — as a result of higher efficiency in newer coal-fired power plants.</w:t>
      </w:r>
    </w:p>
    <w:p w14:paraId="18F7894B" w14:textId="13359A58" w:rsidR="006662A6" w:rsidRDefault="006662A6" w:rsidP="005F69D2">
      <w:pPr>
        <w:pStyle w:val="Caption"/>
      </w:pPr>
      <w:r>
        <w:t>Figure</w:t>
      </w:r>
      <w:r w:rsidRPr="000618FB">
        <w:t xml:space="preserve"> </w:t>
      </w:r>
      <w:r>
        <w:t>2</w:t>
      </w:r>
      <w:r w:rsidRPr="000618FB">
        <w:t>.</w:t>
      </w:r>
      <w:r>
        <w:t>5: India’s electricity generation by source, and coal’s share of electricity generation in the New Policy Scenario</w:t>
      </w:r>
    </w:p>
    <w:tbl>
      <w:tblPr>
        <w:tblStyle w:val="OCETable"/>
        <w:tblW w:w="4832" w:type="pct"/>
        <w:tblInd w:w="108" w:type="dxa"/>
        <w:tblLayout w:type="fixed"/>
        <w:tblLook w:val="04A0" w:firstRow="1" w:lastRow="0" w:firstColumn="1" w:lastColumn="0" w:noHBand="0" w:noVBand="1"/>
        <w:tblCaption w:val="Table contains figure 2.5"/>
      </w:tblPr>
      <w:tblGrid>
        <w:gridCol w:w="8723"/>
      </w:tblGrid>
      <w:tr w:rsidR="006662A6" w14:paraId="115C49FF" w14:textId="77777777" w:rsidTr="00391B1A">
        <w:trPr>
          <w:cnfStyle w:val="100000000000" w:firstRow="1" w:lastRow="0" w:firstColumn="0" w:lastColumn="0" w:oddVBand="0" w:evenVBand="0" w:oddHBand="0" w:evenHBand="0" w:firstRowFirstColumn="0" w:firstRowLastColumn="0" w:lastRowFirstColumn="0" w:lastRowLastColumn="0"/>
          <w:trHeight w:val="2697"/>
          <w:tblHeader/>
        </w:trPr>
        <w:tc>
          <w:tcPr>
            <w:tcW w:w="8722" w:type="dxa"/>
            <w:shd w:val="clear" w:color="auto" w:fill="auto"/>
          </w:tcPr>
          <w:p w14:paraId="6B5AB19A" w14:textId="77777777" w:rsidR="006662A6" w:rsidRDefault="006662A6" w:rsidP="005F69D2">
            <w:pPr>
              <w:pStyle w:val="PlaceholderWide"/>
            </w:pPr>
            <w:r>
              <w:rPr>
                <w:noProof/>
                <w:lang w:eastAsia="en-AU"/>
              </w:rPr>
              <w:drawing>
                <wp:inline distT="0" distB="0" distL="0" distR="0" wp14:anchorId="4977D13C" wp14:editId="63DF2BD9">
                  <wp:extent cx="5562600" cy="1857375"/>
                  <wp:effectExtent l="0" t="0" r="0" b="0"/>
                  <wp:docPr id="5" name="Chart 5" descr="This chart shows India’s electricity generation by source, and coal’s share of electricity generation in the New Policy Scenario." title="Figure 2.5: India’s electricity generation by 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1C8F8897" w14:textId="6AE94EEB" w:rsidR="006662A6" w:rsidRDefault="006662A6" w:rsidP="005F69D2">
      <w:pPr>
        <w:pStyle w:val="Source"/>
      </w:pPr>
      <w:r>
        <w:t xml:space="preserve">Source: </w:t>
      </w:r>
      <w:r w:rsidRPr="000D2F92">
        <w:t>IEA (2018) World Energy Outlook 201</w:t>
      </w:r>
      <w:r>
        <w:t>8, International Energy Agency</w:t>
      </w:r>
    </w:p>
    <w:p w14:paraId="7D7CC3C1" w14:textId="366ECA96" w:rsidR="006662A6" w:rsidRDefault="006662A6" w:rsidP="005F69D2">
      <w:pPr>
        <w:pStyle w:val="Heading3"/>
      </w:pPr>
      <w:r>
        <w:t>BNEF New Energy Outlook</w:t>
      </w:r>
    </w:p>
    <w:p w14:paraId="275F7475" w14:textId="1E4F9890" w:rsidR="006662A6" w:rsidRDefault="006662A6" w:rsidP="00854480">
      <w:pPr>
        <w:pStyle w:val="BodyText"/>
        <w:tabs>
          <w:tab w:val="left" w:pos="4820"/>
        </w:tabs>
      </w:pPr>
      <w:r>
        <w:t>The expected growth in India’s coal-fired power generation is echoed in BNEF New Energy Outlook projections (Figure 2.6). BNEF’s projections show that coal-fired power generation</w:t>
      </w:r>
      <w:r w:rsidRPr="00974776">
        <w:t xml:space="preserve"> </w:t>
      </w:r>
      <w:r>
        <w:t>could lie somewhere between the IEA’s New Policies Scenario and Sustainable Development Scenario projections, but will likely lie closer to the former. Sustained electricity demand growth in India is expected to drive ongoing growth in coal-fired power generation up to the late 2030s, before declining (Figure 2.7).</w:t>
      </w:r>
    </w:p>
    <w:p w14:paraId="14037AF5" w14:textId="77777777" w:rsidR="006662A6" w:rsidRDefault="006662A6" w:rsidP="00854480">
      <w:pPr>
        <w:pStyle w:val="Caption"/>
      </w:pPr>
      <w:r>
        <w:t>Figure</w:t>
      </w:r>
      <w:r w:rsidRPr="000618FB">
        <w:t xml:space="preserve"> </w:t>
      </w:r>
      <w:r>
        <w:rPr>
          <w:noProof/>
        </w:rPr>
        <w:t>2</w:t>
      </w:r>
      <w:r w:rsidRPr="000618FB">
        <w:t>.</w:t>
      </w:r>
      <w:r>
        <w:t>6: India’s projected coal-fired power generation</w:t>
      </w:r>
    </w:p>
    <w:tbl>
      <w:tblPr>
        <w:tblStyle w:val="OCETable"/>
        <w:tblW w:w="4923" w:type="pct"/>
        <w:tblInd w:w="108" w:type="dxa"/>
        <w:tblLayout w:type="fixed"/>
        <w:tblLook w:val="04A0" w:firstRow="1" w:lastRow="0" w:firstColumn="1" w:lastColumn="0" w:noHBand="0" w:noVBand="1"/>
        <w:tblCaption w:val="Table contains figure 2.6"/>
      </w:tblPr>
      <w:tblGrid>
        <w:gridCol w:w="8887"/>
      </w:tblGrid>
      <w:tr w:rsidR="006662A6" w14:paraId="20A12097" w14:textId="77777777" w:rsidTr="005E1CD1">
        <w:trPr>
          <w:cnfStyle w:val="100000000000" w:firstRow="1" w:lastRow="0" w:firstColumn="0" w:lastColumn="0" w:oddVBand="0" w:evenVBand="0" w:oddHBand="0" w:evenHBand="0" w:firstRowFirstColumn="0" w:firstRowLastColumn="0" w:lastRowFirstColumn="0" w:lastRowLastColumn="0"/>
          <w:trHeight w:val="2697"/>
          <w:tblHeader/>
        </w:trPr>
        <w:tc>
          <w:tcPr>
            <w:tcW w:w="8887" w:type="dxa"/>
            <w:shd w:val="clear" w:color="auto" w:fill="auto"/>
          </w:tcPr>
          <w:p w14:paraId="6490C34C" w14:textId="77777777" w:rsidR="006662A6" w:rsidRDefault="006662A6" w:rsidP="00B12D7D">
            <w:pPr>
              <w:pStyle w:val="PlaceholderWide"/>
            </w:pPr>
            <w:r>
              <w:rPr>
                <w:noProof/>
                <w:lang w:eastAsia="en-AU"/>
              </w:rPr>
              <w:drawing>
                <wp:inline distT="0" distB="0" distL="0" distR="0" wp14:anchorId="29C28475" wp14:editId="03A205B1">
                  <wp:extent cx="5419725" cy="1704975"/>
                  <wp:effectExtent l="0" t="0" r="0" b="0"/>
                  <wp:docPr id="45" name="Chart 45" descr="This chart shows India’s projected coal-fired power generation." title="Figure 2.6: India’s projected coal-fired power gener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606BFC7F" w14:textId="13857C31" w:rsidR="006662A6" w:rsidRDefault="006662A6" w:rsidP="00854480">
      <w:pPr>
        <w:pStyle w:val="Source"/>
        <w:jc w:val="left"/>
      </w:pPr>
      <w:r>
        <w:t>Notes: The IEA projections represent the range between the Sustainable Development and Current Policies Scenarios.</w:t>
      </w:r>
      <w:r>
        <w:br/>
        <w:t xml:space="preserve">Source: </w:t>
      </w:r>
      <w:r w:rsidRPr="00DF5913">
        <w:t>IEA (2018) World Energy Outlook 2018</w:t>
      </w:r>
      <w:r>
        <w:t xml:space="preserve">, </w:t>
      </w:r>
      <w:r w:rsidRPr="00DF5913">
        <w:t>International Energy Agency</w:t>
      </w:r>
      <w:r>
        <w:t>; BNEF (2019) New Energy Outlook, Bloomberg New Energy Finance.</w:t>
      </w:r>
    </w:p>
    <w:p w14:paraId="2FFEBBA8" w14:textId="74F065ED" w:rsidR="006662A6" w:rsidRDefault="006662A6" w:rsidP="00854480">
      <w:pPr>
        <w:pStyle w:val="Caption"/>
      </w:pPr>
      <w:r>
        <w:t>Figure 2</w:t>
      </w:r>
      <w:r w:rsidRPr="000618FB">
        <w:t>.</w:t>
      </w:r>
      <w:r>
        <w:t>7: India’s power generation by technology</w:t>
      </w:r>
    </w:p>
    <w:tbl>
      <w:tblPr>
        <w:tblStyle w:val="OCETable"/>
        <w:tblW w:w="4940" w:type="pct"/>
        <w:tblInd w:w="108" w:type="dxa"/>
        <w:tblLayout w:type="fixed"/>
        <w:tblLook w:val="04A0" w:firstRow="1" w:lastRow="0" w:firstColumn="1" w:lastColumn="0" w:noHBand="0" w:noVBand="1"/>
        <w:tblCaption w:val="Table contains figure 2.7"/>
      </w:tblPr>
      <w:tblGrid>
        <w:gridCol w:w="8918"/>
      </w:tblGrid>
      <w:tr w:rsidR="006662A6" w14:paraId="5FFDE8AD"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5A71EF80" w14:textId="77777777" w:rsidR="006662A6" w:rsidRDefault="006662A6" w:rsidP="00B12D7D">
            <w:pPr>
              <w:pStyle w:val="PlaceholderWide"/>
            </w:pPr>
            <w:r>
              <w:rPr>
                <w:noProof/>
                <w:lang w:eastAsia="en-AU"/>
              </w:rPr>
              <w:drawing>
                <wp:inline distT="0" distB="0" distL="0" distR="0" wp14:anchorId="24F39FB9" wp14:editId="79C11351">
                  <wp:extent cx="5760000" cy="2162175"/>
                  <wp:effectExtent l="0" t="0" r="0" b="0"/>
                  <wp:docPr id="50" name="Chart 50" descr="This chart shows India’s power generation by technology." title="Figure 2.7: India’s power generation by technology"/>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2AD41342" w14:textId="77777777" w:rsidR="006662A6" w:rsidRDefault="006662A6" w:rsidP="00CD4A55">
      <w:pPr>
        <w:pStyle w:val="Source"/>
        <w:pBdr>
          <w:bottom w:val="single" w:sz="4" w:space="0" w:color="595A5B"/>
        </w:pBdr>
      </w:pPr>
      <w:r>
        <w:t>Source: BNEF (2019) New Energy Outlook</w:t>
      </w:r>
    </w:p>
    <w:p w14:paraId="3ECC6CBA" w14:textId="340A9007" w:rsidR="006662A6" w:rsidRPr="00DC63B1" w:rsidRDefault="006662A6" w:rsidP="006B0878">
      <w:pPr>
        <w:pStyle w:val="Heading2"/>
      </w:pPr>
      <w:bookmarkStart w:id="155" w:name="_Toc17210789"/>
      <w:r>
        <w:t xml:space="preserve">Key factors influencing </w:t>
      </w:r>
      <w:bookmarkEnd w:id="150"/>
      <w:bookmarkEnd w:id="151"/>
      <w:bookmarkEnd w:id="152"/>
      <w:bookmarkEnd w:id="153"/>
      <w:bookmarkEnd w:id="154"/>
      <w:r>
        <w:t>coal-fired power capacity and generation</w:t>
      </w:r>
      <w:bookmarkEnd w:id="155"/>
    </w:p>
    <w:p w14:paraId="324AFB84" w14:textId="47EE2AD2" w:rsidR="006662A6" w:rsidRPr="009D3F5E" w:rsidRDefault="006662A6" w:rsidP="00015DBC">
      <w:pPr>
        <w:pStyle w:val="BodyText"/>
      </w:pPr>
      <w:r w:rsidRPr="009D3F5E">
        <w:t>A number of persistent challenges</w:t>
      </w:r>
      <w:r>
        <w:t xml:space="preserve"> and other factors are expected to influence future coal-fired power generation and</w:t>
      </w:r>
      <w:r w:rsidRPr="009D3F5E">
        <w:t xml:space="preserve"> new investmen</w:t>
      </w:r>
      <w:r>
        <w:t>t in coal-fired power capacity</w:t>
      </w:r>
      <w:r w:rsidRPr="009D3F5E">
        <w:t xml:space="preserve"> in India</w:t>
      </w:r>
      <w:r>
        <w:t>.</w:t>
      </w:r>
    </w:p>
    <w:p w14:paraId="23FB01A7" w14:textId="5AC1CCD1" w:rsidR="006662A6" w:rsidRDefault="006662A6" w:rsidP="00DC63B1">
      <w:pPr>
        <w:pStyle w:val="Heading3"/>
      </w:pPr>
      <w:r>
        <w:t>Financial stress</w:t>
      </w:r>
    </w:p>
    <w:p w14:paraId="0A8F4516" w14:textId="18B454F7" w:rsidR="006662A6" w:rsidRDefault="006662A6" w:rsidP="00E97CA7">
      <w:pPr>
        <w:pStyle w:val="BodyText"/>
      </w:pPr>
      <w:r w:rsidRPr="00F84BFF">
        <w:t>Coal-fired power plants are one of the largest categories of stressed assets in India</w:t>
      </w:r>
      <w:r>
        <w:t>. In 2018, the Ministry of Power’s Standing Committee on Energy reported that 34 coal-fired power stations, with a combined capacity of 40 GW (around 21 per cent of capacity at the time), were financially stressed. The 34 projects have been caught up in insolvency proceedings through India’s National Company Law Tribunal (NCLT).</w:t>
      </w:r>
      <w:r>
        <w:rPr>
          <w:rStyle w:val="EndnoteReference"/>
        </w:rPr>
        <w:endnoteReference w:id="73"/>
      </w:r>
      <w:r>
        <w:t xml:space="preserve"> More recent estimates suggest that the amount of financially-stressed capacity has climbed even higher, to 75 GW.</w:t>
      </w:r>
      <w:r>
        <w:rPr>
          <w:rStyle w:val="EndnoteReference"/>
        </w:rPr>
        <w:endnoteReference w:id="74"/>
      </w:r>
      <w:r>
        <w:t xml:space="preserve"> As at March 2019, around 311 GW of planned projects had been cancelled or deferred (Table 2.3). </w:t>
      </w:r>
    </w:p>
    <w:p w14:paraId="59312BCF" w14:textId="1E55B1B4" w:rsidR="006662A6" w:rsidRDefault="006662A6" w:rsidP="00E97CA7">
      <w:pPr>
        <w:pStyle w:val="BodyText"/>
      </w:pPr>
      <w:r>
        <w:t xml:space="preserve">There are several key factors that have contributed to the financial stress of coal-fired power plants. </w:t>
      </w:r>
      <w:r w:rsidRPr="00F84BFF">
        <w:t>Coal supply constraints are</w:t>
      </w:r>
      <w:r>
        <w:t xml:space="preserve"> the</w:t>
      </w:r>
      <w:r w:rsidRPr="00F84BFF">
        <w:t xml:space="preserve"> primary driver.</w:t>
      </w:r>
      <w:r>
        <w:t xml:space="preserve"> Domestic coal shortages and a lack of guaranteed coal supplies have resulted in some plants buying more expensive coal on the open market, or have left plants unable to procure enough coal to produce power and thus generate income to service their debts.</w:t>
      </w:r>
      <w:r>
        <w:rPr>
          <w:rStyle w:val="EndnoteReference"/>
        </w:rPr>
        <w:endnoteReference w:id="75"/>
      </w:r>
      <w:r>
        <w:t xml:space="preserve"> The financial challenges facing distribution companies (see Chapter 1) have also impacted the coal-fired power sector, due to reduced purchases and delayed payments to power producers. </w:t>
      </w:r>
    </w:p>
    <w:p w14:paraId="5116C343" w14:textId="763B4B01" w:rsidR="006662A6" w:rsidRDefault="006662A6" w:rsidP="00E97CA7">
      <w:pPr>
        <w:pStyle w:val="BodyText"/>
      </w:pPr>
      <w:r>
        <w:t>Overcapacity in thermal generation in India, coupled with the rapid expansion in renewables, has further added to financial pressure on coal power assets.</w:t>
      </w:r>
      <w:r w:rsidRPr="00824ECD">
        <w:t xml:space="preserve"> </w:t>
      </w:r>
      <w:r>
        <w:t>However, issues around overcapacity of coal-fired power will likely be resolved over the next decade as power demand continues to grow.</w:t>
      </w:r>
    </w:p>
    <w:p w14:paraId="6AD03704" w14:textId="5864349E" w:rsidR="006662A6" w:rsidRDefault="006662A6" w:rsidP="00E97CA7">
      <w:pPr>
        <w:pStyle w:val="BodyText"/>
      </w:pPr>
      <w:r>
        <w:t>The Indian Government implemented a series of policy measures in 2019 to alleviate the financial stress of the coal-fired power sector, which has revived an estimated 11 GW of capacity in the year to date.</w:t>
      </w:r>
      <w:r>
        <w:rPr>
          <w:rStyle w:val="EndnoteReference"/>
        </w:rPr>
        <w:endnoteReference w:id="76"/>
      </w:r>
      <w:r>
        <w:t xml:space="preserve"> These measures include debt-restructuring schemes, providing power procurement guarantees to projects, and improve coal linkages (under which private power producers will be provided with coal supply agreements through competitive e-auction bidding instead of by ministerial recommendations). </w:t>
      </w:r>
    </w:p>
    <w:p w14:paraId="666BAB48" w14:textId="4DDA9329" w:rsidR="006662A6" w:rsidRDefault="006662A6" w:rsidP="00E97CA7">
      <w:pPr>
        <w:pStyle w:val="BodyText"/>
      </w:pPr>
      <w:r>
        <w:t xml:space="preserve">Nevertheless, </w:t>
      </w:r>
      <w:r w:rsidRPr="00F84BFF">
        <w:t>India’s coal power assets are facing growing difficulties attracting capital and insurance</w:t>
      </w:r>
      <w:r>
        <w:t xml:space="preserve"> coverage due to the financial challenges facing the sector</w:t>
      </w:r>
      <w:r w:rsidRPr="004B3CD2">
        <w:t>.</w:t>
      </w:r>
      <w:r w:rsidRPr="004B3CD2">
        <w:rPr>
          <w:rStyle w:val="EndnoteReference"/>
        </w:rPr>
        <w:endnoteReference w:id="77"/>
      </w:r>
      <w:r>
        <w:t xml:space="preserve"> International financing for coal power projects has largely stalled, and the public sector banks and lenders which fuelled India’s rapid growth in coal capacity a decade ago are facing financial stress due to the high levels of non-performing assets in the sector.</w:t>
      </w:r>
      <w:r>
        <w:rPr>
          <w:rStyle w:val="EndnoteReference"/>
        </w:rPr>
        <w:endnoteReference w:id="78"/>
      </w:r>
    </w:p>
    <w:p w14:paraId="57A36062" w14:textId="4F81987E" w:rsidR="006662A6" w:rsidRDefault="006662A6" w:rsidP="00DC63B1">
      <w:pPr>
        <w:pStyle w:val="Heading3"/>
      </w:pPr>
      <w:r>
        <w:t>Technology</w:t>
      </w:r>
    </w:p>
    <w:p w14:paraId="53C9E27D" w14:textId="0C4592DB" w:rsidR="006662A6" w:rsidRDefault="006662A6" w:rsidP="002B181D">
      <w:pPr>
        <w:pStyle w:val="BodyText"/>
      </w:pPr>
      <w:r>
        <w:t>The IEA’s 2018 WEO notes that technology choices are vital to the outlook for coal in power generation. Two potential technological game changers are carbon capture and sequestration (CCS), and increasing the flexibility of coal-fired plants to complement the variable nature of renewables.</w:t>
      </w:r>
    </w:p>
    <w:p w14:paraId="7D08453F" w14:textId="6262C75B" w:rsidR="006662A6" w:rsidRDefault="006662A6" w:rsidP="002B181D">
      <w:pPr>
        <w:pStyle w:val="BodyText"/>
      </w:pPr>
      <w:r>
        <w:t>While India showed strong interest in CCS through domestic research and development projects and international collaboration, momentum has recently slowed.</w:t>
      </w:r>
      <w:r>
        <w:rPr>
          <w:rStyle w:val="EndnoteReference"/>
        </w:rPr>
        <w:endnoteReference w:id="79"/>
      </w:r>
      <w:r>
        <w:t xml:space="preserve"> Beyond small scale government grants — released by the Indian Ministry of Science and Technology in 2018 to fund CCS research with partner countries</w:t>
      </w:r>
      <w:r>
        <w:rPr>
          <w:rStyle w:val="EndnoteReference"/>
        </w:rPr>
        <w:endnoteReference w:id="80"/>
      </w:r>
      <w:r>
        <w:t xml:space="preserve"> — there have been no new government-funded projects since 2015. CCS deployment in India has faced substantial barriers to date. Key challenges</w:t>
      </w:r>
      <w:r w:rsidRPr="00344A0E">
        <w:t xml:space="preserve"> </w:t>
      </w:r>
      <w:r>
        <w:t>include the capital and operational costs, the inability to pass on the costs to distribution companies, and a lack of reliable geological storage data. Despite the slow progress in CCS deployment, India noted its interest in obtaining technological and financial support in implementing CCS</w:t>
      </w:r>
      <w:r w:rsidRPr="009B142E">
        <w:t xml:space="preserve"> </w:t>
      </w:r>
      <w:r>
        <w:t xml:space="preserve">in its latest submission to the </w:t>
      </w:r>
      <w:r w:rsidRPr="00F85857">
        <w:t>United National Framework Convention on Climate Change</w:t>
      </w:r>
      <w:r>
        <w:t xml:space="preserve"> (UNFCC).</w:t>
      </w:r>
      <w:r>
        <w:rPr>
          <w:rStyle w:val="EndnoteReference"/>
        </w:rPr>
        <w:endnoteReference w:id="81"/>
      </w:r>
    </w:p>
    <w:p w14:paraId="1EFFAF06" w14:textId="11218B71" w:rsidR="006662A6" w:rsidRPr="0074050F" w:rsidRDefault="006662A6" w:rsidP="002B181D">
      <w:pPr>
        <w:pStyle w:val="BodyText"/>
      </w:pPr>
      <w:r>
        <w:t>There are relatively stronger prospects for turning India’s coal-fired fleet into a more flexible asset. Coal-fired power plants will remain important in India’s power sector as the share of variable renewables grows, with neither gas nor hydro expected to play a major role in providing flexibility to the electricity system. India’s national energy plan (see Chapter 1) notes that the flexible operation of coal-fired power plants has the potential to create a synergy between coal and renewables, rather than a dichotomy. The IEA’s 2018 WEO notes that there is a currently a significant reserve margin in the system to allow for flexibility, provided that the right regulations, mechanisms and incentives are in place. However</w:t>
      </w:r>
      <w:r w:rsidR="00E94EE5">
        <w:t>,</w:t>
      </w:r>
      <w:r>
        <w:t xml:space="preserve"> there are challenges to resolve. For example, some states in India have resisted the imposition of central government regulations on coal-fired power plants, due to costs and technical difficulties.</w:t>
      </w:r>
      <w:r>
        <w:rPr>
          <w:rStyle w:val="EndnoteReference"/>
        </w:rPr>
        <w:endnoteReference w:id="82"/>
      </w:r>
    </w:p>
    <w:p w14:paraId="0C94343F" w14:textId="77777777" w:rsidR="006662A6" w:rsidRDefault="006662A6" w:rsidP="00883930">
      <w:pPr>
        <w:pStyle w:val="Heading3"/>
      </w:pPr>
      <w:r>
        <w:t>Renewables</w:t>
      </w:r>
    </w:p>
    <w:p w14:paraId="48723A95" w14:textId="2858B83B" w:rsidR="006662A6" w:rsidRDefault="006662A6" w:rsidP="003E494E">
      <w:pPr>
        <w:pStyle w:val="BodyText"/>
      </w:pPr>
      <w:r>
        <w:t>Over the last few years, renewables have surpassed expectations in India, with capacity rapidly expanding and costs falling dramatically (Box 2.2). The longer-term outlook for coal-fired power capacity depends heavily on the pace of expansion in renewable generation capacity.</w:t>
      </w:r>
    </w:p>
    <w:p w14:paraId="0549CEEE" w14:textId="3359C189" w:rsidR="006662A6" w:rsidRDefault="006662A6" w:rsidP="008458D7">
      <w:pPr>
        <w:pStyle w:val="BodyText"/>
      </w:pPr>
      <w:r>
        <w:t>The Indian government has set a goal of 500 GW of renewable capacity (excluding large-scale hydro) by 2028. However, the target is largely considered to be aspirational</w:t>
      </w:r>
      <w:r>
        <w:rPr>
          <w:rStyle w:val="EndnoteReference"/>
        </w:rPr>
        <w:endnoteReference w:id="83"/>
      </w:r>
      <w:r>
        <w:t xml:space="preserve">, and </w:t>
      </w:r>
      <w:r>
        <w:rPr>
          <w:rFonts w:cs="Arial"/>
          <w:color w:val="2D2D2D"/>
          <w:lang w:val="en"/>
        </w:rPr>
        <w:t xml:space="preserve">India will need to overcome significant challenges to achieve its capacity targets for renewable energy generation (see Chapter 1). </w:t>
      </w:r>
    </w:p>
    <w:p w14:paraId="0B1A0349" w14:textId="3AEF9135" w:rsidR="006662A6" w:rsidRDefault="006662A6" w:rsidP="008458D7">
      <w:pPr>
        <w:pStyle w:val="BodyText"/>
        <w:jc w:val="left"/>
      </w:pPr>
      <w:r>
        <w:t>Analysis by Brookings India</w:t>
      </w:r>
      <w:r>
        <w:rPr>
          <w:rStyle w:val="EndnoteReference"/>
        </w:rPr>
        <w:endnoteReference w:id="84"/>
      </w:r>
      <w:r>
        <w:t xml:space="preserve"> highlights the scale of the challenge. Reaching the target would require 42 GW of capacity additions yearly. This is in stark contrast to the 12 GW of renewables capacity that India added in 2017–18, and 9 GW added in 2018–19. If the 500 GW target is achieved, substantial deployment of grid-storage would be required to balance the system, which would require a considerable increase in the cost of solar. </w:t>
      </w:r>
      <w:r>
        <w:rPr>
          <w:rFonts w:cs="Arial"/>
          <w:color w:val="2D2D2D"/>
          <w:lang w:val="en"/>
        </w:rPr>
        <w:t xml:space="preserve">India’s 500 GW target </w:t>
      </w:r>
      <w:r>
        <w:t>is well above the projected 333 GW of renewables capacity in BNEF’s New Energy Outlook projections. BNEF’s analysis concludes that coal-fired power generation is unlikely to peak by 2030 due to these challenges.</w:t>
      </w:r>
    </w:p>
    <w:p w14:paraId="34B5C2B5" w14:textId="686AE51E" w:rsidR="006662A6" w:rsidRDefault="006662A6" w:rsidP="00C8613B">
      <w:pPr>
        <w:pStyle w:val="Caption"/>
        <w:spacing w:before="120"/>
      </w:pPr>
      <w:r w:rsidRPr="00D26202">
        <w:t>Box</w:t>
      </w:r>
      <w:r>
        <w:t xml:space="preserve"> 2</w:t>
      </w:r>
      <w:r>
        <w:rPr>
          <w:noProof/>
        </w:rPr>
        <w:t>.2</w:t>
      </w:r>
      <w:r>
        <w:t>: Electricity technology costs in India</w:t>
      </w:r>
    </w:p>
    <w:tbl>
      <w:tblPr>
        <w:tblStyle w:val="OCETable"/>
        <w:tblW w:w="5000" w:type="pct"/>
        <w:tblInd w:w="57" w:type="dxa"/>
        <w:shd w:val="clear" w:color="auto" w:fill="DEE8F1"/>
        <w:tblLayout w:type="fixed"/>
        <w:tblLook w:val="04A0" w:firstRow="1" w:lastRow="0" w:firstColumn="1" w:lastColumn="0" w:noHBand="0" w:noVBand="1"/>
        <w:tblCaption w:val="Table contains Box 2.2"/>
      </w:tblPr>
      <w:tblGrid>
        <w:gridCol w:w="9026"/>
      </w:tblGrid>
      <w:tr w:rsidR="006662A6" w14:paraId="7FBF258F" w14:textId="77777777" w:rsidTr="00715453">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EE8F1"/>
          </w:tcPr>
          <w:p w14:paraId="3BFB56BF" w14:textId="7EE8D8DC" w:rsidR="006662A6" w:rsidRDefault="006662A6" w:rsidP="00DC63B1">
            <w:pPr>
              <w:pStyle w:val="BodyText"/>
            </w:pPr>
            <w:r>
              <w:t xml:space="preserve">The cost of renewable energy generation has fallen rapidly in recent years, and its price relative to coal-fired power generation has been the subject of much discussion. The cost of renewable generation compared to coal depends on the measure used, whether renewable generation is accompanied by storage, and whether the focus is on new or existing coal-fired power generation. </w:t>
            </w:r>
          </w:p>
          <w:p w14:paraId="22F5D1AF" w14:textId="0EB44755" w:rsidR="006662A6" w:rsidRDefault="006662A6" w:rsidP="00DC63B1">
            <w:pPr>
              <w:pStyle w:val="BodyText"/>
            </w:pPr>
            <w:r>
              <w:t>A key measure of the cost of different generation technologies is the levelised cost of electricity (LCOE). According to a 2018 Brookings study, the LCOE of new renewable generation without storage is lower than that of new coal-fired power generation in India.</w:t>
            </w:r>
            <w:r>
              <w:rPr>
                <w:rStyle w:val="EndnoteReference"/>
              </w:rPr>
              <w:endnoteReference w:id="85"/>
            </w:r>
            <w:r>
              <w:t xml:space="preserve"> The low LCOE of renewables without storage helps to explain their rapid uptake in India in recent times. However, when the cost of new renewable generation is compared to existing coal-fired power generation, the economics currently favour coal. The </w:t>
            </w:r>
            <w:r w:rsidR="00586A5E">
              <w:t xml:space="preserve">current </w:t>
            </w:r>
            <w:r>
              <w:t>economics suggests that renewable generation may have difficulty displacing existing coal assets, particularly those located near coal mines.</w:t>
            </w:r>
          </w:p>
          <w:p w14:paraId="4B79F639" w14:textId="4D73CBD0" w:rsidR="006662A6" w:rsidRDefault="006662A6" w:rsidP="00DC63B1">
            <w:pPr>
              <w:pStyle w:val="BodyText"/>
            </w:pPr>
            <w:r>
              <w:t>However, as the penetration of renewables increases, the electricity system will increasingly require storage solutions. Brookings’ study suggests that renewable generation with battery storage may be competitive with new coal plants, but not with existing</w:t>
            </w:r>
            <w:r w:rsidR="00942794">
              <w:t xml:space="preserve"> coal generation. When, and how</w:t>
            </w:r>
            <w:r>
              <w:t xml:space="preserve"> much</w:t>
            </w:r>
            <w:r w:rsidR="00942794">
              <w:t>,</w:t>
            </w:r>
            <w:r>
              <w:t xml:space="preserve"> storage will be required to support increasing renewable penetration is a difficult question, but it may be around 220 GW of capacity according to Brookings — slightly above India’s 2022 target, but well below recent India’s recently announced 2028 target of 500 GW. Overall, these findings suggest that renewable generation (with or without storage) could struggle to displace existing coal power, and that growing storage requirements for renewables could undermine any cost advantages they have to coal.</w:t>
            </w:r>
          </w:p>
          <w:p w14:paraId="20E7C5C5" w14:textId="0A4F5B49" w:rsidR="006662A6" w:rsidRDefault="006662A6" w:rsidP="00DC63B1">
            <w:pPr>
              <w:pStyle w:val="BodyText"/>
            </w:pPr>
            <w:r>
              <w:t>A key issue with the LCOE, however, is that the measure does not consider the system-level costs of renewable generation.</w:t>
            </w:r>
            <w:r>
              <w:rPr>
                <w:rStyle w:val="EndnoteReference"/>
              </w:rPr>
              <w:endnoteReference w:id="86"/>
            </w:r>
            <w:r>
              <w:t xml:space="preserve"> These system-level costs include the wear and tear on thermal generators due to the need to vary output to accommodate renewable generation, and the reduced efficiency of thermal generation operating at partial capacity as a result of increased renewable penetration. LCOE also does not capture the value that</w:t>
            </w:r>
            <w:r w:rsidR="00586A5E">
              <w:t xml:space="preserve"> flexible</w:t>
            </w:r>
            <w:r>
              <w:t xml:space="preserve"> generation brings to the electricity system. Peak demand in India is usually in the evening, which does not correspond with peak solar output and may not match wind’s peak generation. The system-level costs of renewable power generation are likely to become more pronounced as renewable generation capacity in India rises.</w:t>
            </w:r>
          </w:p>
          <w:p w14:paraId="769AE0F8" w14:textId="715034D2" w:rsidR="006662A6" w:rsidRDefault="006662A6" w:rsidP="00DC63B1">
            <w:pPr>
              <w:pStyle w:val="BodyText"/>
            </w:pPr>
            <w:r>
              <w:t>The IEA has recently published a v</w:t>
            </w:r>
            <w:r w:rsidRPr="00E21C0D">
              <w:t xml:space="preserve">alue-adjusted </w:t>
            </w:r>
            <w:r>
              <w:t xml:space="preserve">LCOE (VALCOE), which adjusts the LCOE by incorporating information on the value of different technologies to the system (specifically, energy, capacity and flexibility value). VALCOE provides a perspective that system planners and policymakers (rather than investors) might take if they are seeking to minimise costs. Figure 2.8 shows the LCOE’s and value-adjusted LCOE’s in India for different generation technologies. In 2017, coal’s VALCOE was lowest of any technology in India, followed by onshore wind, nuclear, solar PV and gas. Solar PV costs decline sharply on an LCOE basis between 2017 and 2040, but only approach the cost of coal on a value-adjusted LCOE basis. Existing coal power plants, in other words, make an important contribution to system flexibility and reliability. </w:t>
            </w:r>
          </w:p>
          <w:p w14:paraId="2EB57218" w14:textId="73EE7202" w:rsidR="006662A6" w:rsidRDefault="006662A6" w:rsidP="00C8613B">
            <w:pPr>
              <w:pStyle w:val="Caption"/>
              <w:spacing w:before="120" w:after="120"/>
            </w:pPr>
            <w:r>
              <w:t>Figure</w:t>
            </w:r>
            <w:r w:rsidRPr="000618FB">
              <w:t xml:space="preserve"> </w:t>
            </w:r>
            <w:r>
              <w:rPr>
                <w:noProof/>
              </w:rPr>
              <w:t>2</w:t>
            </w:r>
            <w:r w:rsidRPr="000618FB">
              <w:t>.</w:t>
            </w:r>
            <w:r>
              <w:t>8: LCOEs and value-adjusted LCOEs in India, 2017 and 2040</w:t>
            </w:r>
          </w:p>
          <w:p w14:paraId="492D8FB2" w14:textId="5C42C314" w:rsidR="006662A6" w:rsidRPr="00715453" w:rsidRDefault="006662A6" w:rsidP="00715453">
            <w:pPr>
              <w:pStyle w:val="Placeholder"/>
            </w:pPr>
            <w:r>
              <w:rPr>
                <w:noProof/>
                <w:lang w:eastAsia="en-AU"/>
              </w:rPr>
              <w:drawing>
                <wp:inline distT="0" distB="0" distL="0" distR="0" wp14:anchorId="0842BAF9" wp14:editId="7F0EF738">
                  <wp:extent cx="5495925" cy="2581275"/>
                  <wp:effectExtent l="0" t="0" r="0" b="0"/>
                  <wp:docPr id="8" name="Chart 8" descr="This chart shows LCOEs and value-adjusted LCOEs in India, 2017 and 2040." title="Figure 2.8: LCOEs and value-adjusted LCOEs in India, 2017 and 2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1F1D97" w14:textId="77777777" w:rsidR="006662A6" w:rsidRDefault="006662A6" w:rsidP="00DC63B1">
            <w:pPr>
              <w:pStyle w:val="Boxtext"/>
            </w:pPr>
          </w:p>
        </w:tc>
      </w:tr>
    </w:tbl>
    <w:p w14:paraId="18ACB429" w14:textId="135C67DB" w:rsidR="006662A6" w:rsidRDefault="006662A6" w:rsidP="00C8613B">
      <w:pPr>
        <w:pStyle w:val="Source"/>
        <w:spacing w:before="0"/>
      </w:pPr>
      <w:r>
        <w:t xml:space="preserve">Source: IEA (2018) World Energy Outlook </w:t>
      </w:r>
      <w:r w:rsidRPr="0024119F">
        <w:t>2018</w:t>
      </w:r>
      <w:r>
        <w:t xml:space="preserve">, </w:t>
      </w:r>
      <w:r w:rsidRPr="0024119F">
        <w:t>Int</w:t>
      </w:r>
      <w:r>
        <w:t>ernational Energy Agency</w:t>
      </w:r>
    </w:p>
    <w:p w14:paraId="2A19096A" w14:textId="216DA822" w:rsidR="006662A6" w:rsidRDefault="006662A6" w:rsidP="00345A30">
      <w:pPr>
        <w:pStyle w:val="Heading1"/>
      </w:pPr>
      <w:bookmarkStart w:id="156" w:name="_Toc15645863"/>
      <w:bookmarkStart w:id="157" w:name="_Toc16247597"/>
      <w:bookmarkStart w:id="158" w:name="_Toc16250060"/>
      <w:bookmarkStart w:id="159" w:name="_Toc16256915"/>
      <w:bookmarkStart w:id="160" w:name="_Toc17210790"/>
      <w:bookmarkStart w:id="161" w:name="_Toc15641175"/>
      <w:bookmarkStart w:id="162" w:name="_Toc15641176"/>
      <w:bookmarkStart w:id="163" w:name="_Toc15645864"/>
      <w:r>
        <w:t>2.4 India</w:t>
      </w:r>
      <w:r w:rsidR="00586A5E">
        <w:t>’s</w:t>
      </w:r>
      <w:r>
        <w:t xml:space="preserve"> coal production</w:t>
      </w:r>
      <w:bookmarkEnd w:id="156"/>
      <w:bookmarkEnd w:id="157"/>
      <w:bookmarkEnd w:id="158"/>
      <w:bookmarkEnd w:id="159"/>
      <w:bookmarkEnd w:id="160"/>
    </w:p>
    <w:p w14:paraId="6A0F678A" w14:textId="577937C7" w:rsidR="006662A6" w:rsidRDefault="006662A6" w:rsidP="00CE2FB4">
      <w:pPr>
        <w:pStyle w:val="Heading2"/>
      </w:pPr>
      <w:bookmarkStart w:id="164" w:name="_Toc16247598"/>
      <w:bookmarkStart w:id="165" w:name="_Toc16250061"/>
      <w:bookmarkStart w:id="166" w:name="_Toc16256916"/>
      <w:bookmarkStart w:id="167" w:name="_Toc17210791"/>
      <w:bookmarkEnd w:id="161"/>
      <w:r>
        <w:t>Outlook for India’s coal production</w:t>
      </w:r>
      <w:bookmarkEnd w:id="162"/>
      <w:bookmarkEnd w:id="163"/>
      <w:bookmarkEnd w:id="164"/>
      <w:bookmarkEnd w:id="165"/>
      <w:bookmarkEnd w:id="166"/>
      <w:bookmarkEnd w:id="167"/>
    </w:p>
    <w:p w14:paraId="0511B8DB" w14:textId="133B2ED0" w:rsidR="006662A6" w:rsidRPr="00345A30" w:rsidRDefault="006662A6" w:rsidP="00345A30">
      <w:pPr>
        <w:pStyle w:val="Heading3"/>
      </w:pPr>
      <w:r>
        <w:t>Government policies and plans</w:t>
      </w:r>
    </w:p>
    <w:p w14:paraId="17EC68F9" w14:textId="0F574EED" w:rsidR="006662A6" w:rsidRDefault="006662A6" w:rsidP="00CE2FB4">
      <w:pPr>
        <w:pStyle w:val="BodyText"/>
      </w:pPr>
      <w:r>
        <w:t>In order to meet the expected increase in India’s coal consumption and reduce reliance on imports, the Indian Government set a target in late 2014 to roughly double Coal India’s coal production to 1 billion tonnes by 2020, and to triple total domestic coal production to 1.5 billion tonnes over the same period. In 2018, Coal India’s timeframe for the 1 billion tonne target was pushed back to 2025–26, and the Indian government stated that it was reviewing the 1.5 billion target in light of more recent developments.</w:t>
      </w:r>
      <w:r>
        <w:rPr>
          <w:rStyle w:val="EndnoteReference"/>
        </w:rPr>
        <w:endnoteReference w:id="87"/>
      </w:r>
      <w:r>
        <w:t xml:space="preserve"> Coal India cited a range of issues that contributed to the delay, including changes to India’s carbon emission targets, slow industrial growth and energy demand growth, a changing energy mix, environmental challenges and land acquisition difficulties.</w:t>
      </w:r>
      <w:r>
        <w:rPr>
          <w:rStyle w:val="EndnoteReference"/>
        </w:rPr>
        <w:endnoteReference w:id="88"/>
      </w:r>
    </w:p>
    <w:p w14:paraId="1C40C29E" w14:textId="4EA86751" w:rsidR="006662A6" w:rsidRDefault="006662A6" w:rsidP="00435264">
      <w:pPr>
        <w:pStyle w:val="BodyText"/>
      </w:pPr>
      <w:r>
        <w:t>Despite an easing of the ambitious timeframe, p</w:t>
      </w:r>
      <w:r w:rsidRPr="004B0EF4">
        <w:t>roduction will</w:t>
      </w:r>
      <w:r>
        <w:t xml:space="preserve"> still need to grow at an annual average rate of 8.5 per cent</w:t>
      </w:r>
      <w:r w:rsidRPr="004B0EF4">
        <w:t xml:space="preserve"> to </w:t>
      </w:r>
      <w:r>
        <w:t>achieve the 1 billion tonne target by 2025–26 — more than double the average pace of growth in the last decade. While India’s production growth has accelerated in recent years (see Chapter 1), its coal sector continues to face substantial challenges. At the start of 2019, a third of Coal India projects were behind schedule, primarily due to delays in the approvals process.</w:t>
      </w:r>
      <w:r>
        <w:rPr>
          <w:rStyle w:val="EndnoteReference"/>
        </w:rPr>
        <w:endnoteReference w:id="89"/>
      </w:r>
    </w:p>
    <w:p w14:paraId="607F9F74" w14:textId="7EC880FA" w:rsidR="006662A6" w:rsidRDefault="006662A6" w:rsidP="00345A30">
      <w:pPr>
        <w:pStyle w:val="Heading3"/>
      </w:pPr>
      <w:r>
        <w:t>IEA World Energy Outlook</w:t>
      </w:r>
    </w:p>
    <w:p w14:paraId="37C8B50E" w14:textId="1E977F90" w:rsidR="006662A6" w:rsidRDefault="006662A6" w:rsidP="00435264">
      <w:pPr>
        <w:pStyle w:val="BodyText"/>
      </w:pPr>
      <w:r>
        <w:t>In the IEA’s New Policy Scenario, India’s domestic coal production grows at an average annual rate of 5.0 per cent between 2017 and 2025, slower than required to achieve Indian government targets. In the longer term, India’s coal production is projected to increase at an annual average rate of 3.9 per cent to reach 955 mtce in 2040 (Figure 2.9).</w:t>
      </w:r>
    </w:p>
    <w:p w14:paraId="3FD7D06F" w14:textId="49D0C425" w:rsidR="006662A6" w:rsidRDefault="006662A6" w:rsidP="00981EEE">
      <w:pPr>
        <w:pStyle w:val="Caption"/>
      </w:pPr>
      <w:r>
        <w:rPr>
          <w:noProof/>
          <w:lang w:eastAsia="en-AU"/>
        </w:rPr>
        <w:drawing>
          <wp:anchor distT="0" distB="0" distL="114300" distR="114300" simplePos="0" relativeHeight="251658242" behindDoc="1" locked="0" layoutInCell="1" allowOverlap="1" wp14:anchorId="47CEB1DA" wp14:editId="7C2F15A7">
            <wp:simplePos x="0" y="0"/>
            <wp:positionH relativeFrom="margin">
              <wp:align>left</wp:align>
            </wp:positionH>
            <wp:positionV relativeFrom="paragraph">
              <wp:posOffset>217170</wp:posOffset>
            </wp:positionV>
            <wp:extent cx="5892800" cy="1162050"/>
            <wp:effectExtent l="0" t="0" r="0" b="0"/>
            <wp:wrapTight wrapText="bothSides">
              <wp:wrapPolygon edited="0">
                <wp:start x="0" y="0"/>
                <wp:lineTo x="0" y="21246"/>
                <wp:lineTo x="21507" y="21246"/>
                <wp:lineTo x="21507" y="0"/>
                <wp:lineTo x="0" y="0"/>
              </wp:wrapPolygon>
            </wp:wrapTight>
            <wp:docPr id="28" name="Chart 28" descr="This chart shows world coal production, and the share of world coal production." title="Figure 2.9: World coal production, and share of world coal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t xml:space="preserve">Figure </w:t>
      </w:r>
      <w:r>
        <w:rPr>
          <w:noProof/>
        </w:rPr>
        <w:t>2</w:t>
      </w:r>
      <w:r w:rsidRPr="000618FB">
        <w:t>.</w:t>
      </w:r>
      <w:r>
        <w:t>9: World coal production, and share of world coal production, IEA New Policies Scenario</w:t>
      </w:r>
    </w:p>
    <w:tbl>
      <w:tblPr>
        <w:tblStyle w:val="OCETable"/>
        <w:tblW w:w="5058" w:type="pct"/>
        <w:tblInd w:w="108" w:type="dxa"/>
        <w:tblLayout w:type="fixed"/>
        <w:tblLook w:val="04A0" w:firstRow="1" w:lastRow="0" w:firstColumn="1" w:lastColumn="0" w:noHBand="0" w:noVBand="1"/>
        <w:tblCaption w:val="Table contains Figure 2.9"/>
      </w:tblPr>
      <w:tblGrid>
        <w:gridCol w:w="9131"/>
      </w:tblGrid>
      <w:tr w:rsidR="006662A6" w14:paraId="7A81156F" w14:textId="77777777" w:rsidTr="005E1CD1">
        <w:trPr>
          <w:cnfStyle w:val="100000000000" w:firstRow="1" w:lastRow="0" w:firstColumn="0" w:lastColumn="0" w:oddVBand="0" w:evenVBand="0" w:oddHBand="0" w:evenHBand="0" w:firstRowFirstColumn="0" w:firstRowLastColumn="0" w:lastRowFirstColumn="0" w:lastRowLastColumn="0"/>
          <w:trHeight w:val="1233"/>
          <w:tblHeader/>
        </w:trPr>
        <w:tc>
          <w:tcPr>
            <w:tcW w:w="9131" w:type="dxa"/>
            <w:shd w:val="clear" w:color="auto" w:fill="auto"/>
          </w:tcPr>
          <w:p w14:paraId="673AA25F" w14:textId="2B6A2623" w:rsidR="006662A6" w:rsidRDefault="006662A6" w:rsidP="00981EEE">
            <w:pPr>
              <w:pStyle w:val="PlaceholderWide"/>
            </w:pPr>
            <w:r>
              <w:rPr>
                <w:noProof/>
                <w:lang w:eastAsia="en-AU"/>
              </w:rPr>
              <w:drawing>
                <wp:inline distT="0" distB="0" distL="0" distR="0" wp14:anchorId="2245E3C9" wp14:editId="355EA0AE">
                  <wp:extent cx="5760000" cy="1440000"/>
                  <wp:effectExtent l="0" t="0" r="0" b="8255"/>
                  <wp:docPr id="43" name="Chart 43" descr="This chart shows the share of world coal production." title="Share of world coal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640E2F" w14:textId="7D8F202B" w:rsidR="006662A6" w:rsidRDefault="006662A6" w:rsidP="00981EEE">
            <w:pPr>
              <w:pStyle w:val="PlaceholderWide"/>
            </w:pPr>
          </w:p>
        </w:tc>
      </w:tr>
    </w:tbl>
    <w:p w14:paraId="024CBDE6" w14:textId="1ED20443" w:rsidR="006662A6" w:rsidRDefault="006662A6" w:rsidP="007B131D">
      <w:pPr>
        <w:pStyle w:val="Source"/>
        <w:jc w:val="left"/>
      </w:pPr>
      <w:r>
        <w:t xml:space="preserve">Note: The IEA does not provide projections for coal production for the Sustainable Development or Current Policies Scenarios. </w:t>
      </w:r>
      <w:r>
        <w:br/>
        <w:t xml:space="preserve">Source: </w:t>
      </w:r>
      <w:r w:rsidRPr="0024119F">
        <w:t>IEA (2018) World Energy Outlook 2018</w:t>
      </w:r>
      <w:r>
        <w:t xml:space="preserve">, </w:t>
      </w:r>
      <w:r w:rsidRPr="0024119F">
        <w:t>Int</w:t>
      </w:r>
      <w:r>
        <w:t>ernational Energy Agency</w:t>
      </w:r>
    </w:p>
    <w:p w14:paraId="6BD9A819" w14:textId="74713D48" w:rsidR="006662A6" w:rsidRDefault="006662A6" w:rsidP="00B466BC">
      <w:pPr>
        <w:pStyle w:val="Heading2"/>
      </w:pPr>
      <w:bookmarkStart w:id="168" w:name="_Toc15641177"/>
      <w:bookmarkStart w:id="169" w:name="_Toc15645865"/>
      <w:bookmarkStart w:id="170" w:name="_Toc16247599"/>
      <w:bookmarkStart w:id="171" w:name="_Toc16250062"/>
      <w:bookmarkStart w:id="172" w:name="_Toc16256917"/>
      <w:bookmarkStart w:id="173" w:name="_Toc17210792"/>
      <w:r>
        <w:t>India’s coal production: challenges and recent reforms</w:t>
      </w:r>
      <w:bookmarkEnd w:id="168"/>
      <w:bookmarkEnd w:id="169"/>
      <w:bookmarkEnd w:id="170"/>
      <w:bookmarkEnd w:id="171"/>
      <w:bookmarkEnd w:id="172"/>
      <w:bookmarkEnd w:id="173"/>
    </w:p>
    <w:p w14:paraId="60D11D5E" w14:textId="556D08B1" w:rsidR="006662A6" w:rsidRDefault="006662A6" w:rsidP="009B7FE5">
      <w:pPr>
        <w:pStyle w:val="BodyText"/>
      </w:pPr>
      <w:r>
        <w:t xml:space="preserve">While the Indian government has implemented and proposed a range of reforms in an attempt to increase coal production, substantial challenges remain. Approvals and land acquisition remain the primary factors weighing on production growth, with other issues — productivity, competition, investment, transport and domestic pricing schemes — further compounding the challenges. The Indian government will need to continue to pursue reforms and policy changes to address </w:t>
      </w:r>
      <w:r w:rsidR="00D32D09">
        <w:t xml:space="preserve">the </w:t>
      </w:r>
      <w:r>
        <w:t>remaining barriers to production growth.</w:t>
      </w:r>
    </w:p>
    <w:p w14:paraId="2438F36B" w14:textId="77777777" w:rsidR="006662A6" w:rsidRDefault="006662A6" w:rsidP="00E1664A">
      <w:pPr>
        <w:pStyle w:val="Heading3"/>
      </w:pPr>
      <w:r>
        <w:t>Approvals, coordination and planning</w:t>
      </w:r>
    </w:p>
    <w:p w14:paraId="37DF055F" w14:textId="7827DF38" w:rsidR="006662A6" w:rsidRDefault="006662A6" w:rsidP="00E1664A">
      <w:pPr>
        <w:pStyle w:val="BodyText"/>
        <w:rPr>
          <w:b/>
        </w:rPr>
      </w:pPr>
      <w:r>
        <w:t>Greenfield coal projects in India take an extensive amount of time and planning, and are subject to complex processes and bureaucracy. Coal India has identified approvals as a key bottleneck in increasing production.</w:t>
      </w:r>
      <w:r>
        <w:rPr>
          <w:rStyle w:val="EndnoteReference"/>
        </w:rPr>
        <w:endnoteReference w:id="90"/>
      </w:r>
      <w:r>
        <w:t xml:space="preserve"> To develop a coal mine in India, project proponents need to acquire land, resettle or compensate local communities in some cases, obtain multiple clearances and environmental approvals, and develop supporting infrastructure. The process requires input from multiple agencies across various levels of government, reflecting the complex institutional structure (see Chapter 1). While the government has undertaken structural reforms in the last five years to support the faster development of coal mines</w:t>
      </w:r>
      <w:r>
        <w:rPr>
          <w:rStyle w:val="EndnoteReference"/>
        </w:rPr>
        <w:endnoteReference w:id="91"/>
      </w:r>
      <w:r>
        <w:t>, challenges remain. A recent report commissioned by Coal India highlighted that a simplification and streamlining of regulation, and reducing development risks were crucial to achieving its targets.</w:t>
      </w:r>
      <w:r>
        <w:rPr>
          <w:rStyle w:val="EndnoteReference"/>
        </w:rPr>
        <w:endnoteReference w:id="92"/>
      </w:r>
    </w:p>
    <w:p w14:paraId="01DDDB84" w14:textId="77777777" w:rsidR="006662A6" w:rsidRDefault="006662A6" w:rsidP="00E1664A">
      <w:pPr>
        <w:pStyle w:val="Heading3"/>
      </w:pPr>
      <w:r>
        <w:t>Land acquisition</w:t>
      </w:r>
    </w:p>
    <w:p w14:paraId="373B0DCD" w14:textId="344CA7D6" w:rsidR="006662A6" w:rsidRDefault="006662A6" w:rsidP="00E1664A">
      <w:pPr>
        <w:pStyle w:val="BodyText"/>
      </w:pPr>
      <w:r>
        <w:t>Land acquisition has been a substantial barrier to improving coal supply in India. With coal reserves, rail projects and prospective coal plants in, or near, areas that are private</w:t>
      </w:r>
      <w:r w:rsidR="00D32D09">
        <w:t>ly</w:t>
      </w:r>
      <w:r>
        <w:t xml:space="preserve"> or state owned, it can be challenging acquiring land for new projects. With India’s economy still largely agricultural-based, and 44 per cent of India’s workforce engaged in agriculture</w:t>
      </w:r>
      <w:r>
        <w:rPr>
          <w:rStyle w:val="EndnoteReference"/>
        </w:rPr>
        <w:endnoteReference w:id="93"/>
      </w:r>
      <w:r>
        <w:t>, new coal projects can affect homes and livelihoods.</w:t>
      </w:r>
      <w:r>
        <w:rPr>
          <w:rStyle w:val="EndnoteReference"/>
        </w:rPr>
        <w:endnoteReference w:id="94"/>
      </w:r>
      <w:r>
        <w:t xml:space="preserve"> India’s land laws are numerous, complex, and sometimes conflicting, with laws administered by various government ministries and departments at the central and state level.</w:t>
      </w:r>
      <w:r>
        <w:rPr>
          <w:rStyle w:val="EndnoteReference"/>
        </w:rPr>
        <w:endnoteReference w:id="95"/>
      </w:r>
      <w:r>
        <w:t xml:space="preserve"> Land reforms have been challenging to date. The last attempt — in 2015 when the Modi Government attempted to pass a bill to reform aspects of land acquisition law — failed to pass the upper house. Land reforms will need to be progressed for projects to advance at a faster pace.</w:t>
      </w:r>
    </w:p>
    <w:p w14:paraId="34FDC026" w14:textId="77777777" w:rsidR="006662A6" w:rsidRPr="000B2F23" w:rsidRDefault="006662A6" w:rsidP="008D2755">
      <w:pPr>
        <w:pStyle w:val="Heading3"/>
      </w:pPr>
      <w:r w:rsidRPr="000B2F23">
        <w:t>Transport and infrastructure</w:t>
      </w:r>
    </w:p>
    <w:p w14:paraId="05C13ACA" w14:textId="2CAB503F" w:rsidR="006662A6" w:rsidRDefault="006662A6" w:rsidP="008D2755">
      <w:pPr>
        <w:pStyle w:val="BodyText"/>
      </w:pPr>
      <w:r>
        <w:t>Logistics are another key constraint. The majority of India’s coal</w:t>
      </w:r>
      <w:r w:rsidR="00D32D09">
        <w:t>-</w:t>
      </w:r>
      <w:r>
        <w:t>fired generation capacity is located in the northern and western regions of the country, while coal production is concentrated in the eastern region (Figure 2.10). As such, most of India’s domestically-produced coal needs to be transported long distances, adding to costs.</w:t>
      </w:r>
    </w:p>
    <w:p w14:paraId="2A08DD14" w14:textId="02E455CA" w:rsidR="006662A6" w:rsidRDefault="006662A6" w:rsidP="008D2755">
      <w:pPr>
        <w:pStyle w:val="Caption"/>
        <w:jc w:val="left"/>
        <w:rPr>
          <w:highlight w:val="yellow"/>
        </w:rPr>
      </w:pPr>
      <w:r>
        <w:rPr>
          <w:noProof/>
          <w:lang w:eastAsia="en-AU"/>
        </w:rPr>
        <w:drawing>
          <wp:anchor distT="0" distB="0" distL="114300" distR="114300" simplePos="0" relativeHeight="251658245" behindDoc="1" locked="0" layoutInCell="1" allowOverlap="1" wp14:anchorId="56275DDC" wp14:editId="0A46F42D">
            <wp:simplePos x="0" y="0"/>
            <wp:positionH relativeFrom="margin">
              <wp:posOffset>2838450</wp:posOffset>
            </wp:positionH>
            <wp:positionV relativeFrom="paragraph">
              <wp:posOffset>511175</wp:posOffset>
            </wp:positionV>
            <wp:extent cx="2647950" cy="2645410"/>
            <wp:effectExtent l="0" t="0" r="0" b="2540"/>
            <wp:wrapTight wrapText="bothSides">
              <wp:wrapPolygon edited="0">
                <wp:start x="0" y="0"/>
                <wp:lineTo x="0" y="21465"/>
                <wp:lineTo x="21445" y="21465"/>
                <wp:lineTo x="21445" y="0"/>
                <wp:lineTo x="0" y="0"/>
              </wp:wrapPolygon>
            </wp:wrapTight>
            <wp:docPr id="19" name="Picture 19" descr="This figure shows India’s coal reserves and coal-fired power capacity by state." title="Figure 2.10: India’s coal reserves and coal-fired power capacity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acity of Power - map.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7950" cy="2645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4" behindDoc="1" locked="0" layoutInCell="1" allowOverlap="1" wp14:anchorId="33E782D2" wp14:editId="5F122854">
            <wp:simplePos x="0" y="0"/>
            <wp:positionH relativeFrom="margin">
              <wp:align>left</wp:align>
            </wp:positionH>
            <wp:positionV relativeFrom="paragraph">
              <wp:posOffset>529590</wp:posOffset>
            </wp:positionV>
            <wp:extent cx="2593340" cy="2590800"/>
            <wp:effectExtent l="0" t="0" r="0" b="0"/>
            <wp:wrapTight wrapText="bothSides">
              <wp:wrapPolygon edited="0">
                <wp:start x="0" y="0"/>
                <wp:lineTo x="0" y="21441"/>
                <wp:lineTo x="21420" y="21441"/>
                <wp:lineTo x="21420" y="0"/>
                <wp:lineTo x="0" y="0"/>
              </wp:wrapPolygon>
            </wp:wrapTight>
            <wp:docPr id="3" name="Picture 3" descr="This figure shows India’s coal reserves and coal-fired power capacity by state." title="Figure 2.10: India’s coal reserves and coal-fired power capacity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of coal reserve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96039" cy="259312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58247" behindDoc="0" locked="0" layoutInCell="1" allowOverlap="1" wp14:anchorId="51660734" wp14:editId="56A21161">
                <wp:simplePos x="0" y="0"/>
                <wp:positionH relativeFrom="margin">
                  <wp:posOffset>2895600</wp:posOffset>
                </wp:positionH>
                <wp:positionV relativeFrom="paragraph">
                  <wp:posOffset>257175</wp:posOffset>
                </wp:positionV>
                <wp:extent cx="2143125" cy="2667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66700"/>
                        </a:xfrm>
                        <a:prstGeom prst="rect">
                          <a:avLst/>
                        </a:prstGeom>
                        <a:noFill/>
                        <a:ln w="9525">
                          <a:noFill/>
                          <a:miter lim="800000"/>
                          <a:headEnd/>
                          <a:tailEnd/>
                        </a:ln>
                      </wps:spPr>
                      <wps:txbx>
                        <w:txbxContent>
                          <w:p w14:paraId="69770709" w14:textId="4B2A89CD" w:rsidR="003C3282" w:rsidRPr="00967699" w:rsidRDefault="003C3282" w:rsidP="00967699">
                            <w:pPr>
                              <w:ind w:left="0"/>
                              <w:jc w:val="left"/>
                              <w:rPr>
                                <w:b/>
                                <w:sz w:val="16"/>
                                <w:szCs w:val="16"/>
                              </w:rPr>
                            </w:pPr>
                            <w:r>
                              <w:rPr>
                                <w:b/>
                                <w:sz w:val="16"/>
                                <w:szCs w:val="16"/>
                              </w:rPr>
                              <w:t>Coal-fired power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60734" id="Text Box 2" o:spid="_x0000_s1029" type="#_x0000_t202" style="position:absolute;margin-left:228pt;margin-top:20.25pt;width:168.75pt;height:2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ZiDQIAAPoDAAAOAAAAZHJzL2Uyb0RvYy54bWysU9tuGyEQfa/Uf0C813uJ7SQr4yhNmqpS&#10;epGSfgBmWS8qMBSwd9Ov78DarpW+VeUBMQxzZs6ZYXUzGk320gcFltFqVlIirYBW2S2j358f3l1R&#10;EiK3LddgJaMvMtCb9ds3q8E1soYedCs9QRAbmsEx2sfomqIIopeGhxk4adHZgTc8oum3Rev5gOhG&#10;F3VZLosBfOs8CBkC3t5PTrrO+F0nRfzadUFGohnF2mLefd43aS/WK95sPXe9Eocy+D9UYbiymPQE&#10;dc8jJzuv/oIySngI0MWZAFNA1ykhMwdkU5Wv2Dz13MnMBcUJ7iRT+H+w4sv+myeqZbSeU2K5wR49&#10;yzGS9zCSOskzuNDgqyeH7+KI19jmTDW4RxA/ArFw13O7lbfew9BL3mJ5VYoszkInnJBANsNnaDEN&#10;30XIQGPnTdIO1SCIjm16ObUmlSLwsq7mF1W9oESgr14uL8vcu4I3x2jnQ/wowZB0YNRj6zM63z+G&#10;mKrhzfFJSmbhQWmd268tGRi9XiD8K49REadTK8PoVZnWNC+J5Afb5uDIlZ7OmEDbA+tEdKIcx82Y&#10;9b04irmB9gVl8DANI34ePPTgf1Ey4CAyGn7uuJeU6E8Wpbyu5vM0udmYLy5rNPy5Z3Pu4VYgFKOR&#10;kul4F/O0T8RuUfJOZTVSb6ZKDiXjgGWRDp8hTfC5nV/9+bLr3wAAAP//AwBQSwMEFAAGAAgAAAAh&#10;AKxW4MDdAAAACQEAAA8AAABkcnMvZG93bnJldi54bWxMj81OwzAQhO9IvIO1SNyoTWlKG7KpEIgr&#10;qOVH4ubG2yQiXkex24S3ZznBbUY7mv2m2Ey+UycaYhsY4XpmQBFXwbVcI7y9Pl2tQMVk2dkuMCF8&#10;U4RNeX5W2NyFkbd02qVaSQnH3CI0KfW51rFqyNs4Cz2x3A5h8DaJHWrtBjtKue/03Jil9rZl+dDY&#10;nh4aqr52R4/w/nz4/FiYl/rRZ/0YJqPZrzXi5cV0fwcq0ZT+wvCLL+hQCtM+HNlF1SEssqVsSSJM&#10;BkoCt+sbEXuE1TwDXRb6/4LyBwAA//8DAFBLAQItABQABgAIAAAAIQC2gziS/gAAAOEBAAATAAAA&#10;AAAAAAAAAAAAAAAAAABbQ29udGVudF9UeXBlc10ueG1sUEsBAi0AFAAGAAgAAAAhADj9If/WAAAA&#10;lAEAAAsAAAAAAAAAAAAAAAAALwEAAF9yZWxzLy5yZWxzUEsBAi0AFAAGAAgAAAAhAJ1VBmINAgAA&#10;+gMAAA4AAAAAAAAAAAAAAAAALgIAAGRycy9lMm9Eb2MueG1sUEsBAi0AFAAGAAgAAAAhAKxW4MDd&#10;AAAACQEAAA8AAAAAAAAAAAAAAAAAZwQAAGRycy9kb3ducmV2LnhtbFBLBQYAAAAABAAEAPMAAABx&#10;BQAAAAA=&#10;" filled="f" stroked="f">
                <v:textbox>
                  <w:txbxContent>
                    <w:p w14:paraId="69770709" w14:textId="4B2A89CD" w:rsidR="003C3282" w:rsidRPr="00967699" w:rsidRDefault="003C3282" w:rsidP="00967699">
                      <w:pPr>
                        <w:ind w:left="0"/>
                        <w:jc w:val="left"/>
                        <w:rPr>
                          <w:b/>
                          <w:sz w:val="16"/>
                          <w:szCs w:val="16"/>
                        </w:rPr>
                      </w:pPr>
                      <w:r>
                        <w:rPr>
                          <w:b/>
                          <w:sz w:val="16"/>
                          <w:szCs w:val="16"/>
                        </w:rPr>
                        <w:t>Coal-fired power capacity</w:t>
                      </w:r>
                    </w:p>
                  </w:txbxContent>
                </v:textbox>
                <w10:wrap anchorx="margin"/>
              </v:shape>
            </w:pict>
          </mc:Fallback>
        </mc:AlternateContent>
      </w:r>
      <w:r>
        <w:rPr>
          <w:noProof/>
          <w:lang w:eastAsia="en-AU"/>
        </w:rPr>
        <mc:AlternateContent>
          <mc:Choice Requires="wps">
            <w:drawing>
              <wp:anchor distT="45720" distB="45720" distL="114300" distR="114300" simplePos="0" relativeHeight="251658246" behindDoc="0" locked="0" layoutInCell="1" allowOverlap="1" wp14:anchorId="35D2FDE4" wp14:editId="2281A18A">
                <wp:simplePos x="0" y="0"/>
                <wp:positionH relativeFrom="margin">
                  <wp:align>left</wp:align>
                </wp:positionH>
                <wp:positionV relativeFrom="paragraph">
                  <wp:posOffset>276225</wp:posOffset>
                </wp:positionV>
                <wp:extent cx="122872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6700"/>
                        </a:xfrm>
                        <a:prstGeom prst="rect">
                          <a:avLst/>
                        </a:prstGeom>
                        <a:noFill/>
                        <a:ln w="9525">
                          <a:noFill/>
                          <a:miter lim="800000"/>
                          <a:headEnd/>
                          <a:tailEnd/>
                        </a:ln>
                      </wps:spPr>
                      <wps:txbx>
                        <w:txbxContent>
                          <w:p w14:paraId="5613A029" w14:textId="41BCAFC7" w:rsidR="003C3282" w:rsidRPr="00967699" w:rsidRDefault="003C3282" w:rsidP="00967699">
                            <w:pPr>
                              <w:ind w:left="0"/>
                              <w:jc w:val="left"/>
                              <w:rPr>
                                <w:b/>
                                <w:sz w:val="16"/>
                                <w:szCs w:val="16"/>
                              </w:rPr>
                            </w:pPr>
                            <w:r>
                              <w:rPr>
                                <w:b/>
                                <w:sz w:val="16"/>
                                <w:szCs w:val="16"/>
                              </w:rPr>
                              <w:t>Coal r</w:t>
                            </w:r>
                            <w:r w:rsidRPr="00967699">
                              <w:rPr>
                                <w:b/>
                                <w:sz w:val="16"/>
                                <w:szCs w:val="16"/>
                              </w:rPr>
                              <w:t>eserves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2FDE4" id="_x0000_s1030" type="#_x0000_t202" style="position:absolute;margin-left:0;margin-top:21.75pt;width:96.75pt;height:21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5IDQIAAPsDAAAOAAAAZHJzL2Uyb0RvYy54bWysU9tu2zAMfR+wfxD0vtgxcqsRpejadRjQ&#10;XYB2H6DIcixMEjVJiZ19/Sg5yYLubZgfBNEkD3kOqfXtYDQ5SB8UWEank5ISaQU0yu4Y/f7y+G5F&#10;SYjcNlyDlYweZaC3m7dv1r2rZQUd6EZ6giA21L1jtIvR1UURRCcNDxNw0qKzBW94RNPvisbzHtGN&#10;LqqyXBQ9+MZ5EDIE/PswOukm47etFPFr2wYZiWYUe4v59PncprPYrHm989x1Spza4P/QheHKYtEL&#10;1AOPnOy9+gvKKOEhQBsnAkwBbauEzByQzbR8xea5405mLihOcBeZwv+DFV8O3zxRDaPVdEmJ5QaH&#10;9CKHSN7DQKqkT+9CjWHPDgPjgL9xzplrcE8gfgRi4b7jdifvvIe+k7zB/qYps7hKHXFCAtn2n6HB&#10;MnwfIQMNrTdJPJSDIDrO6XiZTWpFpJJVtVpWc0oE+qrFYlnm4RW8Pmc7H+JHCYakC6MeZ5/R+eEp&#10;xNQNr88hqZiFR6V1nr+2pGf0Zo7wrzxGRVxPrQyjqzJ948Ikkh9sk5MjV3q8YwFtT6wT0ZFyHLZD&#10;Fnh2FnMLzRFl8DBuI74evHTgf1HS4yYyGn7uuZeU6E8WpbyZzmZpdbMxmy8rNPy1Z3vt4VYgFKOR&#10;kvF6H/O6j8TuUPJWZTXSbMZOTi3jhmWRTq8hrfC1naP+vNnNbwAAAP//AwBQSwMEFAAGAAgAAAAh&#10;ADrpbb7aAAAABgEAAA8AAABkcnMvZG93bnJldi54bWxMj81OwzAQhO9IvIO1SNzoGmhQG7KpEIgr&#10;iPIjcXPjbRIRr6PYbcLb45zobUczmvm22EyuU0ceQuuF4HqhQbFU3rZSE3y8P1+tQIVoxJrOCxP8&#10;coBNeX5WmNz6Ud74uI21SiUSckPQxNjniKFq2Jmw8D1L8vZ+cCYmOdRoBzOmctfhjdZ36EwraaEx&#10;PT82XP1sD47g82X//bXUr/WTy/rRTxrFrZHo8mJ6uAcVeYr/YZjxEzqUiWnnD2KD6gjSI5FgeZuB&#10;mt31fOwIVlkGWBZ4il/+AQAA//8DAFBLAQItABQABgAIAAAAIQC2gziS/gAAAOEBAAATAAAAAAAA&#10;AAAAAAAAAAAAAABbQ29udGVudF9UeXBlc10ueG1sUEsBAi0AFAAGAAgAAAAhADj9If/WAAAAlAEA&#10;AAsAAAAAAAAAAAAAAAAALwEAAF9yZWxzLy5yZWxzUEsBAi0AFAAGAAgAAAAhAE3MjkgNAgAA+wMA&#10;AA4AAAAAAAAAAAAAAAAALgIAAGRycy9lMm9Eb2MueG1sUEsBAi0AFAAGAAgAAAAhADrpbb7aAAAA&#10;BgEAAA8AAAAAAAAAAAAAAAAAZwQAAGRycy9kb3ducmV2LnhtbFBLBQYAAAAABAAEAPMAAABuBQAA&#10;AAA=&#10;" filled="f" stroked="f">
                <v:textbox>
                  <w:txbxContent>
                    <w:p w14:paraId="5613A029" w14:textId="41BCAFC7" w:rsidR="003C3282" w:rsidRPr="00967699" w:rsidRDefault="003C3282" w:rsidP="00967699">
                      <w:pPr>
                        <w:ind w:left="0"/>
                        <w:jc w:val="left"/>
                        <w:rPr>
                          <w:b/>
                          <w:sz w:val="16"/>
                          <w:szCs w:val="16"/>
                        </w:rPr>
                      </w:pPr>
                      <w:r>
                        <w:rPr>
                          <w:b/>
                          <w:sz w:val="16"/>
                          <w:szCs w:val="16"/>
                        </w:rPr>
                        <w:t>Coal r</w:t>
                      </w:r>
                      <w:r w:rsidRPr="00967699">
                        <w:rPr>
                          <w:b/>
                          <w:sz w:val="16"/>
                          <w:szCs w:val="16"/>
                        </w:rPr>
                        <w:t>eserves</w:t>
                      </w:r>
                    </w:p>
                  </w:txbxContent>
                </v:textbox>
                <w10:wrap anchorx="margin"/>
              </v:shape>
            </w:pict>
          </mc:Fallback>
        </mc:AlternateContent>
      </w:r>
      <w:r>
        <w:t>Figure</w:t>
      </w:r>
      <w:r w:rsidRPr="000618FB">
        <w:t xml:space="preserve"> </w:t>
      </w:r>
      <w:r>
        <w:rPr>
          <w:noProof/>
        </w:rPr>
        <w:t>2</w:t>
      </w:r>
      <w:r w:rsidRPr="000618FB">
        <w:t>.</w:t>
      </w:r>
      <w:r>
        <w:t xml:space="preserve">10: India’s coal reserves and coal-fired power capacity </w:t>
      </w:r>
    </w:p>
    <w:p w14:paraId="4D0D93F8" w14:textId="48DA89C6" w:rsidR="006662A6" w:rsidRDefault="008E2A4B" w:rsidP="009473F9">
      <w:pPr>
        <w:pStyle w:val="Source"/>
        <w:jc w:val="left"/>
      </w:pPr>
      <w:r>
        <w:t>Note: Map shows India’s territorial claims.</w:t>
      </w:r>
      <w:r>
        <w:br/>
      </w:r>
      <w:r w:rsidR="006662A6">
        <w:t>Source: Central Electricity Authority (2019), Ministry of Coal (2019), Department of Science and Technology (2019) Survey of India</w:t>
      </w:r>
    </w:p>
    <w:p w14:paraId="64A5989B" w14:textId="2AF26DB5" w:rsidR="006662A6" w:rsidRDefault="006662A6" w:rsidP="008D2755">
      <w:pPr>
        <w:pStyle w:val="BodyText"/>
      </w:pPr>
      <w:r>
        <w:t>In the Indian 2018–19 financial year, almost 60 per cent of coal was transported by rail</w:t>
      </w:r>
      <w:r>
        <w:rPr>
          <w:rStyle w:val="EndnoteReference"/>
        </w:rPr>
        <w:endnoteReference w:id="96"/>
      </w:r>
      <w:r>
        <w:t>, and transport costs made up more than a third of the total fuel costs of an average non-pithead power plant in India.</w:t>
      </w:r>
      <w:r>
        <w:rPr>
          <w:rStyle w:val="EndnoteReference"/>
        </w:rPr>
        <w:endnoteReference w:id="97"/>
      </w:r>
      <w:r>
        <w:t xml:space="preserve"> Inadequate rail infrastructure and the cost of transportation have been key barriers to domestic supply growth. Key issues include bottlenecks — with coal stranded at mines because of inadequate rail lines and a shortage of railcars — and line congestion, with dedicated coal freight corridors not yet fully developed, and passenger services given priority over freight.</w:t>
      </w:r>
    </w:p>
    <w:p w14:paraId="3FDC513E" w14:textId="35B8A5DE" w:rsidR="006662A6" w:rsidRDefault="006662A6" w:rsidP="008D2755">
      <w:pPr>
        <w:pStyle w:val="BodyText"/>
      </w:pPr>
      <w:r>
        <w:t>Coal freight rates are also very high, due to a cross-subsidy between passenger and freight users. Freight tariffs in India are among the highest in the world on a purchasing power parity basis, while its passenger tariffs are among the lowest.</w:t>
      </w:r>
      <w:r>
        <w:rPr>
          <w:rStyle w:val="EndnoteReference"/>
        </w:rPr>
        <w:endnoteReference w:id="98"/>
      </w:r>
      <w:r>
        <w:t xml:space="preserve"> The subsidy — which can distort locational choices for coal-fired power plants, and favours plants close to mines and those on the coast which use imported coal — will be very difficult to address given the political challenges of raising passenger fares.</w:t>
      </w:r>
    </w:p>
    <w:p w14:paraId="022596B0" w14:textId="04461A3E" w:rsidR="006662A6" w:rsidRDefault="006662A6" w:rsidP="008D2755">
      <w:pPr>
        <w:pStyle w:val="BodyText"/>
      </w:pPr>
      <w:r>
        <w:t xml:space="preserve">However, some progress has been made since the 2015 </w:t>
      </w:r>
      <w:r w:rsidRPr="00310CDE">
        <w:rPr>
          <w:i/>
        </w:rPr>
        <w:t>Coal in India</w:t>
      </w:r>
      <w:r>
        <w:t xml:space="preserve"> report. The Indian government has prioritised railway development, with two major railway infrastructure projects completed in the 2018–19 Indian financial year, and a further three projects underway.</w:t>
      </w:r>
      <w:r>
        <w:rPr>
          <w:rStyle w:val="EndnoteReference"/>
        </w:rPr>
        <w:endnoteReference w:id="99"/>
      </w:r>
      <w:r>
        <w:t xml:space="preserve"> The government has also made progress in allocating coal linkages (buying coal from mines close to power plants to save transport costs).</w:t>
      </w:r>
      <w:r>
        <w:rPr>
          <w:rStyle w:val="EndnoteReference"/>
        </w:rPr>
        <w:endnoteReference w:id="100"/>
      </w:r>
    </w:p>
    <w:p w14:paraId="56969363" w14:textId="1FEC0FF2" w:rsidR="006662A6" w:rsidRPr="00C811BF" w:rsidRDefault="006662A6" w:rsidP="00E1664A">
      <w:pPr>
        <w:pStyle w:val="BodyText"/>
      </w:pPr>
      <w:r>
        <w:t>While inadequate rail infrastructure has contributed to the increased reliance on imports, imports also face transportation challenges. Coal imports have also been affected by port congestion, particularly on the east coast, and by inadequate rail infrastructure to transport coal from ports to utilities.</w:t>
      </w:r>
    </w:p>
    <w:p w14:paraId="5F94BB4D" w14:textId="24311FCF" w:rsidR="006662A6" w:rsidRDefault="006662A6" w:rsidP="00B466BC">
      <w:pPr>
        <w:pStyle w:val="Heading3"/>
      </w:pPr>
      <w:r>
        <w:t>Productivity</w:t>
      </w:r>
    </w:p>
    <w:p w14:paraId="18B8AA99" w14:textId="6ECFAFC7" w:rsidR="006662A6" w:rsidRDefault="006662A6" w:rsidP="002053C0">
      <w:pPr>
        <w:pStyle w:val="BodyText"/>
        <w:tabs>
          <w:tab w:val="left" w:pos="2552"/>
        </w:tabs>
      </w:pPr>
      <w:r>
        <w:t>Labour productivity in India’s coal mining sector has been steadily improving over the last decade, with the average output per employee doubling between 2010 and 2019 (Figure 2.11).</w:t>
      </w:r>
      <w:r>
        <w:rPr>
          <w:rStyle w:val="EndnoteReference"/>
        </w:rPr>
        <w:endnoteReference w:id="101"/>
      </w:r>
      <w:r>
        <w:t xml:space="preserve"> To improve productivity and remain competitive against imports, Coal India increased mechanisation and the use of equipment, used natural attrition to cut its workforce, and opened mines at an accelerated pace. Nevertheless, labour productivity in India’s coal sector remains low relative to other coal producing countries, with around double the employees needed to produce the same volume of coal as the world average.</w:t>
      </w:r>
      <w:r>
        <w:rPr>
          <w:rStyle w:val="EndnoteReference"/>
        </w:rPr>
        <w:endnoteReference w:id="102"/>
      </w:r>
      <w:r>
        <w:t xml:space="preserve"> The lower productivity is largely the result of the use of older technologies and production methods.</w:t>
      </w:r>
    </w:p>
    <w:p w14:paraId="447393CF" w14:textId="362A985A" w:rsidR="006662A6" w:rsidRDefault="006662A6" w:rsidP="009B7FE5">
      <w:pPr>
        <w:pStyle w:val="BodyText"/>
      </w:pPr>
      <w:r>
        <w:t>Technology adoption in underground mining is particularly limited. In the 2018–19 financial year, 95 per cent of Coal India’s production was from open cut mines (Figure 2.11).</w:t>
      </w:r>
      <w:r>
        <w:rPr>
          <w:rStyle w:val="EndnoteReference"/>
        </w:rPr>
        <w:endnoteReference w:id="103"/>
      </w:r>
      <w:r>
        <w:t xml:space="preserve"> A push to increase profitability at Coal India’s operations resulted in the closure of underground operations, which are high cost due to the limited use of advanced technology.</w:t>
      </w:r>
      <w:r>
        <w:rPr>
          <w:rStyle w:val="EndnoteReference"/>
        </w:rPr>
        <w:endnoteReference w:id="104"/>
      </w:r>
      <w:r>
        <w:t xml:space="preserve"> With a large proportion of India’s coal reserves located at depths greater than 300 metres,</w:t>
      </w:r>
      <w:r>
        <w:rPr>
          <w:rStyle w:val="EndnoteReference"/>
        </w:rPr>
        <w:endnoteReference w:id="105"/>
      </w:r>
      <w:r>
        <w:t xml:space="preserve"> increased adoption of underground mining and the use of more advanced technology could enhance access to its large coal reserves.</w:t>
      </w:r>
    </w:p>
    <w:p w14:paraId="6D4D010C" w14:textId="04ADD809" w:rsidR="006662A6" w:rsidRDefault="006662A6" w:rsidP="00F534D2">
      <w:pPr>
        <w:pStyle w:val="Caption"/>
        <w:spacing w:before="0" w:after="0"/>
      </w:pPr>
      <w:r>
        <w:t>Figure</w:t>
      </w:r>
      <w:r w:rsidRPr="000618FB">
        <w:t xml:space="preserve"> </w:t>
      </w:r>
      <w:r>
        <w:rPr>
          <w:noProof/>
        </w:rPr>
        <w:t>2</w:t>
      </w:r>
      <w:r w:rsidRPr="000618FB">
        <w:t>.</w:t>
      </w:r>
      <w:r>
        <w:t>11: Coal India labour productivity and production methods</w:t>
      </w:r>
    </w:p>
    <w:p w14:paraId="4223BE5F" w14:textId="150BA13C" w:rsidR="006662A6" w:rsidRPr="00005AE8" w:rsidRDefault="006662A6" w:rsidP="00005AE8">
      <w:pPr>
        <w:pStyle w:val="Placeholder"/>
      </w:pPr>
      <w:r>
        <w:rPr>
          <w:noProof/>
          <w:lang w:eastAsia="en-AU"/>
        </w:rPr>
        <w:drawing>
          <wp:inline distT="0" distB="0" distL="0" distR="0" wp14:anchorId="7A353995" wp14:editId="621EE2CE">
            <wp:extent cx="5781675" cy="2090928"/>
            <wp:effectExtent l="0" t="0" r="0" b="5080"/>
            <wp:docPr id="58" name="Chart 58" descr="This chart shows Coal India labour productivity and production methods." title="Figure 2.11: Coal India labour productivity and production method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E254F3" w14:textId="085534CD" w:rsidR="006662A6" w:rsidRPr="00005AE8" w:rsidRDefault="006662A6" w:rsidP="00005AE8">
      <w:pPr>
        <w:pStyle w:val="Placeholder"/>
      </w:pPr>
      <w:r>
        <w:rPr>
          <w:noProof/>
          <w:lang w:eastAsia="en-AU"/>
        </w:rPr>
        <w:drawing>
          <wp:inline distT="0" distB="0" distL="0" distR="0" wp14:anchorId="47D75771" wp14:editId="55EFD11A">
            <wp:extent cx="5543550" cy="2377440"/>
            <wp:effectExtent l="0" t="0" r="0" b="3810"/>
            <wp:docPr id="57" name="Chart 57" descr="This chart shows Coal India's coal production method" title="Coal production method"/>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AEA137" w14:textId="275E3C10" w:rsidR="006662A6" w:rsidRDefault="006662A6" w:rsidP="00981EEE">
      <w:pPr>
        <w:pStyle w:val="Source"/>
      </w:pPr>
      <w:r>
        <w:t>Source: Coal India (2019) Annual Report 2018–19</w:t>
      </w:r>
    </w:p>
    <w:p w14:paraId="6CCE10A5" w14:textId="7E7D88EE" w:rsidR="006662A6" w:rsidRPr="000B2F23" w:rsidRDefault="006662A6" w:rsidP="00B466BC">
      <w:pPr>
        <w:pStyle w:val="Heading3"/>
      </w:pPr>
      <w:r w:rsidRPr="000B2F23">
        <w:t>Coal pricing</w:t>
      </w:r>
    </w:p>
    <w:p w14:paraId="47EC1277" w14:textId="704A576C" w:rsidR="006662A6" w:rsidRDefault="006662A6" w:rsidP="006E017C">
      <w:pPr>
        <w:pStyle w:val="BodyText"/>
        <w:jc w:val="left"/>
      </w:pPr>
      <w:r>
        <w:t xml:space="preserve">Around 80 to 90 per cent of domestically produced coal in India is allocated through long-term agreements (called fuel supply agreements, or FSAs) to end-users at notified prices. The prices are set in consultation with the government, with the remaining coal sold via e-auctions. The pricing system had been subject to frequent disagreements between suppliers and end-users on a number of issues. These include coal ‘grade-slippage’ — where there is a difference between the stated dispatched and actual quality received of the coal — and a disconnect between domestic and international prices (Figure 2.12). </w:t>
      </w:r>
    </w:p>
    <w:p w14:paraId="3049F13D" w14:textId="6433F8A7" w:rsidR="006662A6" w:rsidRDefault="006662A6" w:rsidP="006E017C">
      <w:pPr>
        <w:pStyle w:val="BodyText"/>
        <w:jc w:val="left"/>
      </w:pPr>
      <w:r>
        <w:t>The pricing mechanism for coal has undergone several reforms over the last two decades. Most recently, Coal India adopted a new pricing system in April 2018 to address some of these issues, but ongoing challenges remain.</w:t>
      </w:r>
      <w:r>
        <w:rPr>
          <w:rStyle w:val="EndnoteReference"/>
        </w:rPr>
        <w:endnoteReference w:id="106"/>
      </w:r>
      <w:r>
        <w:t xml:space="preserve"> A recent World Bank report notes that, despite various pricing reforms, the price of coal for power generation has been kept low as a way to subsidise electricity in India.</w:t>
      </w:r>
      <w:r>
        <w:rPr>
          <w:rStyle w:val="EndnoteReference"/>
        </w:rPr>
        <w:endnoteReference w:id="107"/>
      </w:r>
      <w:r>
        <w:t xml:space="preserve"> Pricing reforms will be need</w:t>
      </w:r>
      <w:r w:rsidR="00653033">
        <w:t>ed</w:t>
      </w:r>
      <w:r>
        <w:t xml:space="preserve"> to both boost the quality and quantity of coal produced. World Bank analysis showed that raising the coal price to the market-clearing price could increase domestic coal production by an estimated 191 million tonnes a year.</w:t>
      </w:r>
      <w:r>
        <w:rPr>
          <w:rStyle w:val="EndnoteReference"/>
        </w:rPr>
        <w:endnoteReference w:id="108"/>
      </w:r>
      <w:r>
        <w:t xml:space="preserve"> </w:t>
      </w:r>
    </w:p>
    <w:p w14:paraId="7B2BF9F6" w14:textId="6DCE8352" w:rsidR="006662A6" w:rsidRDefault="006662A6" w:rsidP="0074050F">
      <w:pPr>
        <w:pStyle w:val="Caption"/>
      </w:pPr>
      <w:r>
        <w:t>Figure</w:t>
      </w:r>
      <w:r w:rsidRPr="000618FB">
        <w:t xml:space="preserve"> </w:t>
      </w:r>
      <w:r>
        <w:rPr>
          <w:noProof/>
        </w:rPr>
        <w:t>2</w:t>
      </w:r>
      <w:r w:rsidRPr="000618FB">
        <w:t>.</w:t>
      </w:r>
      <w:r>
        <w:t>12: Domestic and international coal prices</w:t>
      </w:r>
    </w:p>
    <w:tbl>
      <w:tblPr>
        <w:tblStyle w:val="OCETable"/>
        <w:tblW w:w="4940" w:type="pct"/>
        <w:tblInd w:w="108" w:type="dxa"/>
        <w:tblLayout w:type="fixed"/>
        <w:tblLook w:val="04A0" w:firstRow="1" w:lastRow="0" w:firstColumn="1" w:lastColumn="0" w:noHBand="0" w:noVBand="1"/>
        <w:tblCaption w:val="Table contains figure 2.12"/>
      </w:tblPr>
      <w:tblGrid>
        <w:gridCol w:w="8918"/>
      </w:tblGrid>
      <w:tr w:rsidR="006662A6" w14:paraId="55D9C340"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61214ED2" w14:textId="3CDB93FF" w:rsidR="006662A6" w:rsidRDefault="006662A6" w:rsidP="0074050F">
            <w:pPr>
              <w:pStyle w:val="PlaceholderWide"/>
            </w:pPr>
            <w:r>
              <w:rPr>
                <w:noProof/>
                <w:lang w:eastAsia="en-AU"/>
              </w:rPr>
              <w:drawing>
                <wp:inline distT="0" distB="0" distL="0" distR="0" wp14:anchorId="4EC9712E" wp14:editId="6C35AB3C">
                  <wp:extent cx="5619750" cy="2200275"/>
                  <wp:effectExtent l="0" t="0" r="0" b="0"/>
                  <wp:docPr id="7" name="Chart 7" descr="This chart shows domestic and international coal prices, and that domestic prices are consistently lower than international coal prices." title="Figure 2.12: Domestic and international coal pr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1E245CD9" w14:textId="2BDCC962" w:rsidR="006662A6" w:rsidRPr="00C62F3A" w:rsidRDefault="006662A6" w:rsidP="00263BD7">
      <w:pPr>
        <w:pStyle w:val="Note"/>
        <w:spacing w:after="0"/>
        <w:jc w:val="left"/>
      </w:pPr>
      <w:r>
        <w:t>Notes: India’s domestic prices are the average notified prices for the corresponding grade band.</w:t>
      </w:r>
      <w:r w:rsidRPr="00263BD7">
        <w:rPr>
          <w:b/>
        </w:rPr>
        <w:t xml:space="preserve"> SSCL</w:t>
      </w:r>
      <w:r>
        <w:t xml:space="preserve"> Singareni Collieries Company Limited</w:t>
      </w:r>
      <w:r w:rsidRPr="00263BD7">
        <w:rPr>
          <w:b/>
        </w:rPr>
        <w:t xml:space="preserve"> CIL</w:t>
      </w:r>
      <w:r>
        <w:t xml:space="preserve"> Coal India Limited </w:t>
      </w:r>
      <w:r w:rsidRPr="00263BD7">
        <w:rPr>
          <w:b/>
        </w:rPr>
        <w:t>WCL</w:t>
      </w:r>
      <w:r>
        <w:t xml:space="preserve"> Western Coalfields Limited (a subsidiary of Coal India)</w:t>
      </w:r>
    </w:p>
    <w:p w14:paraId="740AA834" w14:textId="32059F89" w:rsidR="006662A6" w:rsidRDefault="006662A6" w:rsidP="00263BD7">
      <w:pPr>
        <w:pStyle w:val="Source"/>
        <w:spacing w:after="0"/>
        <w:jc w:val="left"/>
      </w:pPr>
      <w:r>
        <w:t>Source: IHS (2019) Indian coal data tables, June 2019</w:t>
      </w:r>
    </w:p>
    <w:p w14:paraId="4DB368F6" w14:textId="77777777" w:rsidR="006662A6" w:rsidRDefault="006662A6" w:rsidP="00F534D2">
      <w:pPr>
        <w:pStyle w:val="Heading3"/>
      </w:pPr>
      <w:bookmarkStart w:id="174" w:name="_Toc15641178"/>
      <w:bookmarkStart w:id="175" w:name="_Toc15645866"/>
      <w:r>
        <w:t>Competition and private investment</w:t>
      </w:r>
    </w:p>
    <w:p w14:paraId="76CE7DDB" w14:textId="58D8F257" w:rsidR="006662A6" w:rsidRDefault="006662A6" w:rsidP="00F534D2">
      <w:pPr>
        <w:pStyle w:val="BodyText"/>
      </w:pPr>
      <w:r>
        <w:t>At present, coal production in India is effectively a monopoly, with production dominated by Coal India. In 1993, captive coal mining was allowed, but this did not provide the production growth that was envisaged. In more recent years, the government has approved two major policy changes, representing the biggest reforms to India’s coal sector since its nationalisation in the 1970s. The policy changes aim to boost output, and improve productivity and coal quality in the sector, through facilitating greater competition and private investment. The two policy changes approved by the Indian Cabinet were:</w:t>
      </w:r>
    </w:p>
    <w:p w14:paraId="6ABF2840" w14:textId="77777777" w:rsidR="006662A6" w:rsidRDefault="006662A6" w:rsidP="00F534D2">
      <w:pPr>
        <w:pStyle w:val="BodyText"/>
        <w:numPr>
          <w:ilvl w:val="0"/>
          <w:numId w:val="19"/>
        </w:numPr>
      </w:pPr>
      <w:r>
        <w:t xml:space="preserve">February 2018: Allow commercial coal mining, by changing coal mining auction rules to allow private companies to develop new mines and sell coal in the free market without price or end-use restrictions. </w:t>
      </w:r>
    </w:p>
    <w:p w14:paraId="42781C75" w14:textId="77777777" w:rsidR="006662A6" w:rsidRDefault="006662A6" w:rsidP="00F534D2">
      <w:pPr>
        <w:pStyle w:val="BodyText"/>
        <w:numPr>
          <w:ilvl w:val="0"/>
          <w:numId w:val="19"/>
        </w:numPr>
      </w:pPr>
      <w:r>
        <w:t xml:space="preserve">February 2019: Allow captive producers to sell 25 per cent of their output in the open </w:t>
      </w:r>
      <w:r w:rsidRPr="00F45683">
        <w:t>market.</w:t>
      </w:r>
      <w:r w:rsidRPr="00F45683">
        <w:rPr>
          <w:rStyle w:val="EndnoteReference"/>
        </w:rPr>
        <w:endnoteReference w:id="109"/>
      </w:r>
      <w:r w:rsidRPr="00F45683">
        <w:t xml:space="preserve"> </w:t>
      </w:r>
    </w:p>
    <w:p w14:paraId="14E87BFD" w14:textId="77777777" w:rsidR="006662A6" w:rsidRDefault="006662A6" w:rsidP="00F534D2">
      <w:pPr>
        <w:pStyle w:val="BodyText"/>
      </w:pPr>
      <w:r>
        <w:t>Reforms to the coal sector have generally been politically difficult and faced resistance from trade unions in India, which have organised strikes and sought the Supreme Court’s help to block policy changes.</w:t>
      </w:r>
      <w:r>
        <w:rPr>
          <w:rStyle w:val="EndnoteReference"/>
        </w:rPr>
        <w:endnoteReference w:id="110"/>
      </w:r>
      <w:r>
        <w:t xml:space="preserve"> Progress on implementing the latest reforms to allow commercial mining stopped in the lead up to the Indian general elections after a trade union threatened to strike at Coal India’s operations to protest the government’s decision, and has not gained momentum since.</w:t>
      </w:r>
      <w:r>
        <w:rPr>
          <w:rStyle w:val="EndnoteReference"/>
        </w:rPr>
        <w:endnoteReference w:id="111"/>
      </w:r>
    </w:p>
    <w:p w14:paraId="27BC7822" w14:textId="57E12682" w:rsidR="006662A6" w:rsidRDefault="006662A6" w:rsidP="00F534D2">
      <w:pPr>
        <w:pStyle w:val="BodyText"/>
      </w:pPr>
      <w:r>
        <w:t>The effectiveness of the reforms in boosting output will also depend on the response from private and foreign companies. An ongoing perception of excessive bureaucracy, lengthy approval processes and poor quality coal may continue to stifle interest. Commercial mining will not solve the fundamental challenges — of coordination and planning, land acquisition and obtaining approvals — that face India’s coal sector.</w:t>
      </w:r>
      <w:r>
        <w:rPr>
          <w:rStyle w:val="EndnoteReference"/>
        </w:rPr>
        <w:endnoteReference w:id="112"/>
      </w:r>
      <w:r>
        <w:t xml:space="preserve"> Given the long lead times required for the approvals process, commercial production within the next five years is still highly uncertain.</w:t>
      </w:r>
      <w:r>
        <w:rPr>
          <w:rStyle w:val="EndnoteReference"/>
        </w:rPr>
        <w:endnoteReference w:id="113"/>
      </w:r>
    </w:p>
    <w:p w14:paraId="07E97BEA" w14:textId="7DEF8421" w:rsidR="006662A6" w:rsidRDefault="006662A6" w:rsidP="00B466BC">
      <w:pPr>
        <w:pStyle w:val="Heading1"/>
      </w:pPr>
      <w:bookmarkStart w:id="176" w:name="_Toc16247600"/>
      <w:bookmarkStart w:id="177" w:name="_Toc16250063"/>
      <w:bookmarkStart w:id="178" w:name="_Toc16256918"/>
      <w:bookmarkStart w:id="179" w:name="_Toc17210793"/>
      <w:r>
        <w:t>2.5 India’s coal imports</w:t>
      </w:r>
      <w:bookmarkEnd w:id="174"/>
      <w:bookmarkEnd w:id="175"/>
      <w:bookmarkEnd w:id="176"/>
      <w:bookmarkEnd w:id="177"/>
      <w:bookmarkEnd w:id="178"/>
      <w:bookmarkEnd w:id="179"/>
    </w:p>
    <w:p w14:paraId="769CC611" w14:textId="21026F1B" w:rsidR="006662A6" w:rsidRPr="00247841" w:rsidRDefault="006662A6" w:rsidP="00247841">
      <w:pPr>
        <w:pStyle w:val="Heading2"/>
      </w:pPr>
      <w:bookmarkStart w:id="180" w:name="_Toc15641179"/>
      <w:bookmarkStart w:id="181" w:name="_Toc15645867"/>
      <w:bookmarkStart w:id="182" w:name="_Toc16247601"/>
      <w:bookmarkStart w:id="183" w:name="_Toc16250064"/>
      <w:bookmarkStart w:id="184" w:name="_Toc16256919"/>
      <w:bookmarkStart w:id="185" w:name="_Toc17210794"/>
      <w:r>
        <w:t>IEA World Energy Outlook</w:t>
      </w:r>
      <w:bookmarkEnd w:id="180"/>
      <w:bookmarkEnd w:id="181"/>
      <w:bookmarkEnd w:id="182"/>
      <w:bookmarkEnd w:id="183"/>
      <w:bookmarkEnd w:id="184"/>
      <w:bookmarkEnd w:id="185"/>
    </w:p>
    <w:p w14:paraId="12ED7D86" w14:textId="226941CB" w:rsidR="006662A6" w:rsidRDefault="006662A6" w:rsidP="003F2ED4">
      <w:pPr>
        <w:spacing w:after="200" w:line="276" w:lineRule="auto"/>
        <w:ind w:left="0"/>
        <w:jc w:val="left"/>
      </w:pPr>
      <w:r>
        <w:t>Under the IEA’s New Policies Scenario, India overtakes China as the world’s largest coal importer by 2025, as total coal consumption continues to outpace production growth. Consumption will be driven by the country’s rapidly growing steel sector and coal-fired power generation requirements. In the New Policies Scenario, India’s share of world trade in coal is projected to increase from 4 per cent in 2000 to over a quarter in 2040</w:t>
      </w:r>
      <w:r w:rsidR="00653033">
        <w:t xml:space="preserve"> (Figure 2.13)</w:t>
      </w:r>
      <w:r>
        <w:t>.</w:t>
      </w:r>
    </w:p>
    <w:p w14:paraId="7F32F918" w14:textId="0A981711" w:rsidR="006662A6" w:rsidRDefault="006662A6" w:rsidP="00B12D7D">
      <w:pPr>
        <w:pStyle w:val="Caption"/>
      </w:pPr>
      <w:r>
        <w:t>Figure</w:t>
      </w:r>
      <w:r w:rsidRPr="000618FB">
        <w:t xml:space="preserve"> </w:t>
      </w:r>
      <w:r>
        <w:t xml:space="preserve">2.13: IEA </w:t>
      </w:r>
      <w:r w:rsidRPr="00005AE8">
        <w:t>WEO New Policies Scenario world coal imports and share of world trade</w:t>
      </w:r>
    </w:p>
    <w:tbl>
      <w:tblPr>
        <w:tblStyle w:val="OCETable"/>
        <w:tblW w:w="4940" w:type="pct"/>
        <w:tblInd w:w="108" w:type="dxa"/>
        <w:tblLayout w:type="fixed"/>
        <w:tblLook w:val="04A0" w:firstRow="1" w:lastRow="0" w:firstColumn="1" w:lastColumn="0" w:noHBand="0" w:noVBand="1"/>
        <w:tblCaption w:val="Table 2.13"/>
      </w:tblPr>
      <w:tblGrid>
        <w:gridCol w:w="8918"/>
      </w:tblGrid>
      <w:tr w:rsidR="006662A6" w14:paraId="308D7271"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618B1ABB" w14:textId="3965F948" w:rsidR="006662A6" w:rsidRDefault="006662A6" w:rsidP="00B12D7D">
            <w:pPr>
              <w:pStyle w:val="PlaceholderWide"/>
            </w:pPr>
            <w:r w:rsidRPr="003F2ED4">
              <w:rPr>
                <w:rFonts w:eastAsia="Times New Roman" w:cs="Arial"/>
                <w:noProof/>
                <w:color w:val="005CAF"/>
                <w:sz w:val="16"/>
                <w:szCs w:val="20"/>
                <w:lang w:eastAsia="en-AU"/>
              </w:rPr>
              <w:drawing>
                <wp:anchor distT="0" distB="0" distL="114300" distR="114300" simplePos="0" relativeHeight="251658250" behindDoc="1" locked="0" layoutInCell="1" allowOverlap="1" wp14:anchorId="181905AB" wp14:editId="61F70000">
                  <wp:simplePos x="0" y="0"/>
                  <wp:positionH relativeFrom="margin">
                    <wp:posOffset>-68580</wp:posOffset>
                  </wp:positionH>
                  <wp:positionV relativeFrom="paragraph">
                    <wp:posOffset>137795</wp:posOffset>
                  </wp:positionV>
                  <wp:extent cx="5715000" cy="1260000"/>
                  <wp:effectExtent l="0" t="0" r="0" b="0"/>
                  <wp:wrapTight wrapText="bothSides">
                    <wp:wrapPolygon edited="0">
                      <wp:start x="0" y="0"/>
                      <wp:lineTo x="0" y="21230"/>
                      <wp:lineTo x="21528" y="21230"/>
                      <wp:lineTo x="21528" y="0"/>
                      <wp:lineTo x="0" y="0"/>
                    </wp:wrapPolygon>
                  </wp:wrapTight>
                  <wp:docPr id="59" name="Chart 59" descr="This chart shows IEA WEO New Policies Scenario world coal imports and share of world trade." title="Figure 2.13: IEA WEO New Policies Scenario world coal imports and share of world tr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r>
      <w:tr w:rsidR="006662A6" w14:paraId="3FB32EE1"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003D0345" w14:textId="581A4C26" w:rsidR="006662A6" w:rsidRPr="003F2ED4" w:rsidRDefault="006662A6" w:rsidP="00B12D7D">
            <w:pPr>
              <w:pStyle w:val="PlaceholderWide"/>
              <w:rPr>
                <w:rFonts w:eastAsia="Times New Roman" w:cs="Arial"/>
                <w:noProof/>
                <w:color w:val="005CAF"/>
                <w:sz w:val="16"/>
                <w:szCs w:val="20"/>
                <w:lang w:eastAsia="en-AU"/>
              </w:rPr>
            </w:pPr>
            <w:r w:rsidRPr="003F2ED4">
              <w:rPr>
                <w:rFonts w:eastAsia="Times New Roman" w:cs="Arial"/>
                <w:noProof/>
                <w:color w:val="005CAF"/>
                <w:sz w:val="16"/>
                <w:szCs w:val="20"/>
                <w:lang w:eastAsia="en-AU"/>
              </w:rPr>
              <w:drawing>
                <wp:inline distT="0" distB="0" distL="0" distR="0" wp14:anchorId="03E830F0" wp14:editId="5BC7ECB8">
                  <wp:extent cx="5905500" cy="1514475"/>
                  <wp:effectExtent l="0" t="0" r="0" b="0"/>
                  <wp:docPr id="62" name="Chart 62" descr="This chart shows the share of world trade for the IEA WEO New Policies Scenario." title="Share of world tr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7ACF47A9" w14:textId="1A068319" w:rsidR="006662A6" w:rsidRDefault="006662A6" w:rsidP="00005AE8">
      <w:pPr>
        <w:pStyle w:val="Source"/>
      </w:pPr>
      <w:r>
        <w:t>Note: The IEA does not provide projections for coal production for the Sustainable Development or Current Policies Scenarios.</w:t>
      </w:r>
      <w:r>
        <w:br/>
        <w:t>Source: IEA (2018) World Energy Outlook 2018, International Energy Agency</w:t>
      </w:r>
    </w:p>
    <w:p w14:paraId="756D32E0" w14:textId="7071C72C" w:rsidR="006662A6" w:rsidRDefault="006662A6" w:rsidP="00247841">
      <w:pPr>
        <w:pStyle w:val="Heading2"/>
      </w:pPr>
      <w:bookmarkStart w:id="186" w:name="_Toc15641180"/>
      <w:bookmarkStart w:id="187" w:name="_Toc15645868"/>
      <w:bookmarkStart w:id="188" w:name="_Toc16247602"/>
      <w:bookmarkStart w:id="189" w:name="_Toc16250065"/>
      <w:bookmarkStart w:id="190" w:name="_Toc16256920"/>
      <w:bookmarkStart w:id="191" w:name="_Toc17210795"/>
      <w:r>
        <w:t>IEA Coal Market Report</w:t>
      </w:r>
      <w:bookmarkEnd w:id="186"/>
      <w:bookmarkEnd w:id="187"/>
      <w:bookmarkEnd w:id="188"/>
      <w:bookmarkEnd w:id="189"/>
      <w:bookmarkEnd w:id="190"/>
      <w:bookmarkEnd w:id="191"/>
    </w:p>
    <w:p w14:paraId="047A756C" w14:textId="50CFEFDB" w:rsidR="006662A6" w:rsidRPr="00297D47" w:rsidRDefault="006662A6" w:rsidP="00297D47">
      <w:pPr>
        <w:pStyle w:val="BodyText"/>
      </w:pPr>
      <w:r>
        <w:t xml:space="preserve">In contrast to the World Energy Outlook </w:t>
      </w:r>
      <w:r w:rsidR="00472E7E">
        <w:t xml:space="preserve">2018 </w:t>
      </w:r>
      <w:r>
        <w:t>— which is largely policy</w:t>
      </w:r>
      <w:r w:rsidR="00472E7E">
        <w:t>-</w:t>
      </w:r>
      <w:r>
        <w:t xml:space="preserve"> and scenario</w:t>
      </w:r>
      <w:r w:rsidR="00472E7E">
        <w:t>-</w:t>
      </w:r>
      <w:r>
        <w:t>focused — the IEA’s 2018 Coal Market Report aims to forecast the outlook for coal based on trade, demand and supply models, and makes projections of metallurgical and thermal coal imports.</w:t>
      </w:r>
    </w:p>
    <w:p w14:paraId="39DA232C" w14:textId="70484733" w:rsidR="006662A6" w:rsidRDefault="006662A6" w:rsidP="003F4843">
      <w:pPr>
        <w:spacing w:after="200" w:line="276" w:lineRule="auto"/>
        <w:ind w:left="0"/>
        <w:jc w:val="left"/>
      </w:pPr>
      <w:r>
        <w:t>The 2018 IEA Coal Market Report</w:t>
      </w:r>
      <w:r>
        <w:rPr>
          <w:rStyle w:val="EndnoteReference"/>
        </w:rPr>
        <w:endnoteReference w:id="114"/>
      </w:r>
      <w:r>
        <w:t xml:space="preserve"> forecasts India’s thermal coal imports to expand at an annual average rate of 2.2 per cent, from 119 mtce in 2017 to 135 mtce in 2023, with domestic production unable to keep pace with demand (Figure 2.14). Metallurgical coal imports grow at a faster annual average rate of 7.2 per cent, to meet growing demand from the rapidly expanding steel sector.</w:t>
      </w:r>
    </w:p>
    <w:p w14:paraId="2297D7E8" w14:textId="543191F4" w:rsidR="006662A6" w:rsidRDefault="006662A6" w:rsidP="003F4843">
      <w:pPr>
        <w:spacing w:after="200" w:line="276" w:lineRule="auto"/>
        <w:ind w:left="0"/>
        <w:jc w:val="left"/>
      </w:pPr>
      <w:r>
        <w:t>While the IEA’s 2018 forecast for India’s thermal coal demand was similar to the previous year, the forecast for imports was revised from declining imports in the 2017 forecast, to increasing imports in the 2018 forecast. The main factor driving the revision was that, despite favourable developments in India’s domestic coal sector, it continued to face substantial challenges and noticeably undershot initial expectations. The revision highlights the substantial uncertainties underpinning the outlook for India’s thermal coal imports.</w:t>
      </w:r>
    </w:p>
    <w:p w14:paraId="79A11A54" w14:textId="5C395E07" w:rsidR="006662A6" w:rsidRDefault="006662A6" w:rsidP="00421428">
      <w:pPr>
        <w:pStyle w:val="Caption"/>
      </w:pPr>
      <w:r>
        <w:rPr>
          <w:noProof/>
          <w:lang w:eastAsia="en-AU"/>
        </w:rPr>
        <w:drawing>
          <wp:anchor distT="0" distB="0" distL="114300" distR="114300" simplePos="0" relativeHeight="251658240" behindDoc="1" locked="0" layoutInCell="1" allowOverlap="1" wp14:anchorId="4D4BB410" wp14:editId="1FD13E31">
            <wp:simplePos x="0" y="0"/>
            <wp:positionH relativeFrom="margin">
              <wp:align>left</wp:align>
            </wp:positionH>
            <wp:positionV relativeFrom="paragraph">
              <wp:posOffset>2276475</wp:posOffset>
            </wp:positionV>
            <wp:extent cx="5760000" cy="1799590"/>
            <wp:effectExtent l="0" t="0" r="0" b="0"/>
            <wp:wrapTopAndBottom/>
            <wp:docPr id="39" name="Chart 39" descr="This chart shows India's thermal coal consumption and production." title="Thermal coal consumption and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anchor>
        </w:drawing>
      </w:r>
      <w:r>
        <w:rPr>
          <w:noProof/>
          <w:lang w:eastAsia="en-AU"/>
        </w:rPr>
        <w:drawing>
          <wp:anchor distT="0" distB="0" distL="114300" distR="114300" simplePos="0" relativeHeight="251658241" behindDoc="1" locked="0" layoutInCell="1" allowOverlap="1" wp14:anchorId="325DFEE0" wp14:editId="394B8E21">
            <wp:simplePos x="0" y="0"/>
            <wp:positionH relativeFrom="margin">
              <wp:align>left</wp:align>
            </wp:positionH>
            <wp:positionV relativeFrom="paragraph">
              <wp:posOffset>412750</wp:posOffset>
            </wp:positionV>
            <wp:extent cx="5760000" cy="1799590"/>
            <wp:effectExtent l="0" t="0" r="0" b="0"/>
            <wp:wrapTopAndBottom/>
            <wp:docPr id="38" name="Chart 38" descr="This chart shows India’s forecast thermal coal imports, consumption and production." title="Figure 2.14: India’s forecast thermal coal imports, consumption and pro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r>
        <w:t>Figure</w:t>
      </w:r>
      <w:r w:rsidRPr="000618FB">
        <w:t xml:space="preserve"> </w:t>
      </w:r>
      <w:r>
        <w:rPr>
          <w:noProof/>
        </w:rPr>
        <w:t>2</w:t>
      </w:r>
      <w:r w:rsidRPr="000618FB">
        <w:t>.</w:t>
      </w:r>
      <w:r>
        <w:t>14: India’s forecast thermal coal imports, consumption and production</w:t>
      </w:r>
    </w:p>
    <w:p w14:paraId="48D13E65" w14:textId="2B204C3E" w:rsidR="006662A6" w:rsidRDefault="006662A6" w:rsidP="00403AC3">
      <w:pPr>
        <w:pStyle w:val="Source"/>
        <w:pBdr>
          <w:bottom w:val="single" w:sz="4" w:space="0" w:color="595A5B"/>
        </w:pBdr>
      </w:pPr>
      <w:r>
        <w:t>Source: IEA (2018) Coal 2018: Analysis and forecasts to 2023,</w:t>
      </w:r>
      <w:r w:rsidRPr="00B01AA2">
        <w:t xml:space="preserve"> </w:t>
      </w:r>
      <w:r>
        <w:t>International Energy Agency</w:t>
      </w:r>
    </w:p>
    <w:p w14:paraId="1D04ADF1" w14:textId="1B709D36" w:rsidR="006662A6" w:rsidRDefault="006662A6" w:rsidP="00247841">
      <w:pPr>
        <w:pStyle w:val="Heading2"/>
      </w:pPr>
      <w:bookmarkStart w:id="192" w:name="_Toc15641181"/>
      <w:bookmarkStart w:id="193" w:name="_Toc15645869"/>
      <w:bookmarkStart w:id="194" w:name="_Toc16247603"/>
      <w:bookmarkStart w:id="195" w:name="_Toc16250066"/>
      <w:bookmarkStart w:id="196" w:name="_Toc16256921"/>
      <w:bookmarkStart w:id="197" w:name="_Toc17210796"/>
      <w:r>
        <w:t>Key factors influencing India’s thermal coal imports</w:t>
      </w:r>
      <w:bookmarkEnd w:id="192"/>
      <w:bookmarkEnd w:id="193"/>
      <w:bookmarkEnd w:id="194"/>
      <w:bookmarkEnd w:id="195"/>
      <w:bookmarkEnd w:id="196"/>
      <w:bookmarkEnd w:id="197"/>
    </w:p>
    <w:p w14:paraId="24BA19D2" w14:textId="18DEED61" w:rsidR="006662A6" w:rsidRDefault="006662A6" w:rsidP="00334AFE">
      <w:pPr>
        <w:pStyle w:val="Heading3"/>
      </w:pPr>
      <w:r>
        <w:t>Domestic production and consumption balance</w:t>
      </w:r>
    </w:p>
    <w:p w14:paraId="526CB48F" w14:textId="258B1023" w:rsidR="006662A6" w:rsidRDefault="006662A6" w:rsidP="002B181D">
      <w:pPr>
        <w:tabs>
          <w:tab w:val="left" w:pos="1200"/>
        </w:tabs>
        <w:spacing w:after="200" w:line="276" w:lineRule="auto"/>
        <w:ind w:left="0"/>
        <w:jc w:val="left"/>
      </w:pPr>
      <w:r>
        <w:t>India’s future thermal coal import demand will be primarily driven by the gap between demand and domestic production. Some judgements can be made about the trajectories of each but, as highlighted, there are substantial uncertainties underpinning the outlook for both consumption and domestic production. These uncertainties grow further out into the future. Even small changes to either could swing the pendulum on whether India’s thermal coal imports grow or shrink.</w:t>
      </w:r>
    </w:p>
    <w:p w14:paraId="3557A85D" w14:textId="43323FC0" w:rsidR="006662A6" w:rsidRDefault="006662A6" w:rsidP="002B181D">
      <w:pPr>
        <w:tabs>
          <w:tab w:val="left" w:pos="1200"/>
        </w:tabs>
        <w:spacing w:after="200" w:line="276" w:lineRule="auto"/>
        <w:ind w:left="0"/>
        <w:jc w:val="left"/>
      </w:pPr>
      <w:r>
        <w:t xml:space="preserve">As discussed earlier in this chapter, India’s thermal coal consumption is likely to increase, at least over the next decade — and potentially well beyond — as energy demand continues to rise. Despite the impressive ramp up of renewables and ambitious targets for new renewable capacity, increasing coal-fired power generation </w:t>
      </w:r>
      <w:r w:rsidR="002E27C7">
        <w:t>will</w:t>
      </w:r>
      <w:r>
        <w:t xml:space="preserve"> likely be required </w:t>
      </w:r>
      <w:r w:rsidR="002E27C7">
        <w:t xml:space="preserve">over the </w:t>
      </w:r>
      <w:r>
        <w:t>next decade. India’s thermal coal production is also expected to grow, but likely at a slower pace than ambitious government targets. Substantial headwinds remain, and although reforms have moved in a positive direction, the pace of change remains slow, with India’s complex bureaucracy, socioeconomic issues, and a financially-strained power sector all impacting.</w:t>
      </w:r>
    </w:p>
    <w:p w14:paraId="11389811" w14:textId="024CB0FD" w:rsidR="006662A6" w:rsidRDefault="006662A6" w:rsidP="002B181D">
      <w:pPr>
        <w:tabs>
          <w:tab w:val="left" w:pos="1200"/>
        </w:tabs>
        <w:spacing w:after="200" w:line="276" w:lineRule="auto"/>
        <w:ind w:left="0"/>
        <w:jc w:val="left"/>
      </w:pPr>
      <w:r>
        <w:t>The key question is if, and to what extent, production will continue to lag consumption growth, and thus drive import levels. As highlighted in the IEA’s 2018 Coal Market Report, it is likely that production will not be able to keep pace with consumption growth in the next five years, resulting in growth in India’s imports of thermal coal in the short term. However, in the longer term, the outlook for the scale — and even direction — of India’s thermal coal imports is more uncertain.</w:t>
      </w:r>
    </w:p>
    <w:p w14:paraId="004D6E5A" w14:textId="37BC4DE9" w:rsidR="006662A6" w:rsidRPr="00FB5C9F" w:rsidRDefault="006662A6" w:rsidP="00FB5C9F">
      <w:pPr>
        <w:pStyle w:val="BodyText"/>
        <w:jc w:val="left"/>
      </w:pPr>
      <w:r>
        <w:t>Beyond the balance between production and consumption, there are a number of other factors that will influence the level of India’s thermal coal imports, and these are outlined below.</w:t>
      </w:r>
    </w:p>
    <w:p w14:paraId="663EE152" w14:textId="0F6669A3" w:rsidR="006662A6" w:rsidRDefault="006662A6" w:rsidP="00040F97">
      <w:pPr>
        <w:pStyle w:val="Heading3"/>
      </w:pPr>
      <w:r>
        <w:t>Import-dependent power plants</w:t>
      </w:r>
    </w:p>
    <w:p w14:paraId="108014B0" w14:textId="375022F9" w:rsidR="006662A6" w:rsidRDefault="006662A6" w:rsidP="00334AFE">
      <w:pPr>
        <w:pStyle w:val="BodyText"/>
      </w:pPr>
      <w:r>
        <w:t>A number of power plants have been designed and built to operate solely on the specifications of imported coal, which typically has higher calorific values and lower ash content than most domestic coals. Most of these plants employ supercritical technologies (see Box 3.1) and are located in coastal locations in the western states of Maharashtra and Gujarat.</w:t>
      </w:r>
      <w:r>
        <w:rPr>
          <w:rStyle w:val="EndnoteReference"/>
        </w:rPr>
        <w:endnoteReference w:id="115"/>
      </w:r>
      <w:r>
        <w:t xml:space="preserve"> These power plants have signed long-term contracts with overseas suppliers, or rely on captive mines acquired overseas, largely in Indonesia. India’s national electricity plan notes that import-dependent power plants will need to continue import around 50 million tonnes of coal out to 2026–27.</w:t>
      </w:r>
    </w:p>
    <w:p w14:paraId="744B4CA7" w14:textId="3084038D" w:rsidR="006662A6" w:rsidRPr="00334AFE" w:rsidRDefault="006662A6" w:rsidP="00334AFE">
      <w:pPr>
        <w:pStyle w:val="BodyText"/>
      </w:pPr>
      <w:r>
        <w:t>However, it is possible that these plants could turn to domestic coal in the long term, if higher quality coal (in terms of higher calorific content and low ash content) is produced in sufficient quantities, and if transportation bottlenecks are removed.</w:t>
      </w:r>
      <w:r>
        <w:rPr>
          <w:rStyle w:val="EndnoteReference"/>
        </w:rPr>
        <w:endnoteReference w:id="116"/>
      </w:r>
    </w:p>
    <w:p w14:paraId="7294B70F" w14:textId="32D04224" w:rsidR="006662A6" w:rsidRDefault="006662A6" w:rsidP="008531AB">
      <w:pPr>
        <w:pStyle w:val="Heading3"/>
      </w:pPr>
      <w:r>
        <w:t>Quality and efficiency regulations</w:t>
      </w:r>
    </w:p>
    <w:p w14:paraId="197E0F21" w14:textId="3E365CD5" w:rsidR="006662A6" w:rsidRDefault="006662A6" w:rsidP="002F6ABB">
      <w:pPr>
        <w:pStyle w:val="BodyText"/>
      </w:pPr>
      <w:r>
        <w:t>In recent years, Indian government policies have favoured the use of higher quality coal to improve plant efficiency and air quality</w:t>
      </w:r>
      <w:r>
        <w:rPr>
          <w:rStyle w:val="EndnoteReference"/>
        </w:rPr>
        <w:endnoteReference w:id="117"/>
      </w:r>
      <w:r>
        <w:t xml:space="preserve"> (see Chapter 1). The use of higher quality (high calorific value and low ash) coals improves efficiency by reducing the quantity of coal needed to generate the same amount of electricity compared to lower quality coals, and consequently reduces air pollution and carbon emissions. There have been several policies that could support the use of higher quality imported coal.</w:t>
      </w:r>
    </w:p>
    <w:p w14:paraId="2C92277E" w14:textId="7E01D8D2" w:rsidR="006662A6" w:rsidRPr="005A00D0" w:rsidRDefault="006662A6" w:rsidP="00A1079D">
      <w:pPr>
        <w:pStyle w:val="BodyText"/>
        <w:rPr>
          <w:b/>
          <w:i/>
        </w:rPr>
      </w:pPr>
      <w:r w:rsidRPr="005A00D0">
        <w:rPr>
          <w:b/>
          <w:i/>
        </w:rPr>
        <w:t>Coal quality requirements</w:t>
      </w:r>
    </w:p>
    <w:p w14:paraId="4C3772D2" w14:textId="09F4B6F5" w:rsidR="006662A6" w:rsidRDefault="006662A6" w:rsidP="00A1079D">
      <w:pPr>
        <w:pStyle w:val="BodyText"/>
      </w:pPr>
      <w:r>
        <w:t>A policy was introduced in 2016 which required power plants with a capacity greater than 100 MW and located more than 500 kilometres from mines — changed from a previous benchmark of 700 kilometres — to be supplied with coal with ash content no greater than 34 per cent. The obligation of meeting the target rests with the supplier of the coal.</w:t>
      </w:r>
    </w:p>
    <w:p w14:paraId="29B169D5" w14:textId="1CD56D70" w:rsidR="006662A6" w:rsidRDefault="006662A6" w:rsidP="002729C2">
      <w:pPr>
        <w:pStyle w:val="BodyText"/>
        <w:spacing w:after="0"/>
      </w:pPr>
      <w:r>
        <w:t>The quality of coal can be improved either by:</w:t>
      </w:r>
    </w:p>
    <w:p w14:paraId="1924A608" w14:textId="3187718B" w:rsidR="006662A6" w:rsidRDefault="006662A6" w:rsidP="002729C2">
      <w:pPr>
        <w:pStyle w:val="BodyText"/>
        <w:numPr>
          <w:ilvl w:val="0"/>
          <w:numId w:val="29"/>
        </w:numPr>
        <w:spacing w:after="0"/>
      </w:pPr>
      <w:r>
        <w:t>blending domestic coal with higher quality imported coal, or</w:t>
      </w:r>
    </w:p>
    <w:p w14:paraId="5E91DC27" w14:textId="42D41D8E" w:rsidR="006662A6" w:rsidRDefault="006662A6" w:rsidP="002729C2">
      <w:pPr>
        <w:pStyle w:val="BodyText"/>
        <w:numPr>
          <w:ilvl w:val="0"/>
          <w:numId w:val="29"/>
        </w:numPr>
        <w:spacing w:after="120"/>
        <w:ind w:left="714" w:hanging="357"/>
      </w:pPr>
      <w:r>
        <w:t>washing domestic coal to reduce the ash content and other impurities.</w:t>
      </w:r>
    </w:p>
    <w:p w14:paraId="40A7BD95" w14:textId="5839D118" w:rsidR="006662A6" w:rsidRDefault="006662A6" w:rsidP="00A1079D">
      <w:pPr>
        <w:pStyle w:val="BodyText"/>
      </w:pPr>
      <w:r>
        <w:t>Despite supportive government policies, coal washing has not been adopted on a large scale by coal producers and end users. Coal India’s thermal coal washing capacity was 16 million tonnes in 2018–19</w:t>
      </w:r>
      <w:r>
        <w:rPr>
          <w:rStyle w:val="EndnoteReference"/>
        </w:rPr>
        <w:endnoteReference w:id="118"/>
      </w:r>
      <w:r>
        <w:t>. Coal washing capacity did not grow as planned, due to delays in awarding contracts to establish washeries by Coal India.</w:t>
      </w:r>
      <w:r>
        <w:rPr>
          <w:rStyle w:val="EndnoteReference"/>
        </w:rPr>
        <w:endnoteReference w:id="119"/>
      </w:r>
      <w:r>
        <w:t xml:space="preserve"> There are also ongoing challenges implementing coal washing due to the additional costs involved and incorporating the process into the existing coal supply and distribution system.</w:t>
      </w:r>
      <w:r>
        <w:rPr>
          <w:rStyle w:val="EndnoteReference"/>
        </w:rPr>
        <w:endnoteReference w:id="120"/>
      </w:r>
      <w:r>
        <w:t xml:space="preserve"> In its latest annual report, Coal India stated plans for another nine washeries with a total capacity of 63 million tonnes by the end of 2020, which could support the supply of higher quality domestic coal.</w:t>
      </w:r>
      <w:r>
        <w:rPr>
          <w:rStyle w:val="EndnoteReference"/>
        </w:rPr>
        <w:endnoteReference w:id="121"/>
      </w:r>
      <w:r>
        <w:t xml:space="preserve"> In the meantime, beneficiation (washing) capacity in India remains limited and capacity utilisation is low.</w:t>
      </w:r>
    </w:p>
    <w:p w14:paraId="526DD84B" w14:textId="7C6AF81B" w:rsidR="006662A6" w:rsidRDefault="006662A6" w:rsidP="008531AB">
      <w:pPr>
        <w:pStyle w:val="BodyText"/>
      </w:pPr>
      <w:r>
        <w:t xml:space="preserve">Due to a lack of domestic supply of high quality coal, there has been an increase in imports to blend with domestic coal to meet quality requirements. Early in 2019, India’s Power Ministry — in collaboration with Coal India — sought to make power plants reduce import volumes of high grade coal, with Coal India increasing high grade volumes offered to power plants and via e-auctions. </w:t>
      </w:r>
    </w:p>
    <w:p w14:paraId="27E7FE81" w14:textId="2EEEF4E9" w:rsidR="006662A6" w:rsidRPr="005A00D0" w:rsidRDefault="006662A6" w:rsidP="008531AB">
      <w:pPr>
        <w:pStyle w:val="BodyText"/>
        <w:rPr>
          <w:b/>
          <w:i/>
        </w:rPr>
      </w:pPr>
      <w:r w:rsidRPr="005A00D0">
        <w:rPr>
          <w:b/>
          <w:i/>
        </w:rPr>
        <w:t>Coal-fired power plant efficiency standards</w:t>
      </w:r>
    </w:p>
    <w:p w14:paraId="734EE775" w14:textId="5662BFF6" w:rsidR="006662A6" w:rsidRDefault="006662A6" w:rsidP="005A00D0">
      <w:pPr>
        <w:pStyle w:val="BodyText"/>
      </w:pPr>
      <w:r>
        <w:t>India’s government released new power plant emissions standards in 2015, which aimed to reduce air pollution. Existing plants were assigned mandatory efficiency targets, which require retrofitting plants and the use of higher quality coal. With almost all plants missing the original deadline, the compliance period for these changes has been extended from 2017 to 2022.</w:t>
      </w:r>
      <w:r>
        <w:rPr>
          <w:rStyle w:val="EndnoteReference"/>
        </w:rPr>
        <w:endnoteReference w:id="122"/>
      </w:r>
      <w:r>
        <w:t xml:space="preserve"> All new plants have also been mandated to use supercritical technology, which will also support the use of higher quality coal.</w:t>
      </w:r>
    </w:p>
    <w:p w14:paraId="6C07101F" w14:textId="3FB53BCE" w:rsidR="006662A6" w:rsidRDefault="006662A6" w:rsidP="00174818">
      <w:pPr>
        <w:pStyle w:val="Heading3"/>
      </w:pPr>
      <w:r>
        <w:t>International and domestic coal prices</w:t>
      </w:r>
    </w:p>
    <w:p w14:paraId="58EE8A40" w14:textId="45384C43" w:rsidR="006662A6" w:rsidRDefault="006662A6" w:rsidP="002233F0">
      <w:pPr>
        <w:pStyle w:val="BodyText"/>
      </w:pPr>
      <w:r>
        <w:t>To date, the relative cost of domestic and imported coal has not been a major factor in influencing the volume of imports, because domestic coal prices are substantially lower than international prices, even after adjusting for quality.</w:t>
      </w:r>
      <w:r>
        <w:rPr>
          <w:rStyle w:val="EndnoteReference"/>
        </w:rPr>
        <w:endnoteReference w:id="123"/>
      </w:r>
      <w:r>
        <w:t xml:space="preserve"> As a result, imports have largely been used in India to fill the gap between consumption and production, with domestic coal favoured where available. However, this situation depends on the evolution of domestic and international prices, and as the draft Coal Vision 2030 report highlights, the competitiveness of domestic coal may not hold forever.</w:t>
      </w:r>
      <w:r>
        <w:rPr>
          <w:rStyle w:val="EndnoteReference"/>
        </w:rPr>
        <w:endnoteReference w:id="124"/>
      </w:r>
      <w:r>
        <w:t xml:space="preserve"> Two trends could see the gap between the two narrow.</w:t>
      </w:r>
    </w:p>
    <w:p w14:paraId="10B555D7" w14:textId="781748DE" w:rsidR="006662A6" w:rsidRDefault="006662A6" w:rsidP="00345B54">
      <w:pPr>
        <w:pStyle w:val="BodyText"/>
        <w:numPr>
          <w:ilvl w:val="0"/>
          <w:numId w:val="21"/>
        </w:numPr>
      </w:pPr>
      <w:r>
        <w:t>International prices could decline. While coal prices, like other commodities, move in cycles, the average long-term price could drift lower as demand weakens relative to supply. The draft Coal Vision 2030 report notes that low international prices could drive as much as 200 million tonnes of coal demand towards imported coal.</w:t>
      </w:r>
      <w:r>
        <w:rPr>
          <w:rStyle w:val="EndnoteReference"/>
        </w:rPr>
        <w:endnoteReference w:id="125"/>
      </w:r>
    </w:p>
    <w:p w14:paraId="66FF8EDF" w14:textId="52501D4A" w:rsidR="006662A6" w:rsidRDefault="006662A6" w:rsidP="00345B54">
      <w:pPr>
        <w:pStyle w:val="BodyText"/>
        <w:numPr>
          <w:ilvl w:val="0"/>
          <w:numId w:val="20"/>
        </w:numPr>
      </w:pPr>
      <w:r>
        <w:t>Domestic prices could increase. This could be driven by higher mining costs, higher taxes (with a review of the royalty rate currently underway), and ongoing high freight costs. Power plants closer to the coast are more likely to favour imports due to high domestic freight costs.</w:t>
      </w:r>
    </w:p>
    <w:p w14:paraId="0E54B62E" w14:textId="02A66EE0" w:rsidR="006662A6" w:rsidRDefault="006662A6" w:rsidP="00FB5C9F">
      <w:pPr>
        <w:pStyle w:val="Heading3"/>
      </w:pPr>
      <w:r>
        <w:t>Regulatory changes</w:t>
      </w:r>
    </w:p>
    <w:p w14:paraId="6BAC9C7D" w14:textId="1609E391" w:rsidR="006662A6" w:rsidRDefault="006662A6" w:rsidP="0013155E">
      <w:pPr>
        <w:pStyle w:val="BodyText"/>
      </w:pPr>
      <w:r>
        <w:t>A number of recent regulatory changes could result in higher imports. In 2019, India’s Central Electricity Regulatory Authority (CERC) passed two regulatory judgements affecting purchasing power agreements (PPAs) between power producers and state distribution companies.</w:t>
      </w:r>
      <w:r>
        <w:rPr>
          <w:rStyle w:val="EndnoteReference"/>
        </w:rPr>
        <w:endnoteReference w:id="126"/>
      </w:r>
    </w:p>
    <w:p w14:paraId="5DADD8ED" w14:textId="03A14E76" w:rsidR="006662A6" w:rsidRDefault="006662A6" w:rsidP="0013155E">
      <w:pPr>
        <w:pStyle w:val="BodyText"/>
      </w:pPr>
      <w:r>
        <w:t>In April 2019, the CERC allowed incremental fuel costs associated with</w:t>
      </w:r>
      <w:r w:rsidRPr="002729C2">
        <w:t xml:space="preserve"> </w:t>
      </w:r>
      <w:r>
        <w:t xml:space="preserve">importing coal at several import-based power plants to be passed-through to end consumers. In May 2019, the CERC approved a compensatory tariff for a domestic coal-based project — to compensate for high cost imports and high cost e-auction coal — where there were shortfalls in domestic coal availability. </w:t>
      </w:r>
    </w:p>
    <w:p w14:paraId="6B8793BD" w14:textId="06312E91" w:rsidR="006662A6" w:rsidRPr="0013155E" w:rsidRDefault="006662A6" w:rsidP="0013155E">
      <w:pPr>
        <w:pStyle w:val="BodyText"/>
      </w:pPr>
      <w:r>
        <w:t>Both verdicts are considered to be landmark judgements that could see an increase in thermal coal imports by up to 10 million tonnes a year, by allowing greater flexibility in sourcing and recovering the costs of imported coal.</w:t>
      </w:r>
      <w:r>
        <w:rPr>
          <w:rStyle w:val="EndnoteReference"/>
        </w:rPr>
        <w:endnoteReference w:id="127"/>
      </w:r>
    </w:p>
    <w:p w14:paraId="0B5840A5" w14:textId="77777777" w:rsidR="006662A6" w:rsidRDefault="006662A6">
      <w:pPr>
        <w:spacing w:after="200" w:line="276" w:lineRule="auto"/>
        <w:ind w:left="0"/>
        <w:jc w:val="left"/>
        <w:rPr>
          <w:rFonts w:asciiTheme="majorHAnsi" w:eastAsia="Times New Roman" w:hAnsiTheme="majorHAnsi" w:cs="Arial"/>
          <w:b/>
          <w:bCs/>
          <w:color w:val="005CAF"/>
          <w:kern w:val="32"/>
          <w:sz w:val="32"/>
          <w:szCs w:val="32"/>
        </w:rPr>
      </w:pPr>
      <w:r>
        <w:br w:type="page"/>
      </w:r>
    </w:p>
    <w:p w14:paraId="7A54296D" w14:textId="75C7C187" w:rsidR="006662A6" w:rsidRDefault="006662A6" w:rsidP="00D15034">
      <w:pPr>
        <w:pStyle w:val="Heading1"/>
      </w:pPr>
      <w:bookmarkStart w:id="198" w:name="_Toc15641182"/>
      <w:bookmarkStart w:id="199" w:name="_Toc15645870"/>
      <w:bookmarkStart w:id="200" w:name="_Toc16247604"/>
      <w:bookmarkStart w:id="201" w:name="_Toc16250067"/>
      <w:bookmarkStart w:id="202" w:name="_Toc16256922"/>
      <w:bookmarkStart w:id="203" w:name="_Toc17210797"/>
      <w:r>
        <w:t>Chapter 3: Implications for Austral</w:t>
      </w:r>
      <w:r w:rsidRPr="00D15034">
        <w:t>i</w:t>
      </w:r>
      <w:r>
        <w:t>a</w:t>
      </w:r>
      <w:bookmarkEnd w:id="198"/>
      <w:bookmarkEnd w:id="199"/>
      <w:bookmarkEnd w:id="200"/>
      <w:bookmarkEnd w:id="201"/>
      <w:bookmarkEnd w:id="202"/>
      <w:bookmarkEnd w:id="203"/>
    </w:p>
    <w:p w14:paraId="2FA1E2F5" w14:textId="09A91221" w:rsidR="006662A6" w:rsidRPr="00F93CEF" w:rsidRDefault="006662A6" w:rsidP="00F93CEF">
      <w:pPr>
        <w:pStyle w:val="BodyText"/>
      </w:pPr>
      <w:r>
        <w:t>Coal has been one of the key commodities that has underpinned Australia’s latest mining boom. While the growth in Australia’s coal exports has coincided with the substantial rise in India’s coal imports, only exports of metallurgical coal to India have risen substantially — despite rapid growth in India’s imports of thermal coal. This chapter looks first at Australia’s metallurgical coal exports to India, and then explores the trends and key barriers that have limited Australian exports of thermal coal to India to date, and future opportunities for the Australian mining and coal industry as some of these barriers fall away.</w:t>
      </w:r>
    </w:p>
    <w:p w14:paraId="09C6211B" w14:textId="5E1451F0" w:rsidR="006662A6" w:rsidRDefault="006662A6" w:rsidP="00560249">
      <w:pPr>
        <w:pStyle w:val="Heading1"/>
      </w:pPr>
      <w:bookmarkStart w:id="204" w:name="_Toc15641183"/>
      <w:bookmarkStart w:id="205" w:name="_Toc15645871"/>
      <w:bookmarkStart w:id="206" w:name="_Toc16247605"/>
      <w:bookmarkStart w:id="207" w:name="_Toc16250068"/>
      <w:bookmarkStart w:id="208" w:name="_Toc16256923"/>
      <w:bookmarkStart w:id="209" w:name="_Toc17210798"/>
      <w:r>
        <w:t>3.1 Australia’s coal exports to India</w:t>
      </w:r>
      <w:bookmarkEnd w:id="204"/>
      <w:bookmarkEnd w:id="205"/>
      <w:bookmarkEnd w:id="206"/>
      <w:bookmarkEnd w:id="207"/>
      <w:bookmarkEnd w:id="208"/>
      <w:bookmarkEnd w:id="209"/>
    </w:p>
    <w:p w14:paraId="3162DD58" w14:textId="2FB33E17" w:rsidR="006662A6" w:rsidRPr="00464382" w:rsidRDefault="006662A6" w:rsidP="00464382">
      <w:pPr>
        <w:pStyle w:val="Heading2"/>
      </w:pPr>
      <w:bookmarkStart w:id="210" w:name="_Toc16247606"/>
      <w:bookmarkStart w:id="211" w:name="_Toc16250069"/>
      <w:bookmarkStart w:id="212" w:name="_Toc16256924"/>
      <w:bookmarkStart w:id="213" w:name="_Toc17210799"/>
      <w:r>
        <w:t>Metallurgical coal</w:t>
      </w:r>
      <w:bookmarkEnd w:id="210"/>
      <w:bookmarkEnd w:id="211"/>
      <w:bookmarkEnd w:id="212"/>
      <w:bookmarkEnd w:id="213"/>
    </w:p>
    <w:p w14:paraId="2F3C5700" w14:textId="7CFC8A6C" w:rsidR="006662A6" w:rsidRDefault="006662A6" w:rsidP="002E0937">
      <w:pPr>
        <w:pStyle w:val="BodyText"/>
      </w:pPr>
      <w:r>
        <w:t>Australia’s metallurgical coal exports to India have grown substantially over the last few decades, driven by India’s rapidly expanding steel sector (Figure 3.1).</w:t>
      </w:r>
      <w:r w:rsidRPr="00005AE8">
        <w:t xml:space="preserve"> </w:t>
      </w:r>
      <w:r>
        <w:t xml:space="preserve">India is Australia’s largest export market for metallurgical coal, accounting for a quarter of total metallurgical coal exports in 2018 (Table 3.1). In recent years, India has sought to diversify the sources of its metallurgical coal imports, following supply disruptions in Queensland in the aftermath of Cyclone Debbie in 2016 (Table 3.2). Nevertheless, Australia is still the dominant supplier of metallurgical coal to India, accounting for over 70 per cent of its metallurgical coal imports. </w:t>
      </w:r>
    </w:p>
    <w:p w14:paraId="60F98544" w14:textId="68ABF575" w:rsidR="006662A6" w:rsidRDefault="006662A6" w:rsidP="002E0937">
      <w:pPr>
        <w:pStyle w:val="BodyText"/>
      </w:pPr>
      <w:r>
        <w:t>India’s low level of steel intensity — currently a third of the world average</w:t>
      </w:r>
      <w:r>
        <w:rPr>
          <w:rStyle w:val="EndnoteReference"/>
        </w:rPr>
        <w:endnoteReference w:id="128"/>
      </w:r>
      <w:r>
        <w:t xml:space="preserve"> — reflects the potential for ongoing stro</w:t>
      </w:r>
      <w:r w:rsidR="00087D9D">
        <w:t>ng growth in steel consumption</w:t>
      </w:r>
      <w:r>
        <w:t xml:space="preserve"> and conseque</w:t>
      </w:r>
      <w:r w:rsidR="00087D9D">
        <w:t>ntly metallurgical coal demand</w:t>
      </w:r>
      <w:r>
        <w:t xml:space="preserve"> as India’s economy continues to grow (Figure 3.2).</w:t>
      </w:r>
      <w:r w:rsidRPr="005A3707">
        <w:t xml:space="preserve"> </w:t>
      </w:r>
      <w:r>
        <w:t>Even if India’s steel demand follows a different, lower intensity trajectory than other major steel producing countries, India’s metallurgical coal demand could still increase by a third between 2015 and 2035.</w:t>
      </w:r>
      <w:r>
        <w:rPr>
          <w:rStyle w:val="EndnoteReference"/>
        </w:rPr>
        <w:endnoteReference w:id="129"/>
      </w:r>
      <w:r>
        <w:t xml:space="preserve"> Steel demand in India will be driven by rapid urbanisation, rising household incomes and growing industrial activity.</w:t>
      </w:r>
    </w:p>
    <w:p w14:paraId="5F4E5188" w14:textId="437572CE" w:rsidR="006662A6" w:rsidRDefault="006662A6" w:rsidP="002E0937">
      <w:pPr>
        <w:pStyle w:val="BodyText"/>
      </w:pPr>
      <w:r>
        <w:t>India’s 2017 National Steel Policy sets an ambitious steel capacity target of 300 million tonnes, and a consumption and production target of 255 million tonnes by 2030.</w:t>
      </w:r>
      <w:r>
        <w:rPr>
          <w:rStyle w:val="EndnoteReference"/>
        </w:rPr>
        <w:endnoteReference w:id="130"/>
      </w:r>
      <w:r>
        <w:t xml:space="preserve"> In 2018, India’s crude steel production increased by 4.9 per cent to reach 106 million tonnes, more than double production levels a decade earlier. With limited domestic reserves of metallurgical coal, India is expected to continue to import the vast majority of its metallurgical coal needs to meet demand from its growing steel sector. Australia remains well-positioned to meet India’s growing demand.</w:t>
      </w:r>
    </w:p>
    <w:p w14:paraId="00626A36" w14:textId="77777777" w:rsidR="006662A6" w:rsidRDefault="006662A6" w:rsidP="002729C2">
      <w:pPr>
        <w:pStyle w:val="Caption"/>
      </w:pPr>
      <w:r>
        <w:t>Figure 3</w:t>
      </w:r>
      <w:r w:rsidRPr="000618FB">
        <w:t>.</w:t>
      </w:r>
      <w:r>
        <w:t>1: Australia’s coal exports to India</w:t>
      </w:r>
    </w:p>
    <w:tbl>
      <w:tblPr>
        <w:tblStyle w:val="OCETable"/>
        <w:tblW w:w="4973" w:type="pct"/>
        <w:tblInd w:w="108" w:type="dxa"/>
        <w:tblLayout w:type="fixed"/>
        <w:tblLook w:val="04A0" w:firstRow="1" w:lastRow="0" w:firstColumn="1" w:lastColumn="0" w:noHBand="0" w:noVBand="1"/>
        <w:tblCaption w:val="Table contains figure 3.1"/>
      </w:tblPr>
      <w:tblGrid>
        <w:gridCol w:w="8977"/>
      </w:tblGrid>
      <w:tr w:rsidR="006662A6" w14:paraId="13A63F21" w14:textId="77777777" w:rsidTr="005E1CD1">
        <w:trPr>
          <w:cnfStyle w:val="100000000000" w:firstRow="1" w:lastRow="0" w:firstColumn="0" w:lastColumn="0" w:oddVBand="0" w:evenVBand="0" w:oddHBand="0" w:evenHBand="0" w:firstRowFirstColumn="0" w:firstRowLastColumn="0" w:lastRowFirstColumn="0" w:lastRowLastColumn="0"/>
          <w:trHeight w:val="3438"/>
          <w:tblHeader/>
        </w:trPr>
        <w:tc>
          <w:tcPr>
            <w:tcW w:w="8977" w:type="dxa"/>
            <w:shd w:val="clear" w:color="auto" w:fill="auto"/>
          </w:tcPr>
          <w:p w14:paraId="5A914F90" w14:textId="77777777" w:rsidR="006662A6" w:rsidRDefault="006662A6" w:rsidP="007F21EA">
            <w:pPr>
              <w:pStyle w:val="PlaceholderWide"/>
            </w:pPr>
            <w:r>
              <w:rPr>
                <w:noProof/>
                <w:lang w:eastAsia="en-AU"/>
              </w:rPr>
              <w:drawing>
                <wp:inline distT="0" distB="0" distL="0" distR="0" wp14:anchorId="3904BAEE" wp14:editId="229867E6">
                  <wp:extent cx="5514975" cy="2190750"/>
                  <wp:effectExtent l="0" t="0" r="0" b="0"/>
                  <wp:docPr id="31" name="Chart 31" descr="This chart shows Australia’s coal exports to India." title="Figure 3.1: Australia’s coal exports to India"/>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6BD0817E" w14:textId="77777777" w:rsidR="006662A6" w:rsidRDefault="006662A6" w:rsidP="002729C2">
      <w:pPr>
        <w:pStyle w:val="Source"/>
        <w:rPr>
          <w:lang w:eastAsia="en-AU"/>
        </w:rPr>
      </w:pPr>
      <w:r>
        <w:rPr>
          <w:lang w:eastAsia="en-AU"/>
        </w:rPr>
        <w:t>Source: ABS (2019) International Trade in Goods and Services, Australia, cat. no. 5368.0</w:t>
      </w:r>
    </w:p>
    <w:p w14:paraId="7ABC7B01" w14:textId="7F9AE780" w:rsidR="006662A6" w:rsidRDefault="006662A6" w:rsidP="003715C0">
      <w:pPr>
        <w:pStyle w:val="Caption"/>
      </w:pPr>
      <w:r w:rsidRPr="000618FB">
        <w:t>Table</w:t>
      </w:r>
      <w:r>
        <w:t xml:space="preserve"> </w:t>
      </w:r>
      <w:r>
        <w:rPr>
          <w:noProof/>
        </w:rPr>
        <w:t>3</w:t>
      </w:r>
      <w:r w:rsidRPr="000618FB">
        <w:t>.</w:t>
      </w:r>
      <w:r>
        <w:rPr>
          <w:noProof/>
        </w:rPr>
        <w:fldChar w:fldCharType="begin"/>
      </w:r>
      <w:r>
        <w:rPr>
          <w:noProof/>
        </w:rPr>
        <w:instrText xml:space="preserve"> SEQ Table \* ARABIC \s 1 </w:instrText>
      </w:r>
      <w:r>
        <w:rPr>
          <w:noProof/>
        </w:rPr>
        <w:fldChar w:fldCharType="separate"/>
      </w:r>
      <w:r w:rsidR="003172B3">
        <w:rPr>
          <w:noProof/>
        </w:rPr>
        <w:t>1</w:t>
      </w:r>
      <w:r>
        <w:rPr>
          <w:noProof/>
        </w:rPr>
        <w:fldChar w:fldCharType="end"/>
      </w:r>
      <w:r w:rsidRPr="000618FB">
        <w:t xml:space="preserve">: </w:t>
      </w:r>
      <w:r>
        <w:t>Australia’s metallurgical coal exports by destination (million tonnes)</w:t>
      </w:r>
    </w:p>
    <w:tbl>
      <w:tblPr>
        <w:tblStyle w:val="OCETable"/>
        <w:tblW w:w="4968" w:type="pct"/>
        <w:tblInd w:w="142" w:type="dxa"/>
        <w:tblLook w:val="04A0" w:firstRow="1" w:lastRow="0" w:firstColumn="1" w:lastColumn="0" w:noHBand="0" w:noVBand="1"/>
        <w:tblCaption w:val="Table 3.1: Australia’s metallurgical coal exports by destination (million tonnes)"/>
        <w:tblDescription w:val="This table shows Australia’s metallurgical coal exports by destination (million tonnes)"/>
      </w:tblPr>
      <w:tblGrid>
        <w:gridCol w:w="2352"/>
        <w:gridCol w:w="736"/>
        <w:gridCol w:w="736"/>
        <w:gridCol w:w="735"/>
        <w:gridCol w:w="735"/>
        <w:gridCol w:w="735"/>
        <w:gridCol w:w="735"/>
        <w:gridCol w:w="735"/>
        <w:gridCol w:w="735"/>
        <w:gridCol w:w="734"/>
      </w:tblGrid>
      <w:tr w:rsidR="006662A6" w:rsidRPr="00784026" w14:paraId="15E5840B" w14:textId="77777777" w:rsidTr="00FE474E">
        <w:trPr>
          <w:cnfStyle w:val="100000000000" w:firstRow="1" w:lastRow="0" w:firstColumn="0" w:lastColumn="0" w:oddVBand="0" w:evenVBand="0" w:oddHBand="0" w:evenHBand="0" w:firstRowFirstColumn="0" w:firstRowLastColumn="0" w:lastRowFirstColumn="0" w:lastRowLastColumn="0"/>
          <w:trHeight w:val="230"/>
          <w:tblHeader/>
        </w:trPr>
        <w:tc>
          <w:tcPr>
            <w:tcW w:w="1311" w:type="pct"/>
            <w:noWrap/>
            <w:hideMark/>
          </w:tcPr>
          <w:p w14:paraId="7735F524" w14:textId="77777777" w:rsidR="006662A6" w:rsidRPr="00784026" w:rsidRDefault="006662A6" w:rsidP="003715C0">
            <w:pPr>
              <w:pStyle w:val="Tableheadertext"/>
              <w:rPr>
                <w:rFonts w:asciiTheme="majorHAnsi" w:hAnsiTheme="majorHAnsi" w:cstheme="majorHAnsi"/>
                <w:lang w:eastAsia="en-AU"/>
              </w:rPr>
            </w:pPr>
          </w:p>
        </w:tc>
        <w:tc>
          <w:tcPr>
            <w:tcW w:w="410" w:type="pct"/>
            <w:noWrap/>
            <w:vAlign w:val="center"/>
            <w:hideMark/>
          </w:tcPr>
          <w:p w14:paraId="6C0A4D54"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2010</w:t>
            </w:r>
          </w:p>
        </w:tc>
        <w:tc>
          <w:tcPr>
            <w:tcW w:w="410" w:type="pct"/>
            <w:noWrap/>
            <w:vAlign w:val="center"/>
            <w:hideMark/>
          </w:tcPr>
          <w:p w14:paraId="6245750B"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2011</w:t>
            </w:r>
          </w:p>
        </w:tc>
        <w:tc>
          <w:tcPr>
            <w:tcW w:w="410" w:type="pct"/>
            <w:noWrap/>
            <w:vAlign w:val="center"/>
            <w:hideMark/>
          </w:tcPr>
          <w:p w14:paraId="1DA805A2"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2012</w:t>
            </w:r>
          </w:p>
        </w:tc>
        <w:tc>
          <w:tcPr>
            <w:tcW w:w="410" w:type="pct"/>
            <w:noWrap/>
            <w:vAlign w:val="center"/>
            <w:hideMark/>
          </w:tcPr>
          <w:p w14:paraId="51ECDB23"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2013</w:t>
            </w:r>
          </w:p>
        </w:tc>
        <w:tc>
          <w:tcPr>
            <w:tcW w:w="410" w:type="pct"/>
            <w:noWrap/>
            <w:vAlign w:val="center"/>
            <w:hideMark/>
          </w:tcPr>
          <w:p w14:paraId="069FABE7"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2014</w:t>
            </w:r>
          </w:p>
        </w:tc>
        <w:tc>
          <w:tcPr>
            <w:tcW w:w="410" w:type="pct"/>
            <w:noWrap/>
            <w:vAlign w:val="center"/>
            <w:hideMark/>
          </w:tcPr>
          <w:p w14:paraId="36927CC2"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2015</w:t>
            </w:r>
          </w:p>
        </w:tc>
        <w:tc>
          <w:tcPr>
            <w:tcW w:w="410" w:type="pct"/>
            <w:noWrap/>
            <w:vAlign w:val="center"/>
            <w:hideMark/>
          </w:tcPr>
          <w:p w14:paraId="2CC8EF07"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2016</w:t>
            </w:r>
          </w:p>
        </w:tc>
        <w:tc>
          <w:tcPr>
            <w:tcW w:w="410" w:type="pct"/>
            <w:noWrap/>
            <w:vAlign w:val="center"/>
            <w:hideMark/>
          </w:tcPr>
          <w:p w14:paraId="33869D23"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2017</w:t>
            </w:r>
          </w:p>
        </w:tc>
        <w:tc>
          <w:tcPr>
            <w:tcW w:w="409" w:type="pct"/>
            <w:noWrap/>
            <w:vAlign w:val="center"/>
            <w:hideMark/>
          </w:tcPr>
          <w:p w14:paraId="4E470707" w14:textId="77777777" w:rsidR="006662A6" w:rsidRPr="00784026" w:rsidRDefault="006662A6" w:rsidP="003715C0">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2018</w:t>
            </w:r>
          </w:p>
        </w:tc>
      </w:tr>
      <w:tr w:rsidR="006662A6" w:rsidRPr="00784026" w14:paraId="464D9082" w14:textId="77777777" w:rsidTr="003715C0">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55C25998"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India</w:t>
            </w:r>
          </w:p>
        </w:tc>
        <w:tc>
          <w:tcPr>
            <w:tcW w:w="410" w:type="pct"/>
            <w:noWrap/>
            <w:vAlign w:val="center"/>
            <w:hideMark/>
          </w:tcPr>
          <w:p w14:paraId="1BF3F157"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32.4</w:t>
            </w:r>
          </w:p>
        </w:tc>
        <w:tc>
          <w:tcPr>
            <w:tcW w:w="410" w:type="pct"/>
            <w:noWrap/>
            <w:vAlign w:val="center"/>
            <w:hideMark/>
          </w:tcPr>
          <w:p w14:paraId="787E5744"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29.0</w:t>
            </w:r>
          </w:p>
        </w:tc>
        <w:tc>
          <w:tcPr>
            <w:tcW w:w="410" w:type="pct"/>
            <w:noWrap/>
            <w:vAlign w:val="center"/>
            <w:hideMark/>
          </w:tcPr>
          <w:p w14:paraId="21E6C28B"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30.0</w:t>
            </w:r>
          </w:p>
        </w:tc>
        <w:tc>
          <w:tcPr>
            <w:tcW w:w="410" w:type="pct"/>
            <w:noWrap/>
            <w:vAlign w:val="center"/>
            <w:hideMark/>
          </w:tcPr>
          <w:p w14:paraId="2CC20545"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33.2</w:t>
            </w:r>
          </w:p>
        </w:tc>
        <w:tc>
          <w:tcPr>
            <w:tcW w:w="410" w:type="pct"/>
            <w:noWrap/>
            <w:vAlign w:val="center"/>
            <w:hideMark/>
          </w:tcPr>
          <w:p w14:paraId="2A50F971"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40.1</w:t>
            </w:r>
          </w:p>
        </w:tc>
        <w:tc>
          <w:tcPr>
            <w:tcW w:w="410" w:type="pct"/>
            <w:noWrap/>
            <w:vAlign w:val="center"/>
            <w:hideMark/>
          </w:tcPr>
          <w:p w14:paraId="7F7E2190"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42.9</w:t>
            </w:r>
          </w:p>
        </w:tc>
        <w:tc>
          <w:tcPr>
            <w:tcW w:w="410" w:type="pct"/>
            <w:noWrap/>
            <w:vAlign w:val="center"/>
            <w:hideMark/>
          </w:tcPr>
          <w:p w14:paraId="24DA9663"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43.5</w:t>
            </w:r>
          </w:p>
        </w:tc>
        <w:tc>
          <w:tcPr>
            <w:tcW w:w="410" w:type="pct"/>
            <w:noWrap/>
            <w:vAlign w:val="center"/>
            <w:hideMark/>
          </w:tcPr>
          <w:p w14:paraId="70C81E37"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41.2</w:t>
            </w:r>
          </w:p>
        </w:tc>
        <w:tc>
          <w:tcPr>
            <w:tcW w:w="409" w:type="pct"/>
            <w:noWrap/>
            <w:vAlign w:val="center"/>
            <w:hideMark/>
          </w:tcPr>
          <w:p w14:paraId="483C2468"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45.3</w:t>
            </w:r>
          </w:p>
        </w:tc>
      </w:tr>
      <w:tr w:rsidR="006662A6" w:rsidRPr="00784026" w14:paraId="4FBCF900" w14:textId="77777777" w:rsidTr="003715C0">
        <w:trPr>
          <w:cnfStyle w:val="000000010000" w:firstRow="0" w:lastRow="0" w:firstColumn="0" w:lastColumn="0" w:oddVBand="0" w:evenVBand="0" w:oddHBand="0" w:evenHBand="1" w:firstRowFirstColumn="0" w:firstRowLastColumn="0" w:lastRowFirstColumn="0" w:lastRowLastColumn="0"/>
          <w:trHeight w:val="230"/>
        </w:trPr>
        <w:tc>
          <w:tcPr>
            <w:tcW w:w="1311" w:type="pct"/>
            <w:noWrap/>
            <w:hideMark/>
          </w:tcPr>
          <w:p w14:paraId="28ADA631"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China</w:t>
            </w:r>
          </w:p>
        </w:tc>
        <w:tc>
          <w:tcPr>
            <w:tcW w:w="410" w:type="pct"/>
            <w:noWrap/>
            <w:vAlign w:val="center"/>
            <w:hideMark/>
          </w:tcPr>
          <w:p w14:paraId="28CD6CE9"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21.9</w:t>
            </w:r>
          </w:p>
        </w:tc>
        <w:tc>
          <w:tcPr>
            <w:tcW w:w="410" w:type="pct"/>
            <w:noWrap/>
            <w:vAlign w:val="center"/>
            <w:hideMark/>
          </w:tcPr>
          <w:p w14:paraId="6BD7E894"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13.7</w:t>
            </w:r>
          </w:p>
        </w:tc>
        <w:tc>
          <w:tcPr>
            <w:tcW w:w="410" w:type="pct"/>
            <w:noWrap/>
            <w:vAlign w:val="center"/>
            <w:hideMark/>
          </w:tcPr>
          <w:p w14:paraId="55026FF9"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28.2</w:t>
            </w:r>
          </w:p>
        </w:tc>
        <w:tc>
          <w:tcPr>
            <w:tcW w:w="410" w:type="pct"/>
            <w:noWrap/>
            <w:vAlign w:val="center"/>
            <w:hideMark/>
          </w:tcPr>
          <w:p w14:paraId="598E872F"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45.3</w:t>
            </w:r>
          </w:p>
        </w:tc>
        <w:tc>
          <w:tcPr>
            <w:tcW w:w="410" w:type="pct"/>
            <w:noWrap/>
            <w:vAlign w:val="center"/>
            <w:hideMark/>
          </w:tcPr>
          <w:p w14:paraId="4BE50D36"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46.3</w:t>
            </w:r>
          </w:p>
        </w:tc>
        <w:tc>
          <w:tcPr>
            <w:tcW w:w="410" w:type="pct"/>
            <w:noWrap/>
            <w:vAlign w:val="center"/>
            <w:hideMark/>
          </w:tcPr>
          <w:p w14:paraId="2D38A31D"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36.4</w:t>
            </w:r>
          </w:p>
        </w:tc>
        <w:tc>
          <w:tcPr>
            <w:tcW w:w="410" w:type="pct"/>
            <w:noWrap/>
            <w:vAlign w:val="center"/>
            <w:hideMark/>
          </w:tcPr>
          <w:p w14:paraId="70D668D9"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38.9</w:t>
            </w:r>
          </w:p>
        </w:tc>
        <w:tc>
          <w:tcPr>
            <w:tcW w:w="410" w:type="pct"/>
            <w:noWrap/>
            <w:vAlign w:val="center"/>
            <w:hideMark/>
          </w:tcPr>
          <w:p w14:paraId="6C813A73"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41.5</w:t>
            </w:r>
          </w:p>
        </w:tc>
        <w:tc>
          <w:tcPr>
            <w:tcW w:w="409" w:type="pct"/>
            <w:noWrap/>
            <w:vAlign w:val="center"/>
            <w:hideMark/>
          </w:tcPr>
          <w:p w14:paraId="34AC4417"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39.6</w:t>
            </w:r>
          </w:p>
        </w:tc>
      </w:tr>
      <w:tr w:rsidR="006662A6" w:rsidRPr="00784026" w14:paraId="7879F21E" w14:textId="77777777" w:rsidTr="003715C0">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1FA95C41"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Japan</w:t>
            </w:r>
          </w:p>
        </w:tc>
        <w:tc>
          <w:tcPr>
            <w:tcW w:w="410" w:type="pct"/>
            <w:noWrap/>
            <w:vAlign w:val="center"/>
            <w:hideMark/>
          </w:tcPr>
          <w:p w14:paraId="3F44E8A1"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48.0</w:t>
            </w:r>
          </w:p>
        </w:tc>
        <w:tc>
          <w:tcPr>
            <w:tcW w:w="410" w:type="pct"/>
            <w:noWrap/>
            <w:vAlign w:val="center"/>
            <w:hideMark/>
          </w:tcPr>
          <w:p w14:paraId="519D391C"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40.7</w:t>
            </w:r>
          </w:p>
        </w:tc>
        <w:tc>
          <w:tcPr>
            <w:tcW w:w="410" w:type="pct"/>
            <w:noWrap/>
            <w:vAlign w:val="center"/>
            <w:hideMark/>
          </w:tcPr>
          <w:p w14:paraId="17A4D219"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38.5</w:t>
            </w:r>
          </w:p>
        </w:tc>
        <w:tc>
          <w:tcPr>
            <w:tcW w:w="410" w:type="pct"/>
            <w:noWrap/>
            <w:vAlign w:val="center"/>
            <w:hideMark/>
          </w:tcPr>
          <w:p w14:paraId="291CC447"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41.7</w:t>
            </w:r>
          </w:p>
        </w:tc>
        <w:tc>
          <w:tcPr>
            <w:tcW w:w="410" w:type="pct"/>
            <w:noWrap/>
            <w:vAlign w:val="center"/>
            <w:hideMark/>
          </w:tcPr>
          <w:p w14:paraId="4FA29E4D"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42.0</w:t>
            </w:r>
          </w:p>
        </w:tc>
        <w:tc>
          <w:tcPr>
            <w:tcW w:w="410" w:type="pct"/>
            <w:noWrap/>
            <w:vAlign w:val="center"/>
            <w:hideMark/>
          </w:tcPr>
          <w:p w14:paraId="2C9FC6E4"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41.0</w:t>
            </w:r>
          </w:p>
        </w:tc>
        <w:tc>
          <w:tcPr>
            <w:tcW w:w="410" w:type="pct"/>
            <w:noWrap/>
            <w:vAlign w:val="center"/>
            <w:hideMark/>
          </w:tcPr>
          <w:p w14:paraId="089DE748"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42.3</w:t>
            </w:r>
          </w:p>
        </w:tc>
        <w:tc>
          <w:tcPr>
            <w:tcW w:w="410" w:type="pct"/>
            <w:noWrap/>
            <w:vAlign w:val="center"/>
            <w:hideMark/>
          </w:tcPr>
          <w:p w14:paraId="2CBE6F74"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35.8</w:t>
            </w:r>
          </w:p>
        </w:tc>
        <w:tc>
          <w:tcPr>
            <w:tcW w:w="409" w:type="pct"/>
            <w:noWrap/>
            <w:vAlign w:val="center"/>
            <w:hideMark/>
          </w:tcPr>
          <w:p w14:paraId="20C674C2"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35.8</w:t>
            </w:r>
          </w:p>
        </w:tc>
      </w:tr>
      <w:tr w:rsidR="006662A6" w:rsidRPr="00784026" w14:paraId="045B61AE" w14:textId="77777777" w:rsidTr="003715C0">
        <w:trPr>
          <w:cnfStyle w:val="000000010000" w:firstRow="0" w:lastRow="0" w:firstColumn="0" w:lastColumn="0" w:oddVBand="0" w:evenVBand="0" w:oddHBand="0" w:evenHBand="1" w:firstRowFirstColumn="0" w:firstRowLastColumn="0" w:lastRowFirstColumn="0" w:lastRowLastColumn="0"/>
          <w:trHeight w:val="230"/>
        </w:trPr>
        <w:tc>
          <w:tcPr>
            <w:tcW w:w="1311" w:type="pct"/>
            <w:noWrap/>
            <w:hideMark/>
          </w:tcPr>
          <w:p w14:paraId="794A5936"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South Korea</w:t>
            </w:r>
          </w:p>
        </w:tc>
        <w:tc>
          <w:tcPr>
            <w:tcW w:w="410" w:type="pct"/>
            <w:noWrap/>
            <w:vAlign w:val="center"/>
            <w:hideMark/>
          </w:tcPr>
          <w:p w14:paraId="344D779C"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17.4</w:t>
            </w:r>
          </w:p>
        </w:tc>
        <w:tc>
          <w:tcPr>
            <w:tcW w:w="410" w:type="pct"/>
            <w:noWrap/>
            <w:vAlign w:val="center"/>
            <w:hideMark/>
          </w:tcPr>
          <w:p w14:paraId="1AF2736A"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16.2</w:t>
            </w:r>
          </w:p>
        </w:tc>
        <w:tc>
          <w:tcPr>
            <w:tcW w:w="410" w:type="pct"/>
            <w:noWrap/>
            <w:vAlign w:val="center"/>
            <w:hideMark/>
          </w:tcPr>
          <w:p w14:paraId="624277E2"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15.8</w:t>
            </w:r>
          </w:p>
        </w:tc>
        <w:tc>
          <w:tcPr>
            <w:tcW w:w="410" w:type="pct"/>
            <w:noWrap/>
            <w:vAlign w:val="center"/>
            <w:hideMark/>
          </w:tcPr>
          <w:p w14:paraId="2AFDF2CB"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17.0</w:t>
            </w:r>
          </w:p>
        </w:tc>
        <w:tc>
          <w:tcPr>
            <w:tcW w:w="410" w:type="pct"/>
            <w:noWrap/>
            <w:vAlign w:val="center"/>
            <w:hideMark/>
          </w:tcPr>
          <w:p w14:paraId="6B58197B"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20.4</w:t>
            </w:r>
          </w:p>
        </w:tc>
        <w:tc>
          <w:tcPr>
            <w:tcW w:w="410" w:type="pct"/>
            <w:noWrap/>
            <w:vAlign w:val="center"/>
            <w:hideMark/>
          </w:tcPr>
          <w:p w14:paraId="2DD66551"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21.5</w:t>
            </w:r>
          </w:p>
        </w:tc>
        <w:tc>
          <w:tcPr>
            <w:tcW w:w="410" w:type="pct"/>
            <w:noWrap/>
            <w:vAlign w:val="center"/>
            <w:hideMark/>
          </w:tcPr>
          <w:p w14:paraId="14F9A1FB"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19.5</w:t>
            </w:r>
          </w:p>
        </w:tc>
        <w:tc>
          <w:tcPr>
            <w:tcW w:w="410" w:type="pct"/>
            <w:noWrap/>
            <w:vAlign w:val="center"/>
            <w:hideMark/>
          </w:tcPr>
          <w:p w14:paraId="47C7CD96"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17.8</w:t>
            </w:r>
          </w:p>
        </w:tc>
        <w:tc>
          <w:tcPr>
            <w:tcW w:w="409" w:type="pct"/>
            <w:noWrap/>
            <w:vAlign w:val="center"/>
            <w:hideMark/>
          </w:tcPr>
          <w:p w14:paraId="5726BE32"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17.8</w:t>
            </w:r>
          </w:p>
        </w:tc>
      </w:tr>
      <w:tr w:rsidR="006662A6" w:rsidRPr="00784026" w14:paraId="7E912140" w14:textId="77777777" w:rsidTr="003715C0">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40BEF7B3"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Taiwan</w:t>
            </w:r>
          </w:p>
        </w:tc>
        <w:tc>
          <w:tcPr>
            <w:tcW w:w="410" w:type="pct"/>
            <w:noWrap/>
            <w:vAlign w:val="center"/>
            <w:hideMark/>
          </w:tcPr>
          <w:p w14:paraId="79315D4C"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8.2</w:t>
            </w:r>
          </w:p>
        </w:tc>
        <w:tc>
          <w:tcPr>
            <w:tcW w:w="410" w:type="pct"/>
            <w:noWrap/>
            <w:vAlign w:val="center"/>
            <w:hideMark/>
          </w:tcPr>
          <w:p w14:paraId="75D5338D"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7.8</w:t>
            </w:r>
          </w:p>
        </w:tc>
        <w:tc>
          <w:tcPr>
            <w:tcW w:w="410" w:type="pct"/>
            <w:noWrap/>
            <w:vAlign w:val="center"/>
            <w:hideMark/>
          </w:tcPr>
          <w:p w14:paraId="0F27ADAC"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8.0</w:t>
            </w:r>
          </w:p>
        </w:tc>
        <w:tc>
          <w:tcPr>
            <w:tcW w:w="410" w:type="pct"/>
            <w:noWrap/>
            <w:vAlign w:val="center"/>
            <w:hideMark/>
          </w:tcPr>
          <w:p w14:paraId="003E664C"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9.1</w:t>
            </w:r>
          </w:p>
        </w:tc>
        <w:tc>
          <w:tcPr>
            <w:tcW w:w="410" w:type="pct"/>
            <w:noWrap/>
            <w:vAlign w:val="center"/>
            <w:hideMark/>
          </w:tcPr>
          <w:p w14:paraId="74E717AC"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9.4</w:t>
            </w:r>
          </w:p>
        </w:tc>
        <w:tc>
          <w:tcPr>
            <w:tcW w:w="410" w:type="pct"/>
            <w:noWrap/>
            <w:vAlign w:val="center"/>
            <w:hideMark/>
          </w:tcPr>
          <w:p w14:paraId="608405D0"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9.3</w:t>
            </w:r>
          </w:p>
        </w:tc>
        <w:tc>
          <w:tcPr>
            <w:tcW w:w="410" w:type="pct"/>
            <w:noWrap/>
            <w:vAlign w:val="center"/>
            <w:hideMark/>
          </w:tcPr>
          <w:p w14:paraId="43DFED2E"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9.7</w:t>
            </w:r>
          </w:p>
        </w:tc>
        <w:tc>
          <w:tcPr>
            <w:tcW w:w="410" w:type="pct"/>
            <w:noWrap/>
            <w:vAlign w:val="center"/>
            <w:hideMark/>
          </w:tcPr>
          <w:p w14:paraId="009AD7C7"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8.5</w:t>
            </w:r>
          </w:p>
        </w:tc>
        <w:tc>
          <w:tcPr>
            <w:tcW w:w="409" w:type="pct"/>
            <w:noWrap/>
            <w:vAlign w:val="center"/>
            <w:hideMark/>
          </w:tcPr>
          <w:p w14:paraId="4F54AD82"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10.0</w:t>
            </w:r>
          </w:p>
        </w:tc>
      </w:tr>
      <w:tr w:rsidR="006662A6" w:rsidRPr="00784026" w14:paraId="47A22957" w14:textId="77777777" w:rsidTr="003715C0">
        <w:trPr>
          <w:cnfStyle w:val="000000010000" w:firstRow="0" w:lastRow="0" w:firstColumn="0" w:lastColumn="0" w:oddVBand="0" w:evenVBand="0" w:oddHBand="0" w:evenHBand="1" w:firstRowFirstColumn="0" w:firstRowLastColumn="0" w:lastRowFirstColumn="0" w:lastRowLastColumn="0"/>
          <w:trHeight w:val="230"/>
        </w:trPr>
        <w:tc>
          <w:tcPr>
            <w:tcW w:w="1311" w:type="pct"/>
            <w:noWrap/>
            <w:hideMark/>
          </w:tcPr>
          <w:p w14:paraId="20B5956E"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Rest of world</w:t>
            </w:r>
          </w:p>
        </w:tc>
        <w:tc>
          <w:tcPr>
            <w:tcW w:w="410" w:type="pct"/>
            <w:noWrap/>
            <w:vAlign w:val="center"/>
            <w:hideMark/>
          </w:tcPr>
          <w:p w14:paraId="71325621"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31.1</w:t>
            </w:r>
          </w:p>
        </w:tc>
        <w:tc>
          <w:tcPr>
            <w:tcW w:w="410" w:type="pct"/>
            <w:noWrap/>
            <w:vAlign w:val="center"/>
            <w:hideMark/>
          </w:tcPr>
          <w:p w14:paraId="331F2088"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25.2</w:t>
            </w:r>
          </w:p>
        </w:tc>
        <w:tc>
          <w:tcPr>
            <w:tcW w:w="410" w:type="pct"/>
            <w:noWrap/>
            <w:vAlign w:val="center"/>
            <w:hideMark/>
          </w:tcPr>
          <w:p w14:paraId="4C2FD4A7"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24.2</w:t>
            </w:r>
          </w:p>
        </w:tc>
        <w:tc>
          <w:tcPr>
            <w:tcW w:w="410" w:type="pct"/>
            <w:noWrap/>
            <w:vAlign w:val="center"/>
            <w:hideMark/>
          </w:tcPr>
          <w:p w14:paraId="61FDDCF0"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23.6</w:t>
            </w:r>
          </w:p>
        </w:tc>
        <w:tc>
          <w:tcPr>
            <w:tcW w:w="410" w:type="pct"/>
            <w:noWrap/>
            <w:vAlign w:val="center"/>
            <w:hideMark/>
          </w:tcPr>
          <w:p w14:paraId="6311CDF5"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28.2</w:t>
            </w:r>
          </w:p>
        </w:tc>
        <w:tc>
          <w:tcPr>
            <w:tcW w:w="410" w:type="pct"/>
            <w:noWrap/>
            <w:vAlign w:val="center"/>
            <w:hideMark/>
          </w:tcPr>
          <w:p w14:paraId="3D1729FD"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35.1</w:t>
            </w:r>
          </w:p>
        </w:tc>
        <w:tc>
          <w:tcPr>
            <w:tcW w:w="410" w:type="pct"/>
            <w:noWrap/>
            <w:vAlign w:val="center"/>
            <w:hideMark/>
          </w:tcPr>
          <w:p w14:paraId="3CB29DA9"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35.4</w:t>
            </w:r>
          </w:p>
        </w:tc>
        <w:tc>
          <w:tcPr>
            <w:tcW w:w="410" w:type="pct"/>
            <w:noWrap/>
            <w:vAlign w:val="center"/>
            <w:hideMark/>
          </w:tcPr>
          <w:p w14:paraId="2B573290"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27.9</w:t>
            </w:r>
          </w:p>
        </w:tc>
        <w:tc>
          <w:tcPr>
            <w:tcW w:w="409" w:type="pct"/>
            <w:noWrap/>
            <w:vAlign w:val="center"/>
            <w:hideMark/>
          </w:tcPr>
          <w:p w14:paraId="4B3B93CE" w14:textId="77777777" w:rsidR="006662A6" w:rsidRPr="00784026" w:rsidRDefault="006662A6" w:rsidP="003715C0">
            <w:pPr>
              <w:pStyle w:val="Tablebodytext"/>
              <w:jc w:val="right"/>
              <w:rPr>
                <w:rFonts w:asciiTheme="majorHAnsi" w:hAnsiTheme="majorHAnsi" w:cstheme="majorHAnsi"/>
                <w:lang w:eastAsia="en-AU"/>
              </w:rPr>
            </w:pPr>
            <w:r w:rsidRPr="00784026">
              <w:rPr>
                <w:rFonts w:asciiTheme="majorHAnsi" w:hAnsiTheme="majorHAnsi" w:cstheme="majorHAnsi"/>
                <w:lang w:eastAsia="en-AU"/>
              </w:rPr>
              <w:t>30.3</w:t>
            </w:r>
          </w:p>
        </w:tc>
      </w:tr>
      <w:tr w:rsidR="006662A6" w:rsidRPr="00784026" w14:paraId="0038BF4A" w14:textId="77777777" w:rsidTr="003715C0">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3318D0D6" w14:textId="77777777" w:rsidR="006662A6" w:rsidRPr="009B56BD" w:rsidRDefault="006662A6" w:rsidP="003715C0">
            <w:pPr>
              <w:pStyle w:val="Tablebodytext"/>
              <w:rPr>
                <w:rFonts w:asciiTheme="majorHAnsi" w:hAnsiTheme="majorHAnsi" w:cstheme="majorHAnsi"/>
                <w:b/>
                <w:lang w:eastAsia="en-AU"/>
              </w:rPr>
            </w:pPr>
            <w:r w:rsidRPr="009B56BD">
              <w:rPr>
                <w:rFonts w:asciiTheme="majorHAnsi" w:hAnsiTheme="majorHAnsi" w:cstheme="majorHAnsi"/>
                <w:b/>
                <w:lang w:eastAsia="en-AU"/>
              </w:rPr>
              <w:t>Total metallurgical coal</w:t>
            </w:r>
          </w:p>
        </w:tc>
        <w:tc>
          <w:tcPr>
            <w:tcW w:w="410" w:type="pct"/>
            <w:noWrap/>
            <w:vAlign w:val="center"/>
            <w:hideMark/>
          </w:tcPr>
          <w:p w14:paraId="5A10809A"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159.0</w:t>
            </w:r>
          </w:p>
        </w:tc>
        <w:tc>
          <w:tcPr>
            <w:tcW w:w="410" w:type="pct"/>
            <w:noWrap/>
            <w:vAlign w:val="center"/>
            <w:hideMark/>
          </w:tcPr>
          <w:p w14:paraId="46226C23"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132.7</w:t>
            </w:r>
          </w:p>
        </w:tc>
        <w:tc>
          <w:tcPr>
            <w:tcW w:w="410" w:type="pct"/>
            <w:noWrap/>
            <w:vAlign w:val="center"/>
            <w:hideMark/>
          </w:tcPr>
          <w:p w14:paraId="319B4C8A"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144.6</w:t>
            </w:r>
          </w:p>
        </w:tc>
        <w:tc>
          <w:tcPr>
            <w:tcW w:w="410" w:type="pct"/>
            <w:noWrap/>
            <w:vAlign w:val="center"/>
            <w:hideMark/>
          </w:tcPr>
          <w:p w14:paraId="2DD40B19"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170.0</w:t>
            </w:r>
          </w:p>
        </w:tc>
        <w:tc>
          <w:tcPr>
            <w:tcW w:w="410" w:type="pct"/>
            <w:noWrap/>
            <w:vAlign w:val="center"/>
            <w:hideMark/>
          </w:tcPr>
          <w:p w14:paraId="3ABA8411"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186.4</w:t>
            </w:r>
          </w:p>
        </w:tc>
        <w:tc>
          <w:tcPr>
            <w:tcW w:w="410" w:type="pct"/>
            <w:noWrap/>
            <w:vAlign w:val="center"/>
            <w:hideMark/>
          </w:tcPr>
          <w:p w14:paraId="20694CAE"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186.1</w:t>
            </w:r>
          </w:p>
        </w:tc>
        <w:tc>
          <w:tcPr>
            <w:tcW w:w="410" w:type="pct"/>
            <w:noWrap/>
            <w:vAlign w:val="center"/>
            <w:hideMark/>
          </w:tcPr>
          <w:p w14:paraId="02AF7426"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189.2</w:t>
            </w:r>
          </w:p>
        </w:tc>
        <w:tc>
          <w:tcPr>
            <w:tcW w:w="410" w:type="pct"/>
            <w:noWrap/>
            <w:vAlign w:val="center"/>
            <w:hideMark/>
          </w:tcPr>
          <w:p w14:paraId="20078D7B"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172.7</w:t>
            </w:r>
          </w:p>
        </w:tc>
        <w:tc>
          <w:tcPr>
            <w:tcW w:w="409" w:type="pct"/>
            <w:noWrap/>
            <w:vAlign w:val="center"/>
            <w:hideMark/>
          </w:tcPr>
          <w:p w14:paraId="5CCB5996"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178.9</w:t>
            </w:r>
          </w:p>
        </w:tc>
      </w:tr>
      <w:tr w:rsidR="006662A6" w:rsidRPr="00784026" w14:paraId="1F9FC2AD" w14:textId="77777777" w:rsidTr="003715C0">
        <w:trPr>
          <w:cnfStyle w:val="000000010000" w:firstRow="0" w:lastRow="0" w:firstColumn="0" w:lastColumn="0" w:oddVBand="0" w:evenVBand="0" w:oddHBand="0" w:evenHBand="1" w:firstRowFirstColumn="0" w:firstRowLastColumn="0" w:lastRowFirstColumn="0" w:lastRowLastColumn="0"/>
          <w:trHeight w:val="230"/>
        </w:trPr>
        <w:tc>
          <w:tcPr>
            <w:tcW w:w="1311" w:type="pct"/>
            <w:noWrap/>
            <w:vAlign w:val="bottom"/>
          </w:tcPr>
          <w:p w14:paraId="1C0F2DA9" w14:textId="77777777" w:rsidR="006662A6" w:rsidRPr="009B56BD" w:rsidRDefault="006662A6" w:rsidP="003715C0">
            <w:pPr>
              <w:pStyle w:val="Tablebodytext"/>
              <w:rPr>
                <w:rFonts w:asciiTheme="majorHAnsi" w:hAnsiTheme="majorHAnsi" w:cstheme="majorHAnsi"/>
                <w:b/>
                <w:lang w:eastAsia="en-AU"/>
              </w:rPr>
            </w:pPr>
            <w:r w:rsidRPr="009B56BD">
              <w:rPr>
                <w:rFonts w:asciiTheme="majorHAnsi" w:hAnsiTheme="majorHAnsi" w:cstheme="majorHAnsi"/>
                <w:b/>
                <w:lang w:eastAsia="en-AU"/>
              </w:rPr>
              <w:t>India's share (per cent)</w:t>
            </w:r>
          </w:p>
        </w:tc>
        <w:tc>
          <w:tcPr>
            <w:tcW w:w="410" w:type="pct"/>
            <w:noWrap/>
            <w:vAlign w:val="bottom"/>
          </w:tcPr>
          <w:p w14:paraId="0D577395"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20.4</w:t>
            </w:r>
          </w:p>
        </w:tc>
        <w:tc>
          <w:tcPr>
            <w:tcW w:w="410" w:type="pct"/>
            <w:noWrap/>
            <w:vAlign w:val="bottom"/>
          </w:tcPr>
          <w:p w14:paraId="6EF9CC0E"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21.8</w:t>
            </w:r>
          </w:p>
        </w:tc>
        <w:tc>
          <w:tcPr>
            <w:tcW w:w="410" w:type="pct"/>
            <w:noWrap/>
            <w:vAlign w:val="bottom"/>
          </w:tcPr>
          <w:p w14:paraId="00162662"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20.8</w:t>
            </w:r>
          </w:p>
        </w:tc>
        <w:tc>
          <w:tcPr>
            <w:tcW w:w="410" w:type="pct"/>
            <w:noWrap/>
            <w:vAlign w:val="bottom"/>
          </w:tcPr>
          <w:p w14:paraId="6CCB234A"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19.5</w:t>
            </w:r>
          </w:p>
        </w:tc>
        <w:tc>
          <w:tcPr>
            <w:tcW w:w="410" w:type="pct"/>
            <w:noWrap/>
            <w:vAlign w:val="bottom"/>
          </w:tcPr>
          <w:p w14:paraId="4815B5BC"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21.5</w:t>
            </w:r>
          </w:p>
        </w:tc>
        <w:tc>
          <w:tcPr>
            <w:tcW w:w="410" w:type="pct"/>
            <w:noWrap/>
            <w:vAlign w:val="bottom"/>
          </w:tcPr>
          <w:p w14:paraId="03E9CB7C"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23.1</w:t>
            </w:r>
          </w:p>
        </w:tc>
        <w:tc>
          <w:tcPr>
            <w:tcW w:w="410" w:type="pct"/>
            <w:noWrap/>
            <w:vAlign w:val="bottom"/>
          </w:tcPr>
          <w:p w14:paraId="3B3013E3"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23.0</w:t>
            </w:r>
          </w:p>
        </w:tc>
        <w:tc>
          <w:tcPr>
            <w:tcW w:w="410" w:type="pct"/>
            <w:noWrap/>
            <w:vAlign w:val="bottom"/>
          </w:tcPr>
          <w:p w14:paraId="3E77BC03"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23.9</w:t>
            </w:r>
          </w:p>
        </w:tc>
        <w:tc>
          <w:tcPr>
            <w:tcW w:w="409" w:type="pct"/>
            <w:noWrap/>
            <w:vAlign w:val="bottom"/>
          </w:tcPr>
          <w:p w14:paraId="1274A30C" w14:textId="77777777" w:rsidR="006662A6" w:rsidRPr="009B56BD" w:rsidRDefault="006662A6" w:rsidP="003715C0">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25.3</w:t>
            </w:r>
          </w:p>
        </w:tc>
      </w:tr>
    </w:tbl>
    <w:p w14:paraId="75AFC0BA" w14:textId="3E90EB8A" w:rsidR="006662A6" w:rsidRDefault="006662A6" w:rsidP="003715C0">
      <w:pPr>
        <w:pStyle w:val="Source"/>
        <w:rPr>
          <w:lang w:eastAsia="en-AU"/>
        </w:rPr>
      </w:pPr>
      <w:r>
        <w:rPr>
          <w:lang w:eastAsia="en-AU"/>
        </w:rPr>
        <w:t>Source: ABS (2019) International Trade in Goods and Services, Australia, cat. no. 5368.0</w:t>
      </w:r>
    </w:p>
    <w:p w14:paraId="5BA0354B" w14:textId="41F47BF9" w:rsidR="006662A6" w:rsidRDefault="006662A6" w:rsidP="0052573C">
      <w:pPr>
        <w:pStyle w:val="Caption"/>
      </w:pPr>
      <w:r w:rsidRPr="000618FB">
        <w:t>Table</w:t>
      </w:r>
      <w:r>
        <w:t xml:space="preserve"> 3</w:t>
      </w:r>
      <w:r w:rsidRPr="000618FB">
        <w:t>.</w:t>
      </w:r>
      <w:r>
        <w:rPr>
          <w:noProof/>
        </w:rPr>
        <w:fldChar w:fldCharType="begin"/>
      </w:r>
      <w:r>
        <w:rPr>
          <w:noProof/>
        </w:rPr>
        <w:instrText xml:space="preserve"> SEQ Table \* ARABIC \s 1 </w:instrText>
      </w:r>
      <w:r>
        <w:rPr>
          <w:noProof/>
        </w:rPr>
        <w:fldChar w:fldCharType="separate"/>
      </w:r>
      <w:r w:rsidR="003172B3">
        <w:rPr>
          <w:noProof/>
        </w:rPr>
        <w:t>2</w:t>
      </w:r>
      <w:r>
        <w:rPr>
          <w:noProof/>
        </w:rPr>
        <w:fldChar w:fldCharType="end"/>
      </w:r>
      <w:r w:rsidRPr="000618FB">
        <w:t xml:space="preserve">: </w:t>
      </w:r>
      <w:r>
        <w:t>India’s metallurgical coal imports by destination (million tonnes)</w:t>
      </w:r>
    </w:p>
    <w:tbl>
      <w:tblPr>
        <w:tblStyle w:val="OCETable"/>
        <w:tblW w:w="5000" w:type="pct"/>
        <w:tblLook w:val="04A0" w:firstRow="1" w:lastRow="0" w:firstColumn="1" w:lastColumn="0" w:noHBand="0" w:noVBand="1"/>
        <w:tblCaption w:val="Table 3.2: India’s metallurgical coal imports by destination (million tonnes)"/>
        <w:tblDescription w:val="This table shows India’s metallurgical coal imports by destination (million tonnes)."/>
      </w:tblPr>
      <w:tblGrid>
        <w:gridCol w:w="2927"/>
        <w:gridCol w:w="678"/>
        <w:gridCol w:w="678"/>
        <w:gridCol w:w="678"/>
        <w:gridCol w:w="678"/>
        <w:gridCol w:w="678"/>
        <w:gridCol w:w="678"/>
        <w:gridCol w:w="678"/>
        <w:gridCol w:w="678"/>
        <w:gridCol w:w="675"/>
      </w:tblGrid>
      <w:tr w:rsidR="006662A6" w:rsidRPr="003715C0" w14:paraId="71CF9B86" w14:textId="77777777" w:rsidTr="00FE474E">
        <w:trPr>
          <w:cnfStyle w:val="100000000000" w:firstRow="1" w:lastRow="0" w:firstColumn="0" w:lastColumn="0" w:oddVBand="0" w:evenVBand="0" w:oddHBand="0" w:evenHBand="0" w:firstRowFirstColumn="0" w:firstRowLastColumn="0" w:lastRowFirstColumn="0" w:lastRowLastColumn="0"/>
          <w:trHeight w:val="255"/>
          <w:tblHeader/>
        </w:trPr>
        <w:tc>
          <w:tcPr>
            <w:tcW w:w="718" w:type="pct"/>
            <w:noWrap/>
            <w:hideMark/>
          </w:tcPr>
          <w:p w14:paraId="36F3BB68" w14:textId="77777777" w:rsidR="006662A6" w:rsidRPr="003715C0" w:rsidRDefault="006662A6" w:rsidP="003715C0">
            <w:pPr>
              <w:pStyle w:val="Tableheadertext"/>
              <w:rPr>
                <w:lang w:eastAsia="en-AU"/>
              </w:rPr>
            </w:pPr>
          </w:p>
        </w:tc>
        <w:tc>
          <w:tcPr>
            <w:tcW w:w="476" w:type="pct"/>
            <w:noWrap/>
            <w:vAlign w:val="center"/>
            <w:hideMark/>
          </w:tcPr>
          <w:p w14:paraId="3F694EBC" w14:textId="77777777" w:rsidR="006662A6" w:rsidRPr="003715C0" w:rsidRDefault="006662A6" w:rsidP="003715C0">
            <w:pPr>
              <w:pStyle w:val="Tableheadertext"/>
              <w:jc w:val="right"/>
              <w:rPr>
                <w:szCs w:val="20"/>
                <w:lang w:eastAsia="en-AU"/>
              </w:rPr>
            </w:pPr>
            <w:r w:rsidRPr="003715C0">
              <w:rPr>
                <w:szCs w:val="20"/>
                <w:lang w:eastAsia="en-AU"/>
              </w:rPr>
              <w:t>2010</w:t>
            </w:r>
          </w:p>
        </w:tc>
        <w:tc>
          <w:tcPr>
            <w:tcW w:w="476" w:type="pct"/>
            <w:noWrap/>
            <w:vAlign w:val="center"/>
            <w:hideMark/>
          </w:tcPr>
          <w:p w14:paraId="45FE66DA" w14:textId="77777777" w:rsidR="006662A6" w:rsidRPr="003715C0" w:rsidRDefault="006662A6" w:rsidP="003715C0">
            <w:pPr>
              <w:pStyle w:val="Tableheadertext"/>
              <w:jc w:val="right"/>
              <w:rPr>
                <w:szCs w:val="20"/>
                <w:lang w:eastAsia="en-AU"/>
              </w:rPr>
            </w:pPr>
            <w:r w:rsidRPr="003715C0">
              <w:rPr>
                <w:szCs w:val="20"/>
                <w:lang w:eastAsia="en-AU"/>
              </w:rPr>
              <w:t>2011</w:t>
            </w:r>
          </w:p>
        </w:tc>
        <w:tc>
          <w:tcPr>
            <w:tcW w:w="476" w:type="pct"/>
            <w:noWrap/>
            <w:vAlign w:val="center"/>
            <w:hideMark/>
          </w:tcPr>
          <w:p w14:paraId="4BBC89E5" w14:textId="77777777" w:rsidR="006662A6" w:rsidRPr="003715C0" w:rsidRDefault="006662A6" w:rsidP="003715C0">
            <w:pPr>
              <w:pStyle w:val="Tableheadertext"/>
              <w:jc w:val="right"/>
              <w:rPr>
                <w:szCs w:val="20"/>
                <w:lang w:eastAsia="en-AU"/>
              </w:rPr>
            </w:pPr>
            <w:r w:rsidRPr="003715C0">
              <w:rPr>
                <w:szCs w:val="20"/>
                <w:lang w:eastAsia="en-AU"/>
              </w:rPr>
              <w:t>2012</w:t>
            </w:r>
          </w:p>
        </w:tc>
        <w:tc>
          <w:tcPr>
            <w:tcW w:w="476" w:type="pct"/>
            <w:noWrap/>
            <w:vAlign w:val="center"/>
            <w:hideMark/>
          </w:tcPr>
          <w:p w14:paraId="1B02E1B9" w14:textId="77777777" w:rsidR="006662A6" w:rsidRPr="003715C0" w:rsidRDefault="006662A6" w:rsidP="003715C0">
            <w:pPr>
              <w:pStyle w:val="Tableheadertext"/>
              <w:jc w:val="right"/>
              <w:rPr>
                <w:szCs w:val="20"/>
                <w:lang w:eastAsia="en-AU"/>
              </w:rPr>
            </w:pPr>
            <w:r w:rsidRPr="003715C0">
              <w:rPr>
                <w:szCs w:val="20"/>
                <w:lang w:eastAsia="en-AU"/>
              </w:rPr>
              <w:t>2013</w:t>
            </w:r>
          </w:p>
        </w:tc>
        <w:tc>
          <w:tcPr>
            <w:tcW w:w="476" w:type="pct"/>
            <w:noWrap/>
            <w:vAlign w:val="center"/>
            <w:hideMark/>
          </w:tcPr>
          <w:p w14:paraId="589A2D47" w14:textId="77777777" w:rsidR="006662A6" w:rsidRPr="003715C0" w:rsidRDefault="006662A6" w:rsidP="003715C0">
            <w:pPr>
              <w:pStyle w:val="Tableheadertext"/>
              <w:jc w:val="right"/>
              <w:rPr>
                <w:szCs w:val="20"/>
                <w:lang w:eastAsia="en-AU"/>
              </w:rPr>
            </w:pPr>
            <w:r w:rsidRPr="003715C0">
              <w:rPr>
                <w:szCs w:val="20"/>
                <w:lang w:eastAsia="en-AU"/>
              </w:rPr>
              <w:t>2014</w:t>
            </w:r>
          </w:p>
        </w:tc>
        <w:tc>
          <w:tcPr>
            <w:tcW w:w="476" w:type="pct"/>
            <w:noWrap/>
            <w:vAlign w:val="center"/>
            <w:hideMark/>
          </w:tcPr>
          <w:p w14:paraId="2DC7EA0A" w14:textId="77777777" w:rsidR="006662A6" w:rsidRPr="003715C0" w:rsidRDefault="006662A6" w:rsidP="003715C0">
            <w:pPr>
              <w:pStyle w:val="Tableheadertext"/>
              <w:jc w:val="right"/>
              <w:rPr>
                <w:szCs w:val="20"/>
                <w:lang w:eastAsia="en-AU"/>
              </w:rPr>
            </w:pPr>
            <w:r w:rsidRPr="003715C0">
              <w:rPr>
                <w:szCs w:val="20"/>
                <w:lang w:eastAsia="en-AU"/>
              </w:rPr>
              <w:t>2015</w:t>
            </w:r>
          </w:p>
        </w:tc>
        <w:tc>
          <w:tcPr>
            <w:tcW w:w="476" w:type="pct"/>
            <w:noWrap/>
            <w:vAlign w:val="center"/>
            <w:hideMark/>
          </w:tcPr>
          <w:p w14:paraId="696A5507" w14:textId="77777777" w:rsidR="006662A6" w:rsidRPr="003715C0" w:rsidRDefault="006662A6" w:rsidP="003715C0">
            <w:pPr>
              <w:pStyle w:val="Tableheadertext"/>
              <w:jc w:val="right"/>
              <w:rPr>
                <w:szCs w:val="20"/>
                <w:lang w:eastAsia="en-AU"/>
              </w:rPr>
            </w:pPr>
            <w:r w:rsidRPr="003715C0">
              <w:rPr>
                <w:szCs w:val="20"/>
                <w:lang w:eastAsia="en-AU"/>
              </w:rPr>
              <w:t>2016</w:t>
            </w:r>
          </w:p>
        </w:tc>
        <w:tc>
          <w:tcPr>
            <w:tcW w:w="476" w:type="pct"/>
            <w:noWrap/>
            <w:vAlign w:val="center"/>
            <w:hideMark/>
          </w:tcPr>
          <w:p w14:paraId="2F4CCDC1" w14:textId="77777777" w:rsidR="006662A6" w:rsidRPr="003715C0" w:rsidRDefault="006662A6" w:rsidP="003715C0">
            <w:pPr>
              <w:pStyle w:val="Tableheadertext"/>
              <w:jc w:val="right"/>
              <w:rPr>
                <w:szCs w:val="20"/>
                <w:lang w:eastAsia="en-AU"/>
              </w:rPr>
            </w:pPr>
            <w:r w:rsidRPr="003715C0">
              <w:rPr>
                <w:szCs w:val="20"/>
                <w:lang w:eastAsia="en-AU"/>
              </w:rPr>
              <w:t>2017</w:t>
            </w:r>
          </w:p>
        </w:tc>
        <w:tc>
          <w:tcPr>
            <w:tcW w:w="476" w:type="pct"/>
            <w:noWrap/>
            <w:vAlign w:val="center"/>
            <w:hideMark/>
          </w:tcPr>
          <w:p w14:paraId="307E2148" w14:textId="77777777" w:rsidR="006662A6" w:rsidRPr="003715C0" w:rsidRDefault="006662A6" w:rsidP="003715C0">
            <w:pPr>
              <w:pStyle w:val="Tableheadertext"/>
              <w:jc w:val="right"/>
              <w:rPr>
                <w:szCs w:val="20"/>
                <w:lang w:eastAsia="en-AU"/>
              </w:rPr>
            </w:pPr>
            <w:r w:rsidRPr="003715C0">
              <w:rPr>
                <w:szCs w:val="20"/>
                <w:lang w:eastAsia="en-AU"/>
              </w:rPr>
              <w:t>2018</w:t>
            </w:r>
          </w:p>
        </w:tc>
      </w:tr>
      <w:tr w:rsidR="006662A6" w:rsidRPr="003715C0" w14:paraId="107031AE" w14:textId="77777777" w:rsidTr="003715C0">
        <w:trPr>
          <w:cnfStyle w:val="000000100000" w:firstRow="0" w:lastRow="0" w:firstColumn="0" w:lastColumn="0" w:oddVBand="0" w:evenVBand="0" w:oddHBand="1" w:evenHBand="0" w:firstRowFirstColumn="0" w:firstRowLastColumn="0" w:lastRowFirstColumn="0" w:lastRowLastColumn="0"/>
          <w:trHeight w:val="300"/>
        </w:trPr>
        <w:tc>
          <w:tcPr>
            <w:tcW w:w="718" w:type="pct"/>
            <w:noWrap/>
            <w:hideMark/>
          </w:tcPr>
          <w:p w14:paraId="448E51C0" w14:textId="77777777" w:rsidR="006662A6" w:rsidRPr="003715C0" w:rsidRDefault="006662A6" w:rsidP="003715C0">
            <w:pPr>
              <w:pStyle w:val="Tablebodytext"/>
              <w:rPr>
                <w:szCs w:val="20"/>
                <w:lang w:eastAsia="en-AU"/>
              </w:rPr>
            </w:pPr>
            <w:r w:rsidRPr="003715C0">
              <w:rPr>
                <w:szCs w:val="20"/>
                <w:lang w:eastAsia="en-AU"/>
              </w:rPr>
              <w:t>Australia</w:t>
            </w:r>
          </w:p>
        </w:tc>
        <w:tc>
          <w:tcPr>
            <w:tcW w:w="476" w:type="pct"/>
            <w:noWrap/>
            <w:vAlign w:val="center"/>
            <w:hideMark/>
          </w:tcPr>
          <w:p w14:paraId="22E30626" w14:textId="77777777" w:rsidR="006662A6" w:rsidRPr="003715C0" w:rsidRDefault="006662A6" w:rsidP="003715C0">
            <w:pPr>
              <w:pStyle w:val="Tablebodytext"/>
              <w:jc w:val="right"/>
              <w:rPr>
                <w:szCs w:val="20"/>
                <w:lang w:eastAsia="en-AU"/>
              </w:rPr>
            </w:pPr>
            <w:r w:rsidRPr="003715C0">
              <w:rPr>
                <w:szCs w:val="20"/>
                <w:lang w:eastAsia="en-AU"/>
              </w:rPr>
              <w:t>15.9</w:t>
            </w:r>
          </w:p>
        </w:tc>
        <w:tc>
          <w:tcPr>
            <w:tcW w:w="476" w:type="pct"/>
            <w:noWrap/>
            <w:vAlign w:val="center"/>
            <w:hideMark/>
          </w:tcPr>
          <w:p w14:paraId="7A6F99A5" w14:textId="77777777" w:rsidR="006662A6" w:rsidRPr="003715C0" w:rsidRDefault="006662A6" w:rsidP="003715C0">
            <w:pPr>
              <w:pStyle w:val="Tablebodytext"/>
              <w:jc w:val="right"/>
              <w:rPr>
                <w:szCs w:val="20"/>
                <w:lang w:eastAsia="en-AU"/>
              </w:rPr>
            </w:pPr>
            <w:r w:rsidRPr="003715C0">
              <w:rPr>
                <w:szCs w:val="20"/>
                <w:lang w:eastAsia="en-AU"/>
              </w:rPr>
              <w:t>25.7</w:t>
            </w:r>
          </w:p>
        </w:tc>
        <w:tc>
          <w:tcPr>
            <w:tcW w:w="476" w:type="pct"/>
            <w:noWrap/>
            <w:vAlign w:val="center"/>
            <w:hideMark/>
          </w:tcPr>
          <w:p w14:paraId="266657D6" w14:textId="77777777" w:rsidR="006662A6" w:rsidRPr="003715C0" w:rsidRDefault="006662A6" w:rsidP="003715C0">
            <w:pPr>
              <w:pStyle w:val="Tablebodytext"/>
              <w:jc w:val="right"/>
              <w:rPr>
                <w:szCs w:val="20"/>
                <w:lang w:eastAsia="en-AU"/>
              </w:rPr>
            </w:pPr>
            <w:r w:rsidRPr="003715C0">
              <w:rPr>
                <w:szCs w:val="20"/>
                <w:lang w:eastAsia="en-AU"/>
              </w:rPr>
              <w:t>27.5</w:t>
            </w:r>
          </w:p>
        </w:tc>
        <w:tc>
          <w:tcPr>
            <w:tcW w:w="476" w:type="pct"/>
            <w:noWrap/>
            <w:vAlign w:val="center"/>
            <w:hideMark/>
          </w:tcPr>
          <w:p w14:paraId="3F448130" w14:textId="77777777" w:rsidR="006662A6" w:rsidRPr="003715C0" w:rsidRDefault="006662A6" w:rsidP="003715C0">
            <w:pPr>
              <w:pStyle w:val="Tablebodytext"/>
              <w:jc w:val="right"/>
              <w:rPr>
                <w:szCs w:val="20"/>
                <w:lang w:eastAsia="en-AU"/>
              </w:rPr>
            </w:pPr>
            <w:r w:rsidRPr="003715C0">
              <w:rPr>
                <w:szCs w:val="20"/>
                <w:lang w:eastAsia="en-AU"/>
              </w:rPr>
              <w:t>29.8</w:t>
            </w:r>
          </w:p>
        </w:tc>
        <w:tc>
          <w:tcPr>
            <w:tcW w:w="476" w:type="pct"/>
            <w:noWrap/>
            <w:vAlign w:val="center"/>
            <w:hideMark/>
          </w:tcPr>
          <w:p w14:paraId="421CDD1D" w14:textId="77777777" w:rsidR="006662A6" w:rsidRPr="003715C0" w:rsidRDefault="006662A6" w:rsidP="003715C0">
            <w:pPr>
              <w:pStyle w:val="Tablebodytext"/>
              <w:jc w:val="right"/>
              <w:rPr>
                <w:szCs w:val="20"/>
                <w:lang w:eastAsia="en-AU"/>
              </w:rPr>
            </w:pPr>
            <w:r w:rsidRPr="003715C0">
              <w:rPr>
                <w:szCs w:val="20"/>
                <w:lang w:eastAsia="en-AU"/>
              </w:rPr>
              <w:t>37.5</w:t>
            </w:r>
          </w:p>
        </w:tc>
        <w:tc>
          <w:tcPr>
            <w:tcW w:w="476" w:type="pct"/>
            <w:noWrap/>
            <w:vAlign w:val="center"/>
            <w:hideMark/>
          </w:tcPr>
          <w:p w14:paraId="685B70BB" w14:textId="77777777" w:rsidR="006662A6" w:rsidRPr="003715C0" w:rsidRDefault="006662A6" w:rsidP="003715C0">
            <w:pPr>
              <w:pStyle w:val="Tablebodytext"/>
              <w:jc w:val="right"/>
              <w:rPr>
                <w:szCs w:val="20"/>
                <w:lang w:eastAsia="en-AU"/>
              </w:rPr>
            </w:pPr>
            <w:r w:rsidRPr="003715C0">
              <w:rPr>
                <w:szCs w:val="20"/>
                <w:lang w:eastAsia="en-AU"/>
              </w:rPr>
              <w:t>39.0</w:t>
            </w:r>
          </w:p>
        </w:tc>
        <w:tc>
          <w:tcPr>
            <w:tcW w:w="476" w:type="pct"/>
            <w:noWrap/>
            <w:vAlign w:val="center"/>
            <w:hideMark/>
          </w:tcPr>
          <w:p w14:paraId="1700B5EA" w14:textId="77777777" w:rsidR="006662A6" w:rsidRPr="003715C0" w:rsidRDefault="006662A6" w:rsidP="003715C0">
            <w:pPr>
              <w:pStyle w:val="Tablebodytext"/>
              <w:jc w:val="right"/>
              <w:rPr>
                <w:szCs w:val="20"/>
                <w:lang w:eastAsia="en-AU"/>
              </w:rPr>
            </w:pPr>
            <w:r w:rsidRPr="003715C0">
              <w:rPr>
                <w:szCs w:val="20"/>
                <w:lang w:eastAsia="en-AU"/>
              </w:rPr>
              <w:t>36.5</w:t>
            </w:r>
          </w:p>
        </w:tc>
        <w:tc>
          <w:tcPr>
            <w:tcW w:w="476" w:type="pct"/>
            <w:noWrap/>
            <w:vAlign w:val="center"/>
            <w:hideMark/>
          </w:tcPr>
          <w:p w14:paraId="114F8EC7" w14:textId="77777777" w:rsidR="006662A6" w:rsidRPr="003715C0" w:rsidRDefault="006662A6" w:rsidP="003715C0">
            <w:pPr>
              <w:pStyle w:val="Tablebodytext"/>
              <w:jc w:val="right"/>
              <w:rPr>
                <w:szCs w:val="20"/>
                <w:lang w:eastAsia="en-AU"/>
              </w:rPr>
            </w:pPr>
            <w:r w:rsidRPr="003715C0">
              <w:rPr>
                <w:szCs w:val="20"/>
                <w:lang w:eastAsia="en-AU"/>
              </w:rPr>
              <w:t>35.8</w:t>
            </w:r>
          </w:p>
        </w:tc>
        <w:tc>
          <w:tcPr>
            <w:tcW w:w="476" w:type="pct"/>
            <w:noWrap/>
            <w:vAlign w:val="center"/>
            <w:hideMark/>
          </w:tcPr>
          <w:p w14:paraId="342527AF" w14:textId="77777777" w:rsidR="006662A6" w:rsidRPr="003715C0" w:rsidRDefault="006662A6" w:rsidP="003715C0">
            <w:pPr>
              <w:pStyle w:val="Tablebodytext"/>
              <w:jc w:val="right"/>
              <w:rPr>
                <w:szCs w:val="20"/>
                <w:lang w:eastAsia="en-AU"/>
              </w:rPr>
            </w:pPr>
            <w:r w:rsidRPr="003715C0">
              <w:rPr>
                <w:szCs w:val="20"/>
                <w:lang w:eastAsia="en-AU"/>
              </w:rPr>
              <w:t>36.9</w:t>
            </w:r>
          </w:p>
        </w:tc>
      </w:tr>
      <w:tr w:rsidR="006662A6" w:rsidRPr="003715C0" w14:paraId="270096BD" w14:textId="77777777" w:rsidTr="003715C0">
        <w:trPr>
          <w:cnfStyle w:val="000000010000" w:firstRow="0" w:lastRow="0" w:firstColumn="0" w:lastColumn="0" w:oddVBand="0" w:evenVBand="0" w:oddHBand="0" w:evenHBand="1" w:firstRowFirstColumn="0" w:firstRowLastColumn="0" w:lastRowFirstColumn="0" w:lastRowLastColumn="0"/>
          <w:trHeight w:val="255"/>
        </w:trPr>
        <w:tc>
          <w:tcPr>
            <w:tcW w:w="718" w:type="pct"/>
            <w:noWrap/>
            <w:hideMark/>
          </w:tcPr>
          <w:p w14:paraId="3B2E902A" w14:textId="06E6914E" w:rsidR="006662A6" w:rsidRPr="003715C0" w:rsidRDefault="006662A6" w:rsidP="003715C0">
            <w:pPr>
              <w:pStyle w:val="Tablebodytext"/>
              <w:rPr>
                <w:szCs w:val="20"/>
                <w:lang w:eastAsia="en-AU"/>
              </w:rPr>
            </w:pPr>
            <w:r>
              <w:rPr>
                <w:szCs w:val="20"/>
                <w:lang w:eastAsia="en-AU"/>
              </w:rPr>
              <w:t>United States</w:t>
            </w:r>
          </w:p>
        </w:tc>
        <w:tc>
          <w:tcPr>
            <w:tcW w:w="476" w:type="pct"/>
            <w:noWrap/>
            <w:vAlign w:val="center"/>
            <w:hideMark/>
          </w:tcPr>
          <w:p w14:paraId="045D7EB1" w14:textId="77777777" w:rsidR="006662A6" w:rsidRPr="003715C0" w:rsidRDefault="006662A6" w:rsidP="003715C0">
            <w:pPr>
              <w:pStyle w:val="Tablebodytext"/>
              <w:jc w:val="right"/>
              <w:rPr>
                <w:szCs w:val="20"/>
                <w:lang w:eastAsia="en-AU"/>
              </w:rPr>
            </w:pPr>
            <w:r w:rsidRPr="003715C0">
              <w:rPr>
                <w:szCs w:val="20"/>
                <w:lang w:eastAsia="en-AU"/>
              </w:rPr>
              <w:t>1.5</w:t>
            </w:r>
          </w:p>
        </w:tc>
        <w:tc>
          <w:tcPr>
            <w:tcW w:w="476" w:type="pct"/>
            <w:noWrap/>
            <w:vAlign w:val="center"/>
            <w:hideMark/>
          </w:tcPr>
          <w:p w14:paraId="11D20134" w14:textId="77777777" w:rsidR="006662A6" w:rsidRPr="003715C0" w:rsidRDefault="006662A6" w:rsidP="003715C0">
            <w:pPr>
              <w:pStyle w:val="Tablebodytext"/>
              <w:jc w:val="right"/>
              <w:rPr>
                <w:szCs w:val="20"/>
                <w:lang w:eastAsia="en-AU"/>
              </w:rPr>
            </w:pPr>
            <w:r w:rsidRPr="003715C0">
              <w:rPr>
                <w:szCs w:val="20"/>
                <w:lang w:eastAsia="en-AU"/>
              </w:rPr>
              <w:t>2.8</w:t>
            </w:r>
          </w:p>
        </w:tc>
        <w:tc>
          <w:tcPr>
            <w:tcW w:w="476" w:type="pct"/>
            <w:noWrap/>
            <w:vAlign w:val="center"/>
            <w:hideMark/>
          </w:tcPr>
          <w:p w14:paraId="4084E482" w14:textId="77777777" w:rsidR="006662A6" w:rsidRPr="003715C0" w:rsidRDefault="006662A6" w:rsidP="003715C0">
            <w:pPr>
              <w:pStyle w:val="Tablebodytext"/>
              <w:jc w:val="right"/>
              <w:rPr>
                <w:szCs w:val="20"/>
                <w:lang w:eastAsia="en-AU"/>
              </w:rPr>
            </w:pPr>
            <w:r w:rsidRPr="003715C0">
              <w:rPr>
                <w:szCs w:val="20"/>
                <w:lang w:eastAsia="en-AU"/>
              </w:rPr>
              <w:t>3.3</w:t>
            </w:r>
          </w:p>
        </w:tc>
        <w:tc>
          <w:tcPr>
            <w:tcW w:w="476" w:type="pct"/>
            <w:noWrap/>
            <w:vAlign w:val="center"/>
            <w:hideMark/>
          </w:tcPr>
          <w:p w14:paraId="453F270B" w14:textId="77777777" w:rsidR="006662A6" w:rsidRPr="003715C0" w:rsidRDefault="006662A6" w:rsidP="003715C0">
            <w:pPr>
              <w:pStyle w:val="Tablebodytext"/>
              <w:jc w:val="right"/>
              <w:rPr>
                <w:szCs w:val="20"/>
                <w:lang w:eastAsia="en-AU"/>
              </w:rPr>
            </w:pPr>
            <w:r w:rsidRPr="003715C0">
              <w:rPr>
                <w:szCs w:val="20"/>
                <w:lang w:eastAsia="en-AU"/>
              </w:rPr>
              <w:t>2.7</w:t>
            </w:r>
          </w:p>
        </w:tc>
        <w:tc>
          <w:tcPr>
            <w:tcW w:w="476" w:type="pct"/>
            <w:noWrap/>
            <w:vAlign w:val="center"/>
            <w:hideMark/>
          </w:tcPr>
          <w:p w14:paraId="22C9A657" w14:textId="77777777" w:rsidR="006662A6" w:rsidRPr="003715C0" w:rsidRDefault="006662A6" w:rsidP="003715C0">
            <w:pPr>
              <w:pStyle w:val="Tablebodytext"/>
              <w:jc w:val="right"/>
              <w:rPr>
                <w:szCs w:val="20"/>
                <w:lang w:eastAsia="en-AU"/>
              </w:rPr>
            </w:pPr>
            <w:r w:rsidRPr="003715C0">
              <w:rPr>
                <w:szCs w:val="20"/>
                <w:lang w:eastAsia="en-AU"/>
              </w:rPr>
              <w:t>1.6</w:t>
            </w:r>
          </w:p>
        </w:tc>
        <w:tc>
          <w:tcPr>
            <w:tcW w:w="476" w:type="pct"/>
            <w:noWrap/>
            <w:vAlign w:val="center"/>
            <w:hideMark/>
          </w:tcPr>
          <w:p w14:paraId="2CFF2D2D" w14:textId="77777777" w:rsidR="006662A6" w:rsidRPr="003715C0" w:rsidRDefault="006662A6" w:rsidP="003715C0">
            <w:pPr>
              <w:pStyle w:val="Tablebodytext"/>
              <w:jc w:val="right"/>
              <w:rPr>
                <w:szCs w:val="20"/>
                <w:lang w:eastAsia="en-AU"/>
              </w:rPr>
            </w:pPr>
            <w:r w:rsidRPr="003715C0">
              <w:rPr>
                <w:szCs w:val="20"/>
                <w:lang w:eastAsia="en-AU"/>
              </w:rPr>
              <w:t>1.2</w:t>
            </w:r>
          </w:p>
        </w:tc>
        <w:tc>
          <w:tcPr>
            <w:tcW w:w="476" w:type="pct"/>
            <w:noWrap/>
            <w:vAlign w:val="center"/>
            <w:hideMark/>
          </w:tcPr>
          <w:p w14:paraId="5474DB75" w14:textId="77777777" w:rsidR="006662A6" w:rsidRPr="003715C0" w:rsidRDefault="006662A6" w:rsidP="003715C0">
            <w:pPr>
              <w:pStyle w:val="Tablebodytext"/>
              <w:jc w:val="right"/>
              <w:rPr>
                <w:szCs w:val="20"/>
                <w:lang w:eastAsia="en-AU"/>
              </w:rPr>
            </w:pPr>
            <w:r w:rsidRPr="003715C0">
              <w:rPr>
                <w:szCs w:val="20"/>
                <w:lang w:eastAsia="en-AU"/>
              </w:rPr>
              <w:t>1.1</w:t>
            </w:r>
          </w:p>
        </w:tc>
        <w:tc>
          <w:tcPr>
            <w:tcW w:w="476" w:type="pct"/>
            <w:noWrap/>
            <w:vAlign w:val="center"/>
            <w:hideMark/>
          </w:tcPr>
          <w:p w14:paraId="2213F59E" w14:textId="77777777" w:rsidR="006662A6" w:rsidRPr="003715C0" w:rsidRDefault="006662A6" w:rsidP="003715C0">
            <w:pPr>
              <w:pStyle w:val="Tablebodytext"/>
              <w:jc w:val="right"/>
              <w:rPr>
                <w:szCs w:val="20"/>
                <w:lang w:eastAsia="en-AU"/>
              </w:rPr>
            </w:pPr>
            <w:r w:rsidRPr="003715C0">
              <w:rPr>
                <w:szCs w:val="20"/>
                <w:lang w:eastAsia="en-AU"/>
              </w:rPr>
              <w:t>3.3</w:t>
            </w:r>
          </w:p>
        </w:tc>
        <w:tc>
          <w:tcPr>
            <w:tcW w:w="476" w:type="pct"/>
            <w:noWrap/>
            <w:vAlign w:val="center"/>
            <w:hideMark/>
          </w:tcPr>
          <w:p w14:paraId="72C26744" w14:textId="77777777" w:rsidR="006662A6" w:rsidRPr="003715C0" w:rsidRDefault="006662A6" w:rsidP="003715C0">
            <w:pPr>
              <w:pStyle w:val="Tablebodytext"/>
              <w:jc w:val="right"/>
              <w:rPr>
                <w:szCs w:val="20"/>
                <w:lang w:eastAsia="en-AU"/>
              </w:rPr>
            </w:pPr>
            <w:r w:rsidRPr="003715C0">
              <w:rPr>
                <w:szCs w:val="20"/>
                <w:lang w:eastAsia="en-AU"/>
              </w:rPr>
              <w:t>4.1</w:t>
            </w:r>
          </w:p>
        </w:tc>
      </w:tr>
      <w:tr w:rsidR="006662A6" w:rsidRPr="003715C0" w14:paraId="42639B01" w14:textId="77777777" w:rsidTr="003715C0">
        <w:trPr>
          <w:cnfStyle w:val="000000100000" w:firstRow="0" w:lastRow="0" w:firstColumn="0" w:lastColumn="0" w:oddVBand="0" w:evenVBand="0" w:oddHBand="1" w:evenHBand="0" w:firstRowFirstColumn="0" w:firstRowLastColumn="0" w:lastRowFirstColumn="0" w:lastRowLastColumn="0"/>
          <w:trHeight w:val="255"/>
        </w:trPr>
        <w:tc>
          <w:tcPr>
            <w:tcW w:w="718" w:type="pct"/>
            <w:noWrap/>
            <w:hideMark/>
          </w:tcPr>
          <w:p w14:paraId="5CA38E06" w14:textId="77777777" w:rsidR="006662A6" w:rsidRPr="003715C0" w:rsidRDefault="006662A6" w:rsidP="003715C0">
            <w:pPr>
              <w:pStyle w:val="Tablebodytext"/>
              <w:rPr>
                <w:szCs w:val="20"/>
                <w:lang w:eastAsia="en-AU"/>
              </w:rPr>
            </w:pPr>
            <w:r w:rsidRPr="003715C0">
              <w:rPr>
                <w:szCs w:val="20"/>
                <w:lang w:eastAsia="en-AU"/>
              </w:rPr>
              <w:t>Canada</w:t>
            </w:r>
          </w:p>
        </w:tc>
        <w:tc>
          <w:tcPr>
            <w:tcW w:w="476" w:type="pct"/>
            <w:noWrap/>
            <w:vAlign w:val="center"/>
            <w:hideMark/>
          </w:tcPr>
          <w:p w14:paraId="098C7352" w14:textId="77777777" w:rsidR="006662A6" w:rsidRPr="003715C0" w:rsidRDefault="006662A6" w:rsidP="003715C0">
            <w:pPr>
              <w:pStyle w:val="Tablebodytext"/>
              <w:jc w:val="right"/>
              <w:rPr>
                <w:szCs w:val="20"/>
                <w:lang w:eastAsia="en-AU"/>
              </w:rPr>
            </w:pPr>
            <w:r w:rsidRPr="003715C0">
              <w:rPr>
                <w:szCs w:val="20"/>
                <w:lang w:eastAsia="en-AU"/>
              </w:rPr>
              <w:t>0.0</w:t>
            </w:r>
          </w:p>
        </w:tc>
        <w:tc>
          <w:tcPr>
            <w:tcW w:w="476" w:type="pct"/>
            <w:noWrap/>
            <w:vAlign w:val="center"/>
            <w:hideMark/>
          </w:tcPr>
          <w:p w14:paraId="6C30BCEB" w14:textId="77777777" w:rsidR="006662A6" w:rsidRPr="003715C0" w:rsidRDefault="006662A6" w:rsidP="003715C0">
            <w:pPr>
              <w:pStyle w:val="Tablebodytext"/>
              <w:jc w:val="right"/>
              <w:rPr>
                <w:szCs w:val="20"/>
                <w:lang w:eastAsia="en-AU"/>
              </w:rPr>
            </w:pPr>
            <w:r w:rsidRPr="003715C0">
              <w:rPr>
                <w:szCs w:val="20"/>
                <w:lang w:eastAsia="en-AU"/>
              </w:rPr>
              <w:t>0.2</w:t>
            </w:r>
          </w:p>
        </w:tc>
        <w:tc>
          <w:tcPr>
            <w:tcW w:w="476" w:type="pct"/>
            <w:noWrap/>
            <w:vAlign w:val="center"/>
            <w:hideMark/>
          </w:tcPr>
          <w:p w14:paraId="24CC830D" w14:textId="77777777" w:rsidR="006662A6" w:rsidRPr="003715C0" w:rsidRDefault="006662A6" w:rsidP="003715C0">
            <w:pPr>
              <w:pStyle w:val="Tablebodytext"/>
              <w:jc w:val="right"/>
              <w:rPr>
                <w:szCs w:val="20"/>
                <w:lang w:eastAsia="en-AU"/>
              </w:rPr>
            </w:pPr>
            <w:r w:rsidRPr="003715C0">
              <w:rPr>
                <w:szCs w:val="20"/>
                <w:lang w:eastAsia="en-AU"/>
              </w:rPr>
              <w:t>0.9</w:t>
            </w:r>
          </w:p>
        </w:tc>
        <w:tc>
          <w:tcPr>
            <w:tcW w:w="476" w:type="pct"/>
            <w:noWrap/>
            <w:vAlign w:val="center"/>
            <w:hideMark/>
          </w:tcPr>
          <w:p w14:paraId="54CC50FB" w14:textId="77777777" w:rsidR="006662A6" w:rsidRPr="003715C0" w:rsidRDefault="006662A6" w:rsidP="003715C0">
            <w:pPr>
              <w:pStyle w:val="Tablebodytext"/>
              <w:jc w:val="right"/>
              <w:rPr>
                <w:szCs w:val="20"/>
                <w:lang w:eastAsia="en-AU"/>
              </w:rPr>
            </w:pPr>
            <w:r w:rsidRPr="003715C0">
              <w:rPr>
                <w:szCs w:val="20"/>
                <w:lang w:eastAsia="en-AU"/>
              </w:rPr>
              <w:t>1.2</w:t>
            </w:r>
          </w:p>
        </w:tc>
        <w:tc>
          <w:tcPr>
            <w:tcW w:w="476" w:type="pct"/>
            <w:noWrap/>
            <w:vAlign w:val="center"/>
            <w:hideMark/>
          </w:tcPr>
          <w:p w14:paraId="3D4B7D0F" w14:textId="77777777" w:rsidR="006662A6" w:rsidRPr="003715C0" w:rsidRDefault="006662A6" w:rsidP="003715C0">
            <w:pPr>
              <w:pStyle w:val="Tablebodytext"/>
              <w:jc w:val="right"/>
              <w:rPr>
                <w:szCs w:val="20"/>
                <w:lang w:eastAsia="en-AU"/>
              </w:rPr>
            </w:pPr>
            <w:r w:rsidRPr="003715C0">
              <w:rPr>
                <w:szCs w:val="20"/>
                <w:lang w:eastAsia="en-AU"/>
              </w:rPr>
              <w:t>1.9</w:t>
            </w:r>
          </w:p>
        </w:tc>
        <w:tc>
          <w:tcPr>
            <w:tcW w:w="476" w:type="pct"/>
            <w:noWrap/>
            <w:vAlign w:val="center"/>
            <w:hideMark/>
          </w:tcPr>
          <w:p w14:paraId="1409740E" w14:textId="77777777" w:rsidR="006662A6" w:rsidRPr="003715C0" w:rsidRDefault="006662A6" w:rsidP="003715C0">
            <w:pPr>
              <w:pStyle w:val="Tablebodytext"/>
              <w:jc w:val="right"/>
              <w:rPr>
                <w:szCs w:val="20"/>
                <w:lang w:eastAsia="en-AU"/>
              </w:rPr>
            </w:pPr>
            <w:r w:rsidRPr="003715C0">
              <w:rPr>
                <w:szCs w:val="20"/>
                <w:lang w:eastAsia="en-AU"/>
              </w:rPr>
              <w:t>1.4</w:t>
            </w:r>
          </w:p>
        </w:tc>
        <w:tc>
          <w:tcPr>
            <w:tcW w:w="476" w:type="pct"/>
            <w:noWrap/>
            <w:vAlign w:val="center"/>
            <w:hideMark/>
          </w:tcPr>
          <w:p w14:paraId="49B5FB20" w14:textId="77777777" w:rsidR="006662A6" w:rsidRPr="003715C0" w:rsidRDefault="006662A6" w:rsidP="003715C0">
            <w:pPr>
              <w:pStyle w:val="Tablebodytext"/>
              <w:jc w:val="right"/>
              <w:rPr>
                <w:szCs w:val="20"/>
                <w:lang w:eastAsia="en-AU"/>
              </w:rPr>
            </w:pPr>
            <w:r w:rsidRPr="003715C0">
              <w:rPr>
                <w:szCs w:val="20"/>
                <w:lang w:eastAsia="en-AU"/>
              </w:rPr>
              <w:t>2.3</w:t>
            </w:r>
          </w:p>
        </w:tc>
        <w:tc>
          <w:tcPr>
            <w:tcW w:w="476" w:type="pct"/>
            <w:noWrap/>
            <w:vAlign w:val="center"/>
            <w:hideMark/>
          </w:tcPr>
          <w:p w14:paraId="656FE3BF" w14:textId="77777777" w:rsidR="006662A6" w:rsidRPr="003715C0" w:rsidRDefault="006662A6" w:rsidP="003715C0">
            <w:pPr>
              <w:pStyle w:val="Tablebodytext"/>
              <w:jc w:val="right"/>
              <w:rPr>
                <w:szCs w:val="20"/>
                <w:lang w:eastAsia="en-AU"/>
              </w:rPr>
            </w:pPr>
            <w:r w:rsidRPr="003715C0">
              <w:rPr>
                <w:szCs w:val="20"/>
                <w:lang w:eastAsia="en-AU"/>
              </w:rPr>
              <w:t>3.3</w:t>
            </w:r>
          </w:p>
        </w:tc>
        <w:tc>
          <w:tcPr>
            <w:tcW w:w="476" w:type="pct"/>
            <w:noWrap/>
            <w:vAlign w:val="center"/>
            <w:hideMark/>
          </w:tcPr>
          <w:p w14:paraId="10811086" w14:textId="77777777" w:rsidR="006662A6" w:rsidRPr="003715C0" w:rsidRDefault="006662A6" w:rsidP="003715C0">
            <w:pPr>
              <w:pStyle w:val="Tablebodytext"/>
              <w:jc w:val="right"/>
              <w:rPr>
                <w:szCs w:val="20"/>
                <w:lang w:eastAsia="en-AU"/>
              </w:rPr>
            </w:pPr>
            <w:r w:rsidRPr="003715C0">
              <w:rPr>
                <w:szCs w:val="20"/>
                <w:lang w:eastAsia="en-AU"/>
              </w:rPr>
              <w:t>4.3</w:t>
            </w:r>
          </w:p>
        </w:tc>
      </w:tr>
      <w:tr w:rsidR="006662A6" w:rsidRPr="003715C0" w14:paraId="4B283ABB" w14:textId="77777777" w:rsidTr="003715C0">
        <w:trPr>
          <w:cnfStyle w:val="000000010000" w:firstRow="0" w:lastRow="0" w:firstColumn="0" w:lastColumn="0" w:oddVBand="0" w:evenVBand="0" w:oddHBand="0" w:evenHBand="1" w:firstRowFirstColumn="0" w:firstRowLastColumn="0" w:lastRowFirstColumn="0" w:lastRowLastColumn="0"/>
          <w:trHeight w:val="255"/>
        </w:trPr>
        <w:tc>
          <w:tcPr>
            <w:tcW w:w="718" w:type="pct"/>
            <w:noWrap/>
            <w:hideMark/>
          </w:tcPr>
          <w:p w14:paraId="023E434B" w14:textId="77777777" w:rsidR="006662A6" w:rsidRPr="003715C0" w:rsidRDefault="006662A6" w:rsidP="003715C0">
            <w:pPr>
              <w:pStyle w:val="Tablebodytext"/>
              <w:rPr>
                <w:szCs w:val="20"/>
                <w:lang w:eastAsia="en-AU"/>
              </w:rPr>
            </w:pPr>
            <w:r w:rsidRPr="003715C0">
              <w:rPr>
                <w:szCs w:val="20"/>
                <w:lang w:eastAsia="en-AU"/>
              </w:rPr>
              <w:t>Mozambique</w:t>
            </w:r>
          </w:p>
        </w:tc>
        <w:tc>
          <w:tcPr>
            <w:tcW w:w="476" w:type="pct"/>
            <w:noWrap/>
            <w:vAlign w:val="center"/>
            <w:hideMark/>
          </w:tcPr>
          <w:p w14:paraId="29A84421" w14:textId="77777777" w:rsidR="006662A6" w:rsidRPr="003715C0" w:rsidRDefault="006662A6" w:rsidP="003715C0">
            <w:pPr>
              <w:pStyle w:val="Tablebodytext"/>
              <w:jc w:val="right"/>
              <w:rPr>
                <w:szCs w:val="20"/>
                <w:lang w:eastAsia="en-AU"/>
              </w:rPr>
            </w:pPr>
            <w:r w:rsidRPr="003715C0">
              <w:rPr>
                <w:szCs w:val="20"/>
                <w:lang w:eastAsia="en-AU"/>
              </w:rPr>
              <w:t>0.0</w:t>
            </w:r>
          </w:p>
        </w:tc>
        <w:tc>
          <w:tcPr>
            <w:tcW w:w="476" w:type="pct"/>
            <w:noWrap/>
            <w:vAlign w:val="center"/>
            <w:hideMark/>
          </w:tcPr>
          <w:p w14:paraId="374A5C17" w14:textId="77777777" w:rsidR="006662A6" w:rsidRPr="003715C0" w:rsidRDefault="006662A6" w:rsidP="003715C0">
            <w:pPr>
              <w:pStyle w:val="Tablebodytext"/>
              <w:jc w:val="right"/>
              <w:rPr>
                <w:szCs w:val="20"/>
                <w:lang w:eastAsia="en-AU"/>
              </w:rPr>
            </w:pPr>
            <w:r w:rsidRPr="003715C0">
              <w:rPr>
                <w:szCs w:val="20"/>
                <w:lang w:eastAsia="en-AU"/>
              </w:rPr>
              <w:t>0.0</w:t>
            </w:r>
          </w:p>
        </w:tc>
        <w:tc>
          <w:tcPr>
            <w:tcW w:w="476" w:type="pct"/>
            <w:noWrap/>
            <w:vAlign w:val="center"/>
            <w:hideMark/>
          </w:tcPr>
          <w:p w14:paraId="3ABBAE61" w14:textId="77777777" w:rsidR="006662A6" w:rsidRPr="003715C0" w:rsidRDefault="006662A6" w:rsidP="003715C0">
            <w:pPr>
              <w:pStyle w:val="Tablebodytext"/>
              <w:jc w:val="right"/>
              <w:rPr>
                <w:szCs w:val="20"/>
                <w:lang w:eastAsia="en-AU"/>
              </w:rPr>
            </w:pPr>
            <w:r w:rsidRPr="003715C0">
              <w:rPr>
                <w:szCs w:val="20"/>
                <w:lang w:eastAsia="en-AU"/>
              </w:rPr>
              <w:t>0.9</w:t>
            </w:r>
          </w:p>
        </w:tc>
        <w:tc>
          <w:tcPr>
            <w:tcW w:w="476" w:type="pct"/>
            <w:noWrap/>
            <w:vAlign w:val="center"/>
            <w:hideMark/>
          </w:tcPr>
          <w:p w14:paraId="4D1D98C7" w14:textId="77777777" w:rsidR="006662A6" w:rsidRPr="003715C0" w:rsidRDefault="006662A6" w:rsidP="003715C0">
            <w:pPr>
              <w:pStyle w:val="Tablebodytext"/>
              <w:jc w:val="right"/>
              <w:rPr>
                <w:szCs w:val="20"/>
                <w:lang w:eastAsia="en-AU"/>
              </w:rPr>
            </w:pPr>
            <w:r w:rsidRPr="003715C0">
              <w:rPr>
                <w:szCs w:val="20"/>
                <w:lang w:eastAsia="en-AU"/>
              </w:rPr>
              <w:t>1.0</w:t>
            </w:r>
          </w:p>
        </w:tc>
        <w:tc>
          <w:tcPr>
            <w:tcW w:w="476" w:type="pct"/>
            <w:noWrap/>
            <w:vAlign w:val="center"/>
            <w:hideMark/>
          </w:tcPr>
          <w:p w14:paraId="037AE675" w14:textId="77777777" w:rsidR="006662A6" w:rsidRPr="003715C0" w:rsidRDefault="006662A6" w:rsidP="003715C0">
            <w:pPr>
              <w:pStyle w:val="Tablebodytext"/>
              <w:jc w:val="right"/>
              <w:rPr>
                <w:szCs w:val="20"/>
                <w:lang w:eastAsia="en-AU"/>
              </w:rPr>
            </w:pPr>
            <w:r w:rsidRPr="003715C0">
              <w:rPr>
                <w:szCs w:val="20"/>
                <w:lang w:eastAsia="en-AU"/>
              </w:rPr>
              <w:t>1.4</w:t>
            </w:r>
          </w:p>
        </w:tc>
        <w:tc>
          <w:tcPr>
            <w:tcW w:w="476" w:type="pct"/>
            <w:noWrap/>
            <w:vAlign w:val="center"/>
            <w:hideMark/>
          </w:tcPr>
          <w:p w14:paraId="1CE7DA04" w14:textId="77777777" w:rsidR="006662A6" w:rsidRPr="003715C0" w:rsidRDefault="006662A6" w:rsidP="003715C0">
            <w:pPr>
              <w:pStyle w:val="Tablebodytext"/>
              <w:jc w:val="right"/>
              <w:rPr>
                <w:szCs w:val="20"/>
                <w:lang w:eastAsia="en-AU"/>
              </w:rPr>
            </w:pPr>
            <w:r w:rsidRPr="003715C0">
              <w:rPr>
                <w:szCs w:val="20"/>
                <w:lang w:eastAsia="en-AU"/>
              </w:rPr>
              <w:t>1.9</w:t>
            </w:r>
          </w:p>
        </w:tc>
        <w:tc>
          <w:tcPr>
            <w:tcW w:w="476" w:type="pct"/>
            <w:noWrap/>
            <w:vAlign w:val="center"/>
            <w:hideMark/>
          </w:tcPr>
          <w:p w14:paraId="05A3982F" w14:textId="77777777" w:rsidR="006662A6" w:rsidRPr="003715C0" w:rsidRDefault="006662A6" w:rsidP="003715C0">
            <w:pPr>
              <w:pStyle w:val="Tablebodytext"/>
              <w:jc w:val="right"/>
              <w:rPr>
                <w:szCs w:val="20"/>
                <w:lang w:eastAsia="en-AU"/>
              </w:rPr>
            </w:pPr>
            <w:r w:rsidRPr="003715C0">
              <w:rPr>
                <w:szCs w:val="20"/>
                <w:lang w:eastAsia="en-AU"/>
              </w:rPr>
              <w:t>0.9</w:t>
            </w:r>
          </w:p>
        </w:tc>
        <w:tc>
          <w:tcPr>
            <w:tcW w:w="476" w:type="pct"/>
            <w:noWrap/>
            <w:vAlign w:val="center"/>
            <w:hideMark/>
          </w:tcPr>
          <w:p w14:paraId="7011F68C" w14:textId="77777777" w:rsidR="006662A6" w:rsidRPr="003715C0" w:rsidRDefault="006662A6" w:rsidP="003715C0">
            <w:pPr>
              <w:pStyle w:val="Tablebodytext"/>
              <w:jc w:val="right"/>
              <w:rPr>
                <w:szCs w:val="20"/>
                <w:lang w:eastAsia="en-AU"/>
              </w:rPr>
            </w:pPr>
            <w:r w:rsidRPr="003715C0">
              <w:rPr>
                <w:szCs w:val="20"/>
                <w:lang w:eastAsia="en-AU"/>
              </w:rPr>
              <w:t>2.4</w:t>
            </w:r>
          </w:p>
        </w:tc>
        <w:tc>
          <w:tcPr>
            <w:tcW w:w="476" w:type="pct"/>
            <w:noWrap/>
            <w:vAlign w:val="center"/>
            <w:hideMark/>
          </w:tcPr>
          <w:p w14:paraId="7C2C50E4" w14:textId="77777777" w:rsidR="006662A6" w:rsidRPr="003715C0" w:rsidRDefault="006662A6" w:rsidP="003715C0">
            <w:pPr>
              <w:pStyle w:val="Tablebodytext"/>
              <w:jc w:val="right"/>
              <w:rPr>
                <w:szCs w:val="20"/>
                <w:lang w:eastAsia="en-AU"/>
              </w:rPr>
            </w:pPr>
            <w:r w:rsidRPr="003715C0">
              <w:rPr>
                <w:szCs w:val="20"/>
                <w:lang w:eastAsia="en-AU"/>
              </w:rPr>
              <w:t>2.2</w:t>
            </w:r>
          </w:p>
        </w:tc>
      </w:tr>
      <w:tr w:rsidR="006662A6" w:rsidRPr="003715C0" w14:paraId="4449873E" w14:textId="77777777" w:rsidTr="003715C0">
        <w:trPr>
          <w:cnfStyle w:val="000000100000" w:firstRow="0" w:lastRow="0" w:firstColumn="0" w:lastColumn="0" w:oddVBand="0" w:evenVBand="0" w:oddHBand="1" w:evenHBand="0" w:firstRowFirstColumn="0" w:firstRowLastColumn="0" w:lastRowFirstColumn="0" w:lastRowLastColumn="0"/>
          <w:trHeight w:val="255"/>
        </w:trPr>
        <w:tc>
          <w:tcPr>
            <w:tcW w:w="718" w:type="pct"/>
            <w:noWrap/>
            <w:hideMark/>
          </w:tcPr>
          <w:p w14:paraId="6161F42B" w14:textId="77777777" w:rsidR="006662A6" w:rsidRPr="003715C0" w:rsidRDefault="006662A6" w:rsidP="003715C0">
            <w:pPr>
              <w:pStyle w:val="Tablebodytext"/>
              <w:rPr>
                <w:szCs w:val="20"/>
                <w:lang w:eastAsia="en-AU"/>
              </w:rPr>
            </w:pPr>
            <w:r w:rsidRPr="003715C0">
              <w:rPr>
                <w:szCs w:val="20"/>
                <w:lang w:eastAsia="en-AU"/>
              </w:rPr>
              <w:t>Rest of world</w:t>
            </w:r>
          </w:p>
        </w:tc>
        <w:tc>
          <w:tcPr>
            <w:tcW w:w="476" w:type="pct"/>
            <w:noWrap/>
            <w:vAlign w:val="center"/>
            <w:hideMark/>
          </w:tcPr>
          <w:p w14:paraId="05E10678" w14:textId="77777777" w:rsidR="006662A6" w:rsidRPr="003715C0" w:rsidRDefault="006662A6" w:rsidP="003715C0">
            <w:pPr>
              <w:pStyle w:val="Tablebodytext"/>
              <w:jc w:val="right"/>
              <w:rPr>
                <w:szCs w:val="20"/>
                <w:lang w:eastAsia="en-AU"/>
              </w:rPr>
            </w:pPr>
            <w:r w:rsidRPr="003715C0">
              <w:rPr>
                <w:szCs w:val="20"/>
                <w:lang w:eastAsia="en-AU"/>
              </w:rPr>
              <w:t>2.1</w:t>
            </w:r>
          </w:p>
        </w:tc>
        <w:tc>
          <w:tcPr>
            <w:tcW w:w="476" w:type="pct"/>
            <w:noWrap/>
            <w:vAlign w:val="center"/>
            <w:hideMark/>
          </w:tcPr>
          <w:p w14:paraId="24C1CBD7" w14:textId="77777777" w:rsidR="006662A6" w:rsidRPr="003715C0" w:rsidRDefault="006662A6" w:rsidP="003715C0">
            <w:pPr>
              <w:pStyle w:val="Tablebodytext"/>
              <w:jc w:val="right"/>
              <w:rPr>
                <w:szCs w:val="20"/>
                <w:lang w:eastAsia="en-AU"/>
              </w:rPr>
            </w:pPr>
            <w:r w:rsidRPr="003715C0">
              <w:rPr>
                <w:szCs w:val="20"/>
                <w:lang w:eastAsia="en-AU"/>
              </w:rPr>
              <w:t>3.0</w:t>
            </w:r>
          </w:p>
        </w:tc>
        <w:tc>
          <w:tcPr>
            <w:tcW w:w="476" w:type="pct"/>
            <w:noWrap/>
            <w:vAlign w:val="center"/>
            <w:hideMark/>
          </w:tcPr>
          <w:p w14:paraId="39B5AAF5" w14:textId="77777777" w:rsidR="006662A6" w:rsidRPr="003715C0" w:rsidRDefault="006662A6" w:rsidP="003715C0">
            <w:pPr>
              <w:pStyle w:val="Tablebodytext"/>
              <w:jc w:val="right"/>
              <w:rPr>
                <w:szCs w:val="20"/>
                <w:lang w:eastAsia="en-AU"/>
              </w:rPr>
            </w:pPr>
            <w:r w:rsidRPr="003715C0">
              <w:rPr>
                <w:szCs w:val="20"/>
                <w:lang w:eastAsia="en-AU"/>
              </w:rPr>
              <w:t>3.0</w:t>
            </w:r>
          </w:p>
        </w:tc>
        <w:tc>
          <w:tcPr>
            <w:tcW w:w="476" w:type="pct"/>
            <w:noWrap/>
            <w:vAlign w:val="center"/>
            <w:hideMark/>
          </w:tcPr>
          <w:p w14:paraId="096C4728" w14:textId="77777777" w:rsidR="006662A6" w:rsidRPr="003715C0" w:rsidRDefault="006662A6" w:rsidP="003715C0">
            <w:pPr>
              <w:pStyle w:val="Tablebodytext"/>
              <w:jc w:val="right"/>
              <w:rPr>
                <w:szCs w:val="20"/>
                <w:lang w:eastAsia="en-AU"/>
              </w:rPr>
            </w:pPr>
            <w:r w:rsidRPr="003715C0">
              <w:rPr>
                <w:szCs w:val="20"/>
                <w:lang w:eastAsia="en-AU"/>
              </w:rPr>
              <w:t>2.2</w:t>
            </w:r>
          </w:p>
        </w:tc>
        <w:tc>
          <w:tcPr>
            <w:tcW w:w="476" w:type="pct"/>
            <w:noWrap/>
            <w:vAlign w:val="center"/>
            <w:hideMark/>
          </w:tcPr>
          <w:p w14:paraId="19F28E51" w14:textId="77777777" w:rsidR="006662A6" w:rsidRPr="003715C0" w:rsidRDefault="006662A6" w:rsidP="003715C0">
            <w:pPr>
              <w:pStyle w:val="Tablebodytext"/>
              <w:jc w:val="right"/>
              <w:rPr>
                <w:szCs w:val="20"/>
                <w:lang w:eastAsia="en-AU"/>
              </w:rPr>
            </w:pPr>
            <w:r w:rsidRPr="003715C0">
              <w:rPr>
                <w:szCs w:val="20"/>
                <w:lang w:eastAsia="en-AU"/>
              </w:rPr>
              <w:t>1.3</w:t>
            </w:r>
          </w:p>
        </w:tc>
        <w:tc>
          <w:tcPr>
            <w:tcW w:w="476" w:type="pct"/>
            <w:noWrap/>
            <w:vAlign w:val="center"/>
            <w:hideMark/>
          </w:tcPr>
          <w:p w14:paraId="094A8987" w14:textId="77777777" w:rsidR="006662A6" w:rsidRPr="003715C0" w:rsidRDefault="006662A6" w:rsidP="003715C0">
            <w:pPr>
              <w:pStyle w:val="Tablebodytext"/>
              <w:jc w:val="right"/>
              <w:rPr>
                <w:szCs w:val="20"/>
                <w:lang w:eastAsia="en-AU"/>
              </w:rPr>
            </w:pPr>
            <w:r w:rsidRPr="003715C0">
              <w:rPr>
                <w:szCs w:val="20"/>
                <w:lang w:eastAsia="en-AU"/>
              </w:rPr>
              <w:t>1.2</w:t>
            </w:r>
          </w:p>
        </w:tc>
        <w:tc>
          <w:tcPr>
            <w:tcW w:w="476" w:type="pct"/>
            <w:noWrap/>
            <w:vAlign w:val="center"/>
            <w:hideMark/>
          </w:tcPr>
          <w:p w14:paraId="0B8ABA31" w14:textId="77777777" w:rsidR="006662A6" w:rsidRPr="003715C0" w:rsidRDefault="006662A6" w:rsidP="003715C0">
            <w:pPr>
              <w:pStyle w:val="Tablebodytext"/>
              <w:jc w:val="right"/>
              <w:rPr>
                <w:szCs w:val="20"/>
                <w:lang w:eastAsia="en-AU"/>
              </w:rPr>
            </w:pPr>
            <w:r w:rsidRPr="003715C0">
              <w:rPr>
                <w:szCs w:val="20"/>
                <w:lang w:eastAsia="en-AU"/>
              </w:rPr>
              <w:t>0.8</w:t>
            </w:r>
          </w:p>
        </w:tc>
        <w:tc>
          <w:tcPr>
            <w:tcW w:w="476" w:type="pct"/>
            <w:noWrap/>
            <w:vAlign w:val="center"/>
            <w:hideMark/>
          </w:tcPr>
          <w:p w14:paraId="64159B7A" w14:textId="77777777" w:rsidR="006662A6" w:rsidRPr="003715C0" w:rsidRDefault="006662A6" w:rsidP="003715C0">
            <w:pPr>
              <w:pStyle w:val="Tablebodytext"/>
              <w:jc w:val="right"/>
              <w:rPr>
                <w:szCs w:val="20"/>
                <w:lang w:eastAsia="en-AU"/>
              </w:rPr>
            </w:pPr>
            <w:r w:rsidRPr="003715C0">
              <w:rPr>
                <w:szCs w:val="20"/>
                <w:lang w:eastAsia="en-AU"/>
              </w:rPr>
              <w:t>2.3</w:t>
            </w:r>
          </w:p>
        </w:tc>
        <w:tc>
          <w:tcPr>
            <w:tcW w:w="476" w:type="pct"/>
            <w:noWrap/>
            <w:vAlign w:val="center"/>
            <w:hideMark/>
          </w:tcPr>
          <w:p w14:paraId="2BFA8192" w14:textId="77777777" w:rsidR="006662A6" w:rsidRPr="003715C0" w:rsidRDefault="006662A6" w:rsidP="003715C0">
            <w:pPr>
              <w:pStyle w:val="Tablebodytext"/>
              <w:jc w:val="right"/>
              <w:rPr>
                <w:szCs w:val="20"/>
                <w:lang w:eastAsia="en-AU"/>
              </w:rPr>
            </w:pPr>
            <w:r w:rsidRPr="003715C0">
              <w:rPr>
                <w:szCs w:val="20"/>
                <w:lang w:eastAsia="en-AU"/>
              </w:rPr>
              <w:t>4.2</w:t>
            </w:r>
          </w:p>
        </w:tc>
      </w:tr>
      <w:tr w:rsidR="006662A6" w:rsidRPr="003715C0" w14:paraId="7333656F" w14:textId="77777777" w:rsidTr="003715C0">
        <w:trPr>
          <w:cnfStyle w:val="000000010000" w:firstRow="0" w:lastRow="0" w:firstColumn="0" w:lastColumn="0" w:oddVBand="0" w:evenVBand="0" w:oddHBand="0" w:evenHBand="1" w:firstRowFirstColumn="0" w:firstRowLastColumn="0" w:lastRowFirstColumn="0" w:lastRowLastColumn="0"/>
          <w:trHeight w:val="255"/>
        </w:trPr>
        <w:tc>
          <w:tcPr>
            <w:tcW w:w="718" w:type="pct"/>
            <w:noWrap/>
            <w:hideMark/>
          </w:tcPr>
          <w:p w14:paraId="53D6411F" w14:textId="0256CFBF" w:rsidR="006662A6" w:rsidRPr="003715C0" w:rsidRDefault="006662A6" w:rsidP="003715C0">
            <w:pPr>
              <w:pStyle w:val="Tablebodytext"/>
              <w:rPr>
                <w:b/>
                <w:szCs w:val="20"/>
                <w:lang w:eastAsia="en-AU"/>
              </w:rPr>
            </w:pPr>
            <w:r w:rsidRPr="003715C0">
              <w:rPr>
                <w:b/>
                <w:szCs w:val="20"/>
                <w:lang w:eastAsia="en-AU"/>
              </w:rPr>
              <w:t>Total</w:t>
            </w:r>
            <w:r>
              <w:rPr>
                <w:b/>
                <w:szCs w:val="20"/>
                <w:lang w:eastAsia="en-AU"/>
              </w:rPr>
              <w:t xml:space="preserve"> metallurgical coal imports</w:t>
            </w:r>
          </w:p>
        </w:tc>
        <w:tc>
          <w:tcPr>
            <w:tcW w:w="476" w:type="pct"/>
            <w:noWrap/>
            <w:vAlign w:val="center"/>
            <w:hideMark/>
          </w:tcPr>
          <w:p w14:paraId="5D8D15CE" w14:textId="77777777" w:rsidR="006662A6" w:rsidRPr="003715C0" w:rsidRDefault="006662A6" w:rsidP="003715C0">
            <w:pPr>
              <w:pStyle w:val="Tablebodytext"/>
              <w:jc w:val="right"/>
              <w:rPr>
                <w:b/>
                <w:szCs w:val="20"/>
                <w:lang w:eastAsia="en-AU"/>
              </w:rPr>
            </w:pPr>
            <w:r w:rsidRPr="003715C0">
              <w:rPr>
                <w:b/>
                <w:szCs w:val="20"/>
                <w:lang w:eastAsia="en-AU"/>
              </w:rPr>
              <w:t>19.5</w:t>
            </w:r>
          </w:p>
        </w:tc>
        <w:tc>
          <w:tcPr>
            <w:tcW w:w="476" w:type="pct"/>
            <w:noWrap/>
            <w:vAlign w:val="center"/>
            <w:hideMark/>
          </w:tcPr>
          <w:p w14:paraId="088A6DFC" w14:textId="77777777" w:rsidR="006662A6" w:rsidRPr="003715C0" w:rsidRDefault="006662A6" w:rsidP="003715C0">
            <w:pPr>
              <w:pStyle w:val="Tablebodytext"/>
              <w:jc w:val="right"/>
              <w:rPr>
                <w:b/>
                <w:szCs w:val="20"/>
                <w:lang w:eastAsia="en-AU"/>
              </w:rPr>
            </w:pPr>
            <w:r w:rsidRPr="003715C0">
              <w:rPr>
                <w:b/>
                <w:szCs w:val="20"/>
                <w:lang w:eastAsia="en-AU"/>
              </w:rPr>
              <w:t>31.8</w:t>
            </w:r>
          </w:p>
        </w:tc>
        <w:tc>
          <w:tcPr>
            <w:tcW w:w="476" w:type="pct"/>
            <w:noWrap/>
            <w:vAlign w:val="center"/>
            <w:hideMark/>
          </w:tcPr>
          <w:p w14:paraId="41AA1079" w14:textId="77777777" w:rsidR="006662A6" w:rsidRPr="003715C0" w:rsidRDefault="006662A6" w:rsidP="003715C0">
            <w:pPr>
              <w:pStyle w:val="Tablebodytext"/>
              <w:jc w:val="right"/>
              <w:rPr>
                <w:b/>
                <w:szCs w:val="20"/>
                <w:lang w:eastAsia="en-AU"/>
              </w:rPr>
            </w:pPr>
            <w:r w:rsidRPr="003715C0">
              <w:rPr>
                <w:b/>
                <w:szCs w:val="20"/>
                <w:lang w:eastAsia="en-AU"/>
              </w:rPr>
              <w:t>35.6</w:t>
            </w:r>
          </w:p>
        </w:tc>
        <w:tc>
          <w:tcPr>
            <w:tcW w:w="476" w:type="pct"/>
            <w:noWrap/>
            <w:vAlign w:val="center"/>
            <w:hideMark/>
          </w:tcPr>
          <w:p w14:paraId="3446C714" w14:textId="77777777" w:rsidR="006662A6" w:rsidRPr="003715C0" w:rsidRDefault="006662A6" w:rsidP="003715C0">
            <w:pPr>
              <w:pStyle w:val="Tablebodytext"/>
              <w:jc w:val="right"/>
              <w:rPr>
                <w:b/>
                <w:szCs w:val="20"/>
                <w:lang w:eastAsia="en-AU"/>
              </w:rPr>
            </w:pPr>
            <w:r w:rsidRPr="003715C0">
              <w:rPr>
                <w:b/>
                <w:szCs w:val="20"/>
                <w:lang w:eastAsia="en-AU"/>
              </w:rPr>
              <w:t>36.9</w:t>
            </w:r>
          </w:p>
        </w:tc>
        <w:tc>
          <w:tcPr>
            <w:tcW w:w="476" w:type="pct"/>
            <w:noWrap/>
            <w:vAlign w:val="center"/>
            <w:hideMark/>
          </w:tcPr>
          <w:p w14:paraId="1A500AEE" w14:textId="77777777" w:rsidR="006662A6" w:rsidRPr="003715C0" w:rsidRDefault="006662A6" w:rsidP="003715C0">
            <w:pPr>
              <w:pStyle w:val="Tablebodytext"/>
              <w:jc w:val="right"/>
              <w:rPr>
                <w:b/>
                <w:szCs w:val="20"/>
                <w:lang w:eastAsia="en-AU"/>
              </w:rPr>
            </w:pPr>
            <w:r w:rsidRPr="003715C0">
              <w:rPr>
                <w:b/>
                <w:szCs w:val="20"/>
                <w:lang w:eastAsia="en-AU"/>
              </w:rPr>
              <w:t>43.7</w:t>
            </w:r>
          </w:p>
        </w:tc>
        <w:tc>
          <w:tcPr>
            <w:tcW w:w="476" w:type="pct"/>
            <w:noWrap/>
            <w:vAlign w:val="center"/>
            <w:hideMark/>
          </w:tcPr>
          <w:p w14:paraId="0BC01CF0" w14:textId="77777777" w:rsidR="006662A6" w:rsidRPr="003715C0" w:rsidRDefault="006662A6" w:rsidP="003715C0">
            <w:pPr>
              <w:pStyle w:val="Tablebodytext"/>
              <w:jc w:val="right"/>
              <w:rPr>
                <w:b/>
                <w:szCs w:val="20"/>
                <w:lang w:eastAsia="en-AU"/>
              </w:rPr>
            </w:pPr>
            <w:r w:rsidRPr="003715C0">
              <w:rPr>
                <w:b/>
                <w:szCs w:val="20"/>
                <w:lang w:eastAsia="en-AU"/>
              </w:rPr>
              <w:t>44.6</w:t>
            </w:r>
          </w:p>
        </w:tc>
        <w:tc>
          <w:tcPr>
            <w:tcW w:w="476" w:type="pct"/>
            <w:noWrap/>
            <w:vAlign w:val="center"/>
            <w:hideMark/>
          </w:tcPr>
          <w:p w14:paraId="6422D9CF" w14:textId="77777777" w:rsidR="006662A6" w:rsidRPr="003715C0" w:rsidRDefault="006662A6" w:rsidP="003715C0">
            <w:pPr>
              <w:pStyle w:val="Tablebodytext"/>
              <w:jc w:val="right"/>
              <w:rPr>
                <w:b/>
                <w:szCs w:val="20"/>
                <w:lang w:eastAsia="en-AU"/>
              </w:rPr>
            </w:pPr>
            <w:r w:rsidRPr="003715C0">
              <w:rPr>
                <w:b/>
                <w:szCs w:val="20"/>
                <w:lang w:eastAsia="en-AU"/>
              </w:rPr>
              <w:t>41.6</w:t>
            </w:r>
          </w:p>
        </w:tc>
        <w:tc>
          <w:tcPr>
            <w:tcW w:w="476" w:type="pct"/>
            <w:noWrap/>
            <w:vAlign w:val="center"/>
            <w:hideMark/>
          </w:tcPr>
          <w:p w14:paraId="280AC400" w14:textId="77777777" w:rsidR="006662A6" w:rsidRPr="003715C0" w:rsidRDefault="006662A6" w:rsidP="003715C0">
            <w:pPr>
              <w:pStyle w:val="Tablebodytext"/>
              <w:jc w:val="right"/>
              <w:rPr>
                <w:b/>
                <w:szCs w:val="20"/>
                <w:lang w:eastAsia="en-AU"/>
              </w:rPr>
            </w:pPr>
            <w:r w:rsidRPr="003715C0">
              <w:rPr>
                <w:b/>
                <w:szCs w:val="20"/>
                <w:lang w:eastAsia="en-AU"/>
              </w:rPr>
              <w:t>47.0</w:t>
            </w:r>
          </w:p>
        </w:tc>
        <w:tc>
          <w:tcPr>
            <w:tcW w:w="476" w:type="pct"/>
            <w:noWrap/>
            <w:vAlign w:val="center"/>
            <w:hideMark/>
          </w:tcPr>
          <w:p w14:paraId="400DF9C2" w14:textId="77777777" w:rsidR="006662A6" w:rsidRPr="003715C0" w:rsidRDefault="006662A6" w:rsidP="003715C0">
            <w:pPr>
              <w:pStyle w:val="Tablebodytext"/>
              <w:jc w:val="right"/>
              <w:rPr>
                <w:b/>
                <w:szCs w:val="20"/>
                <w:lang w:eastAsia="en-AU"/>
              </w:rPr>
            </w:pPr>
            <w:r w:rsidRPr="003715C0">
              <w:rPr>
                <w:b/>
                <w:szCs w:val="20"/>
                <w:lang w:eastAsia="en-AU"/>
              </w:rPr>
              <w:t>51.8</w:t>
            </w:r>
          </w:p>
        </w:tc>
      </w:tr>
      <w:tr w:rsidR="006662A6" w:rsidRPr="003715C0" w14:paraId="42E89C23" w14:textId="77777777" w:rsidTr="003715C0">
        <w:trPr>
          <w:cnfStyle w:val="000000100000" w:firstRow="0" w:lastRow="0" w:firstColumn="0" w:lastColumn="0" w:oddVBand="0" w:evenVBand="0" w:oddHBand="1" w:evenHBand="0" w:firstRowFirstColumn="0" w:firstRowLastColumn="0" w:lastRowFirstColumn="0" w:lastRowLastColumn="0"/>
          <w:trHeight w:val="255"/>
        </w:trPr>
        <w:tc>
          <w:tcPr>
            <w:tcW w:w="718" w:type="pct"/>
            <w:noWrap/>
            <w:hideMark/>
          </w:tcPr>
          <w:p w14:paraId="15C74AFD" w14:textId="461A846B" w:rsidR="006662A6" w:rsidRPr="003715C0" w:rsidRDefault="006662A6" w:rsidP="003715C0">
            <w:pPr>
              <w:pStyle w:val="Tablebodytext"/>
              <w:rPr>
                <w:b/>
                <w:szCs w:val="20"/>
                <w:lang w:eastAsia="en-AU"/>
              </w:rPr>
            </w:pPr>
            <w:r w:rsidRPr="003715C0">
              <w:rPr>
                <w:b/>
                <w:szCs w:val="20"/>
                <w:lang w:eastAsia="en-AU"/>
              </w:rPr>
              <w:t>Australia's share</w:t>
            </w:r>
            <w:r>
              <w:rPr>
                <w:b/>
                <w:szCs w:val="20"/>
                <w:lang w:eastAsia="en-AU"/>
              </w:rPr>
              <w:t xml:space="preserve"> (per cent)</w:t>
            </w:r>
          </w:p>
        </w:tc>
        <w:tc>
          <w:tcPr>
            <w:tcW w:w="476" w:type="pct"/>
            <w:noWrap/>
            <w:vAlign w:val="center"/>
            <w:hideMark/>
          </w:tcPr>
          <w:p w14:paraId="19948289" w14:textId="77777777" w:rsidR="006662A6" w:rsidRPr="003715C0" w:rsidRDefault="006662A6" w:rsidP="003715C0">
            <w:pPr>
              <w:pStyle w:val="Tablebodytext"/>
              <w:jc w:val="right"/>
              <w:rPr>
                <w:b/>
                <w:szCs w:val="20"/>
                <w:lang w:eastAsia="en-AU"/>
              </w:rPr>
            </w:pPr>
            <w:r w:rsidRPr="003715C0">
              <w:rPr>
                <w:b/>
                <w:szCs w:val="20"/>
                <w:lang w:eastAsia="en-AU"/>
              </w:rPr>
              <w:t>81.9</w:t>
            </w:r>
          </w:p>
        </w:tc>
        <w:tc>
          <w:tcPr>
            <w:tcW w:w="476" w:type="pct"/>
            <w:noWrap/>
            <w:vAlign w:val="center"/>
            <w:hideMark/>
          </w:tcPr>
          <w:p w14:paraId="71608534" w14:textId="77777777" w:rsidR="006662A6" w:rsidRPr="003715C0" w:rsidRDefault="006662A6" w:rsidP="003715C0">
            <w:pPr>
              <w:pStyle w:val="Tablebodytext"/>
              <w:jc w:val="right"/>
              <w:rPr>
                <w:b/>
                <w:szCs w:val="20"/>
                <w:lang w:eastAsia="en-AU"/>
              </w:rPr>
            </w:pPr>
            <w:r w:rsidRPr="003715C0">
              <w:rPr>
                <w:b/>
                <w:szCs w:val="20"/>
                <w:lang w:eastAsia="en-AU"/>
              </w:rPr>
              <w:t>80.8</w:t>
            </w:r>
          </w:p>
        </w:tc>
        <w:tc>
          <w:tcPr>
            <w:tcW w:w="476" w:type="pct"/>
            <w:noWrap/>
            <w:vAlign w:val="center"/>
            <w:hideMark/>
          </w:tcPr>
          <w:p w14:paraId="1EE30804" w14:textId="77777777" w:rsidR="006662A6" w:rsidRPr="003715C0" w:rsidRDefault="006662A6" w:rsidP="003715C0">
            <w:pPr>
              <w:pStyle w:val="Tablebodytext"/>
              <w:jc w:val="right"/>
              <w:rPr>
                <w:b/>
                <w:szCs w:val="20"/>
                <w:lang w:eastAsia="en-AU"/>
              </w:rPr>
            </w:pPr>
            <w:r w:rsidRPr="003715C0">
              <w:rPr>
                <w:b/>
                <w:szCs w:val="20"/>
                <w:lang w:eastAsia="en-AU"/>
              </w:rPr>
              <w:t>77.3</w:t>
            </w:r>
          </w:p>
        </w:tc>
        <w:tc>
          <w:tcPr>
            <w:tcW w:w="476" w:type="pct"/>
            <w:noWrap/>
            <w:vAlign w:val="center"/>
            <w:hideMark/>
          </w:tcPr>
          <w:p w14:paraId="06B73921" w14:textId="77777777" w:rsidR="006662A6" w:rsidRPr="003715C0" w:rsidRDefault="006662A6" w:rsidP="003715C0">
            <w:pPr>
              <w:pStyle w:val="Tablebodytext"/>
              <w:jc w:val="right"/>
              <w:rPr>
                <w:b/>
                <w:szCs w:val="20"/>
                <w:lang w:eastAsia="en-AU"/>
              </w:rPr>
            </w:pPr>
            <w:r w:rsidRPr="003715C0">
              <w:rPr>
                <w:b/>
                <w:szCs w:val="20"/>
                <w:lang w:eastAsia="en-AU"/>
              </w:rPr>
              <w:t>80.8</w:t>
            </w:r>
          </w:p>
        </w:tc>
        <w:tc>
          <w:tcPr>
            <w:tcW w:w="476" w:type="pct"/>
            <w:noWrap/>
            <w:vAlign w:val="center"/>
            <w:hideMark/>
          </w:tcPr>
          <w:p w14:paraId="3E1758E4" w14:textId="77777777" w:rsidR="006662A6" w:rsidRPr="003715C0" w:rsidRDefault="006662A6" w:rsidP="003715C0">
            <w:pPr>
              <w:pStyle w:val="Tablebodytext"/>
              <w:jc w:val="right"/>
              <w:rPr>
                <w:b/>
                <w:szCs w:val="20"/>
                <w:lang w:eastAsia="en-AU"/>
              </w:rPr>
            </w:pPr>
            <w:r w:rsidRPr="003715C0">
              <w:rPr>
                <w:b/>
                <w:szCs w:val="20"/>
                <w:lang w:eastAsia="en-AU"/>
              </w:rPr>
              <w:t>85.8</w:t>
            </w:r>
          </w:p>
        </w:tc>
        <w:tc>
          <w:tcPr>
            <w:tcW w:w="476" w:type="pct"/>
            <w:noWrap/>
            <w:vAlign w:val="center"/>
            <w:hideMark/>
          </w:tcPr>
          <w:p w14:paraId="20B9FB9F" w14:textId="77777777" w:rsidR="006662A6" w:rsidRPr="003715C0" w:rsidRDefault="006662A6" w:rsidP="003715C0">
            <w:pPr>
              <w:pStyle w:val="Tablebodytext"/>
              <w:jc w:val="right"/>
              <w:rPr>
                <w:b/>
                <w:szCs w:val="20"/>
                <w:lang w:eastAsia="en-AU"/>
              </w:rPr>
            </w:pPr>
            <w:r w:rsidRPr="003715C0">
              <w:rPr>
                <w:b/>
                <w:szCs w:val="20"/>
                <w:lang w:eastAsia="en-AU"/>
              </w:rPr>
              <w:t>87.5</w:t>
            </w:r>
          </w:p>
        </w:tc>
        <w:tc>
          <w:tcPr>
            <w:tcW w:w="476" w:type="pct"/>
            <w:noWrap/>
            <w:vAlign w:val="center"/>
            <w:hideMark/>
          </w:tcPr>
          <w:p w14:paraId="19F6BF9B" w14:textId="77777777" w:rsidR="006662A6" w:rsidRPr="003715C0" w:rsidRDefault="006662A6" w:rsidP="003715C0">
            <w:pPr>
              <w:pStyle w:val="Tablebodytext"/>
              <w:jc w:val="right"/>
              <w:rPr>
                <w:b/>
                <w:szCs w:val="20"/>
                <w:lang w:eastAsia="en-AU"/>
              </w:rPr>
            </w:pPr>
            <w:r w:rsidRPr="003715C0">
              <w:rPr>
                <w:b/>
                <w:szCs w:val="20"/>
                <w:lang w:eastAsia="en-AU"/>
              </w:rPr>
              <w:t>87.7</w:t>
            </w:r>
          </w:p>
        </w:tc>
        <w:tc>
          <w:tcPr>
            <w:tcW w:w="476" w:type="pct"/>
            <w:noWrap/>
            <w:vAlign w:val="center"/>
            <w:hideMark/>
          </w:tcPr>
          <w:p w14:paraId="2A2163AB" w14:textId="77777777" w:rsidR="006662A6" w:rsidRPr="003715C0" w:rsidRDefault="006662A6" w:rsidP="003715C0">
            <w:pPr>
              <w:pStyle w:val="Tablebodytext"/>
              <w:jc w:val="right"/>
              <w:rPr>
                <w:b/>
                <w:szCs w:val="20"/>
                <w:lang w:eastAsia="en-AU"/>
              </w:rPr>
            </w:pPr>
            <w:r w:rsidRPr="003715C0">
              <w:rPr>
                <w:b/>
                <w:szCs w:val="20"/>
                <w:lang w:eastAsia="en-AU"/>
              </w:rPr>
              <w:t>76.1</w:t>
            </w:r>
          </w:p>
        </w:tc>
        <w:tc>
          <w:tcPr>
            <w:tcW w:w="476" w:type="pct"/>
            <w:noWrap/>
            <w:vAlign w:val="center"/>
            <w:hideMark/>
          </w:tcPr>
          <w:p w14:paraId="5DF9601A" w14:textId="77777777" w:rsidR="006662A6" w:rsidRPr="003715C0" w:rsidRDefault="006662A6" w:rsidP="003715C0">
            <w:pPr>
              <w:pStyle w:val="Tablebodytext"/>
              <w:jc w:val="right"/>
              <w:rPr>
                <w:b/>
                <w:szCs w:val="20"/>
                <w:lang w:eastAsia="en-AU"/>
              </w:rPr>
            </w:pPr>
            <w:r w:rsidRPr="003715C0">
              <w:rPr>
                <w:b/>
                <w:szCs w:val="20"/>
                <w:lang w:eastAsia="en-AU"/>
              </w:rPr>
              <w:t>71.2</w:t>
            </w:r>
          </w:p>
        </w:tc>
      </w:tr>
    </w:tbl>
    <w:p w14:paraId="176BF89C" w14:textId="17952333" w:rsidR="006662A6" w:rsidRDefault="006662A6" w:rsidP="003715C0">
      <w:pPr>
        <w:pStyle w:val="Note"/>
        <w:spacing w:before="0" w:after="0"/>
        <w:rPr>
          <w:lang w:eastAsia="en-AU"/>
        </w:rPr>
      </w:pPr>
      <w:r>
        <w:rPr>
          <w:lang w:eastAsia="en-AU"/>
        </w:rPr>
        <w:t>Notes: Data is for the Indian financial year beginning in April of each specified year. Data for Australia’s coal exports to India does not align with India’s imports from Australia due to differences in the time periods, delays in shipping, and differences in customs classifications.</w:t>
      </w:r>
    </w:p>
    <w:p w14:paraId="242D30CC" w14:textId="56347283" w:rsidR="006662A6" w:rsidRDefault="006662A6" w:rsidP="003715C0">
      <w:pPr>
        <w:pStyle w:val="Source"/>
        <w:rPr>
          <w:lang w:eastAsia="en-AU"/>
        </w:rPr>
      </w:pPr>
      <w:r>
        <w:rPr>
          <w:lang w:eastAsia="en-AU"/>
        </w:rPr>
        <w:t>Source: Indian Department of Commerce (2019) Export Import Data Bank</w:t>
      </w:r>
    </w:p>
    <w:p w14:paraId="79DCB6A7" w14:textId="50BB1D58" w:rsidR="006662A6" w:rsidRDefault="006662A6" w:rsidP="00493F1C">
      <w:pPr>
        <w:pStyle w:val="Caption"/>
      </w:pPr>
      <w:r>
        <w:t>Figure</w:t>
      </w:r>
      <w:r w:rsidRPr="000618FB">
        <w:t xml:space="preserve"> </w:t>
      </w:r>
      <w:r>
        <w:rPr>
          <w:noProof/>
        </w:rPr>
        <w:t>3</w:t>
      </w:r>
      <w:r w:rsidRPr="000618FB">
        <w:t>.</w:t>
      </w:r>
      <w:r w:rsidR="00F97CD2">
        <w:t>2</w:t>
      </w:r>
      <w:r>
        <w:t>: Steel consumption intensity, 1980 to 2017</w:t>
      </w:r>
    </w:p>
    <w:tbl>
      <w:tblPr>
        <w:tblStyle w:val="OCETable"/>
        <w:tblW w:w="4940" w:type="pct"/>
        <w:tblInd w:w="108" w:type="dxa"/>
        <w:tblLayout w:type="fixed"/>
        <w:tblLook w:val="04A0" w:firstRow="1" w:lastRow="0" w:firstColumn="1" w:lastColumn="0" w:noHBand="0" w:noVBand="1"/>
        <w:tblCaption w:val="Table contains figure 3.2"/>
      </w:tblPr>
      <w:tblGrid>
        <w:gridCol w:w="8918"/>
      </w:tblGrid>
      <w:tr w:rsidR="006662A6" w14:paraId="0837C901"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2358295E" w14:textId="0CBAF84D" w:rsidR="006662A6" w:rsidRPr="00493F1C" w:rsidRDefault="006662A6" w:rsidP="00493F1C">
            <w:pPr>
              <w:pStyle w:val="PlaceholderWide"/>
              <w:rPr>
                <w:b/>
              </w:rPr>
            </w:pPr>
            <w:r>
              <w:rPr>
                <w:noProof/>
                <w:lang w:eastAsia="en-AU"/>
              </w:rPr>
              <w:drawing>
                <wp:inline distT="0" distB="0" distL="0" distR="0" wp14:anchorId="7BD45166" wp14:editId="4BD6A936">
                  <wp:extent cx="5314950" cy="2228850"/>
                  <wp:effectExtent l="0" t="0" r="0" b="0"/>
                  <wp:docPr id="44" name="Chart 44" descr="This chart shows steel consumption intensity between 1980 to 2017 for select countries, including India, China, Japan, South Korea and Thailand." title="Figure 3.1: Steel consumption intensity, 1980 to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6FAA6202" w14:textId="11E69E2A" w:rsidR="006662A6" w:rsidRDefault="006662A6" w:rsidP="000E6456">
      <w:pPr>
        <w:pStyle w:val="Source"/>
        <w:jc w:val="left"/>
      </w:pPr>
      <w:r>
        <w:t>Notes: PPP is Purchasing Power Parity</w:t>
      </w:r>
      <w:r>
        <w:br/>
        <w:t>Source: World Steel Association (2019) Steel Statistical Yearbook; Bloomberg (2019) IMF</w:t>
      </w:r>
    </w:p>
    <w:p w14:paraId="0A61D831" w14:textId="155C76CD" w:rsidR="006662A6" w:rsidRDefault="006662A6" w:rsidP="003715C0">
      <w:pPr>
        <w:pStyle w:val="Heading2"/>
        <w:tabs>
          <w:tab w:val="left" w:pos="1800"/>
        </w:tabs>
      </w:pPr>
      <w:bookmarkStart w:id="214" w:name="_Toc16247607"/>
      <w:bookmarkStart w:id="215" w:name="_Toc16250070"/>
      <w:bookmarkStart w:id="216" w:name="_Toc16256925"/>
      <w:bookmarkStart w:id="217" w:name="_Toc17210800"/>
      <w:r>
        <w:t>Thermal coal</w:t>
      </w:r>
      <w:bookmarkEnd w:id="214"/>
      <w:bookmarkEnd w:id="215"/>
      <w:bookmarkEnd w:id="216"/>
      <w:bookmarkEnd w:id="217"/>
    </w:p>
    <w:p w14:paraId="57B20A43" w14:textId="0161E38C" w:rsidR="006662A6" w:rsidRDefault="006662A6" w:rsidP="0052573C">
      <w:pPr>
        <w:pStyle w:val="BodyText"/>
        <w:spacing w:after="120"/>
      </w:pPr>
      <w:r>
        <w:t>In contrast to metallurgical coal, Australia is not a significant supplier of thermal coal to India, despite India’s rapid growth in thermal coal imports over the last decade. India accounted for just 2.3 per cent of Australia’s thermal coal exports in 2018 (Table 3.3). Indonesia has met most of India’s import growth, with Australia accounting for just 4.8 per cent of Indian’s thermal coal imports in 2018–19 (Table 3.4).</w:t>
      </w:r>
    </w:p>
    <w:p w14:paraId="1A496D38" w14:textId="743E5C6B" w:rsidR="006662A6" w:rsidRDefault="006662A6" w:rsidP="0052573C">
      <w:pPr>
        <w:pStyle w:val="Caption"/>
        <w:spacing w:after="120"/>
      </w:pPr>
      <w:r w:rsidRPr="000618FB">
        <w:t>Table</w:t>
      </w:r>
      <w:r>
        <w:t xml:space="preserve"> </w:t>
      </w:r>
      <w:r>
        <w:rPr>
          <w:noProof/>
        </w:rPr>
        <w:t>3</w:t>
      </w:r>
      <w:r w:rsidRPr="000618FB">
        <w:t>.</w:t>
      </w:r>
      <w:r>
        <w:rPr>
          <w:noProof/>
        </w:rPr>
        <w:fldChar w:fldCharType="begin"/>
      </w:r>
      <w:r>
        <w:rPr>
          <w:noProof/>
        </w:rPr>
        <w:instrText xml:space="preserve"> SEQ Table \* ARABIC \s 1 </w:instrText>
      </w:r>
      <w:r>
        <w:rPr>
          <w:noProof/>
        </w:rPr>
        <w:fldChar w:fldCharType="separate"/>
      </w:r>
      <w:r w:rsidR="003172B3">
        <w:rPr>
          <w:noProof/>
        </w:rPr>
        <w:t>3</w:t>
      </w:r>
      <w:r>
        <w:rPr>
          <w:noProof/>
        </w:rPr>
        <w:fldChar w:fldCharType="end"/>
      </w:r>
      <w:r w:rsidRPr="000618FB">
        <w:t xml:space="preserve">: </w:t>
      </w:r>
      <w:r>
        <w:t>Australia’s thermal coal exports by destination (million tonnes)</w:t>
      </w:r>
    </w:p>
    <w:tbl>
      <w:tblPr>
        <w:tblStyle w:val="OCETable"/>
        <w:tblW w:w="4968" w:type="pct"/>
        <w:tblLook w:val="04A0" w:firstRow="1" w:lastRow="0" w:firstColumn="1" w:lastColumn="0" w:noHBand="0" w:noVBand="1"/>
        <w:tblCaption w:val="Table 3.3: Australia’s thermal coal exports by destination (million tonnes)"/>
        <w:tblDescription w:val="This table shows Australia’s thermal coal exports by destination (million tonnes)."/>
      </w:tblPr>
      <w:tblGrid>
        <w:gridCol w:w="2352"/>
        <w:gridCol w:w="736"/>
        <w:gridCol w:w="736"/>
        <w:gridCol w:w="735"/>
        <w:gridCol w:w="735"/>
        <w:gridCol w:w="735"/>
        <w:gridCol w:w="735"/>
        <w:gridCol w:w="735"/>
        <w:gridCol w:w="735"/>
        <w:gridCol w:w="734"/>
      </w:tblGrid>
      <w:tr w:rsidR="006662A6" w:rsidRPr="00784026" w14:paraId="7F85CA2F" w14:textId="77777777" w:rsidTr="0052573C">
        <w:trPr>
          <w:cnfStyle w:val="100000000000" w:firstRow="1" w:lastRow="0" w:firstColumn="0" w:lastColumn="0" w:oddVBand="0" w:evenVBand="0" w:oddHBand="0" w:evenHBand="0" w:firstRowFirstColumn="0" w:firstRowLastColumn="0" w:lastRowFirstColumn="0" w:lastRowLastColumn="0"/>
          <w:trHeight w:val="230"/>
          <w:tblHeader/>
        </w:trPr>
        <w:tc>
          <w:tcPr>
            <w:tcW w:w="1311" w:type="pct"/>
            <w:noWrap/>
            <w:hideMark/>
          </w:tcPr>
          <w:p w14:paraId="2FD004E5" w14:textId="77777777" w:rsidR="006662A6" w:rsidRPr="00784026" w:rsidRDefault="006662A6" w:rsidP="00C7537F">
            <w:pPr>
              <w:pStyle w:val="Tableheadertext"/>
              <w:rPr>
                <w:rFonts w:asciiTheme="majorHAnsi" w:hAnsiTheme="majorHAnsi" w:cstheme="majorHAnsi"/>
                <w:lang w:eastAsia="en-AU"/>
              </w:rPr>
            </w:pPr>
          </w:p>
        </w:tc>
        <w:tc>
          <w:tcPr>
            <w:tcW w:w="410" w:type="pct"/>
            <w:noWrap/>
            <w:vAlign w:val="center"/>
            <w:hideMark/>
          </w:tcPr>
          <w:p w14:paraId="5A589BA8"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2010</w:t>
            </w:r>
          </w:p>
        </w:tc>
        <w:tc>
          <w:tcPr>
            <w:tcW w:w="410" w:type="pct"/>
            <w:noWrap/>
            <w:vAlign w:val="center"/>
            <w:hideMark/>
          </w:tcPr>
          <w:p w14:paraId="14586D67"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2011</w:t>
            </w:r>
          </w:p>
        </w:tc>
        <w:tc>
          <w:tcPr>
            <w:tcW w:w="410" w:type="pct"/>
            <w:noWrap/>
            <w:vAlign w:val="center"/>
            <w:hideMark/>
          </w:tcPr>
          <w:p w14:paraId="1F69B514"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2012</w:t>
            </w:r>
          </w:p>
        </w:tc>
        <w:tc>
          <w:tcPr>
            <w:tcW w:w="410" w:type="pct"/>
            <w:noWrap/>
            <w:vAlign w:val="center"/>
            <w:hideMark/>
          </w:tcPr>
          <w:p w14:paraId="35547DA2"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2013</w:t>
            </w:r>
          </w:p>
        </w:tc>
        <w:tc>
          <w:tcPr>
            <w:tcW w:w="410" w:type="pct"/>
            <w:noWrap/>
            <w:vAlign w:val="center"/>
            <w:hideMark/>
          </w:tcPr>
          <w:p w14:paraId="056480A1"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2014</w:t>
            </w:r>
          </w:p>
        </w:tc>
        <w:tc>
          <w:tcPr>
            <w:tcW w:w="410" w:type="pct"/>
            <w:noWrap/>
            <w:vAlign w:val="center"/>
            <w:hideMark/>
          </w:tcPr>
          <w:p w14:paraId="7BA74C9E"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2015</w:t>
            </w:r>
          </w:p>
        </w:tc>
        <w:tc>
          <w:tcPr>
            <w:tcW w:w="410" w:type="pct"/>
            <w:noWrap/>
            <w:vAlign w:val="center"/>
            <w:hideMark/>
          </w:tcPr>
          <w:p w14:paraId="5C334913"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2016</w:t>
            </w:r>
          </w:p>
        </w:tc>
        <w:tc>
          <w:tcPr>
            <w:tcW w:w="410" w:type="pct"/>
            <w:noWrap/>
            <w:vAlign w:val="center"/>
            <w:hideMark/>
          </w:tcPr>
          <w:p w14:paraId="36874B86"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2017</w:t>
            </w:r>
          </w:p>
        </w:tc>
        <w:tc>
          <w:tcPr>
            <w:tcW w:w="409" w:type="pct"/>
            <w:noWrap/>
            <w:vAlign w:val="center"/>
            <w:hideMark/>
          </w:tcPr>
          <w:p w14:paraId="7F69238D" w14:textId="77777777" w:rsidR="006662A6" w:rsidRPr="00784026" w:rsidRDefault="006662A6" w:rsidP="00784026">
            <w:pPr>
              <w:pStyle w:val="Tableheadertext"/>
              <w:jc w:val="right"/>
              <w:rPr>
                <w:rFonts w:asciiTheme="majorHAnsi" w:hAnsiTheme="majorHAnsi" w:cstheme="majorHAnsi"/>
                <w:lang w:eastAsia="en-AU"/>
              </w:rPr>
            </w:pPr>
            <w:r w:rsidRPr="00784026">
              <w:rPr>
                <w:rFonts w:asciiTheme="majorHAnsi" w:hAnsiTheme="majorHAnsi" w:cstheme="majorHAnsi"/>
                <w:lang w:eastAsia="en-AU"/>
              </w:rPr>
              <w:t>2018</w:t>
            </w:r>
          </w:p>
        </w:tc>
      </w:tr>
      <w:tr w:rsidR="006662A6" w:rsidRPr="00784026" w14:paraId="69049865" w14:textId="77777777" w:rsidTr="0052573C">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2A22C95F"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Japan</w:t>
            </w:r>
          </w:p>
        </w:tc>
        <w:tc>
          <w:tcPr>
            <w:tcW w:w="410" w:type="pct"/>
            <w:noWrap/>
            <w:vAlign w:val="center"/>
            <w:hideMark/>
          </w:tcPr>
          <w:p w14:paraId="139411FD"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69.8</w:t>
            </w:r>
          </w:p>
        </w:tc>
        <w:tc>
          <w:tcPr>
            <w:tcW w:w="410" w:type="pct"/>
            <w:noWrap/>
            <w:vAlign w:val="center"/>
            <w:hideMark/>
          </w:tcPr>
          <w:p w14:paraId="3282CD89"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65.4</w:t>
            </w:r>
          </w:p>
        </w:tc>
        <w:tc>
          <w:tcPr>
            <w:tcW w:w="410" w:type="pct"/>
            <w:noWrap/>
            <w:vAlign w:val="center"/>
            <w:hideMark/>
          </w:tcPr>
          <w:p w14:paraId="5F13C434"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75.2</w:t>
            </w:r>
          </w:p>
        </w:tc>
        <w:tc>
          <w:tcPr>
            <w:tcW w:w="410" w:type="pct"/>
            <w:noWrap/>
            <w:vAlign w:val="center"/>
            <w:hideMark/>
          </w:tcPr>
          <w:p w14:paraId="145AEB04"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82.3</w:t>
            </w:r>
          </w:p>
        </w:tc>
        <w:tc>
          <w:tcPr>
            <w:tcW w:w="410" w:type="pct"/>
            <w:noWrap/>
            <w:vAlign w:val="center"/>
            <w:hideMark/>
          </w:tcPr>
          <w:p w14:paraId="7EF6B00C"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77.7</w:t>
            </w:r>
          </w:p>
        </w:tc>
        <w:tc>
          <w:tcPr>
            <w:tcW w:w="410" w:type="pct"/>
            <w:noWrap/>
            <w:vAlign w:val="center"/>
            <w:hideMark/>
          </w:tcPr>
          <w:p w14:paraId="58CCB405"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84.7</w:t>
            </w:r>
          </w:p>
        </w:tc>
        <w:tc>
          <w:tcPr>
            <w:tcW w:w="410" w:type="pct"/>
            <w:noWrap/>
            <w:vAlign w:val="center"/>
            <w:hideMark/>
          </w:tcPr>
          <w:p w14:paraId="402300CD"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79.6</w:t>
            </w:r>
          </w:p>
        </w:tc>
        <w:tc>
          <w:tcPr>
            <w:tcW w:w="410" w:type="pct"/>
            <w:noWrap/>
            <w:vAlign w:val="center"/>
            <w:hideMark/>
          </w:tcPr>
          <w:p w14:paraId="19E2A246"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81.7</w:t>
            </w:r>
          </w:p>
        </w:tc>
        <w:tc>
          <w:tcPr>
            <w:tcW w:w="409" w:type="pct"/>
            <w:noWrap/>
            <w:vAlign w:val="center"/>
            <w:hideMark/>
          </w:tcPr>
          <w:p w14:paraId="26781D31"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81.0</w:t>
            </w:r>
          </w:p>
        </w:tc>
      </w:tr>
      <w:tr w:rsidR="006662A6" w:rsidRPr="00784026" w14:paraId="5A3F91F8" w14:textId="77777777" w:rsidTr="0052573C">
        <w:trPr>
          <w:cnfStyle w:val="000000010000" w:firstRow="0" w:lastRow="0" w:firstColumn="0" w:lastColumn="0" w:oddVBand="0" w:evenVBand="0" w:oddHBand="0" w:evenHBand="1" w:firstRowFirstColumn="0" w:firstRowLastColumn="0" w:lastRowFirstColumn="0" w:lastRowLastColumn="0"/>
          <w:trHeight w:val="230"/>
        </w:trPr>
        <w:tc>
          <w:tcPr>
            <w:tcW w:w="1311" w:type="pct"/>
            <w:noWrap/>
            <w:hideMark/>
          </w:tcPr>
          <w:p w14:paraId="70575259"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China</w:t>
            </w:r>
          </w:p>
        </w:tc>
        <w:tc>
          <w:tcPr>
            <w:tcW w:w="410" w:type="pct"/>
            <w:noWrap/>
            <w:vAlign w:val="center"/>
            <w:hideMark/>
          </w:tcPr>
          <w:p w14:paraId="60FF239B"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15.3</w:t>
            </w:r>
          </w:p>
        </w:tc>
        <w:tc>
          <w:tcPr>
            <w:tcW w:w="410" w:type="pct"/>
            <w:noWrap/>
            <w:vAlign w:val="center"/>
            <w:hideMark/>
          </w:tcPr>
          <w:p w14:paraId="3705D424"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20.3</w:t>
            </w:r>
          </w:p>
        </w:tc>
        <w:tc>
          <w:tcPr>
            <w:tcW w:w="410" w:type="pct"/>
            <w:noWrap/>
            <w:vAlign w:val="center"/>
            <w:hideMark/>
          </w:tcPr>
          <w:p w14:paraId="75A832F4"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34.7</w:t>
            </w:r>
          </w:p>
        </w:tc>
        <w:tc>
          <w:tcPr>
            <w:tcW w:w="410" w:type="pct"/>
            <w:noWrap/>
            <w:vAlign w:val="center"/>
            <w:hideMark/>
          </w:tcPr>
          <w:p w14:paraId="50B7BE97"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42.7</w:t>
            </w:r>
          </w:p>
        </w:tc>
        <w:tc>
          <w:tcPr>
            <w:tcW w:w="410" w:type="pct"/>
            <w:noWrap/>
            <w:vAlign w:val="center"/>
            <w:hideMark/>
          </w:tcPr>
          <w:p w14:paraId="34177BC0"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47.1</w:t>
            </w:r>
          </w:p>
        </w:tc>
        <w:tc>
          <w:tcPr>
            <w:tcW w:w="410" w:type="pct"/>
            <w:noWrap/>
            <w:vAlign w:val="center"/>
            <w:hideMark/>
          </w:tcPr>
          <w:p w14:paraId="03F346E0"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35.0</w:t>
            </w:r>
          </w:p>
        </w:tc>
        <w:tc>
          <w:tcPr>
            <w:tcW w:w="410" w:type="pct"/>
            <w:noWrap/>
            <w:vAlign w:val="center"/>
            <w:hideMark/>
          </w:tcPr>
          <w:p w14:paraId="26F2B5DA"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36.4</w:t>
            </w:r>
          </w:p>
        </w:tc>
        <w:tc>
          <w:tcPr>
            <w:tcW w:w="410" w:type="pct"/>
            <w:noWrap/>
            <w:vAlign w:val="center"/>
            <w:hideMark/>
          </w:tcPr>
          <w:p w14:paraId="483721B2"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42.0</w:t>
            </w:r>
          </w:p>
        </w:tc>
        <w:tc>
          <w:tcPr>
            <w:tcW w:w="409" w:type="pct"/>
            <w:noWrap/>
            <w:vAlign w:val="center"/>
            <w:hideMark/>
          </w:tcPr>
          <w:p w14:paraId="061477AB"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49.8</w:t>
            </w:r>
          </w:p>
        </w:tc>
      </w:tr>
      <w:tr w:rsidR="006662A6" w:rsidRPr="00784026" w14:paraId="2B8D0C06" w14:textId="77777777" w:rsidTr="0052573C">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53CFAF6F"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South Korea</w:t>
            </w:r>
          </w:p>
        </w:tc>
        <w:tc>
          <w:tcPr>
            <w:tcW w:w="410" w:type="pct"/>
            <w:noWrap/>
            <w:vAlign w:val="center"/>
            <w:hideMark/>
          </w:tcPr>
          <w:p w14:paraId="618A1515"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26.2</w:t>
            </w:r>
          </w:p>
        </w:tc>
        <w:tc>
          <w:tcPr>
            <w:tcW w:w="410" w:type="pct"/>
            <w:noWrap/>
            <w:vAlign w:val="center"/>
            <w:hideMark/>
          </w:tcPr>
          <w:p w14:paraId="0957A5B7"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29.6</w:t>
            </w:r>
          </w:p>
        </w:tc>
        <w:tc>
          <w:tcPr>
            <w:tcW w:w="410" w:type="pct"/>
            <w:noWrap/>
            <w:vAlign w:val="center"/>
            <w:hideMark/>
          </w:tcPr>
          <w:p w14:paraId="027D2438"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30.1</w:t>
            </w:r>
          </w:p>
        </w:tc>
        <w:tc>
          <w:tcPr>
            <w:tcW w:w="410" w:type="pct"/>
            <w:noWrap/>
            <w:vAlign w:val="center"/>
            <w:hideMark/>
          </w:tcPr>
          <w:p w14:paraId="15E31771"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32.8</w:t>
            </w:r>
          </w:p>
        </w:tc>
        <w:tc>
          <w:tcPr>
            <w:tcW w:w="410" w:type="pct"/>
            <w:noWrap/>
            <w:vAlign w:val="center"/>
            <w:hideMark/>
          </w:tcPr>
          <w:p w14:paraId="44070C24"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34.6</w:t>
            </w:r>
          </w:p>
        </w:tc>
        <w:tc>
          <w:tcPr>
            <w:tcW w:w="410" w:type="pct"/>
            <w:noWrap/>
            <w:vAlign w:val="center"/>
            <w:hideMark/>
          </w:tcPr>
          <w:p w14:paraId="5D69937F"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38.1</w:t>
            </w:r>
          </w:p>
        </w:tc>
        <w:tc>
          <w:tcPr>
            <w:tcW w:w="410" w:type="pct"/>
            <w:noWrap/>
            <w:vAlign w:val="center"/>
            <w:hideMark/>
          </w:tcPr>
          <w:p w14:paraId="364C67D9"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31.6</w:t>
            </w:r>
          </w:p>
        </w:tc>
        <w:tc>
          <w:tcPr>
            <w:tcW w:w="410" w:type="pct"/>
            <w:noWrap/>
            <w:vAlign w:val="center"/>
            <w:hideMark/>
          </w:tcPr>
          <w:p w14:paraId="2C38BB36"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31.0</w:t>
            </w:r>
          </w:p>
        </w:tc>
        <w:tc>
          <w:tcPr>
            <w:tcW w:w="409" w:type="pct"/>
            <w:noWrap/>
            <w:vAlign w:val="center"/>
            <w:hideMark/>
          </w:tcPr>
          <w:p w14:paraId="1772D61E"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30.1</w:t>
            </w:r>
          </w:p>
        </w:tc>
      </w:tr>
      <w:tr w:rsidR="006662A6" w:rsidRPr="00784026" w14:paraId="2FC9274D" w14:textId="77777777" w:rsidTr="0052573C">
        <w:trPr>
          <w:cnfStyle w:val="000000010000" w:firstRow="0" w:lastRow="0" w:firstColumn="0" w:lastColumn="0" w:oddVBand="0" w:evenVBand="0" w:oddHBand="0" w:evenHBand="1" w:firstRowFirstColumn="0" w:firstRowLastColumn="0" w:lastRowFirstColumn="0" w:lastRowLastColumn="0"/>
          <w:trHeight w:val="230"/>
        </w:trPr>
        <w:tc>
          <w:tcPr>
            <w:tcW w:w="1311" w:type="pct"/>
            <w:noWrap/>
            <w:hideMark/>
          </w:tcPr>
          <w:p w14:paraId="5D1314D3"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Taiwan</w:t>
            </w:r>
          </w:p>
        </w:tc>
        <w:tc>
          <w:tcPr>
            <w:tcW w:w="410" w:type="pct"/>
            <w:noWrap/>
            <w:vAlign w:val="center"/>
            <w:hideMark/>
          </w:tcPr>
          <w:p w14:paraId="4012C9E7"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20.5</w:t>
            </w:r>
          </w:p>
        </w:tc>
        <w:tc>
          <w:tcPr>
            <w:tcW w:w="410" w:type="pct"/>
            <w:noWrap/>
            <w:vAlign w:val="center"/>
            <w:hideMark/>
          </w:tcPr>
          <w:p w14:paraId="2BD8884C"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19.1</w:t>
            </w:r>
          </w:p>
        </w:tc>
        <w:tc>
          <w:tcPr>
            <w:tcW w:w="410" w:type="pct"/>
            <w:noWrap/>
            <w:vAlign w:val="center"/>
            <w:hideMark/>
          </w:tcPr>
          <w:p w14:paraId="2CF19C3C"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16.4</w:t>
            </w:r>
          </w:p>
        </w:tc>
        <w:tc>
          <w:tcPr>
            <w:tcW w:w="410" w:type="pct"/>
            <w:noWrap/>
            <w:vAlign w:val="center"/>
            <w:hideMark/>
          </w:tcPr>
          <w:p w14:paraId="4C036E5B"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18.0</w:t>
            </w:r>
          </w:p>
        </w:tc>
        <w:tc>
          <w:tcPr>
            <w:tcW w:w="410" w:type="pct"/>
            <w:noWrap/>
            <w:vAlign w:val="center"/>
            <w:hideMark/>
          </w:tcPr>
          <w:p w14:paraId="3AAD7A9E"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20.5</w:t>
            </w:r>
          </w:p>
        </w:tc>
        <w:tc>
          <w:tcPr>
            <w:tcW w:w="410" w:type="pct"/>
            <w:noWrap/>
            <w:vAlign w:val="center"/>
            <w:hideMark/>
          </w:tcPr>
          <w:p w14:paraId="2C45C5E8"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20.7</w:t>
            </w:r>
          </w:p>
        </w:tc>
        <w:tc>
          <w:tcPr>
            <w:tcW w:w="410" w:type="pct"/>
            <w:noWrap/>
            <w:vAlign w:val="center"/>
            <w:hideMark/>
          </w:tcPr>
          <w:p w14:paraId="0BC62C34"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26.4</w:t>
            </w:r>
          </w:p>
        </w:tc>
        <w:tc>
          <w:tcPr>
            <w:tcW w:w="410" w:type="pct"/>
            <w:noWrap/>
            <w:vAlign w:val="center"/>
            <w:hideMark/>
          </w:tcPr>
          <w:p w14:paraId="4C9A6EFA"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23.2</w:t>
            </w:r>
          </w:p>
        </w:tc>
        <w:tc>
          <w:tcPr>
            <w:tcW w:w="409" w:type="pct"/>
            <w:noWrap/>
            <w:vAlign w:val="center"/>
            <w:hideMark/>
          </w:tcPr>
          <w:p w14:paraId="5BA04D7A"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22.5</w:t>
            </w:r>
          </w:p>
        </w:tc>
      </w:tr>
      <w:tr w:rsidR="006662A6" w:rsidRPr="00784026" w14:paraId="22C5BBB2" w14:textId="77777777" w:rsidTr="0052573C">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52F5709D"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India</w:t>
            </w:r>
          </w:p>
        </w:tc>
        <w:tc>
          <w:tcPr>
            <w:tcW w:w="410" w:type="pct"/>
            <w:noWrap/>
            <w:vAlign w:val="center"/>
            <w:hideMark/>
          </w:tcPr>
          <w:p w14:paraId="2CEE275B"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0.4</w:t>
            </w:r>
          </w:p>
        </w:tc>
        <w:tc>
          <w:tcPr>
            <w:tcW w:w="410" w:type="pct"/>
            <w:noWrap/>
            <w:vAlign w:val="center"/>
            <w:hideMark/>
          </w:tcPr>
          <w:p w14:paraId="47688C40"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1.2</w:t>
            </w:r>
          </w:p>
        </w:tc>
        <w:tc>
          <w:tcPr>
            <w:tcW w:w="410" w:type="pct"/>
            <w:noWrap/>
            <w:vAlign w:val="center"/>
            <w:hideMark/>
          </w:tcPr>
          <w:p w14:paraId="10D943F3"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2.1</w:t>
            </w:r>
          </w:p>
        </w:tc>
        <w:tc>
          <w:tcPr>
            <w:tcW w:w="410" w:type="pct"/>
            <w:noWrap/>
            <w:vAlign w:val="center"/>
            <w:hideMark/>
          </w:tcPr>
          <w:p w14:paraId="7A108CCD"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1.7</w:t>
            </w:r>
          </w:p>
        </w:tc>
        <w:tc>
          <w:tcPr>
            <w:tcW w:w="410" w:type="pct"/>
            <w:noWrap/>
            <w:vAlign w:val="center"/>
            <w:hideMark/>
          </w:tcPr>
          <w:p w14:paraId="67F69845"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6.7</w:t>
            </w:r>
          </w:p>
        </w:tc>
        <w:tc>
          <w:tcPr>
            <w:tcW w:w="410" w:type="pct"/>
            <w:noWrap/>
            <w:vAlign w:val="center"/>
            <w:hideMark/>
          </w:tcPr>
          <w:p w14:paraId="7A3C7C62"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5.3</w:t>
            </w:r>
          </w:p>
        </w:tc>
        <w:tc>
          <w:tcPr>
            <w:tcW w:w="410" w:type="pct"/>
            <w:noWrap/>
            <w:vAlign w:val="center"/>
            <w:hideMark/>
          </w:tcPr>
          <w:p w14:paraId="7D7CBC53"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4.8</w:t>
            </w:r>
          </w:p>
        </w:tc>
        <w:tc>
          <w:tcPr>
            <w:tcW w:w="410" w:type="pct"/>
            <w:noWrap/>
            <w:vAlign w:val="center"/>
            <w:hideMark/>
          </w:tcPr>
          <w:p w14:paraId="3551BEC1"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3.1</w:t>
            </w:r>
          </w:p>
        </w:tc>
        <w:tc>
          <w:tcPr>
            <w:tcW w:w="409" w:type="pct"/>
            <w:noWrap/>
            <w:vAlign w:val="center"/>
            <w:hideMark/>
          </w:tcPr>
          <w:p w14:paraId="1C0FBCAB"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4.8</w:t>
            </w:r>
          </w:p>
        </w:tc>
      </w:tr>
      <w:tr w:rsidR="006662A6" w:rsidRPr="00784026" w14:paraId="44050DC0" w14:textId="77777777" w:rsidTr="0052573C">
        <w:trPr>
          <w:cnfStyle w:val="000000010000" w:firstRow="0" w:lastRow="0" w:firstColumn="0" w:lastColumn="0" w:oddVBand="0" w:evenVBand="0" w:oddHBand="0" w:evenHBand="1" w:firstRowFirstColumn="0" w:firstRowLastColumn="0" w:lastRowFirstColumn="0" w:lastRowLastColumn="0"/>
          <w:trHeight w:val="230"/>
        </w:trPr>
        <w:tc>
          <w:tcPr>
            <w:tcW w:w="1311" w:type="pct"/>
            <w:noWrap/>
            <w:hideMark/>
          </w:tcPr>
          <w:p w14:paraId="16BE71C2" w14:textId="77777777" w:rsidR="006662A6" w:rsidRPr="00784026" w:rsidRDefault="006662A6" w:rsidP="009B56BD">
            <w:pPr>
              <w:pStyle w:val="Tablebodytext"/>
              <w:rPr>
                <w:rFonts w:asciiTheme="majorHAnsi" w:hAnsiTheme="majorHAnsi" w:cstheme="majorHAnsi"/>
                <w:lang w:eastAsia="en-AU"/>
              </w:rPr>
            </w:pPr>
            <w:r w:rsidRPr="00784026">
              <w:rPr>
                <w:rFonts w:asciiTheme="majorHAnsi" w:hAnsiTheme="majorHAnsi" w:cstheme="majorHAnsi"/>
                <w:lang w:eastAsia="en-AU"/>
              </w:rPr>
              <w:t>Rest of world</w:t>
            </w:r>
          </w:p>
        </w:tc>
        <w:tc>
          <w:tcPr>
            <w:tcW w:w="410" w:type="pct"/>
            <w:noWrap/>
            <w:vAlign w:val="center"/>
            <w:hideMark/>
          </w:tcPr>
          <w:p w14:paraId="231EEE01"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9.8</w:t>
            </w:r>
          </w:p>
        </w:tc>
        <w:tc>
          <w:tcPr>
            <w:tcW w:w="410" w:type="pct"/>
            <w:noWrap/>
            <w:vAlign w:val="center"/>
            <w:hideMark/>
          </w:tcPr>
          <w:p w14:paraId="749D5D9F"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12.5</w:t>
            </w:r>
          </w:p>
        </w:tc>
        <w:tc>
          <w:tcPr>
            <w:tcW w:w="410" w:type="pct"/>
            <w:noWrap/>
            <w:vAlign w:val="center"/>
            <w:hideMark/>
          </w:tcPr>
          <w:p w14:paraId="541DA4FB"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12.9</w:t>
            </w:r>
          </w:p>
        </w:tc>
        <w:tc>
          <w:tcPr>
            <w:tcW w:w="410" w:type="pct"/>
            <w:noWrap/>
            <w:vAlign w:val="center"/>
            <w:hideMark/>
          </w:tcPr>
          <w:p w14:paraId="104F13B8"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11.0</w:t>
            </w:r>
          </w:p>
        </w:tc>
        <w:tc>
          <w:tcPr>
            <w:tcW w:w="410" w:type="pct"/>
            <w:noWrap/>
            <w:vAlign w:val="center"/>
            <w:hideMark/>
          </w:tcPr>
          <w:p w14:paraId="44B427DA"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14.5</w:t>
            </w:r>
          </w:p>
        </w:tc>
        <w:tc>
          <w:tcPr>
            <w:tcW w:w="410" w:type="pct"/>
            <w:noWrap/>
            <w:vAlign w:val="center"/>
            <w:hideMark/>
          </w:tcPr>
          <w:p w14:paraId="4E699DE7"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18.4</w:t>
            </w:r>
          </w:p>
        </w:tc>
        <w:tc>
          <w:tcPr>
            <w:tcW w:w="410" w:type="pct"/>
            <w:noWrap/>
            <w:vAlign w:val="center"/>
            <w:hideMark/>
          </w:tcPr>
          <w:p w14:paraId="44DB7A3D"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23.1</w:t>
            </w:r>
          </w:p>
        </w:tc>
        <w:tc>
          <w:tcPr>
            <w:tcW w:w="410" w:type="pct"/>
            <w:noWrap/>
            <w:vAlign w:val="center"/>
            <w:hideMark/>
          </w:tcPr>
          <w:p w14:paraId="32ED4F67"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19.4</w:t>
            </w:r>
          </w:p>
        </w:tc>
        <w:tc>
          <w:tcPr>
            <w:tcW w:w="409" w:type="pct"/>
            <w:noWrap/>
            <w:vAlign w:val="center"/>
            <w:hideMark/>
          </w:tcPr>
          <w:p w14:paraId="550BE2B5" w14:textId="77777777" w:rsidR="006662A6" w:rsidRPr="00784026" w:rsidRDefault="006662A6" w:rsidP="00784026">
            <w:pPr>
              <w:pStyle w:val="Tablebodytext"/>
              <w:jc w:val="right"/>
              <w:rPr>
                <w:rFonts w:asciiTheme="majorHAnsi" w:hAnsiTheme="majorHAnsi" w:cstheme="majorHAnsi"/>
                <w:lang w:eastAsia="en-AU"/>
              </w:rPr>
            </w:pPr>
            <w:r w:rsidRPr="00784026">
              <w:rPr>
                <w:rFonts w:asciiTheme="majorHAnsi" w:hAnsiTheme="majorHAnsi" w:cstheme="majorHAnsi"/>
                <w:lang w:eastAsia="en-AU"/>
              </w:rPr>
              <w:t>19.5</w:t>
            </w:r>
          </w:p>
        </w:tc>
      </w:tr>
      <w:tr w:rsidR="006662A6" w:rsidRPr="00784026" w14:paraId="5DBE837E" w14:textId="77777777" w:rsidTr="0052573C">
        <w:trPr>
          <w:cnfStyle w:val="000000100000" w:firstRow="0" w:lastRow="0" w:firstColumn="0" w:lastColumn="0" w:oddVBand="0" w:evenVBand="0" w:oddHBand="1" w:evenHBand="0" w:firstRowFirstColumn="0" w:firstRowLastColumn="0" w:lastRowFirstColumn="0" w:lastRowLastColumn="0"/>
          <w:trHeight w:val="230"/>
        </w:trPr>
        <w:tc>
          <w:tcPr>
            <w:tcW w:w="1311" w:type="pct"/>
            <w:noWrap/>
            <w:hideMark/>
          </w:tcPr>
          <w:p w14:paraId="10ED49FB" w14:textId="77777777" w:rsidR="006662A6" w:rsidRPr="009B56BD" w:rsidRDefault="006662A6" w:rsidP="00C7537F">
            <w:pPr>
              <w:pStyle w:val="Tablebodytext"/>
              <w:rPr>
                <w:rFonts w:asciiTheme="majorHAnsi" w:hAnsiTheme="majorHAnsi" w:cstheme="majorHAnsi"/>
                <w:b/>
                <w:lang w:eastAsia="en-AU"/>
              </w:rPr>
            </w:pPr>
            <w:r w:rsidRPr="009B56BD">
              <w:rPr>
                <w:rFonts w:asciiTheme="majorHAnsi" w:hAnsiTheme="majorHAnsi" w:cstheme="majorHAnsi"/>
                <w:b/>
                <w:lang w:eastAsia="en-AU"/>
              </w:rPr>
              <w:t>Total thermal coal</w:t>
            </w:r>
          </w:p>
        </w:tc>
        <w:tc>
          <w:tcPr>
            <w:tcW w:w="410" w:type="pct"/>
            <w:noWrap/>
            <w:vAlign w:val="center"/>
            <w:hideMark/>
          </w:tcPr>
          <w:p w14:paraId="7A3BE3BE"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142.1</w:t>
            </w:r>
          </w:p>
        </w:tc>
        <w:tc>
          <w:tcPr>
            <w:tcW w:w="410" w:type="pct"/>
            <w:noWrap/>
            <w:vAlign w:val="center"/>
            <w:hideMark/>
          </w:tcPr>
          <w:p w14:paraId="669CEDC0"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148.1</w:t>
            </w:r>
          </w:p>
        </w:tc>
        <w:tc>
          <w:tcPr>
            <w:tcW w:w="410" w:type="pct"/>
            <w:noWrap/>
            <w:vAlign w:val="center"/>
            <w:hideMark/>
          </w:tcPr>
          <w:p w14:paraId="2D59D729"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171.5</w:t>
            </w:r>
          </w:p>
        </w:tc>
        <w:tc>
          <w:tcPr>
            <w:tcW w:w="410" w:type="pct"/>
            <w:noWrap/>
            <w:vAlign w:val="center"/>
            <w:hideMark/>
          </w:tcPr>
          <w:p w14:paraId="6AA015C3"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188.4</w:t>
            </w:r>
          </w:p>
        </w:tc>
        <w:tc>
          <w:tcPr>
            <w:tcW w:w="410" w:type="pct"/>
            <w:noWrap/>
            <w:vAlign w:val="center"/>
            <w:hideMark/>
          </w:tcPr>
          <w:p w14:paraId="1A6FB9D3"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201.0</w:t>
            </w:r>
          </w:p>
        </w:tc>
        <w:tc>
          <w:tcPr>
            <w:tcW w:w="410" w:type="pct"/>
            <w:noWrap/>
            <w:vAlign w:val="center"/>
            <w:hideMark/>
          </w:tcPr>
          <w:p w14:paraId="4B38A147"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202.2</w:t>
            </w:r>
          </w:p>
        </w:tc>
        <w:tc>
          <w:tcPr>
            <w:tcW w:w="410" w:type="pct"/>
            <w:noWrap/>
            <w:vAlign w:val="center"/>
            <w:hideMark/>
          </w:tcPr>
          <w:p w14:paraId="56900186"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201.9</w:t>
            </w:r>
          </w:p>
        </w:tc>
        <w:tc>
          <w:tcPr>
            <w:tcW w:w="410" w:type="pct"/>
            <w:noWrap/>
            <w:vAlign w:val="center"/>
            <w:hideMark/>
          </w:tcPr>
          <w:p w14:paraId="6D975E9F"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200.3</w:t>
            </w:r>
          </w:p>
        </w:tc>
        <w:tc>
          <w:tcPr>
            <w:tcW w:w="409" w:type="pct"/>
            <w:noWrap/>
            <w:vAlign w:val="center"/>
            <w:hideMark/>
          </w:tcPr>
          <w:p w14:paraId="6315FE02" w14:textId="77777777" w:rsidR="006662A6" w:rsidRPr="009B56BD" w:rsidRDefault="006662A6" w:rsidP="00784026">
            <w:pPr>
              <w:pStyle w:val="Tablebodytext"/>
              <w:jc w:val="right"/>
              <w:rPr>
                <w:rFonts w:asciiTheme="majorHAnsi" w:hAnsiTheme="majorHAnsi" w:cstheme="majorHAnsi"/>
                <w:b/>
                <w:lang w:eastAsia="en-AU"/>
              </w:rPr>
            </w:pPr>
            <w:r w:rsidRPr="009B56BD">
              <w:rPr>
                <w:rFonts w:asciiTheme="majorHAnsi" w:hAnsiTheme="majorHAnsi" w:cstheme="majorHAnsi"/>
                <w:b/>
                <w:lang w:eastAsia="en-AU"/>
              </w:rPr>
              <w:t>207.7</w:t>
            </w:r>
          </w:p>
        </w:tc>
      </w:tr>
      <w:tr w:rsidR="006662A6" w:rsidRPr="00784026" w14:paraId="7D34EA4F" w14:textId="77777777" w:rsidTr="0052573C">
        <w:trPr>
          <w:cnfStyle w:val="000000010000" w:firstRow="0" w:lastRow="0" w:firstColumn="0" w:lastColumn="0" w:oddVBand="0" w:evenVBand="0" w:oddHBand="0" w:evenHBand="1" w:firstRowFirstColumn="0" w:firstRowLastColumn="0" w:lastRowFirstColumn="0" w:lastRowLastColumn="0"/>
          <w:trHeight w:val="230"/>
        </w:trPr>
        <w:tc>
          <w:tcPr>
            <w:tcW w:w="1311" w:type="pct"/>
            <w:noWrap/>
          </w:tcPr>
          <w:p w14:paraId="6A4CFABD" w14:textId="30670EF6" w:rsidR="006662A6" w:rsidRPr="009B56BD" w:rsidRDefault="006662A6" w:rsidP="009B56BD">
            <w:pPr>
              <w:pStyle w:val="Tablebodytext"/>
              <w:rPr>
                <w:rFonts w:asciiTheme="majorHAnsi" w:hAnsiTheme="majorHAnsi" w:cstheme="majorHAnsi"/>
                <w:b/>
                <w:lang w:eastAsia="en-AU"/>
              </w:rPr>
            </w:pPr>
            <w:r w:rsidRPr="009B56BD">
              <w:rPr>
                <w:b/>
              </w:rPr>
              <w:t>India's share (per cent)</w:t>
            </w:r>
          </w:p>
        </w:tc>
        <w:tc>
          <w:tcPr>
            <w:tcW w:w="410" w:type="pct"/>
            <w:noWrap/>
          </w:tcPr>
          <w:p w14:paraId="263C1009" w14:textId="2F088D52" w:rsidR="006662A6" w:rsidRPr="009B56BD" w:rsidRDefault="006662A6" w:rsidP="009B56BD">
            <w:pPr>
              <w:pStyle w:val="Tablebodytext"/>
              <w:jc w:val="right"/>
              <w:rPr>
                <w:rFonts w:asciiTheme="majorHAnsi" w:hAnsiTheme="majorHAnsi" w:cstheme="majorHAnsi"/>
                <w:b/>
                <w:lang w:eastAsia="en-AU"/>
              </w:rPr>
            </w:pPr>
            <w:r w:rsidRPr="009B56BD">
              <w:rPr>
                <w:b/>
              </w:rPr>
              <w:t>0.3</w:t>
            </w:r>
          </w:p>
        </w:tc>
        <w:tc>
          <w:tcPr>
            <w:tcW w:w="410" w:type="pct"/>
            <w:noWrap/>
          </w:tcPr>
          <w:p w14:paraId="693FE7E8" w14:textId="76225BA7" w:rsidR="006662A6" w:rsidRPr="009B56BD" w:rsidRDefault="006662A6" w:rsidP="009B56BD">
            <w:pPr>
              <w:pStyle w:val="Tablebodytext"/>
              <w:jc w:val="right"/>
              <w:rPr>
                <w:rFonts w:asciiTheme="majorHAnsi" w:hAnsiTheme="majorHAnsi" w:cstheme="majorHAnsi"/>
                <w:b/>
                <w:lang w:eastAsia="en-AU"/>
              </w:rPr>
            </w:pPr>
            <w:r w:rsidRPr="009B56BD">
              <w:rPr>
                <w:b/>
              </w:rPr>
              <w:t>0.8</w:t>
            </w:r>
          </w:p>
        </w:tc>
        <w:tc>
          <w:tcPr>
            <w:tcW w:w="410" w:type="pct"/>
            <w:noWrap/>
          </w:tcPr>
          <w:p w14:paraId="53B0A9CA" w14:textId="1F22FFD8" w:rsidR="006662A6" w:rsidRPr="009B56BD" w:rsidRDefault="006662A6" w:rsidP="009B56BD">
            <w:pPr>
              <w:pStyle w:val="Tablebodytext"/>
              <w:jc w:val="right"/>
              <w:rPr>
                <w:rFonts w:asciiTheme="majorHAnsi" w:hAnsiTheme="majorHAnsi" w:cstheme="majorHAnsi"/>
                <w:b/>
                <w:lang w:eastAsia="en-AU"/>
              </w:rPr>
            </w:pPr>
            <w:r w:rsidRPr="009B56BD">
              <w:rPr>
                <w:b/>
              </w:rPr>
              <w:t>1.2</w:t>
            </w:r>
          </w:p>
        </w:tc>
        <w:tc>
          <w:tcPr>
            <w:tcW w:w="410" w:type="pct"/>
            <w:noWrap/>
          </w:tcPr>
          <w:p w14:paraId="3B6E838C" w14:textId="1CBDC3C8" w:rsidR="006662A6" w:rsidRPr="009B56BD" w:rsidRDefault="006662A6" w:rsidP="009B56BD">
            <w:pPr>
              <w:pStyle w:val="Tablebodytext"/>
              <w:jc w:val="right"/>
              <w:rPr>
                <w:rFonts w:asciiTheme="majorHAnsi" w:hAnsiTheme="majorHAnsi" w:cstheme="majorHAnsi"/>
                <w:b/>
                <w:lang w:eastAsia="en-AU"/>
              </w:rPr>
            </w:pPr>
            <w:r w:rsidRPr="009B56BD">
              <w:rPr>
                <w:b/>
              </w:rPr>
              <w:t>0.9</w:t>
            </w:r>
          </w:p>
        </w:tc>
        <w:tc>
          <w:tcPr>
            <w:tcW w:w="410" w:type="pct"/>
            <w:noWrap/>
          </w:tcPr>
          <w:p w14:paraId="19B9718C" w14:textId="370C9FFB" w:rsidR="006662A6" w:rsidRPr="009B56BD" w:rsidRDefault="006662A6" w:rsidP="009B56BD">
            <w:pPr>
              <w:pStyle w:val="Tablebodytext"/>
              <w:jc w:val="right"/>
              <w:rPr>
                <w:rFonts w:asciiTheme="majorHAnsi" w:hAnsiTheme="majorHAnsi" w:cstheme="majorHAnsi"/>
                <w:b/>
                <w:lang w:eastAsia="en-AU"/>
              </w:rPr>
            </w:pPr>
            <w:r w:rsidRPr="009B56BD">
              <w:rPr>
                <w:b/>
              </w:rPr>
              <w:t>3.3</w:t>
            </w:r>
          </w:p>
        </w:tc>
        <w:tc>
          <w:tcPr>
            <w:tcW w:w="410" w:type="pct"/>
            <w:noWrap/>
          </w:tcPr>
          <w:p w14:paraId="7A45B99C" w14:textId="7A622F3B" w:rsidR="006662A6" w:rsidRPr="009B56BD" w:rsidRDefault="006662A6" w:rsidP="009B56BD">
            <w:pPr>
              <w:pStyle w:val="Tablebodytext"/>
              <w:jc w:val="right"/>
              <w:rPr>
                <w:rFonts w:asciiTheme="majorHAnsi" w:hAnsiTheme="majorHAnsi" w:cstheme="majorHAnsi"/>
                <w:b/>
                <w:lang w:eastAsia="en-AU"/>
              </w:rPr>
            </w:pPr>
            <w:r w:rsidRPr="009B56BD">
              <w:rPr>
                <w:b/>
              </w:rPr>
              <w:t>2.6</w:t>
            </w:r>
          </w:p>
        </w:tc>
        <w:tc>
          <w:tcPr>
            <w:tcW w:w="410" w:type="pct"/>
            <w:noWrap/>
          </w:tcPr>
          <w:p w14:paraId="5FEE86E3" w14:textId="23BADC7A" w:rsidR="006662A6" w:rsidRPr="009B56BD" w:rsidRDefault="006662A6" w:rsidP="009B56BD">
            <w:pPr>
              <w:pStyle w:val="Tablebodytext"/>
              <w:jc w:val="right"/>
              <w:rPr>
                <w:rFonts w:asciiTheme="majorHAnsi" w:hAnsiTheme="majorHAnsi" w:cstheme="majorHAnsi"/>
                <w:b/>
                <w:lang w:eastAsia="en-AU"/>
              </w:rPr>
            </w:pPr>
            <w:r w:rsidRPr="009B56BD">
              <w:rPr>
                <w:b/>
              </w:rPr>
              <w:t>2.4</w:t>
            </w:r>
          </w:p>
        </w:tc>
        <w:tc>
          <w:tcPr>
            <w:tcW w:w="410" w:type="pct"/>
            <w:noWrap/>
          </w:tcPr>
          <w:p w14:paraId="5CB99DFC" w14:textId="52A8F97A" w:rsidR="006662A6" w:rsidRPr="009B56BD" w:rsidRDefault="006662A6" w:rsidP="009B56BD">
            <w:pPr>
              <w:pStyle w:val="Tablebodytext"/>
              <w:jc w:val="right"/>
              <w:rPr>
                <w:rFonts w:asciiTheme="majorHAnsi" w:hAnsiTheme="majorHAnsi" w:cstheme="majorHAnsi"/>
                <w:b/>
                <w:lang w:eastAsia="en-AU"/>
              </w:rPr>
            </w:pPr>
            <w:r w:rsidRPr="009B56BD">
              <w:rPr>
                <w:b/>
              </w:rPr>
              <w:t>1.6</w:t>
            </w:r>
          </w:p>
        </w:tc>
        <w:tc>
          <w:tcPr>
            <w:tcW w:w="409" w:type="pct"/>
            <w:noWrap/>
          </w:tcPr>
          <w:p w14:paraId="57EEBF7C" w14:textId="1D9D237C" w:rsidR="006662A6" w:rsidRPr="009B56BD" w:rsidRDefault="006662A6" w:rsidP="009B56BD">
            <w:pPr>
              <w:pStyle w:val="Tablebodytext"/>
              <w:jc w:val="right"/>
              <w:rPr>
                <w:rFonts w:asciiTheme="majorHAnsi" w:hAnsiTheme="majorHAnsi" w:cstheme="majorHAnsi"/>
                <w:b/>
                <w:lang w:eastAsia="en-AU"/>
              </w:rPr>
            </w:pPr>
            <w:r w:rsidRPr="009B56BD">
              <w:rPr>
                <w:b/>
              </w:rPr>
              <w:t>2.3</w:t>
            </w:r>
          </w:p>
        </w:tc>
      </w:tr>
    </w:tbl>
    <w:p w14:paraId="63AA895C" w14:textId="77777777" w:rsidR="006662A6" w:rsidRDefault="006662A6" w:rsidP="009B56BD">
      <w:pPr>
        <w:pStyle w:val="Source"/>
        <w:rPr>
          <w:lang w:eastAsia="en-AU"/>
        </w:rPr>
      </w:pPr>
      <w:r>
        <w:rPr>
          <w:lang w:eastAsia="en-AU"/>
        </w:rPr>
        <w:t>Source: ABS (2019) International Trade in Goods and Services, Australia, cat. no. 5368.0</w:t>
      </w:r>
    </w:p>
    <w:p w14:paraId="46587D4C" w14:textId="0F2D9371" w:rsidR="006662A6" w:rsidRDefault="006662A6" w:rsidP="0052573C">
      <w:pPr>
        <w:pStyle w:val="Caption"/>
        <w:spacing w:after="120"/>
      </w:pPr>
      <w:r w:rsidRPr="000618FB">
        <w:t>Table</w:t>
      </w:r>
      <w:r>
        <w:t xml:space="preserve"> 3</w:t>
      </w:r>
      <w:r w:rsidRPr="000618FB">
        <w:t>.</w:t>
      </w:r>
      <w:r>
        <w:rPr>
          <w:noProof/>
        </w:rPr>
        <w:fldChar w:fldCharType="begin"/>
      </w:r>
      <w:r>
        <w:rPr>
          <w:noProof/>
        </w:rPr>
        <w:instrText xml:space="preserve"> SEQ Table \* ARABIC \s 1 </w:instrText>
      </w:r>
      <w:r>
        <w:rPr>
          <w:noProof/>
        </w:rPr>
        <w:fldChar w:fldCharType="separate"/>
      </w:r>
      <w:r w:rsidR="003172B3">
        <w:rPr>
          <w:noProof/>
        </w:rPr>
        <w:t>4</w:t>
      </w:r>
      <w:r>
        <w:rPr>
          <w:noProof/>
        </w:rPr>
        <w:fldChar w:fldCharType="end"/>
      </w:r>
      <w:r w:rsidRPr="000618FB">
        <w:t xml:space="preserve">: </w:t>
      </w:r>
      <w:r>
        <w:t>India’s thermal coal imports by destination (million tonnes)</w:t>
      </w:r>
    </w:p>
    <w:tbl>
      <w:tblPr>
        <w:tblStyle w:val="OCETable"/>
        <w:tblW w:w="5000" w:type="pct"/>
        <w:tblLook w:val="04A0" w:firstRow="1" w:lastRow="0" w:firstColumn="1" w:lastColumn="0" w:noHBand="0" w:noVBand="1"/>
        <w:tblCaption w:val="Table 3.4: India’s thermal coal imports by destination (million tonnes)"/>
        <w:tblDescription w:val="This table shows India’s thermal coal imports by destination (million tonnes)."/>
      </w:tblPr>
      <w:tblGrid>
        <w:gridCol w:w="2925"/>
        <w:gridCol w:w="678"/>
        <w:gridCol w:w="679"/>
        <w:gridCol w:w="679"/>
        <w:gridCol w:w="679"/>
        <w:gridCol w:w="679"/>
        <w:gridCol w:w="679"/>
        <w:gridCol w:w="679"/>
        <w:gridCol w:w="679"/>
        <w:gridCol w:w="670"/>
      </w:tblGrid>
      <w:tr w:rsidR="006662A6" w:rsidRPr="003715C0" w14:paraId="582767DE" w14:textId="77777777" w:rsidTr="005625F4">
        <w:trPr>
          <w:cnfStyle w:val="100000000000" w:firstRow="1" w:lastRow="0" w:firstColumn="0" w:lastColumn="0" w:oddVBand="0" w:evenVBand="0" w:oddHBand="0" w:evenHBand="0" w:firstRowFirstColumn="0" w:firstRowLastColumn="0" w:lastRowFirstColumn="0" w:lastRowLastColumn="0"/>
          <w:trHeight w:val="255"/>
          <w:tblHeader/>
        </w:trPr>
        <w:tc>
          <w:tcPr>
            <w:tcW w:w="1621" w:type="pct"/>
            <w:noWrap/>
            <w:hideMark/>
          </w:tcPr>
          <w:p w14:paraId="4BCB9943" w14:textId="77777777" w:rsidR="006662A6" w:rsidRPr="003715C0" w:rsidRDefault="006662A6" w:rsidP="003715C0">
            <w:pPr>
              <w:pStyle w:val="Tableheadertext"/>
              <w:rPr>
                <w:lang w:eastAsia="en-AU"/>
              </w:rPr>
            </w:pPr>
          </w:p>
        </w:tc>
        <w:tc>
          <w:tcPr>
            <w:tcW w:w="376" w:type="pct"/>
            <w:noWrap/>
            <w:vAlign w:val="center"/>
            <w:hideMark/>
          </w:tcPr>
          <w:p w14:paraId="5CC37236" w14:textId="77777777" w:rsidR="006662A6" w:rsidRPr="003715C0" w:rsidRDefault="006662A6" w:rsidP="003715C0">
            <w:pPr>
              <w:pStyle w:val="Tableheadertext"/>
              <w:jc w:val="right"/>
              <w:rPr>
                <w:szCs w:val="20"/>
                <w:lang w:eastAsia="en-AU"/>
              </w:rPr>
            </w:pPr>
            <w:r w:rsidRPr="003715C0">
              <w:rPr>
                <w:szCs w:val="20"/>
                <w:lang w:eastAsia="en-AU"/>
              </w:rPr>
              <w:t>2010</w:t>
            </w:r>
          </w:p>
        </w:tc>
        <w:tc>
          <w:tcPr>
            <w:tcW w:w="376" w:type="pct"/>
            <w:noWrap/>
            <w:vAlign w:val="center"/>
            <w:hideMark/>
          </w:tcPr>
          <w:p w14:paraId="51015769" w14:textId="77777777" w:rsidR="006662A6" w:rsidRPr="003715C0" w:rsidRDefault="006662A6" w:rsidP="003715C0">
            <w:pPr>
              <w:pStyle w:val="Tableheadertext"/>
              <w:jc w:val="right"/>
              <w:rPr>
                <w:szCs w:val="20"/>
                <w:lang w:eastAsia="en-AU"/>
              </w:rPr>
            </w:pPr>
            <w:r w:rsidRPr="003715C0">
              <w:rPr>
                <w:szCs w:val="20"/>
                <w:lang w:eastAsia="en-AU"/>
              </w:rPr>
              <w:t>2011</w:t>
            </w:r>
          </w:p>
        </w:tc>
        <w:tc>
          <w:tcPr>
            <w:tcW w:w="376" w:type="pct"/>
            <w:noWrap/>
            <w:vAlign w:val="center"/>
            <w:hideMark/>
          </w:tcPr>
          <w:p w14:paraId="3B833029" w14:textId="77777777" w:rsidR="006662A6" w:rsidRPr="003715C0" w:rsidRDefault="006662A6" w:rsidP="003715C0">
            <w:pPr>
              <w:pStyle w:val="Tableheadertext"/>
              <w:jc w:val="right"/>
              <w:rPr>
                <w:szCs w:val="20"/>
                <w:lang w:eastAsia="en-AU"/>
              </w:rPr>
            </w:pPr>
            <w:r w:rsidRPr="003715C0">
              <w:rPr>
                <w:szCs w:val="20"/>
                <w:lang w:eastAsia="en-AU"/>
              </w:rPr>
              <w:t>2012</w:t>
            </w:r>
          </w:p>
        </w:tc>
        <w:tc>
          <w:tcPr>
            <w:tcW w:w="376" w:type="pct"/>
            <w:noWrap/>
            <w:vAlign w:val="center"/>
            <w:hideMark/>
          </w:tcPr>
          <w:p w14:paraId="32DB66A4" w14:textId="77777777" w:rsidR="006662A6" w:rsidRPr="003715C0" w:rsidRDefault="006662A6" w:rsidP="003715C0">
            <w:pPr>
              <w:pStyle w:val="Tableheadertext"/>
              <w:jc w:val="right"/>
              <w:rPr>
                <w:szCs w:val="20"/>
                <w:lang w:eastAsia="en-AU"/>
              </w:rPr>
            </w:pPr>
            <w:r w:rsidRPr="003715C0">
              <w:rPr>
                <w:szCs w:val="20"/>
                <w:lang w:eastAsia="en-AU"/>
              </w:rPr>
              <w:t>2013</w:t>
            </w:r>
          </w:p>
        </w:tc>
        <w:tc>
          <w:tcPr>
            <w:tcW w:w="376" w:type="pct"/>
            <w:noWrap/>
            <w:vAlign w:val="center"/>
            <w:hideMark/>
          </w:tcPr>
          <w:p w14:paraId="25FD81F0" w14:textId="77777777" w:rsidR="006662A6" w:rsidRPr="003715C0" w:rsidRDefault="006662A6" w:rsidP="003715C0">
            <w:pPr>
              <w:pStyle w:val="Tableheadertext"/>
              <w:jc w:val="right"/>
              <w:rPr>
                <w:szCs w:val="20"/>
                <w:lang w:eastAsia="en-AU"/>
              </w:rPr>
            </w:pPr>
            <w:r w:rsidRPr="003715C0">
              <w:rPr>
                <w:szCs w:val="20"/>
                <w:lang w:eastAsia="en-AU"/>
              </w:rPr>
              <w:t>2014</w:t>
            </w:r>
          </w:p>
        </w:tc>
        <w:tc>
          <w:tcPr>
            <w:tcW w:w="376" w:type="pct"/>
            <w:noWrap/>
            <w:vAlign w:val="center"/>
            <w:hideMark/>
          </w:tcPr>
          <w:p w14:paraId="096E9E4C" w14:textId="77777777" w:rsidR="006662A6" w:rsidRPr="003715C0" w:rsidRDefault="006662A6" w:rsidP="003715C0">
            <w:pPr>
              <w:pStyle w:val="Tableheadertext"/>
              <w:jc w:val="right"/>
              <w:rPr>
                <w:szCs w:val="20"/>
                <w:lang w:eastAsia="en-AU"/>
              </w:rPr>
            </w:pPr>
            <w:r w:rsidRPr="003715C0">
              <w:rPr>
                <w:szCs w:val="20"/>
                <w:lang w:eastAsia="en-AU"/>
              </w:rPr>
              <w:t>2015</w:t>
            </w:r>
          </w:p>
        </w:tc>
        <w:tc>
          <w:tcPr>
            <w:tcW w:w="376" w:type="pct"/>
            <w:noWrap/>
            <w:vAlign w:val="center"/>
            <w:hideMark/>
          </w:tcPr>
          <w:p w14:paraId="73BB6F5F" w14:textId="77777777" w:rsidR="006662A6" w:rsidRPr="003715C0" w:rsidRDefault="006662A6" w:rsidP="003715C0">
            <w:pPr>
              <w:pStyle w:val="Tableheadertext"/>
              <w:jc w:val="right"/>
              <w:rPr>
                <w:szCs w:val="20"/>
                <w:lang w:eastAsia="en-AU"/>
              </w:rPr>
            </w:pPr>
            <w:r w:rsidRPr="003715C0">
              <w:rPr>
                <w:szCs w:val="20"/>
                <w:lang w:eastAsia="en-AU"/>
              </w:rPr>
              <w:t>2016</w:t>
            </w:r>
          </w:p>
        </w:tc>
        <w:tc>
          <w:tcPr>
            <w:tcW w:w="376" w:type="pct"/>
            <w:noWrap/>
            <w:vAlign w:val="center"/>
            <w:hideMark/>
          </w:tcPr>
          <w:p w14:paraId="78AC7E54" w14:textId="77777777" w:rsidR="006662A6" w:rsidRPr="003715C0" w:rsidRDefault="006662A6" w:rsidP="003715C0">
            <w:pPr>
              <w:pStyle w:val="Tableheadertext"/>
              <w:jc w:val="right"/>
              <w:rPr>
                <w:szCs w:val="20"/>
                <w:lang w:eastAsia="en-AU"/>
              </w:rPr>
            </w:pPr>
            <w:r w:rsidRPr="003715C0">
              <w:rPr>
                <w:szCs w:val="20"/>
                <w:lang w:eastAsia="en-AU"/>
              </w:rPr>
              <w:t>2017</w:t>
            </w:r>
          </w:p>
        </w:tc>
        <w:tc>
          <w:tcPr>
            <w:tcW w:w="374" w:type="pct"/>
            <w:noWrap/>
            <w:vAlign w:val="center"/>
            <w:hideMark/>
          </w:tcPr>
          <w:p w14:paraId="0C774F3C" w14:textId="77777777" w:rsidR="006662A6" w:rsidRPr="003715C0" w:rsidRDefault="006662A6" w:rsidP="003715C0">
            <w:pPr>
              <w:pStyle w:val="Tableheadertext"/>
              <w:jc w:val="right"/>
              <w:rPr>
                <w:szCs w:val="20"/>
                <w:lang w:eastAsia="en-AU"/>
              </w:rPr>
            </w:pPr>
            <w:r w:rsidRPr="003715C0">
              <w:rPr>
                <w:szCs w:val="20"/>
                <w:lang w:eastAsia="en-AU"/>
              </w:rPr>
              <w:t>2018</w:t>
            </w:r>
          </w:p>
        </w:tc>
      </w:tr>
      <w:tr w:rsidR="006662A6" w:rsidRPr="003715C0" w14:paraId="1CFCF56C" w14:textId="77777777" w:rsidTr="003715C0">
        <w:trPr>
          <w:cnfStyle w:val="000000100000" w:firstRow="0" w:lastRow="0" w:firstColumn="0" w:lastColumn="0" w:oddVBand="0" w:evenVBand="0" w:oddHBand="1" w:evenHBand="0" w:firstRowFirstColumn="0" w:firstRowLastColumn="0" w:lastRowFirstColumn="0" w:lastRowLastColumn="0"/>
          <w:trHeight w:val="300"/>
        </w:trPr>
        <w:tc>
          <w:tcPr>
            <w:tcW w:w="1621" w:type="pct"/>
            <w:noWrap/>
            <w:hideMark/>
          </w:tcPr>
          <w:p w14:paraId="7AC89CE4" w14:textId="1416D0AB" w:rsidR="006662A6" w:rsidRPr="003715C0" w:rsidRDefault="006662A6" w:rsidP="003715C0">
            <w:pPr>
              <w:pStyle w:val="Tablebodytext"/>
              <w:rPr>
                <w:szCs w:val="20"/>
                <w:lang w:eastAsia="en-AU"/>
              </w:rPr>
            </w:pPr>
            <w:r w:rsidRPr="00E04CCF">
              <w:t>Indonesia</w:t>
            </w:r>
          </w:p>
        </w:tc>
        <w:tc>
          <w:tcPr>
            <w:tcW w:w="376" w:type="pct"/>
            <w:noWrap/>
            <w:vAlign w:val="center"/>
            <w:hideMark/>
          </w:tcPr>
          <w:p w14:paraId="7D37D095" w14:textId="79AF6A27" w:rsidR="006662A6" w:rsidRPr="003715C0" w:rsidRDefault="006662A6" w:rsidP="003715C0">
            <w:pPr>
              <w:pStyle w:val="Tablebodytext"/>
              <w:jc w:val="right"/>
              <w:rPr>
                <w:szCs w:val="20"/>
                <w:lang w:eastAsia="en-AU"/>
              </w:rPr>
            </w:pPr>
            <w:r w:rsidRPr="00E04CCF">
              <w:t>49.0</w:t>
            </w:r>
          </w:p>
        </w:tc>
        <w:tc>
          <w:tcPr>
            <w:tcW w:w="376" w:type="pct"/>
            <w:noWrap/>
            <w:vAlign w:val="center"/>
            <w:hideMark/>
          </w:tcPr>
          <w:p w14:paraId="6149EAC6" w14:textId="5B4E0AE1" w:rsidR="006662A6" w:rsidRPr="003715C0" w:rsidRDefault="006662A6" w:rsidP="003715C0">
            <w:pPr>
              <w:pStyle w:val="Tablebodytext"/>
              <w:jc w:val="right"/>
              <w:rPr>
                <w:szCs w:val="20"/>
                <w:lang w:eastAsia="en-AU"/>
              </w:rPr>
            </w:pPr>
            <w:r w:rsidRPr="00E04CCF">
              <w:t>77.2</w:t>
            </w:r>
          </w:p>
        </w:tc>
        <w:tc>
          <w:tcPr>
            <w:tcW w:w="376" w:type="pct"/>
            <w:noWrap/>
            <w:vAlign w:val="center"/>
            <w:hideMark/>
          </w:tcPr>
          <w:p w14:paraId="6BC09780" w14:textId="2C37F887" w:rsidR="006662A6" w:rsidRPr="003715C0" w:rsidRDefault="006662A6" w:rsidP="003715C0">
            <w:pPr>
              <w:pStyle w:val="Tablebodytext"/>
              <w:jc w:val="right"/>
              <w:rPr>
                <w:szCs w:val="20"/>
                <w:lang w:eastAsia="en-AU"/>
              </w:rPr>
            </w:pPr>
            <w:r w:rsidRPr="00E04CCF">
              <w:t>103.0</w:t>
            </w:r>
          </w:p>
        </w:tc>
        <w:tc>
          <w:tcPr>
            <w:tcW w:w="376" w:type="pct"/>
            <w:noWrap/>
            <w:vAlign w:val="center"/>
            <w:hideMark/>
          </w:tcPr>
          <w:p w14:paraId="56810714" w14:textId="705D1578" w:rsidR="006662A6" w:rsidRPr="003715C0" w:rsidRDefault="006662A6" w:rsidP="003715C0">
            <w:pPr>
              <w:pStyle w:val="Tablebodytext"/>
              <w:jc w:val="right"/>
              <w:rPr>
                <w:szCs w:val="20"/>
                <w:lang w:eastAsia="en-AU"/>
              </w:rPr>
            </w:pPr>
            <w:r w:rsidRPr="00E04CCF">
              <w:t>120.5</w:t>
            </w:r>
          </w:p>
        </w:tc>
        <w:tc>
          <w:tcPr>
            <w:tcW w:w="376" w:type="pct"/>
            <w:noWrap/>
            <w:vAlign w:val="center"/>
            <w:hideMark/>
          </w:tcPr>
          <w:p w14:paraId="2EF97497" w14:textId="2B8A0CC1" w:rsidR="006662A6" w:rsidRPr="003715C0" w:rsidRDefault="006662A6" w:rsidP="003715C0">
            <w:pPr>
              <w:pStyle w:val="Tablebodytext"/>
              <w:jc w:val="right"/>
              <w:rPr>
                <w:szCs w:val="20"/>
                <w:lang w:eastAsia="en-AU"/>
              </w:rPr>
            </w:pPr>
            <w:r w:rsidRPr="00E04CCF">
              <w:t>140.5</w:t>
            </w:r>
          </w:p>
        </w:tc>
        <w:tc>
          <w:tcPr>
            <w:tcW w:w="376" w:type="pct"/>
            <w:noWrap/>
            <w:vAlign w:val="center"/>
            <w:hideMark/>
          </w:tcPr>
          <w:p w14:paraId="32FA9508" w14:textId="38829A58" w:rsidR="006662A6" w:rsidRPr="003715C0" w:rsidRDefault="006662A6" w:rsidP="003715C0">
            <w:pPr>
              <w:pStyle w:val="Tablebodytext"/>
              <w:jc w:val="right"/>
              <w:rPr>
                <w:szCs w:val="20"/>
                <w:lang w:eastAsia="en-AU"/>
              </w:rPr>
            </w:pPr>
            <w:r w:rsidRPr="00E04CCF">
              <w:t>115.8</w:t>
            </w:r>
          </w:p>
        </w:tc>
        <w:tc>
          <w:tcPr>
            <w:tcW w:w="376" w:type="pct"/>
            <w:noWrap/>
            <w:vAlign w:val="center"/>
            <w:hideMark/>
          </w:tcPr>
          <w:p w14:paraId="52341505" w14:textId="7DFB0AFC" w:rsidR="006662A6" w:rsidRPr="003715C0" w:rsidRDefault="006662A6" w:rsidP="003715C0">
            <w:pPr>
              <w:pStyle w:val="Tablebodytext"/>
              <w:jc w:val="right"/>
              <w:rPr>
                <w:szCs w:val="20"/>
                <w:lang w:eastAsia="en-AU"/>
              </w:rPr>
            </w:pPr>
            <w:r w:rsidRPr="00E04CCF">
              <w:t>90.8</w:t>
            </w:r>
          </w:p>
        </w:tc>
        <w:tc>
          <w:tcPr>
            <w:tcW w:w="376" w:type="pct"/>
            <w:noWrap/>
            <w:vAlign w:val="center"/>
            <w:hideMark/>
          </w:tcPr>
          <w:p w14:paraId="331734BD" w14:textId="3AFDF49A" w:rsidR="006662A6" w:rsidRPr="003715C0" w:rsidRDefault="006662A6" w:rsidP="003715C0">
            <w:pPr>
              <w:pStyle w:val="Tablebodytext"/>
              <w:jc w:val="right"/>
              <w:rPr>
                <w:szCs w:val="20"/>
                <w:lang w:eastAsia="en-AU"/>
              </w:rPr>
            </w:pPr>
            <w:r w:rsidRPr="00E04CCF">
              <w:t>94.6</w:t>
            </w:r>
          </w:p>
        </w:tc>
        <w:tc>
          <w:tcPr>
            <w:tcW w:w="374" w:type="pct"/>
            <w:noWrap/>
            <w:vAlign w:val="center"/>
            <w:hideMark/>
          </w:tcPr>
          <w:p w14:paraId="1C4EFAEC" w14:textId="2325E947" w:rsidR="006662A6" w:rsidRPr="003715C0" w:rsidRDefault="006662A6" w:rsidP="003715C0">
            <w:pPr>
              <w:pStyle w:val="Tablebodytext"/>
              <w:jc w:val="right"/>
              <w:rPr>
                <w:szCs w:val="20"/>
                <w:lang w:eastAsia="en-AU"/>
              </w:rPr>
            </w:pPr>
            <w:r w:rsidRPr="00E04CCF">
              <w:t>112.0</w:t>
            </w:r>
          </w:p>
        </w:tc>
      </w:tr>
      <w:tr w:rsidR="006662A6" w:rsidRPr="003715C0" w14:paraId="4C8E3C40" w14:textId="77777777" w:rsidTr="003715C0">
        <w:trPr>
          <w:cnfStyle w:val="000000010000" w:firstRow="0" w:lastRow="0" w:firstColumn="0" w:lastColumn="0" w:oddVBand="0" w:evenVBand="0" w:oddHBand="0" w:evenHBand="1" w:firstRowFirstColumn="0" w:firstRowLastColumn="0" w:lastRowFirstColumn="0" w:lastRowLastColumn="0"/>
          <w:trHeight w:val="255"/>
        </w:trPr>
        <w:tc>
          <w:tcPr>
            <w:tcW w:w="1621" w:type="pct"/>
            <w:noWrap/>
            <w:hideMark/>
          </w:tcPr>
          <w:p w14:paraId="2F5FE0DD" w14:textId="575B8831" w:rsidR="006662A6" w:rsidRPr="003715C0" w:rsidRDefault="006662A6" w:rsidP="003715C0">
            <w:pPr>
              <w:pStyle w:val="Tablebodytext"/>
              <w:rPr>
                <w:szCs w:val="20"/>
                <w:lang w:eastAsia="en-AU"/>
              </w:rPr>
            </w:pPr>
            <w:r w:rsidRPr="00E04CCF">
              <w:t>South Africa</w:t>
            </w:r>
          </w:p>
        </w:tc>
        <w:tc>
          <w:tcPr>
            <w:tcW w:w="376" w:type="pct"/>
            <w:noWrap/>
            <w:vAlign w:val="center"/>
            <w:hideMark/>
          </w:tcPr>
          <w:p w14:paraId="0C4253B5" w14:textId="164B8015" w:rsidR="006662A6" w:rsidRPr="003715C0" w:rsidRDefault="006662A6" w:rsidP="003715C0">
            <w:pPr>
              <w:pStyle w:val="Tablebodytext"/>
              <w:jc w:val="right"/>
              <w:rPr>
                <w:szCs w:val="20"/>
                <w:lang w:eastAsia="en-AU"/>
              </w:rPr>
            </w:pPr>
            <w:r w:rsidRPr="00E04CCF">
              <w:t>20.2</w:t>
            </w:r>
          </w:p>
        </w:tc>
        <w:tc>
          <w:tcPr>
            <w:tcW w:w="376" w:type="pct"/>
            <w:noWrap/>
            <w:vAlign w:val="center"/>
            <w:hideMark/>
          </w:tcPr>
          <w:p w14:paraId="6791FCED" w14:textId="0BD28FD3" w:rsidR="006662A6" w:rsidRPr="003715C0" w:rsidRDefault="006662A6" w:rsidP="003715C0">
            <w:pPr>
              <w:pStyle w:val="Tablebodytext"/>
              <w:jc w:val="right"/>
              <w:rPr>
                <w:szCs w:val="20"/>
                <w:lang w:eastAsia="en-AU"/>
              </w:rPr>
            </w:pPr>
            <w:r w:rsidRPr="00E04CCF">
              <w:t>18.9</w:t>
            </w:r>
          </w:p>
        </w:tc>
        <w:tc>
          <w:tcPr>
            <w:tcW w:w="376" w:type="pct"/>
            <w:noWrap/>
            <w:vAlign w:val="center"/>
            <w:hideMark/>
          </w:tcPr>
          <w:p w14:paraId="66A0F673" w14:textId="7C620777" w:rsidR="006662A6" w:rsidRPr="003715C0" w:rsidRDefault="006662A6" w:rsidP="003715C0">
            <w:pPr>
              <w:pStyle w:val="Tablebodytext"/>
              <w:jc w:val="right"/>
              <w:rPr>
                <w:szCs w:val="20"/>
                <w:lang w:eastAsia="en-AU"/>
              </w:rPr>
            </w:pPr>
            <w:r w:rsidRPr="00E04CCF">
              <w:t>22.0</w:t>
            </w:r>
          </w:p>
        </w:tc>
        <w:tc>
          <w:tcPr>
            <w:tcW w:w="376" w:type="pct"/>
            <w:noWrap/>
            <w:vAlign w:val="center"/>
            <w:hideMark/>
          </w:tcPr>
          <w:p w14:paraId="481B7843" w14:textId="4A3F5200" w:rsidR="006662A6" w:rsidRPr="003715C0" w:rsidRDefault="006662A6" w:rsidP="003715C0">
            <w:pPr>
              <w:pStyle w:val="Tablebodytext"/>
              <w:jc w:val="right"/>
              <w:rPr>
                <w:szCs w:val="20"/>
                <w:lang w:eastAsia="en-AU"/>
              </w:rPr>
            </w:pPr>
            <w:r w:rsidRPr="00E04CCF">
              <w:t>20.4</w:t>
            </w:r>
          </w:p>
        </w:tc>
        <w:tc>
          <w:tcPr>
            <w:tcW w:w="376" w:type="pct"/>
            <w:noWrap/>
            <w:vAlign w:val="center"/>
            <w:hideMark/>
          </w:tcPr>
          <w:p w14:paraId="60E17E0D" w14:textId="12E742E8" w:rsidR="006662A6" w:rsidRPr="003715C0" w:rsidRDefault="006662A6" w:rsidP="003715C0">
            <w:pPr>
              <w:pStyle w:val="Tablebodytext"/>
              <w:jc w:val="right"/>
              <w:rPr>
                <w:szCs w:val="20"/>
                <w:lang w:eastAsia="en-AU"/>
              </w:rPr>
            </w:pPr>
            <w:r w:rsidRPr="00E04CCF">
              <w:t>33.3</w:t>
            </w:r>
          </w:p>
        </w:tc>
        <w:tc>
          <w:tcPr>
            <w:tcW w:w="376" w:type="pct"/>
            <w:noWrap/>
            <w:vAlign w:val="center"/>
            <w:hideMark/>
          </w:tcPr>
          <w:p w14:paraId="45AD9F26" w14:textId="5961A582" w:rsidR="006662A6" w:rsidRPr="003715C0" w:rsidRDefault="006662A6" w:rsidP="003715C0">
            <w:pPr>
              <w:pStyle w:val="Tablebodytext"/>
              <w:jc w:val="right"/>
              <w:rPr>
                <w:szCs w:val="20"/>
                <w:lang w:eastAsia="en-AU"/>
              </w:rPr>
            </w:pPr>
            <w:r w:rsidRPr="00E04CCF">
              <w:t>37.3</w:t>
            </w:r>
          </w:p>
        </w:tc>
        <w:tc>
          <w:tcPr>
            <w:tcW w:w="376" w:type="pct"/>
            <w:noWrap/>
            <w:vAlign w:val="center"/>
            <w:hideMark/>
          </w:tcPr>
          <w:p w14:paraId="30BF5A42" w14:textId="23BF36A4" w:rsidR="006662A6" w:rsidRPr="003715C0" w:rsidRDefault="006662A6" w:rsidP="003715C0">
            <w:pPr>
              <w:pStyle w:val="Tablebodytext"/>
              <w:jc w:val="right"/>
              <w:rPr>
                <w:szCs w:val="20"/>
                <w:lang w:eastAsia="en-AU"/>
              </w:rPr>
            </w:pPr>
            <w:r w:rsidRPr="00E04CCF">
              <w:t>34.6</w:t>
            </w:r>
          </w:p>
        </w:tc>
        <w:tc>
          <w:tcPr>
            <w:tcW w:w="376" w:type="pct"/>
            <w:noWrap/>
            <w:vAlign w:val="center"/>
            <w:hideMark/>
          </w:tcPr>
          <w:p w14:paraId="37F66D92" w14:textId="08454331" w:rsidR="006662A6" w:rsidRPr="003715C0" w:rsidRDefault="006662A6" w:rsidP="003715C0">
            <w:pPr>
              <w:pStyle w:val="Tablebodytext"/>
              <w:jc w:val="right"/>
              <w:rPr>
                <w:szCs w:val="20"/>
                <w:lang w:eastAsia="en-AU"/>
              </w:rPr>
            </w:pPr>
            <w:r w:rsidRPr="00E04CCF">
              <w:t>38.7</w:t>
            </w:r>
          </w:p>
        </w:tc>
        <w:tc>
          <w:tcPr>
            <w:tcW w:w="374" w:type="pct"/>
            <w:noWrap/>
            <w:vAlign w:val="center"/>
            <w:hideMark/>
          </w:tcPr>
          <w:p w14:paraId="03D63A7B" w14:textId="066D2B67" w:rsidR="006662A6" w:rsidRPr="003715C0" w:rsidRDefault="006662A6" w:rsidP="003715C0">
            <w:pPr>
              <w:pStyle w:val="Tablebodytext"/>
              <w:jc w:val="right"/>
              <w:rPr>
                <w:szCs w:val="20"/>
                <w:lang w:eastAsia="en-AU"/>
              </w:rPr>
            </w:pPr>
            <w:r w:rsidRPr="00E04CCF">
              <w:t>31.6</w:t>
            </w:r>
          </w:p>
        </w:tc>
      </w:tr>
      <w:tr w:rsidR="006662A6" w:rsidRPr="003715C0" w14:paraId="02A5E649" w14:textId="77777777" w:rsidTr="003715C0">
        <w:trPr>
          <w:cnfStyle w:val="000000100000" w:firstRow="0" w:lastRow="0" w:firstColumn="0" w:lastColumn="0" w:oddVBand="0" w:evenVBand="0" w:oddHBand="1" w:evenHBand="0" w:firstRowFirstColumn="0" w:firstRowLastColumn="0" w:lastRowFirstColumn="0" w:lastRowLastColumn="0"/>
          <w:trHeight w:val="255"/>
        </w:trPr>
        <w:tc>
          <w:tcPr>
            <w:tcW w:w="1621" w:type="pct"/>
            <w:noWrap/>
            <w:hideMark/>
          </w:tcPr>
          <w:p w14:paraId="07AA4C9A" w14:textId="5C02F330" w:rsidR="006662A6" w:rsidRPr="003715C0" w:rsidRDefault="006662A6" w:rsidP="003715C0">
            <w:pPr>
              <w:pStyle w:val="Tablebodytext"/>
              <w:rPr>
                <w:szCs w:val="20"/>
                <w:lang w:eastAsia="en-AU"/>
              </w:rPr>
            </w:pPr>
            <w:r w:rsidRPr="00E04CCF">
              <w:t>United States</w:t>
            </w:r>
          </w:p>
        </w:tc>
        <w:tc>
          <w:tcPr>
            <w:tcW w:w="376" w:type="pct"/>
            <w:noWrap/>
            <w:vAlign w:val="center"/>
            <w:hideMark/>
          </w:tcPr>
          <w:p w14:paraId="2B497242" w14:textId="265FA0F2" w:rsidR="006662A6" w:rsidRPr="003715C0" w:rsidRDefault="006662A6" w:rsidP="003715C0">
            <w:pPr>
              <w:pStyle w:val="Tablebodytext"/>
              <w:jc w:val="right"/>
              <w:rPr>
                <w:szCs w:val="20"/>
                <w:lang w:eastAsia="en-AU"/>
              </w:rPr>
            </w:pPr>
            <w:r w:rsidRPr="00E04CCF">
              <w:t>0.2</w:t>
            </w:r>
          </w:p>
        </w:tc>
        <w:tc>
          <w:tcPr>
            <w:tcW w:w="376" w:type="pct"/>
            <w:noWrap/>
            <w:vAlign w:val="center"/>
            <w:hideMark/>
          </w:tcPr>
          <w:p w14:paraId="3BB11E4D" w14:textId="5E72FE94" w:rsidR="006662A6" w:rsidRPr="003715C0" w:rsidRDefault="006662A6" w:rsidP="003715C0">
            <w:pPr>
              <w:pStyle w:val="Tablebodytext"/>
              <w:jc w:val="right"/>
              <w:rPr>
                <w:szCs w:val="20"/>
                <w:lang w:eastAsia="en-AU"/>
              </w:rPr>
            </w:pPr>
            <w:r w:rsidRPr="00E04CCF">
              <w:t>0.8</w:t>
            </w:r>
          </w:p>
        </w:tc>
        <w:tc>
          <w:tcPr>
            <w:tcW w:w="376" w:type="pct"/>
            <w:noWrap/>
            <w:vAlign w:val="center"/>
            <w:hideMark/>
          </w:tcPr>
          <w:p w14:paraId="14E43F06" w14:textId="3E0C9310" w:rsidR="006662A6" w:rsidRPr="003715C0" w:rsidRDefault="006662A6" w:rsidP="003715C0">
            <w:pPr>
              <w:pStyle w:val="Tablebodytext"/>
              <w:jc w:val="right"/>
              <w:rPr>
                <w:szCs w:val="20"/>
                <w:lang w:eastAsia="en-AU"/>
              </w:rPr>
            </w:pPr>
            <w:r w:rsidRPr="00E04CCF">
              <w:t>1.5</w:t>
            </w:r>
          </w:p>
        </w:tc>
        <w:tc>
          <w:tcPr>
            <w:tcW w:w="376" w:type="pct"/>
            <w:noWrap/>
            <w:vAlign w:val="center"/>
            <w:hideMark/>
          </w:tcPr>
          <w:p w14:paraId="135294DC" w14:textId="5DB2C5E5" w:rsidR="006662A6" w:rsidRPr="003715C0" w:rsidRDefault="006662A6" w:rsidP="003715C0">
            <w:pPr>
              <w:pStyle w:val="Tablebodytext"/>
              <w:jc w:val="right"/>
              <w:rPr>
                <w:szCs w:val="20"/>
                <w:lang w:eastAsia="en-AU"/>
              </w:rPr>
            </w:pPr>
            <w:r w:rsidRPr="00E04CCF">
              <w:t>1.2</w:t>
            </w:r>
          </w:p>
        </w:tc>
        <w:tc>
          <w:tcPr>
            <w:tcW w:w="376" w:type="pct"/>
            <w:noWrap/>
            <w:vAlign w:val="center"/>
            <w:hideMark/>
          </w:tcPr>
          <w:p w14:paraId="622580EE" w14:textId="04858364" w:rsidR="006662A6" w:rsidRPr="003715C0" w:rsidRDefault="006662A6" w:rsidP="003715C0">
            <w:pPr>
              <w:pStyle w:val="Tablebodytext"/>
              <w:jc w:val="right"/>
              <w:rPr>
                <w:szCs w:val="20"/>
                <w:lang w:eastAsia="en-AU"/>
              </w:rPr>
            </w:pPr>
            <w:r w:rsidRPr="00E04CCF">
              <w:t>1.2</w:t>
            </w:r>
          </w:p>
        </w:tc>
        <w:tc>
          <w:tcPr>
            <w:tcW w:w="376" w:type="pct"/>
            <w:noWrap/>
            <w:vAlign w:val="center"/>
            <w:hideMark/>
          </w:tcPr>
          <w:p w14:paraId="53D00F77" w14:textId="6BED1C70" w:rsidR="006662A6" w:rsidRPr="003715C0" w:rsidRDefault="006662A6" w:rsidP="003715C0">
            <w:pPr>
              <w:pStyle w:val="Tablebodytext"/>
              <w:jc w:val="right"/>
              <w:rPr>
                <w:szCs w:val="20"/>
                <w:lang w:eastAsia="en-AU"/>
              </w:rPr>
            </w:pPr>
            <w:r w:rsidRPr="00E04CCF">
              <w:t>2.1</w:t>
            </w:r>
          </w:p>
        </w:tc>
        <w:tc>
          <w:tcPr>
            <w:tcW w:w="376" w:type="pct"/>
            <w:noWrap/>
            <w:vAlign w:val="center"/>
            <w:hideMark/>
          </w:tcPr>
          <w:p w14:paraId="6FEE1C5F" w14:textId="0B5490F2" w:rsidR="006662A6" w:rsidRPr="003715C0" w:rsidRDefault="006662A6" w:rsidP="003715C0">
            <w:pPr>
              <w:pStyle w:val="Tablebodytext"/>
              <w:jc w:val="right"/>
              <w:rPr>
                <w:szCs w:val="20"/>
                <w:lang w:eastAsia="en-AU"/>
              </w:rPr>
            </w:pPr>
            <w:r w:rsidRPr="00E04CCF">
              <w:t>2.9</w:t>
            </w:r>
          </w:p>
        </w:tc>
        <w:tc>
          <w:tcPr>
            <w:tcW w:w="376" w:type="pct"/>
            <w:noWrap/>
            <w:vAlign w:val="center"/>
            <w:hideMark/>
          </w:tcPr>
          <w:p w14:paraId="1CC3680B" w14:textId="0641791B" w:rsidR="006662A6" w:rsidRPr="003715C0" w:rsidRDefault="006662A6" w:rsidP="003715C0">
            <w:pPr>
              <w:pStyle w:val="Tablebodytext"/>
              <w:jc w:val="right"/>
              <w:rPr>
                <w:szCs w:val="20"/>
                <w:lang w:eastAsia="en-AU"/>
              </w:rPr>
            </w:pPr>
            <w:r w:rsidRPr="00E04CCF">
              <w:t>8.8</w:t>
            </w:r>
          </w:p>
        </w:tc>
        <w:tc>
          <w:tcPr>
            <w:tcW w:w="374" w:type="pct"/>
            <w:noWrap/>
            <w:vAlign w:val="center"/>
            <w:hideMark/>
          </w:tcPr>
          <w:p w14:paraId="0F7B2778" w14:textId="75384FB0" w:rsidR="006662A6" w:rsidRPr="003715C0" w:rsidRDefault="006662A6" w:rsidP="003715C0">
            <w:pPr>
              <w:pStyle w:val="Tablebodytext"/>
              <w:jc w:val="right"/>
              <w:rPr>
                <w:szCs w:val="20"/>
                <w:lang w:eastAsia="en-AU"/>
              </w:rPr>
            </w:pPr>
            <w:r w:rsidRPr="00E04CCF">
              <w:t>10.3</w:t>
            </w:r>
          </w:p>
        </w:tc>
      </w:tr>
      <w:tr w:rsidR="006662A6" w:rsidRPr="003715C0" w14:paraId="7800A899" w14:textId="77777777" w:rsidTr="003715C0">
        <w:trPr>
          <w:cnfStyle w:val="000000010000" w:firstRow="0" w:lastRow="0" w:firstColumn="0" w:lastColumn="0" w:oddVBand="0" w:evenVBand="0" w:oddHBand="0" w:evenHBand="1" w:firstRowFirstColumn="0" w:firstRowLastColumn="0" w:lastRowFirstColumn="0" w:lastRowLastColumn="0"/>
          <w:trHeight w:val="255"/>
        </w:trPr>
        <w:tc>
          <w:tcPr>
            <w:tcW w:w="1621" w:type="pct"/>
            <w:noWrap/>
            <w:hideMark/>
          </w:tcPr>
          <w:p w14:paraId="31804122" w14:textId="591E4C62" w:rsidR="006662A6" w:rsidRPr="003715C0" w:rsidRDefault="006662A6" w:rsidP="003715C0">
            <w:pPr>
              <w:pStyle w:val="Tablebodytext"/>
              <w:rPr>
                <w:szCs w:val="20"/>
                <w:lang w:eastAsia="en-AU"/>
              </w:rPr>
            </w:pPr>
            <w:r w:rsidRPr="00E04CCF">
              <w:t>Australia</w:t>
            </w:r>
          </w:p>
        </w:tc>
        <w:tc>
          <w:tcPr>
            <w:tcW w:w="376" w:type="pct"/>
            <w:noWrap/>
            <w:vAlign w:val="center"/>
            <w:hideMark/>
          </w:tcPr>
          <w:p w14:paraId="204F7B30" w14:textId="14715C33" w:rsidR="006662A6" w:rsidRPr="003715C0" w:rsidRDefault="006662A6" w:rsidP="003715C0">
            <w:pPr>
              <w:pStyle w:val="Tablebodytext"/>
              <w:jc w:val="right"/>
              <w:rPr>
                <w:szCs w:val="20"/>
                <w:lang w:eastAsia="en-AU"/>
              </w:rPr>
            </w:pPr>
            <w:r w:rsidRPr="00E04CCF">
              <w:t>0.2</w:t>
            </w:r>
          </w:p>
        </w:tc>
        <w:tc>
          <w:tcPr>
            <w:tcW w:w="376" w:type="pct"/>
            <w:noWrap/>
            <w:vAlign w:val="center"/>
            <w:hideMark/>
          </w:tcPr>
          <w:p w14:paraId="2435B602" w14:textId="5C67BE41" w:rsidR="006662A6" w:rsidRPr="003715C0" w:rsidRDefault="006662A6" w:rsidP="003715C0">
            <w:pPr>
              <w:pStyle w:val="Tablebodytext"/>
              <w:jc w:val="right"/>
              <w:rPr>
                <w:szCs w:val="20"/>
                <w:lang w:eastAsia="en-AU"/>
              </w:rPr>
            </w:pPr>
            <w:r w:rsidRPr="00E04CCF">
              <w:t>1.2</w:t>
            </w:r>
          </w:p>
        </w:tc>
        <w:tc>
          <w:tcPr>
            <w:tcW w:w="376" w:type="pct"/>
            <w:noWrap/>
            <w:vAlign w:val="center"/>
            <w:hideMark/>
          </w:tcPr>
          <w:p w14:paraId="3B942ED6" w14:textId="333DBF66" w:rsidR="006662A6" w:rsidRPr="003715C0" w:rsidRDefault="006662A6" w:rsidP="003715C0">
            <w:pPr>
              <w:pStyle w:val="Tablebodytext"/>
              <w:jc w:val="right"/>
              <w:rPr>
                <w:szCs w:val="20"/>
                <w:lang w:eastAsia="en-AU"/>
              </w:rPr>
            </w:pPr>
            <w:r w:rsidRPr="00E04CCF">
              <w:t>2.3</w:t>
            </w:r>
          </w:p>
        </w:tc>
        <w:tc>
          <w:tcPr>
            <w:tcW w:w="376" w:type="pct"/>
            <w:noWrap/>
            <w:vAlign w:val="center"/>
            <w:hideMark/>
          </w:tcPr>
          <w:p w14:paraId="3ED5A5DA" w14:textId="74BAAACF" w:rsidR="006662A6" w:rsidRPr="003715C0" w:rsidRDefault="006662A6" w:rsidP="003715C0">
            <w:pPr>
              <w:pStyle w:val="Tablebodytext"/>
              <w:jc w:val="right"/>
              <w:rPr>
                <w:szCs w:val="20"/>
                <w:lang w:eastAsia="en-AU"/>
              </w:rPr>
            </w:pPr>
            <w:r w:rsidRPr="00E04CCF">
              <w:t>1.7</w:t>
            </w:r>
          </w:p>
        </w:tc>
        <w:tc>
          <w:tcPr>
            <w:tcW w:w="376" w:type="pct"/>
            <w:noWrap/>
            <w:vAlign w:val="center"/>
            <w:hideMark/>
          </w:tcPr>
          <w:p w14:paraId="25487B6E" w14:textId="4BDBAF57" w:rsidR="006662A6" w:rsidRPr="003715C0" w:rsidRDefault="006662A6" w:rsidP="003715C0">
            <w:pPr>
              <w:pStyle w:val="Tablebodytext"/>
              <w:jc w:val="right"/>
              <w:rPr>
                <w:szCs w:val="20"/>
                <w:lang w:eastAsia="en-AU"/>
              </w:rPr>
            </w:pPr>
            <w:r w:rsidRPr="00E04CCF">
              <w:t>7.1</w:t>
            </w:r>
          </w:p>
        </w:tc>
        <w:tc>
          <w:tcPr>
            <w:tcW w:w="376" w:type="pct"/>
            <w:noWrap/>
            <w:vAlign w:val="center"/>
            <w:hideMark/>
          </w:tcPr>
          <w:p w14:paraId="68B3FFA1" w14:textId="1E22CB5A" w:rsidR="006662A6" w:rsidRPr="003715C0" w:rsidRDefault="006662A6" w:rsidP="003715C0">
            <w:pPr>
              <w:pStyle w:val="Tablebodytext"/>
              <w:jc w:val="right"/>
              <w:rPr>
                <w:szCs w:val="20"/>
                <w:lang w:eastAsia="en-AU"/>
              </w:rPr>
            </w:pPr>
            <w:r w:rsidRPr="00E04CCF">
              <w:t>5.8</w:t>
            </w:r>
          </w:p>
        </w:tc>
        <w:tc>
          <w:tcPr>
            <w:tcW w:w="376" w:type="pct"/>
            <w:noWrap/>
            <w:vAlign w:val="center"/>
            <w:hideMark/>
          </w:tcPr>
          <w:p w14:paraId="5C62A711" w14:textId="286AF42E" w:rsidR="006662A6" w:rsidRPr="003715C0" w:rsidRDefault="006662A6" w:rsidP="003715C0">
            <w:pPr>
              <w:pStyle w:val="Tablebodytext"/>
              <w:jc w:val="right"/>
              <w:rPr>
                <w:szCs w:val="20"/>
                <w:lang w:eastAsia="en-AU"/>
              </w:rPr>
            </w:pPr>
            <w:r w:rsidRPr="00E04CCF">
              <w:t>4.5</w:t>
            </w:r>
          </w:p>
        </w:tc>
        <w:tc>
          <w:tcPr>
            <w:tcW w:w="376" w:type="pct"/>
            <w:noWrap/>
            <w:vAlign w:val="center"/>
            <w:hideMark/>
          </w:tcPr>
          <w:p w14:paraId="4FB02060" w14:textId="19F956EE" w:rsidR="006662A6" w:rsidRPr="003715C0" w:rsidRDefault="006662A6" w:rsidP="003715C0">
            <w:pPr>
              <w:pStyle w:val="Tablebodytext"/>
              <w:jc w:val="right"/>
              <w:rPr>
                <w:szCs w:val="20"/>
                <w:lang w:eastAsia="en-AU"/>
              </w:rPr>
            </w:pPr>
            <w:r w:rsidRPr="00E04CCF">
              <w:t>3.6</w:t>
            </w:r>
          </w:p>
        </w:tc>
        <w:tc>
          <w:tcPr>
            <w:tcW w:w="374" w:type="pct"/>
            <w:noWrap/>
            <w:vAlign w:val="center"/>
            <w:hideMark/>
          </w:tcPr>
          <w:p w14:paraId="32D6DD9D" w14:textId="4C407E74" w:rsidR="006662A6" w:rsidRPr="003715C0" w:rsidRDefault="006662A6" w:rsidP="003715C0">
            <w:pPr>
              <w:pStyle w:val="Tablebodytext"/>
              <w:jc w:val="right"/>
              <w:rPr>
                <w:szCs w:val="20"/>
                <w:lang w:eastAsia="en-AU"/>
              </w:rPr>
            </w:pPr>
            <w:r w:rsidRPr="00E04CCF">
              <w:t>8.3</w:t>
            </w:r>
          </w:p>
        </w:tc>
      </w:tr>
      <w:tr w:rsidR="006662A6" w:rsidRPr="003715C0" w14:paraId="1559697C" w14:textId="77777777" w:rsidTr="003715C0">
        <w:trPr>
          <w:cnfStyle w:val="000000100000" w:firstRow="0" w:lastRow="0" w:firstColumn="0" w:lastColumn="0" w:oddVBand="0" w:evenVBand="0" w:oddHBand="1" w:evenHBand="0" w:firstRowFirstColumn="0" w:firstRowLastColumn="0" w:lastRowFirstColumn="0" w:lastRowLastColumn="0"/>
          <w:trHeight w:val="255"/>
        </w:trPr>
        <w:tc>
          <w:tcPr>
            <w:tcW w:w="1621" w:type="pct"/>
            <w:noWrap/>
            <w:hideMark/>
          </w:tcPr>
          <w:p w14:paraId="4C50EA3F" w14:textId="7247CCF2" w:rsidR="006662A6" w:rsidRPr="003715C0" w:rsidRDefault="006662A6" w:rsidP="003715C0">
            <w:pPr>
              <w:pStyle w:val="Tablebodytext"/>
              <w:rPr>
                <w:szCs w:val="20"/>
                <w:lang w:eastAsia="en-AU"/>
              </w:rPr>
            </w:pPr>
            <w:r w:rsidRPr="00E04CCF">
              <w:t>Rest of world</w:t>
            </w:r>
          </w:p>
        </w:tc>
        <w:tc>
          <w:tcPr>
            <w:tcW w:w="376" w:type="pct"/>
            <w:noWrap/>
            <w:vAlign w:val="center"/>
            <w:hideMark/>
          </w:tcPr>
          <w:p w14:paraId="573745AE" w14:textId="38193DF7" w:rsidR="006662A6" w:rsidRPr="003715C0" w:rsidRDefault="006662A6" w:rsidP="003715C0">
            <w:pPr>
              <w:pStyle w:val="Tablebodytext"/>
              <w:jc w:val="right"/>
              <w:rPr>
                <w:szCs w:val="20"/>
                <w:lang w:eastAsia="en-AU"/>
              </w:rPr>
            </w:pPr>
            <w:r w:rsidRPr="00E04CCF">
              <w:t>4.8</w:t>
            </w:r>
          </w:p>
        </w:tc>
        <w:tc>
          <w:tcPr>
            <w:tcW w:w="376" w:type="pct"/>
            <w:noWrap/>
            <w:vAlign w:val="center"/>
            <w:hideMark/>
          </w:tcPr>
          <w:p w14:paraId="7E791965" w14:textId="12249505" w:rsidR="006662A6" w:rsidRPr="003715C0" w:rsidRDefault="006662A6" w:rsidP="003715C0">
            <w:pPr>
              <w:pStyle w:val="Tablebodytext"/>
              <w:jc w:val="right"/>
              <w:rPr>
                <w:szCs w:val="20"/>
                <w:lang w:eastAsia="en-AU"/>
              </w:rPr>
            </w:pPr>
            <w:r w:rsidRPr="00E04CCF">
              <w:t>0.1</w:t>
            </w:r>
          </w:p>
        </w:tc>
        <w:tc>
          <w:tcPr>
            <w:tcW w:w="376" w:type="pct"/>
            <w:noWrap/>
            <w:vAlign w:val="center"/>
            <w:hideMark/>
          </w:tcPr>
          <w:p w14:paraId="06D03B32" w14:textId="58EF3C9E" w:rsidR="006662A6" w:rsidRPr="003715C0" w:rsidRDefault="006662A6" w:rsidP="003715C0">
            <w:pPr>
              <w:pStyle w:val="Tablebodytext"/>
              <w:jc w:val="right"/>
              <w:rPr>
                <w:szCs w:val="20"/>
                <w:lang w:eastAsia="en-AU"/>
              </w:rPr>
            </w:pPr>
            <w:r w:rsidRPr="00E04CCF">
              <w:t>0.5</w:t>
            </w:r>
          </w:p>
        </w:tc>
        <w:tc>
          <w:tcPr>
            <w:tcW w:w="376" w:type="pct"/>
            <w:noWrap/>
            <w:vAlign w:val="center"/>
            <w:hideMark/>
          </w:tcPr>
          <w:p w14:paraId="7D7B983F" w14:textId="1AC939DC" w:rsidR="006662A6" w:rsidRPr="003715C0" w:rsidRDefault="006662A6" w:rsidP="003715C0">
            <w:pPr>
              <w:pStyle w:val="Tablebodytext"/>
              <w:jc w:val="right"/>
              <w:rPr>
                <w:szCs w:val="20"/>
                <w:lang w:eastAsia="en-AU"/>
              </w:rPr>
            </w:pPr>
            <w:r w:rsidRPr="00E04CCF">
              <w:t>2.0</w:t>
            </w:r>
          </w:p>
        </w:tc>
        <w:tc>
          <w:tcPr>
            <w:tcW w:w="376" w:type="pct"/>
            <w:noWrap/>
            <w:vAlign w:val="center"/>
            <w:hideMark/>
          </w:tcPr>
          <w:p w14:paraId="098C93BD" w14:textId="63249853" w:rsidR="006662A6" w:rsidRPr="003715C0" w:rsidRDefault="006662A6" w:rsidP="003715C0">
            <w:pPr>
              <w:pStyle w:val="Tablebodytext"/>
              <w:jc w:val="right"/>
              <w:rPr>
                <w:szCs w:val="20"/>
                <w:lang w:eastAsia="en-AU"/>
              </w:rPr>
            </w:pPr>
            <w:r w:rsidRPr="00E04CCF">
              <w:t>2.4</w:t>
            </w:r>
          </w:p>
        </w:tc>
        <w:tc>
          <w:tcPr>
            <w:tcW w:w="376" w:type="pct"/>
            <w:noWrap/>
            <w:vAlign w:val="center"/>
            <w:hideMark/>
          </w:tcPr>
          <w:p w14:paraId="710C6E08" w14:textId="7A8D2386" w:rsidR="006662A6" w:rsidRPr="003715C0" w:rsidRDefault="006662A6" w:rsidP="003715C0">
            <w:pPr>
              <w:pStyle w:val="Tablebodytext"/>
              <w:jc w:val="right"/>
              <w:rPr>
                <w:szCs w:val="20"/>
                <w:lang w:eastAsia="en-AU"/>
              </w:rPr>
            </w:pPr>
            <w:r w:rsidRPr="00E04CCF">
              <w:t>3.9</w:t>
            </w:r>
          </w:p>
        </w:tc>
        <w:tc>
          <w:tcPr>
            <w:tcW w:w="376" w:type="pct"/>
            <w:noWrap/>
            <w:vAlign w:val="center"/>
            <w:hideMark/>
          </w:tcPr>
          <w:p w14:paraId="04E627D7" w14:textId="690EA09F" w:rsidR="006662A6" w:rsidRPr="003715C0" w:rsidRDefault="006662A6" w:rsidP="003715C0">
            <w:pPr>
              <w:pStyle w:val="Tablebodytext"/>
              <w:jc w:val="right"/>
              <w:rPr>
                <w:szCs w:val="20"/>
                <w:lang w:eastAsia="en-AU"/>
              </w:rPr>
            </w:pPr>
            <w:r w:rsidRPr="00E04CCF">
              <w:t>5.3</w:t>
            </w:r>
          </w:p>
        </w:tc>
        <w:tc>
          <w:tcPr>
            <w:tcW w:w="376" w:type="pct"/>
            <w:noWrap/>
            <w:vAlign w:val="center"/>
            <w:hideMark/>
          </w:tcPr>
          <w:p w14:paraId="0C930B32" w14:textId="13C8A736" w:rsidR="006662A6" w:rsidRPr="003715C0" w:rsidRDefault="006662A6" w:rsidP="003715C0">
            <w:pPr>
              <w:pStyle w:val="Tablebodytext"/>
              <w:jc w:val="right"/>
              <w:rPr>
                <w:szCs w:val="20"/>
                <w:lang w:eastAsia="en-AU"/>
              </w:rPr>
            </w:pPr>
            <w:r w:rsidRPr="00E04CCF">
              <w:t>5.6</w:t>
            </w:r>
          </w:p>
        </w:tc>
        <w:tc>
          <w:tcPr>
            <w:tcW w:w="374" w:type="pct"/>
            <w:noWrap/>
            <w:vAlign w:val="center"/>
            <w:hideMark/>
          </w:tcPr>
          <w:p w14:paraId="00213776" w14:textId="4FBB242E" w:rsidR="006662A6" w:rsidRPr="003715C0" w:rsidRDefault="006662A6" w:rsidP="003715C0">
            <w:pPr>
              <w:pStyle w:val="Tablebodytext"/>
              <w:jc w:val="right"/>
              <w:rPr>
                <w:szCs w:val="20"/>
                <w:lang w:eastAsia="en-AU"/>
              </w:rPr>
            </w:pPr>
            <w:r w:rsidRPr="00E04CCF">
              <w:t>11.0</w:t>
            </w:r>
          </w:p>
        </w:tc>
      </w:tr>
      <w:tr w:rsidR="006662A6" w:rsidRPr="003715C0" w14:paraId="1EDCF014" w14:textId="77777777" w:rsidTr="003715C0">
        <w:trPr>
          <w:cnfStyle w:val="000000010000" w:firstRow="0" w:lastRow="0" w:firstColumn="0" w:lastColumn="0" w:oddVBand="0" w:evenVBand="0" w:oddHBand="0" w:evenHBand="1" w:firstRowFirstColumn="0" w:firstRowLastColumn="0" w:lastRowFirstColumn="0" w:lastRowLastColumn="0"/>
          <w:trHeight w:val="255"/>
        </w:trPr>
        <w:tc>
          <w:tcPr>
            <w:tcW w:w="1621" w:type="pct"/>
            <w:noWrap/>
            <w:hideMark/>
          </w:tcPr>
          <w:p w14:paraId="223075B2" w14:textId="600592D6" w:rsidR="006662A6" w:rsidRPr="003715C0" w:rsidRDefault="006662A6" w:rsidP="003715C0">
            <w:pPr>
              <w:pStyle w:val="Tablebodytext"/>
              <w:rPr>
                <w:b/>
                <w:szCs w:val="20"/>
                <w:lang w:eastAsia="en-AU"/>
              </w:rPr>
            </w:pPr>
            <w:r w:rsidRPr="003715C0">
              <w:rPr>
                <w:b/>
              </w:rPr>
              <w:t>Total</w:t>
            </w:r>
            <w:r>
              <w:rPr>
                <w:b/>
              </w:rPr>
              <w:t xml:space="preserve"> thermal coal imports</w:t>
            </w:r>
          </w:p>
        </w:tc>
        <w:tc>
          <w:tcPr>
            <w:tcW w:w="376" w:type="pct"/>
            <w:noWrap/>
            <w:vAlign w:val="center"/>
            <w:hideMark/>
          </w:tcPr>
          <w:p w14:paraId="381FDFA0" w14:textId="4033171A" w:rsidR="006662A6" w:rsidRPr="003715C0" w:rsidRDefault="006662A6" w:rsidP="003715C0">
            <w:pPr>
              <w:pStyle w:val="Tablebodytext"/>
              <w:jc w:val="right"/>
              <w:rPr>
                <w:b/>
                <w:szCs w:val="20"/>
                <w:lang w:eastAsia="en-AU"/>
              </w:rPr>
            </w:pPr>
            <w:r w:rsidRPr="003715C0">
              <w:rPr>
                <w:b/>
              </w:rPr>
              <w:t>74.4</w:t>
            </w:r>
          </w:p>
        </w:tc>
        <w:tc>
          <w:tcPr>
            <w:tcW w:w="376" w:type="pct"/>
            <w:noWrap/>
            <w:vAlign w:val="center"/>
            <w:hideMark/>
          </w:tcPr>
          <w:p w14:paraId="39D2BE63" w14:textId="35D5D1BC" w:rsidR="006662A6" w:rsidRPr="003715C0" w:rsidRDefault="006662A6" w:rsidP="003715C0">
            <w:pPr>
              <w:pStyle w:val="Tablebodytext"/>
              <w:jc w:val="right"/>
              <w:rPr>
                <w:b/>
                <w:szCs w:val="20"/>
                <w:lang w:eastAsia="en-AU"/>
              </w:rPr>
            </w:pPr>
            <w:r w:rsidRPr="003715C0">
              <w:rPr>
                <w:b/>
              </w:rPr>
              <w:t>98.3</w:t>
            </w:r>
          </w:p>
        </w:tc>
        <w:tc>
          <w:tcPr>
            <w:tcW w:w="376" w:type="pct"/>
            <w:noWrap/>
            <w:vAlign w:val="center"/>
            <w:hideMark/>
          </w:tcPr>
          <w:p w14:paraId="64DEBDD2" w14:textId="1EBDD1E2" w:rsidR="006662A6" w:rsidRPr="003715C0" w:rsidRDefault="006662A6" w:rsidP="003715C0">
            <w:pPr>
              <w:pStyle w:val="Tablebodytext"/>
              <w:jc w:val="right"/>
              <w:rPr>
                <w:b/>
                <w:szCs w:val="20"/>
                <w:lang w:eastAsia="en-AU"/>
              </w:rPr>
            </w:pPr>
            <w:r w:rsidRPr="003715C0">
              <w:rPr>
                <w:b/>
              </w:rPr>
              <w:t>129.4</w:t>
            </w:r>
          </w:p>
        </w:tc>
        <w:tc>
          <w:tcPr>
            <w:tcW w:w="376" w:type="pct"/>
            <w:noWrap/>
            <w:vAlign w:val="center"/>
            <w:hideMark/>
          </w:tcPr>
          <w:p w14:paraId="502503AB" w14:textId="1DA9DA3F" w:rsidR="006662A6" w:rsidRPr="003715C0" w:rsidRDefault="006662A6" w:rsidP="003715C0">
            <w:pPr>
              <w:pStyle w:val="Tablebodytext"/>
              <w:jc w:val="right"/>
              <w:rPr>
                <w:b/>
                <w:szCs w:val="20"/>
                <w:lang w:eastAsia="en-AU"/>
              </w:rPr>
            </w:pPr>
            <w:r w:rsidRPr="003715C0">
              <w:rPr>
                <w:b/>
              </w:rPr>
              <w:t>145.9</w:t>
            </w:r>
          </w:p>
        </w:tc>
        <w:tc>
          <w:tcPr>
            <w:tcW w:w="376" w:type="pct"/>
            <w:noWrap/>
            <w:vAlign w:val="center"/>
            <w:hideMark/>
          </w:tcPr>
          <w:p w14:paraId="370AA3EB" w14:textId="126CF838" w:rsidR="006662A6" w:rsidRPr="003715C0" w:rsidRDefault="006662A6" w:rsidP="003715C0">
            <w:pPr>
              <w:pStyle w:val="Tablebodytext"/>
              <w:jc w:val="right"/>
              <w:rPr>
                <w:b/>
                <w:szCs w:val="20"/>
                <w:lang w:eastAsia="en-AU"/>
              </w:rPr>
            </w:pPr>
            <w:r w:rsidRPr="003715C0">
              <w:rPr>
                <w:b/>
              </w:rPr>
              <w:t>184.6</w:t>
            </w:r>
          </w:p>
        </w:tc>
        <w:tc>
          <w:tcPr>
            <w:tcW w:w="376" w:type="pct"/>
            <w:noWrap/>
            <w:vAlign w:val="center"/>
            <w:hideMark/>
          </w:tcPr>
          <w:p w14:paraId="2E3F3E52" w14:textId="05BE1EC6" w:rsidR="006662A6" w:rsidRPr="003715C0" w:rsidRDefault="006662A6" w:rsidP="003715C0">
            <w:pPr>
              <w:pStyle w:val="Tablebodytext"/>
              <w:jc w:val="right"/>
              <w:rPr>
                <w:b/>
                <w:szCs w:val="20"/>
                <w:lang w:eastAsia="en-AU"/>
              </w:rPr>
            </w:pPr>
            <w:r w:rsidRPr="003715C0">
              <w:rPr>
                <w:b/>
              </w:rPr>
              <w:t>165.0</w:t>
            </w:r>
          </w:p>
        </w:tc>
        <w:tc>
          <w:tcPr>
            <w:tcW w:w="376" w:type="pct"/>
            <w:noWrap/>
            <w:vAlign w:val="center"/>
            <w:hideMark/>
          </w:tcPr>
          <w:p w14:paraId="4B46A25C" w14:textId="06DAD7DE" w:rsidR="006662A6" w:rsidRPr="003715C0" w:rsidRDefault="006662A6" w:rsidP="003715C0">
            <w:pPr>
              <w:pStyle w:val="Tablebodytext"/>
              <w:jc w:val="right"/>
              <w:rPr>
                <w:b/>
                <w:szCs w:val="20"/>
                <w:lang w:eastAsia="en-AU"/>
              </w:rPr>
            </w:pPr>
            <w:r w:rsidRPr="003715C0">
              <w:rPr>
                <w:b/>
              </w:rPr>
              <w:t>138.1</w:t>
            </w:r>
          </w:p>
        </w:tc>
        <w:tc>
          <w:tcPr>
            <w:tcW w:w="376" w:type="pct"/>
            <w:noWrap/>
            <w:vAlign w:val="center"/>
            <w:hideMark/>
          </w:tcPr>
          <w:p w14:paraId="6FCF83B4" w14:textId="28A9C9BB" w:rsidR="006662A6" w:rsidRPr="003715C0" w:rsidRDefault="006662A6" w:rsidP="003715C0">
            <w:pPr>
              <w:pStyle w:val="Tablebodytext"/>
              <w:jc w:val="right"/>
              <w:rPr>
                <w:b/>
                <w:szCs w:val="20"/>
                <w:lang w:eastAsia="en-AU"/>
              </w:rPr>
            </w:pPr>
            <w:r w:rsidRPr="003715C0">
              <w:rPr>
                <w:b/>
              </w:rPr>
              <w:t>151.3</w:t>
            </w:r>
          </w:p>
        </w:tc>
        <w:tc>
          <w:tcPr>
            <w:tcW w:w="374" w:type="pct"/>
            <w:noWrap/>
            <w:vAlign w:val="center"/>
            <w:hideMark/>
          </w:tcPr>
          <w:p w14:paraId="06FC79E5" w14:textId="44F172B5" w:rsidR="006662A6" w:rsidRPr="003715C0" w:rsidRDefault="006662A6" w:rsidP="003715C0">
            <w:pPr>
              <w:pStyle w:val="Tablebodytext"/>
              <w:jc w:val="right"/>
              <w:rPr>
                <w:b/>
                <w:szCs w:val="20"/>
                <w:lang w:eastAsia="en-AU"/>
              </w:rPr>
            </w:pPr>
            <w:r w:rsidRPr="003715C0">
              <w:rPr>
                <w:b/>
              </w:rPr>
              <w:t>173.2</w:t>
            </w:r>
          </w:p>
        </w:tc>
      </w:tr>
      <w:tr w:rsidR="006662A6" w:rsidRPr="003715C0" w14:paraId="6941C744" w14:textId="77777777" w:rsidTr="003715C0">
        <w:trPr>
          <w:cnfStyle w:val="000000100000" w:firstRow="0" w:lastRow="0" w:firstColumn="0" w:lastColumn="0" w:oddVBand="0" w:evenVBand="0" w:oddHBand="1" w:evenHBand="0" w:firstRowFirstColumn="0" w:firstRowLastColumn="0" w:lastRowFirstColumn="0" w:lastRowLastColumn="0"/>
          <w:trHeight w:val="255"/>
        </w:trPr>
        <w:tc>
          <w:tcPr>
            <w:tcW w:w="1621" w:type="pct"/>
            <w:noWrap/>
            <w:hideMark/>
          </w:tcPr>
          <w:p w14:paraId="1CF2F759" w14:textId="5B2A2F8F" w:rsidR="006662A6" w:rsidRPr="003715C0" w:rsidRDefault="006662A6" w:rsidP="003715C0">
            <w:pPr>
              <w:pStyle w:val="Tablebodytext"/>
              <w:rPr>
                <w:b/>
                <w:szCs w:val="20"/>
                <w:lang w:eastAsia="en-AU"/>
              </w:rPr>
            </w:pPr>
            <w:r w:rsidRPr="003715C0">
              <w:rPr>
                <w:b/>
              </w:rPr>
              <w:t>Australia's share</w:t>
            </w:r>
          </w:p>
        </w:tc>
        <w:tc>
          <w:tcPr>
            <w:tcW w:w="376" w:type="pct"/>
            <w:noWrap/>
            <w:vAlign w:val="center"/>
            <w:hideMark/>
          </w:tcPr>
          <w:p w14:paraId="3007E122" w14:textId="57BE4042" w:rsidR="006662A6" w:rsidRPr="003715C0" w:rsidRDefault="006662A6" w:rsidP="003715C0">
            <w:pPr>
              <w:pStyle w:val="Tablebodytext"/>
              <w:jc w:val="right"/>
              <w:rPr>
                <w:b/>
                <w:szCs w:val="20"/>
                <w:lang w:eastAsia="en-AU"/>
              </w:rPr>
            </w:pPr>
            <w:r w:rsidRPr="003715C0">
              <w:rPr>
                <w:b/>
              </w:rPr>
              <w:t>0.2</w:t>
            </w:r>
          </w:p>
        </w:tc>
        <w:tc>
          <w:tcPr>
            <w:tcW w:w="376" w:type="pct"/>
            <w:noWrap/>
            <w:vAlign w:val="center"/>
            <w:hideMark/>
          </w:tcPr>
          <w:p w14:paraId="395499FD" w14:textId="7010DF13" w:rsidR="006662A6" w:rsidRPr="003715C0" w:rsidRDefault="006662A6" w:rsidP="003715C0">
            <w:pPr>
              <w:pStyle w:val="Tablebodytext"/>
              <w:jc w:val="right"/>
              <w:rPr>
                <w:b/>
                <w:szCs w:val="20"/>
                <w:lang w:eastAsia="en-AU"/>
              </w:rPr>
            </w:pPr>
            <w:r w:rsidRPr="003715C0">
              <w:rPr>
                <w:b/>
              </w:rPr>
              <w:t>1.2</w:t>
            </w:r>
          </w:p>
        </w:tc>
        <w:tc>
          <w:tcPr>
            <w:tcW w:w="376" w:type="pct"/>
            <w:noWrap/>
            <w:vAlign w:val="center"/>
            <w:hideMark/>
          </w:tcPr>
          <w:p w14:paraId="7DA44112" w14:textId="182DC022" w:rsidR="006662A6" w:rsidRPr="003715C0" w:rsidRDefault="006662A6" w:rsidP="003715C0">
            <w:pPr>
              <w:pStyle w:val="Tablebodytext"/>
              <w:jc w:val="right"/>
              <w:rPr>
                <w:b/>
                <w:szCs w:val="20"/>
                <w:lang w:eastAsia="en-AU"/>
              </w:rPr>
            </w:pPr>
            <w:r w:rsidRPr="003715C0">
              <w:rPr>
                <w:b/>
              </w:rPr>
              <w:t>1.8</w:t>
            </w:r>
          </w:p>
        </w:tc>
        <w:tc>
          <w:tcPr>
            <w:tcW w:w="376" w:type="pct"/>
            <w:noWrap/>
            <w:vAlign w:val="center"/>
            <w:hideMark/>
          </w:tcPr>
          <w:p w14:paraId="2161384B" w14:textId="1A53D474" w:rsidR="006662A6" w:rsidRPr="003715C0" w:rsidRDefault="006662A6" w:rsidP="003715C0">
            <w:pPr>
              <w:pStyle w:val="Tablebodytext"/>
              <w:jc w:val="right"/>
              <w:rPr>
                <w:b/>
                <w:szCs w:val="20"/>
                <w:lang w:eastAsia="en-AU"/>
              </w:rPr>
            </w:pPr>
            <w:r w:rsidRPr="003715C0">
              <w:rPr>
                <w:b/>
              </w:rPr>
              <w:t>1.2</w:t>
            </w:r>
          </w:p>
        </w:tc>
        <w:tc>
          <w:tcPr>
            <w:tcW w:w="376" w:type="pct"/>
            <w:noWrap/>
            <w:vAlign w:val="center"/>
            <w:hideMark/>
          </w:tcPr>
          <w:p w14:paraId="29B94653" w14:textId="29B61ADA" w:rsidR="006662A6" w:rsidRPr="003715C0" w:rsidRDefault="006662A6" w:rsidP="003715C0">
            <w:pPr>
              <w:pStyle w:val="Tablebodytext"/>
              <w:jc w:val="right"/>
              <w:rPr>
                <w:b/>
                <w:szCs w:val="20"/>
                <w:lang w:eastAsia="en-AU"/>
              </w:rPr>
            </w:pPr>
            <w:r w:rsidRPr="003715C0">
              <w:rPr>
                <w:b/>
              </w:rPr>
              <w:t>3.9</w:t>
            </w:r>
          </w:p>
        </w:tc>
        <w:tc>
          <w:tcPr>
            <w:tcW w:w="376" w:type="pct"/>
            <w:noWrap/>
            <w:vAlign w:val="center"/>
            <w:hideMark/>
          </w:tcPr>
          <w:p w14:paraId="43CBB704" w14:textId="53BE433A" w:rsidR="006662A6" w:rsidRPr="003715C0" w:rsidRDefault="006662A6" w:rsidP="003715C0">
            <w:pPr>
              <w:pStyle w:val="Tablebodytext"/>
              <w:jc w:val="right"/>
              <w:rPr>
                <w:b/>
                <w:szCs w:val="20"/>
                <w:lang w:eastAsia="en-AU"/>
              </w:rPr>
            </w:pPr>
            <w:r w:rsidRPr="003715C0">
              <w:rPr>
                <w:b/>
              </w:rPr>
              <w:t>3.5</w:t>
            </w:r>
          </w:p>
        </w:tc>
        <w:tc>
          <w:tcPr>
            <w:tcW w:w="376" w:type="pct"/>
            <w:noWrap/>
            <w:vAlign w:val="center"/>
            <w:hideMark/>
          </w:tcPr>
          <w:p w14:paraId="7938FEA0" w14:textId="57CEAB08" w:rsidR="006662A6" w:rsidRPr="003715C0" w:rsidRDefault="006662A6" w:rsidP="003715C0">
            <w:pPr>
              <w:pStyle w:val="Tablebodytext"/>
              <w:jc w:val="right"/>
              <w:rPr>
                <w:b/>
                <w:szCs w:val="20"/>
                <w:lang w:eastAsia="en-AU"/>
              </w:rPr>
            </w:pPr>
            <w:r w:rsidRPr="003715C0">
              <w:rPr>
                <w:b/>
              </w:rPr>
              <w:t>3.3</w:t>
            </w:r>
          </w:p>
        </w:tc>
        <w:tc>
          <w:tcPr>
            <w:tcW w:w="376" w:type="pct"/>
            <w:noWrap/>
            <w:vAlign w:val="center"/>
            <w:hideMark/>
          </w:tcPr>
          <w:p w14:paraId="1A8D28BA" w14:textId="239CC160" w:rsidR="006662A6" w:rsidRPr="003715C0" w:rsidRDefault="006662A6" w:rsidP="003715C0">
            <w:pPr>
              <w:pStyle w:val="Tablebodytext"/>
              <w:jc w:val="right"/>
              <w:rPr>
                <w:b/>
                <w:szCs w:val="20"/>
                <w:lang w:eastAsia="en-AU"/>
              </w:rPr>
            </w:pPr>
            <w:r w:rsidRPr="003715C0">
              <w:rPr>
                <w:b/>
              </w:rPr>
              <w:t>2.4</w:t>
            </w:r>
          </w:p>
        </w:tc>
        <w:tc>
          <w:tcPr>
            <w:tcW w:w="374" w:type="pct"/>
            <w:noWrap/>
            <w:vAlign w:val="center"/>
            <w:hideMark/>
          </w:tcPr>
          <w:p w14:paraId="346030ED" w14:textId="29F96788" w:rsidR="006662A6" w:rsidRPr="003715C0" w:rsidRDefault="006662A6" w:rsidP="003715C0">
            <w:pPr>
              <w:pStyle w:val="Tablebodytext"/>
              <w:jc w:val="right"/>
              <w:rPr>
                <w:b/>
                <w:szCs w:val="20"/>
                <w:lang w:eastAsia="en-AU"/>
              </w:rPr>
            </w:pPr>
            <w:r w:rsidRPr="003715C0">
              <w:rPr>
                <w:b/>
              </w:rPr>
              <w:t>4.8</w:t>
            </w:r>
          </w:p>
        </w:tc>
      </w:tr>
    </w:tbl>
    <w:p w14:paraId="1B866D5F" w14:textId="3CB84408" w:rsidR="006662A6" w:rsidRDefault="006662A6" w:rsidP="003715C0">
      <w:pPr>
        <w:pStyle w:val="Note"/>
        <w:spacing w:before="0" w:after="0"/>
        <w:rPr>
          <w:lang w:eastAsia="en-AU"/>
        </w:rPr>
      </w:pPr>
      <w:r>
        <w:rPr>
          <w:lang w:eastAsia="en-AU"/>
        </w:rPr>
        <w:t>Notes: Data is for the Indian financial year beginning in April of each specified year. Data for Australia’s coal exports to India does not align with India’s imports from Australia due to differences in the time periods, delays in shipping, and differences in customs classifications.</w:t>
      </w:r>
    </w:p>
    <w:p w14:paraId="0F1E9E0C" w14:textId="0D571D53" w:rsidR="006662A6" w:rsidRDefault="006662A6" w:rsidP="003715C0">
      <w:pPr>
        <w:pStyle w:val="Source"/>
        <w:rPr>
          <w:lang w:eastAsia="en-AU"/>
        </w:rPr>
      </w:pPr>
      <w:r>
        <w:rPr>
          <w:lang w:eastAsia="en-AU"/>
        </w:rPr>
        <w:t>Source: IHS (2019) Indian coal data tables, June 2019</w:t>
      </w:r>
    </w:p>
    <w:p w14:paraId="6322774E" w14:textId="0264CD72" w:rsidR="006662A6" w:rsidRDefault="006662A6" w:rsidP="00EE6030">
      <w:pPr>
        <w:pStyle w:val="Heading1"/>
      </w:pPr>
      <w:bookmarkStart w:id="218" w:name="_Toc16247608"/>
      <w:bookmarkStart w:id="219" w:name="_Toc16250071"/>
      <w:bookmarkStart w:id="220" w:name="_Toc16256926"/>
      <w:bookmarkStart w:id="221" w:name="_Toc17210801"/>
      <w:r>
        <w:t>3.2 Australian thermal coal exports to India: opportunities and barriers</w:t>
      </w:r>
      <w:bookmarkEnd w:id="218"/>
      <w:bookmarkEnd w:id="219"/>
      <w:bookmarkEnd w:id="220"/>
      <w:bookmarkEnd w:id="221"/>
    </w:p>
    <w:p w14:paraId="3D572584" w14:textId="72EB74CA" w:rsidR="006662A6" w:rsidRDefault="006662A6" w:rsidP="002729C2">
      <w:pPr>
        <w:pStyle w:val="BodyText"/>
      </w:pPr>
      <w:r>
        <w:t xml:space="preserve">The 2015 </w:t>
      </w:r>
      <w:r w:rsidRPr="0050578C">
        <w:rPr>
          <w:i/>
        </w:rPr>
        <w:t>Coal in India</w:t>
      </w:r>
      <w:r>
        <w:t xml:space="preserve"> report identified three key factors that have limited Australian thermal coal exports to India: price, compatibility, and Indian investment in Australian mines. These factors have remained barriers to growth in Australian thermal coal exports to India to date.</w:t>
      </w:r>
    </w:p>
    <w:p w14:paraId="1173B561" w14:textId="4AF41503" w:rsidR="006662A6" w:rsidRDefault="006662A6" w:rsidP="002729C2">
      <w:pPr>
        <w:pStyle w:val="BodyText"/>
      </w:pPr>
      <w:r>
        <w:t>However, there is potential for India to become a growing market for Australia’s thermal coal as some of these barriers are reduced, and if India continues to import large volumes of thermal coal. The potential commissioning of Indian owned coal projects in Australia, growing compatibility between India’s new coal-fired power plants and Australian thermal coal, and the potential for Indonesia and South Africa to divert supply from export markets to domestic use, could all open up opportunities for growth in Australian exports of thermal coal to India. Outside of thermal coal trade opportunities, the Australian</w:t>
      </w:r>
      <w:r w:rsidR="008D7C9A">
        <w:t xml:space="preserve"> mining equipment, technology and services (</w:t>
      </w:r>
      <w:r>
        <w:t>METS</w:t>
      </w:r>
      <w:r w:rsidR="008D7C9A">
        <w:t>)</w:t>
      </w:r>
      <w:r>
        <w:t xml:space="preserve"> sector has, and will continue to benefit from growing coal production in India.</w:t>
      </w:r>
    </w:p>
    <w:p w14:paraId="72CA0E06" w14:textId="77777777" w:rsidR="006662A6" w:rsidRDefault="006662A6" w:rsidP="0002285F">
      <w:pPr>
        <w:pStyle w:val="Heading2"/>
      </w:pPr>
      <w:bookmarkStart w:id="222" w:name="_Toc16247609"/>
      <w:bookmarkStart w:id="223" w:name="_Toc16250072"/>
      <w:bookmarkStart w:id="224" w:name="_Toc16256927"/>
      <w:bookmarkStart w:id="225" w:name="_Toc17210802"/>
      <w:r>
        <w:t>Australia’s METS sector</w:t>
      </w:r>
      <w:bookmarkEnd w:id="222"/>
      <w:bookmarkEnd w:id="223"/>
      <w:bookmarkEnd w:id="224"/>
      <w:bookmarkEnd w:id="225"/>
      <w:r>
        <w:t xml:space="preserve"> </w:t>
      </w:r>
    </w:p>
    <w:p w14:paraId="3014E52A" w14:textId="20BD51C6" w:rsidR="006662A6" w:rsidRDefault="006662A6" w:rsidP="002729C2">
      <w:pPr>
        <w:spacing w:after="200" w:line="276" w:lineRule="auto"/>
        <w:ind w:left="0"/>
      </w:pPr>
      <w:r>
        <w:t>Regardless of the trajectory that India’s thermal coal imports take, the Australian METS sector will benefit from growing coal production in India.</w:t>
      </w:r>
      <w:r w:rsidRPr="00311867">
        <w:t xml:space="preserve"> </w:t>
      </w:r>
      <w:r>
        <w:t>The India Economic Strategy highlights that India is one of the most important future markets for Australian METS companies.</w:t>
      </w:r>
      <w:r>
        <w:rPr>
          <w:rStyle w:val="EndnoteReference"/>
        </w:rPr>
        <w:endnoteReference w:id="131"/>
      </w:r>
      <w:r>
        <w:t xml:space="preserve"> Both state and privately-owned coal mines in India are seeking to lift productivity and production through effective mine planning, </w:t>
      </w:r>
      <w:r w:rsidRPr="00C63308">
        <w:t xml:space="preserve">more efficient equipment, </w:t>
      </w:r>
      <w:r>
        <w:t xml:space="preserve">and meet </w:t>
      </w:r>
      <w:r w:rsidRPr="00C63308">
        <w:t>global</w:t>
      </w:r>
      <w:r>
        <w:t xml:space="preserve"> safety and work standards. India’s desire to improve the productivity of domestic coal mines through advanced technology</w:t>
      </w:r>
      <w:r w:rsidRPr="00C63308">
        <w:t xml:space="preserve"> </w:t>
      </w:r>
      <w:r>
        <w:t>presents a</w:t>
      </w:r>
      <w:r w:rsidRPr="00C63308">
        <w:t xml:space="preserve"> considerable opportunity for </w:t>
      </w:r>
      <w:r>
        <w:t xml:space="preserve">Australia’s METS sector. </w:t>
      </w:r>
    </w:p>
    <w:p w14:paraId="3A087E3C" w14:textId="67A0C5AB" w:rsidR="006662A6" w:rsidRDefault="006662A6" w:rsidP="002729C2">
      <w:pPr>
        <w:spacing w:after="200" w:line="276" w:lineRule="auto"/>
        <w:ind w:left="0"/>
      </w:pPr>
      <w:r>
        <w:t xml:space="preserve">As a recognised global leader in METS, </w:t>
      </w:r>
      <w:r w:rsidRPr="007B0F33">
        <w:t>Australian companies have a compe</w:t>
      </w:r>
      <w:r>
        <w:t xml:space="preserve">titive edge as India grows and </w:t>
      </w:r>
      <w:r w:rsidRPr="007B0F33">
        <w:t>seeks to modernise and</w:t>
      </w:r>
      <w:r>
        <w:t xml:space="preserve"> upgrade the technology employed in </w:t>
      </w:r>
      <w:r w:rsidRPr="007B0F33">
        <w:t>its</w:t>
      </w:r>
      <w:r>
        <w:t xml:space="preserve"> coal sector, particularly in the coal value chain and the creation of beneficiation (washing) capacity.</w:t>
      </w:r>
    </w:p>
    <w:p w14:paraId="7A769C51" w14:textId="3C98A960" w:rsidR="006662A6" w:rsidRDefault="006662A6" w:rsidP="00672E87">
      <w:pPr>
        <w:pStyle w:val="BodyText"/>
      </w:pPr>
      <w:r w:rsidRPr="004E790A">
        <w:t xml:space="preserve">India is </w:t>
      </w:r>
      <w:r>
        <w:t xml:space="preserve">currently </w:t>
      </w:r>
      <w:r w:rsidRPr="004E790A">
        <w:t>host to more than 40 Australian METS companies</w:t>
      </w:r>
      <w:r>
        <w:t>,</w:t>
      </w:r>
      <w:r w:rsidRPr="004E790A">
        <w:t xml:space="preserve"> many with a longstanding presence in</w:t>
      </w:r>
      <w:r>
        <w:t xml:space="preserve"> the </w:t>
      </w:r>
      <w:r w:rsidRPr="004E790A">
        <w:t>country.</w:t>
      </w:r>
      <w:r>
        <w:rPr>
          <w:rStyle w:val="EndnoteReference"/>
        </w:rPr>
        <w:endnoteReference w:id="132"/>
      </w:r>
      <w:r w:rsidRPr="004E790A">
        <w:t xml:space="preserve"> </w:t>
      </w:r>
      <w:r>
        <w:t xml:space="preserve">For example, </w:t>
      </w:r>
      <w:r w:rsidRPr="004E790A">
        <w:rPr>
          <w:i/>
          <w:iCs/>
        </w:rPr>
        <w:t>SIMTARS</w:t>
      </w:r>
      <w:r w:rsidRPr="004E790A">
        <w:t xml:space="preserve"> works with leading </w:t>
      </w:r>
      <w:r>
        <w:t>India’s state-owned coal producers,</w:t>
      </w:r>
      <w:r w:rsidRPr="004E790A">
        <w:t xml:space="preserve"> CIL and </w:t>
      </w:r>
      <w:r>
        <w:t>SCCL,</w:t>
      </w:r>
      <w:r w:rsidRPr="004E790A">
        <w:t xml:space="preserve"> and has collaborated in numerous executive training programs</w:t>
      </w:r>
      <w:r>
        <w:t xml:space="preserve">. </w:t>
      </w:r>
      <w:r w:rsidRPr="00604901">
        <w:t xml:space="preserve">It has recently secured orders to supply, among other equipment, India’s first virtual reality mine theatre to </w:t>
      </w:r>
      <w:r>
        <w:t xml:space="preserve">the </w:t>
      </w:r>
      <w:r w:rsidRPr="00604901">
        <w:t>Indian Institute of Technology-Indian School of Mines</w:t>
      </w:r>
      <w:r w:rsidRPr="004E790A">
        <w:t xml:space="preserve">. </w:t>
      </w:r>
      <w:r w:rsidRPr="004F4AEA">
        <w:t xml:space="preserve">Other examples include </w:t>
      </w:r>
      <w:r w:rsidRPr="004F4AEA">
        <w:rPr>
          <w:i/>
        </w:rPr>
        <w:t>Mine Excellence</w:t>
      </w:r>
      <w:r>
        <w:t xml:space="preserve"> (drilling and blasting software technology)</w:t>
      </w:r>
      <w:r w:rsidRPr="004F4AEA">
        <w:t xml:space="preserve">, </w:t>
      </w:r>
      <w:r w:rsidRPr="004F4AEA">
        <w:rPr>
          <w:i/>
        </w:rPr>
        <w:t>Ground Probe</w:t>
      </w:r>
      <w:r>
        <w:rPr>
          <w:i/>
        </w:rPr>
        <w:t xml:space="preserve"> </w:t>
      </w:r>
      <w:r>
        <w:t>(advanced hardware and software solutions) and</w:t>
      </w:r>
      <w:r w:rsidRPr="004F4AEA">
        <w:t xml:space="preserve"> </w:t>
      </w:r>
      <w:r w:rsidRPr="004F4AEA">
        <w:rPr>
          <w:i/>
        </w:rPr>
        <w:t>Valley Longwall International</w:t>
      </w:r>
      <w:r>
        <w:t xml:space="preserve"> (</w:t>
      </w:r>
      <w:r w:rsidRPr="004F4AEA">
        <w:t xml:space="preserve">supplies and maintains </w:t>
      </w:r>
      <w:r>
        <w:t>specialist mining equipment and services). Orica-</w:t>
      </w:r>
      <w:r w:rsidRPr="004F4AEA">
        <w:t xml:space="preserve">owned </w:t>
      </w:r>
      <w:r w:rsidRPr="004F4AEA">
        <w:rPr>
          <w:i/>
        </w:rPr>
        <w:t>Indian Explosives Pvt Ltd</w:t>
      </w:r>
      <w:r w:rsidRPr="004F4AEA">
        <w:t xml:space="preserve"> operates a production facility in Jharkhand and Nagpur</w:t>
      </w:r>
      <w:r>
        <w:t>,</w:t>
      </w:r>
      <w:r w:rsidRPr="004F4AEA">
        <w:t xml:space="preserve"> and is </w:t>
      </w:r>
      <w:r>
        <w:t>one of the</w:t>
      </w:r>
      <w:r w:rsidRPr="004F4AEA">
        <w:t xml:space="preserve"> largest provider</w:t>
      </w:r>
      <w:r>
        <w:t>s</w:t>
      </w:r>
      <w:r w:rsidRPr="004F4AEA">
        <w:t xml:space="preserve"> of commercial explosives and blasting systems in the country.</w:t>
      </w:r>
      <w:r w:rsidRPr="004F4AEA">
        <w:rPr>
          <w:i/>
        </w:rPr>
        <w:t xml:space="preserve"> Cooee</w:t>
      </w:r>
      <w:r w:rsidRPr="004F4AEA">
        <w:t xml:space="preserve"> has recently sold-in its dust suppression products and </w:t>
      </w:r>
      <w:r w:rsidRPr="004F4AEA">
        <w:rPr>
          <w:i/>
        </w:rPr>
        <w:t>Immersive Technologies</w:t>
      </w:r>
      <w:r w:rsidRPr="004F4AEA">
        <w:t xml:space="preserve"> is setting up simulators for trucks and excavators.</w:t>
      </w:r>
    </w:p>
    <w:p w14:paraId="0CE19E74" w14:textId="3285A34A" w:rsidR="006662A6" w:rsidRDefault="006662A6" w:rsidP="00452D9E">
      <w:pPr>
        <w:pStyle w:val="Heading2"/>
      </w:pPr>
      <w:bookmarkStart w:id="226" w:name="_Toc16247610"/>
      <w:bookmarkStart w:id="227" w:name="_Toc16250073"/>
      <w:bookmarkStart w:id="228" w:name="_Toc16256928"/>
      <w:bookmarkStart w:id="229" w:name="_Toc17210803"/>
      <w:r>
        <w:t>Price</w:t>
      </w:r>
      <w:bookmarkEnd w:id="226"/>
      <w:bookmarkEnd w:id="227"/>
      <w:bookmarkEnd w:id="228"/>
      <w:bookmarkEnd w:id="229"/>
    </w:p>
    <w:p w14:paraId="1A726B28" w14:textId="46B966C0" w:rsidR="006662A6" w:rsidRDefault="006662A6" w:rsidP="00672E87">
      <w:pPr>
        <w:pStyle w:val="BodyText"/>
      </w:pPr>
      <w:r>
        <w:t>Australian thermal coal prices and freight costs have typically been higher than other</w:t>
      </w:r>
      <w:r w:rsidRPr="00464382">
        <w:t xml:space="preserve"> </w:t>
      </w:r>
      <w:r>
        <w:t xml:space="preserve">major exporting countries, particularly Indonesia and South Africa, due to the shorter distances they need to travel (Figure 3.3). </w:t>
      </w:r>
    </w:p>
    <w:p w14:paraId="53366549" w14:textId="4A251114" w:rsidR="006662A6" w:rsidRPr="00272B94" w:rsidRDefault="006662A6" w:rsidP="00272B94">
      <w:pPr>
        <w:pStyle w:val="Caption"/>
        <w:jc w:val="left"/>
      </w:pPr>
      <w:r>
        <w:rPr>
          <w:noProof/>
          <w:lang w:eastAsia="en-AU"/>
        </w:rPr>
        <w:drawing>
          <wp:anchor distT="0" distB="0" distL="114300" distR="114300" simplePos="0" relativeHeight="251658243" behindDoc="0" locked="0" layoutInCell="1" allowOverlap="1" wp14:anchorId="46EBE674" wp14:editId="05266179">
            <wp:simplePos x="0" y="0"/>
            <wp:positionH relativeFrom="column">
              <wp:posOffset>-152400</wp:posOffset>
            </wp:positionH>
            <wp:positionV relativeFrom="paragraph">
              <wp:posOffset>295275</wp:posOffset>
            </wp:positionV>
            <wp:extent cx="5657850" cy="1866900"/>
            <wp:effectExtent l="0" t="0" r="0" b="0"/>
            <wp:wrapTopAndBottom/>
            <wp:docPr id="13" name="Chart 13" descr="This chart shows average freight rates to India in 2018 for Indonesia, South Africa and Australia." title="Figure 3.3: Average freight rates to India in 2018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t xml:space="preserve">Figure </w:t>
      </w:r>
      <w:r>
        <w:rPr>
          <w:noProof/>
        </w:rPr>
        <w:t>3</w:t>
      </w:r>
      <w:r w:rsidRPr="000618FB">
        <w:t>.</w:t>
      </w:r>
      <w:r>
        <w:rPr>
          <w:noProof/>
        </w:rPr>
        <w:t>3</w:t>
      </w:r>
      <w:r w:rsidRPr="000618FB">
        <w:t xml:space="preserve">: </w:t>
      </w:r>
      <w:r>
        <w:t xml:space="preserve">Average freight rates to India in 2018 </w:t>
      </w:r>
    </w:p>
    <w:p w14:paraId="77A5DE2A" w14:textId="306DC765" w:rsidR="006662A6" w:rsidRDefault="006662A6" w:rsidP="00452D9E">
      <w:pPr>
        <w:pStyle w:val="Note"/>
        <w:spacing w:before="0" w:after="0"/>
        <w:rPr>
          <w:lang w:eastAsia="en-AU"/>
        </w:rPr>
      </w:pPr>
      <w:r>
        <w:rPr>
          <w:lang w:eastAsia="en-AU"/>
        </w:rPr>
        <w:t>Notes: Freight rates for Australia to India is for metallurgical coal, due to an absence of data for Australian thermal coal freight to India.</w:t>
      </w:r>
    </w:p>
    <w:p w14:paraId="3148F8A8" w14:textId="12D1CF4F" w:rsidR="006662A6" w:rsidRDefault="006662A6" w:rsidP="00452D9E">
      <w:pPr>
        <w:pStyle w:val="Source"/>
        <w:spacing w:before="0" w:after="0"/>
        <w:rPr>
          <w:lang w:eastAsia="en-AU"/>
        </w:rPr>
      </w:pPr>
      <w:r>
        <w:rPr>
          <w:lang w:eastAsia="en-AU"/>
        </w:rPr>
        <w:t>Source: Platts (2019) Steel Analyzer; IHS Markit (2019) India coal data, June 2019</w:t>
      </w:r>
    </w:p>
    <w:p w14:paraId="2DF38D4D" w14:textId="3B64AE09" w:rsidR="006662A6" w:rsidRDefault="006662A6" w:rsidP="000009DC">
      <w:pPr>
        <w:pStyle w:val="BodyText"/>
        <w:spacing w:before="180"/>
      </w:pPr>
      <w:r>
        <w:t>As a result, the cost of Australia’s higher quality, more expensive thermal coal has generally exceeded the level that India’s power utilities — which are subject to regulated prices (see Chapter 1) — could profitably pay. India’s coal importers have primarily sourced supplies from low-cost producers in Indonesia, which supply lower energy content coal. In 2018, 74 per cent of India’s thermal coal imports had a calorific value of 5,000kcal/kg NAR or lower. In contrast, all of Australia’s thermal coal exports in 2018 had a calorific value of 5,000kcal/kg NAR or higher (Figure 3.4).</w:t>
      </w:r>
    </w:p>
    <w:p w14:paraId="6A495FCA" w14:textId="22767666" w:rsidR="006662A6" w:rsidRDefault="006662A6" w:rsidP="002729C2">
      <w:pPr>
        <w:pStyle w:val="BodyText"/>
        <w:spacing w:before="180"/>
      </w:pPr>
      <w:r>
        <w:t>Despite recent policy and regulation changes, India’s power utilities are expected to remain financially constrained and consequently relatively price sensitive in the years to come, restricting their ability to purchase more expensive and better quality Australian coal. Thus, Australian coal will likely continue to be less attractive for Indian buyers.</w:t>
      </w:r>
    </w:p>
    <w:p w14:paraId="277A0FD5" w14:textId="35A8E519" w:rsidR="006662A6" w:rsidRDefault="008E2A4B" w:rsidP="00A1455B">
      <w:pPr>
        <w:pStyle w:val="Caption"/>
      </w:pPr>
      <w:r>
        <w:rPr>
          <w:noProof/>
          <w:lang w:eastAsia="en-AU"/>
        </w:rPr>
        <w:drawing>
          <wp:anchor distT="0" distB="0" distL="114300" distR="114300" simplePos="0" relativeHeight="251658248" behindDoc="1" locked="0" layoutInCell="1" allowOverlap="1" wp14:anchorId="1D39FC6A" wp14:editId="2C76252B">
            <wp:simplePos x="0" y="0"/>
            <wp:positionH relativeFrom="margin">
              <wp:align>center</wp:align>
            </wp:positionH>
            <wp:positionV relativeFrom="paragraph">
              <wp:posOffset>438150</wp:posOffset>
            </wp:positionV>
            <wp:extent cx="5699125" cy="1440000"/>
            <wp:effectExtent l="0" t="0" r="0" b="8255"/>
            <wp:wrapTight wrapText="bothSides">
              <wp:wrapPolygon edited="0">
                <wp:start x="0" y="0"/>
                <wp:lineTo x="0" y="21438"/>
                <wp:lineTo x="21516" y="21438"/>
                <wp:lineTo x="21516" y="0"/>
                <wp:lineTo x="0" y="0"/>
              </wp:wrapPolygon>
            </wp:wrapTight>
            <wp:docPr id="36" name="Chart 36" descr="This chart shows imports and exports by coal quality, India, Indonesia and Australia" title="Figure 3.4: Imports and exports by coal quality, India and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6662A6">
        <w:t>Figure</w:t>
      </w:r>
      <w:r w:rsidR="006662A6" w:rsidRPr="000618FB">
        <w:t xml:space="preserve"> </w:t>
      </w:r>
      <w:r w:rsidR="006662A6">
        <w:t>3.4: Imports and exports by coal quality, India</w:t>
      </w:r>
      <w:r w:rsidR="00E40B97">
        <w:t>, Indonesia</w:t>
      </w:r>
      <w:r w:rsidR="006662A6">
        <w:t xml:space="preserve"> and Australia</w:t>
      </w:r>
    </w:p>
    <w:tbl>
      <w:tblPr>
        <w:tblStyle w:val="OCETable"/>
        <w:tblW w:w="4848" w:type="pct"/>
        <w:tblInd w:w="108" w:type="dxa"/>
        <w:tblLayout w:type="fixed"/>
        <w:tblLook w:val="04A0" w:firstRow="1" w:lastRow="0" w:firstColumn="1" w:lastColumn="0" w:noHBand="0" w:noVBand="1"/>
        <w:tblCaption w:val="Table contains figure 3.4"/>
      </w:tblPr>
      <w:tblGrid>
        <w:gridCol w:w="8752"/>
      </w:tblGrid>
      <w:tr w:rsidR="006662A6" w14:paraId="09028729" w14:textId="77777777" w:rsidTr="005E1CD1">
        <w:trPr>
          <w:cnfStyle w:val="100000000000" w:firstRow="1" w:lastRow="0" w:firstColumn="0" w:lastColumn="0" w:oddVBand="0" w:evenVBand="0" w:oddHBand="0" w:evenHBand="0" w:firstRowFirstColumn="0" w:firstRowLastColumn="0" w:lastRowFirstColumn="0" w:lastRowLastColumn="0"/>
          <w:trHeight w:val="2006"/>
          <w:tblHeader/>
        </w:trPr>
        <w:tc>
          <w:tcPr>
            <w:tcW w:w="8751" w:type="dxa"/>
            <w:shd w:val="clear" w:color="auto" w:fill="auto"/>
          </w:tcPr>
          <w:p w14:paraId="51CB8D8F" w14:textId="47EFEC45" w:rsidR="006662A6" w:rsidRDefault="006662A6" w:rsidP="00870D65">
            <w:pPr>
              <w:pStyle w:val="PlaceholderWide"/>
            </w:pPr>
            <w:r>
              <w:rPr>
                <w:noProof/>
                <w:lang w:eastAsia="en-AU"/>
              </w:rPr>
              <w:drawing>
                <wp:anchor distT="0" distB="0" distL="114300" distR="114300" simplePos="0" relativeHeight="251658249" behindDoc="1" locked="0" layoutInCell="1" allowOverlap="1" wp14:anchorId="123F8A42" wp14:editId="4B7C9DAA">
                  <wp:simplePos x="0" y="0"/>
                  <wp:positionH relativeFrom="column">
                    <wp:posOffset>-68580</wp:posOffset>
                  </wp:positionH>
                  <wp:positionV relativeFrom="paragraph">
                    <wp:posOffset>0</wp:posOffset>
                  </wp:positionV>
                  <wp:extent cx="5759450" cy="1800000"/>
                  <wp:effectExtent l="0" t="0" r="0" b="0"/>
                  <wp:wrapTight wrapText="bothSides">
                    <wp:wrapPolygon edited="0">
                      <wp:start x="0" y="0"/>
                      <wp:lineTo x="0" y="21265"/>
                      <wp:lineTo x="21505" y="21265"/>
                      <wp:lineTo x="21505" y="0"/>
                      <wp:lineTo x="0" y="0"/>
                    </wp:wrapPolygon>
                  </wp:wrapTight>
                  <wp:docPr id="52" name="Chart 52" descr="This chart shows imports and exports by coal quality, India, Indonesia and Australia." title="Imports and exports by coal quality, India, Indonesia and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tc>
      </w:tr>
    </w:tbl>
    <w:p w14:paraId="49A78695" w14:textId="15DD3057" w:rsidR="006662A6" w:rsidRPr="00C62F3A" w:rsidRDefault="006662A6" w:rsidP="00882E60">
      <w:pPr>
        <w:pStyle w:val="Note"/>
        <w:jc w:val="left"/>
      </w:pPr>
      <w:r>
        <w:t>Notes: Calorific values are in terms of kcal/kg Net as Received (NAR)</w:t>
      </w:r>
    </w:p>
    <w:p w14:paraId="3AE2DD8B" w14:textId="09F3DD61" w:rsidR="006662A6" w:rsidRDefault="006662A6" w:rsidP="00870D65">
      <w:pPr>
        <w:pStyle w:val="Source"/>
        <w:pBdr>
          <w:bottom w:val="single" w:sz="4" w:space="0" w:color="595A5B"/>
        </w:pBdr>
      </w:pPr>
      <w:r>
        <w:t>Source: IHS Markit (2019) Global coal imports and exports outlook by quality, July 2019</w:t>
      </w:r>
    </w:p>
    <w:p w14:paraId="6E352DB7" w14:textId="56214629" w:rsidR="006662A6" w:rsidRDefault="006662A6" w:rsidP="00B81D5B">
      <w:pPr>
        <w:pStyle w:val="Heading3"/>
      </w:pPr>
      <w:r>
        <w:t>Outlook for thermal coal exports from Indonesia and South Africa</w:t>
      </w:r>
    </w:p>
    <w:p w14:paraId="0927B102" w14:textId="30F80E6A" w:rsidR="006662A6" w:rsidRDefault="006662A6" w:rsidP="00B81D5B">
      <w:pPr>
        <w:pStyle w:val="BodyText"/>
      </w:pPr>
      <w:r>
        <w:t xml:space="preserve">Thermal coal exports from Indonesia and South Africa may be more constrained in the future, with the possibility of either country diverting more coal to domestic markets. If Indonesia and South Africa are unable to meet all of India’s future thermal coal import needs, this could improve the prospects for exports of Australian thermal coal exports to India, particularly for low to mid-energy coal (Figure 3.5). </w:t>
      </w:r>
    </w:p>
    <w:p w14:paraId="0A3FC39C" w14:textId="017B3F96" w:rsidR="006662A6" w:rsidRDefault="006662A6" w:rsidP="00F30BC1">
      <w:pPr>
        <w:pStyle w:val="Caption"/>
      </w:pPr>
      <w:r>
        <w:t>Figure</w:t>
      </w:r>
      <w:r w:rsidRPr="000618FB">
        <w:t xml:space="preserve"> </w:t>
      </w:r>
      <w:r>
        <w:rPr>
          <w:noProof/>
        </w:rPr>
        <w:t>3</w:t>
      </w:r>
      <w:r w:rsidRPr="000618FB">
        <w:t>.</w:t>
      </w:r>
      <w:r>
        <w:t>5: Estimated delivered costs of thermal coal to India, 2018</w:t>
      </w:r>
    </w:p>
    <w:tbl>
      <w:tblPr>
        <w:tblStyle w:val="OCETable"/>
        <w:tblW w:w="4940" w:type="pct"/>
        <w:tblInd w:w="108" w:type="dxa"/>
        <w:tblLayout w:type="fixed"/>
        <w:tblLook w:val="04A0" w:firstRow="1" w:lastRow="0" w:firstColumn="1" w:lastColumn="0" w:noHBand="0" w:noVBand="1"/>
        <w:tblCaption w:val="Table contains figure 3.5"/>
      </w:tblPr>
      <w:tblGrid>
        <w:gridCol w:w="8918"/>
      </w:tblGrid>
      <w:tr w:rsidR="006662A6" w14:paraId="6ED0BB1A"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4B3FEF6B" w14:textId="0094915D" w:rsidR="006662A6" w:rsidRDefault="006662A6" w:rsidP="00F30BC1">
            <w:pPr>
              <w:pStyle w:val="PlaceholderWide"/>
            </w:pPr>
            <w:r>
              <w:rPr>
                <w:noProof/>
                <w:lang w:eastAsia="en-AU"/>
              </w:rPr>
              <w:drawing>
                <wp:inline distT="0" distB="0" distL="0" distR="0" wp14:anchorId="5E994672" wp14:editId="06B961B2">
                  <wp:extent cx="5760000" cy="2495550"/>
                  <wp:effectExtent l="0" t="0" r="0" b="0"/>
                  <wp:docPr id="46" name="Chart 46" descr="This chart shows estimated delivered costs of thermal coal to India in 2018." title="Figure 3.5: Estimated delivered costs of thermal coal to India,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58A6CF7A" w14:textId="5DDE9C69" w:rsidR="006662A6" w:rsidRPr="00C62F3A" w:rsidRDefault="006662A6" w:rsidP="00870006">
      <w:pPr>
        <w:pStyle w:val="Note"/>
        <w:spacing w:before="0" w:line="240" w:lineRule="auto"/>
      </w:pPr>
      <w:r>
        <w:t>Notes: 170 million tonnes of supply from countries with no available estimates for coal freight costs to India has been excluded from the cost curve. Average import price is based on the import unit value for thermal coal in 2018.</w:t>
      </w:r>
    </w:p>
    <w:p w14:paraId="12725F0E" w14:textId="26F9A679" w:rsidR="006662A6" w:rsidRDefault="006662A6" w:rsidP="00870006">
      <w:pPr>
        <w:pStyle w:val="Source"/>
        <w:spacing w:before="0" w:after="0" w:line="240" w:lineRule="auto"/>
      </w:pPr>
      <w:r>
        <w:t>Source: Department of Industry, Innovation and Science (2019) estimates, based on data from Indian Government trade data, AME Group, Platts Steel Analyzer, and IHS Markit</w:t>
      </w:r>
    </w:p>
    <w:p w14:paraId="331B7E1F" w14:textId="77777777" w:rsidR="006662A6" w:rsidRDefault="006662A6" w:rsidP="008D7B16">
      <w:pPr>
        <w:pStyle w:val="BodyText"/>
      </w:pPr>
    </w:p>
    <w:p w14:paraId="6932FDC5" w14:textId="4082379D" w:rsidR="006662A6" w:rsidRDefault="006662A6" w:rsidP="008D7B16">
      <w:pPr>
        <w:pStyle w:val="BodyText"/>
      </w:pPr>
      <w:r>
        <w:t>In particular, Indonesia’s coal exports are expected to decline in the longer term. The IEA’s Coal Market report forecasts Indonesia’s thermal coal exports to decline at an annual average rate of 3.6 per cent between 2019 and 2023.</w:t>
      </w:r>
      <w:r>
        <w:rPr>
          <w:rStyle w:val="EndnoteReference"/>
        </w:rPr>
        <w:endnoteReference w:id="133"/>
      </w:r>
      <w:r>
        <w:t xml:space="preserve"> Under the IEA’s 2018 WEO New Policies Scenario, Indonesia’s coal exports could decline at an annual average rate of 2.2 per cent between 2025 and 2040 (Figure 3.6).</w:t>
      </w:r>
      <w:r>
        <w:rPr>
          <w:rStyle w:val="EndnoteReference"/>
        </w:rPr>
        <w:endnoteReference w:id="134"/>
      </w:r>
      <w:r>
        <w:t xml:space="preserve"> </w:t>
      </w:r>
    </w:p>
    <w:p w14:paraId="1061B33B" w14:textId="78DF8803" w:rsidR="006662A6" w:rsidRDefault="006662A6" w:rsidP="008D7B16">
      <w:pPr>
        <w:pStyle w:val="BodyText"/>
      </w:pPr>
      <w:r>
        <w:t>The key driver of the projected decline in Indonesia’s thermal coal exports is an expected increase in domestic consumption of thermal coal, driven by a strong increase in coal-fired power generation. Restrictive government policies may also affect future exports, although they have had little effect to date. The Indonesian government currently applies quotas to national coal production at capped levels, to both reserve coal for future use and to stabilise seaborne prices for Indonesian coal. The domestic market obligation (DMO), under which Indonesian producers are obliged to sell a share of production in the domestic market at capped prices, will likely remain a feature of Indonesia’s coal market for years to come. The DMO could be even more restrictive by 2030 if domestic coal-fired power stations are facing shortages.</w:t>
      </w:r>
    </w:p>
    <w:p w14:paraId="0F25AAF0" w14:textId="375B2188" w:rsidR="006662A6" w:rsidRDefault="006662A6" w:rsidP="008D7B16">
      <w:pPr>
        <w:pStyle w:val="BodyText"/>
      </w:pPr>
      <w:r>
        <w:t>Under the IEA WEO New Policies Scenario, South Africa’s thermal coal exports grow at an annual average rate of 1.1 per cent between 2017 and 2040. However, this outlook is underpinned by considerable risks. South Africa’s coal sector has faced infrastructure bottlenecks and subdued mining investment. The South African government has also occasionally mandated that thermal coal be redirected to the domestic market. Eskom, the national electricity utility, has recently been experiencing severe coal shortages. While the South African government is expected to improve the investment environment by changing regulations, addressing the ongoing problems at Eskom, and boosting rail capacity, it remains to be seen whether these measures will translate to higher production.</w:t>
      </w:r>
      <w:r>
        <w:rPr>
          <w:rStyle w:val="EndnoteReference"/>
        </w:rPr>
        <w:endnoteReference w:id="135"/>
      </w:r>
      <w:r>
        <w:t xml:space="preserve"> </w:t>
      </w:r>
    </w:p>
    <w:p w14:paraId="7D2ACDEF" w14:textId="4E6B5117" w:rsidR="006662A6" w:rsidRDefault="006662A6" w:rsidP="00F30BC1">
      <w:pPr>
        <w:pStyle w:val="Caption"/>
      </w:pPr>
      <w:r>
        <w:t>Figure</w:t>
      </w:r>
      <w:r w:rsidRPr="000618FB">
        <w:t xml:space="preserve"> </w:t>
      </w:r>
      <w:r>
        <w:t>3</w:t>
      </w:r>
      <w:r w:rsidRPr="000618FB">
        <w:t>.</w:t>
      </w:r>
      <w:r>
        <w:t>6: IEA World Energy Outlook New Policies Scenario coal exports</w:t>
      </w:r>
    </w:p>
    <w:tbl>
      <w:tblPr>
        <w:tblStyle w:val="OCETable"/>
        <w:tblW w:w="4940" w:type="pct"/>
        <w:tblInd w:w="108" w:type="dxa"/>
        <w:tblLayout w:type="fixed"/>
        <w:tblLook w:val="04A0" w:firstRow="1" w:lastRow="0" w:firstColumn="1" w:lastColumn="0" w:noHBand="0" w:noVBand="1"/>
        <w:tblCaption w:val="table contains figure 3.6"/>
      </w:tblPr>
      <w:tblGrid>
        <w:gridCol w:w="8918"/>
      </w:tblGrid>
      <w:tr w:rsidR="006662A6" w14:paraId="0D341DB0"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8918" w:type="dxa"/>
            <w:shd w:val="clear" w:color="auto" w:fill="auto"/>
          </w:tcPr>
          <w:p w14:paraId="6E2B4648" w14:textId="229EFB3B" w:rsidR="006662A6" w:rsidRDefault="006662A6" w:rsidP="00F30BC1">
            <w:pPr>
              <w:pStyle w:val="PlaceholderWide"/>
            </w:pPr>
            <w:r>
              <w:rPr>
                <w:noProof/>
                <w:lang w:eastAsia="en-AU"/>
              </w:rPr>
              <w:drawing>
                <wp:inline distT="0" distB="0" distL="0" distR="0" wp14:anchorId="4818C23A" wp14:editId="10E5A277">
                  <wp:extent cx="5372100" cy="2362200"/>
                  <wp:effectExtent l="0" t="0" r="0" b="0"/>
                  <wp:docPr id="48" name="Chart 48" descr="This chart shows IEA World Energy Outlook New Policies Scenario coal exports." title="Figure 3.6: IEA World Energy Outlook New Policies Scenario coal expor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402C57E7" w14:textId="55233AFB" w:rsidR="006662A6" w:rsidRDefault="006662A6" w:rsidP="00F30BC1">
      <w:pPr>
        <w:pStyle w:val="Source"/>
      </w:pPr>
      <w:r>
        <w:t xml:space="preserve">Source: </w:t>
      </w:r>
      <w:r w:rsidRPr="0024119F">
        <w:t>IEA (2018) World Energy Outlook 2018</w:t>
      </w:r>
      <w:r>
        <w:t xml:space="preserve">, </w:t>
      </w:r>
      <w:r w:rsidRPr="0024119F">
        <w:t>Int</w:t>
      </w:r>
      <w:r>
        <w:t>ernational Energy Agency</w:t>
      </w:r>
    </w:p>
    <w:p w14:paraId="1B6F4BB0" w14:textId="0E14492C" w:rsidR="006662A6" w:rsidRDefault="006662A6" w:rsidP="00B81D5B">
      <w:pPr>
        <w:pStyle w:val="Heading2"/>
      </w:pPr>
      <w:bookmarkStart w:id="230" w:name="_Toc16247611"/>
      <w:bookmarkStart w:id="231" w:name="_Toc16250074"/>
      <w:bookmarkStart w:id="232" w:name="_Toc16256929"/>
      <w:bookmarkStart w:id="233" w:name="_Toc17210804"/>
      <w:r>
        <w:t>Compatibility</w:t>
      </w:r>
      <w:bookmarkEnd w:id="230"/>
      <w:bookmarkEnd w:id="231"/>
      <w:bookmarkEnd w:id="232"/>
      <w:bookmarkEnd w:id="233"/>
    </w:p>
    <w:p w14:paraId="591A4C6A" w14:textId="7D03C21F" w:rsidR="006662A6" w:rsidRDefault="006662A6" w:rsidP="000D38E5">
      <w:pPr>
        <w:pStyle w:val="BodyText"/>
      </w:pPr>
      <w:r>
        <w:t>Much of India’s coal-fired power generation fleet employs subcritical technology (see Box 3.1), for which Australian coal — with high energy content — will remain unsuitable for use.</w:t>
      </w:r>
      <w:r w:rsidRPr="000D38E5">
        <w:t xml:space="preserve"> </w:t>
      </w:r>
      <w:r>
        <w:t>The specifications of the lower cost coal from Indonesia are closer to that of Indian coal, and are more compatible with the engineering requirements of power generators in India. The higher energy content and proportion of volatile matter in Australian produced coal makes it unsuitable for many older subcritical generators in India which are not designed to operate at higher temperatures.</w:t>
      </w:r>
    </w:p>
    <w:p w14:paraId="6AA58315" w14:textId="4F1488BB" w:rsidR="006662A6" w:rsidRDefault="006662A6" w:rsidP="006A4F6E">
      <w:pPr>
        <w:pStyle w:val="BodyText"/>
        <w:jc w:val="left"/>
      </w:pPr>
      <w:r>
        <w:t>However, India’s investment in new generating capacity has a greater share of generators that employ supercritical technologies (Figure 3.7). Of the coal-fired power capacity currently under construction, 34 GW or 88 per cent of it employs supercritical technology or higher. The new power plants will provide better thermal efficiencies and lower carbon emissions per gigawatt hour of electricity produced, and their implementation has been supported by efficiency requirements for future coal-fired power plants. Electricity output from these generators could be optimised by using higher energy content and lower ash coal than most India’s domestic mines currently produce.</w:t>
      </w:r>
    </w:p>
    <w:p w14:paraId="1702BD0F" w14:textId="7B189AB3" w:rsidR="006662A6" w:rsidRDefault="006662A6" w:rsidP="00D37387">
      <w:pPr>
        <w:pStyle w:val="Caption"/>
        <w:spacing w:after="0"/>
      </w:pPr>
      <w:r>
        <w:t xml:space="preserve">Figure </w:t>
      </w:r>
      <w:r>
        <w:rPr>
          <w:noProof/>
        </w:rPr>
        <w:t>3</w:t>
      </w:r>
      <w:r w:rsidRPr="000618FB">
        <w:t>.</w:t>
      </w:r>
      <w:r>
        <w:t>7: India’s coal-fired electricity capacity by technology</w:t>
      </w:r>
    </w:p>
    <w:tbl>
      <w:tblPr>
        <w:tblStyle w:val="OCETable"/>
        <w:tblW w:w="4900" w:type="pct"/>
        <w:tblInd w:w="108" w:type="dxa"/>
        <w:tblLayout w:type="fixed"/>
        <w:tblLook w:val="04A0" w:firstRow="1" w:lastRow="0" w:firstColumn="1" w:lastColumn="0" w:noHBand="0" w:noVBand="1"/>
        <w:tblCaption w:val="Table contains figure 3.7"/>
      </w:tblPr>
      <w:tblGrid>
        <w:gridCol w:w="8845"/>
      </w:tblGrid>
      <w:tr w:rsidR="006662A6" w14:paraId="40426FE4" w14:textId="77777777" w:rsidTr="005E1CD1">
        <w:trPr>
          <w:cnfStyle w:val="100000000000" w:firstRow="1" w:lastRow="0" w:firstColumn="0" w:lastColumn="0" w:oddVBand="0" w:evenVBand="0" w:oddHBand="0" w:evenHBand="0" w:firstRowFirstColumn="0" w:firstRowLastColumn="0" w:lastRowFirstColumn="0" w:lastRowLastColumn="0"/>
          <w:trHeight w:val="1566"/>
          <w:tblHeader/>
        </w:trPr>
        <w:tc>
          <w:tcPr>
            <w:tcW w:w="8845" w:type="dxa"/>
            <w:shd w:val="clear" w:color="auto" w:fill="auto"/>
          </w:tcPr>
          <w:p w14:paraId="5F1B957B" w14:textId="31C4A3BF" w:rsidR="006662A6" w:rsidRDefault="006662A6" w:rsidP="003715C0">
            <w:pPr>
              <w:pStyle w:val="PlaceholderWide"/>
            </w:pPr>
            <w:r>
              <w:rPr>
                <w:noProof/>
                <w:lang w:eastAsia="en-AU"/>
              </w:rPr>
              <w:drawing>
                <wp:inline distT="0" distB="0" distL="0" distR="0" wp14:anchorId="7F93E637" wp14:editId="54965691">
                  <wp:extent cx="5419725" cy="1085850"/>
                  <wp:effectExtent l="0" t="0" r="0" b="0"/>
                  <wp:docPr id="37" name="Chart 37" descr="This chart shows India’s coal-fired electricity capacity by technology." title="Figure 3.7: India’s coal-fired electricity capacity by technology"/>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6662A6" w14:paraId="483C7DCA" w14:textId="77777777" w:rsidTr="005E1CD1">
        <w:trPr>
          <w:cnfStyle w:val="100000000000" w:firstRow="1" w:lastRow="0" w:firstColumn="0" w:lastColumn="0" w:oddVBand="0" w:evenVBand="0" w:oddHBand="0" w:evenHBand="0" w:firstRowFirstColumn="0" w:firstRowLastColumn="0" w:lastRowFirstColumn="0" w:lastRowLastColumn="0"/>
          <w:trHeight w:val="1739"/>
          <w:tblHeader/>
        </w:trPr>
        <w:tc>
          <w:tcPr>
            <w:tcW w:w="8845" w:type="dxa"/>
            <w:shd w:val="clear" w:color="auto" w:fill="auto"/>
          </w:tcPr>
          <w:p w14:paraId="4FCB605C" w14:textId="77777777" w:rsidR="006662A6" w:rsidRDefault="006662A6" w:rsidP="003715C0">
            <w:pPr>
              <w:pStyle w:val="PlaceholderWide"/>
              <w:rPr>
                <w:noProof/>
                <w:lang w:eastAsia="en-AU"/>
              </w:rPr>
            </w:pPr>
            <w:r>
              <w:rPr>
                <w:noProof/>
                <w:lang w:eastAsia="en-AU"/>
              </w:rPr>
              <w:drawing>
                <wp:inline distT="0" distB="0" distL="0" distR="0" wp14:anchorId="608E0375" wp14:editId="2683E061">
                  <wp:extent cx="5457825" cy="1133475"/>
                  <wp:effectExtent l="0" t="0" r="0" b="0"/>
                  <wp:docPr id="22" name="Chart 22" descr="This chart shows the share of India’s coal-fired electricity capacity by technology." title="Figure 3.7: India’s coal-fired electricity capacity by technology"/>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1F7C7337" w14:textId="2FF94716" w:rsidR="006662A6" w:rsidRDefault="006662A6" w:rsidP="00D37387">
      <w:pPr>
        <w:pStyle w:val="Source"/>
      </w:pPr>
      <w:r>
        <w:t>Source: Platts (2019) World Electric Power Plant database, March 2019.</w:t>
      </w:r>
    </w:p>
    <w:p w14:paraId="415F94D3" w14:textId="1630523F" w:rsidR="006662A6" w:rsidRDefault="006662A6" w:rsidP="0010256A">
      <w:pPr>
        <w:pStyle w:val="Caption"/>
      </w:pPr>
      <w:bookmarkStart w:id="234" w:name="_Toc16247612"/>
      <w:bookmarkStart w:id="235" w:name="_Toc16250075"/>
      <w:bookmarkStart w:id="236" w:name="_Toc16256930"/>
      <w:r w:rsidRPr="00D26202">
        <w:t>Box</w:t>
      </w:r>
      <w:r>
        <w:t xml:space="preserve"> 3</w:t>
      </w:r>
      <w:r>
        <w:rPr>
          <w:noProof/>
        </w:rPr>
        <w:t>.</w:t>
      </w:r>
      <w:r>
        <w:rPr>
          <w:noProof/>
        </w:rPr>
        <w:fldChar w:fldCharType="begin"/>
      </w:r>
      <w:r>
        <w:rPr>
          <w:noProof/>
        </w:rPr>
        <w:instrText xml:space="preserve"> SEQ Box \* ARABIC \s 1  </w:instrText>
      </w:r>
      <w:r>
        <w:rPr>
          <w:noProof/>
        </w:rPr>
        <w:fldChar w:fldCharType="separate"/>
      </w:r>
      <w:r w:rsidR="003172B3">
        <w:rPr>
          <w:noProof/>
        </w:rPr>
        <w:t>1</w:t>
      </w:r>
      <w:r>
        <w:rPr>
          <w:noProof/>
        </w:rPr>
        <w:fldChar w:fldCharType="end"/>
      </w:r>
      <w:r>
        <w:t>: Coal-fired electricity generation technologies</w:t>
      </w:r>
    </w:p>
    <w:tbl>
      <w:tblPr>
        <w:tblStyle w:val="OCETable"/>
        <w:tblW w:w="5000" w:type="pct"/>
        <w:tblInd w:w="57" w:type="dxa"/>
        <w:shd w:val="clear" w:color="auto" w:fill="DEE8F1"/>
        <w:tblLayout w:type="fixed"/>
        <w:tblLook w:val="04A0" w:firstRow="1" w:lastRow="0" w:firstColumn="1" w:lastColumn="0" w:noHBand="0" w:noVBand="1"/>
        <w:tblCaption w:val="Table contains box 3.1"/>
      </w:tblPr>
      <w:tblGrid>
        <w:gridCol w:w="9026"/>
      </w:tblGrid>
      <w:tr w:rsidR="006662A6" w14:paraId="7AB1314E" w14:textId="77777777" w:rsidTr="005E1CD1">
        <w:trPr>
          <w:cnfStyle w:val="100000000000" w:firstRow="1" w:lastRow="0" w:firstColumn="0" w:lastColumn="0" w:oddVBand="0" w:evenVBand="0" w:oddHBand="0" w:evenHBand="0" w:firstRowFirstColumn="0" w:firstRowLastColumn="0" w:lastRowFirstColumn="0" w:lastRowLastColumn="0"/>
          <w:tblHeader/>
        </w:trPr>
        <w:tc>
          <w:tcPr>
            <w:tcW w:w="5000" w:type="pct"/>
            <w:shd w:val="clear" w:color="auto" w:fill="DEE8F1"/>
          </w:tcPr>
          <w:p w14:paraId="0ADD293D" w14:textId="64B60B59" w:rsidR="006662A6" w:rsidRDefault="006662A6" w:rsidP="0010256A">
            <w:pPr>
              <w:pStyle w:val="Boxtext"/>
              <w:rPr>
                <w:lang w:val="en-AU"/>
              </w:rPr>
            </w:pPr>
            <w:r w:rsidRPr="00322899">
              <w:rPr>
                <w:lang w:val="en-AU"/>
              </w:rPr>
              <w:t xml:space="preserve">Coal-fired power </w:t>
            </w:r>
            <w:r>
              <w:rPr>
                <w:lang w:val="en-AU"/>
              </w:rPr>
              <w:t>accounted for around a third of world electricity generation in 2017</w:t>
            </w:r>
            <w:r w:rsidRPr="00322899">
              <w:rPr>
                <w:lang w:val="en-AU"/>
              </w:rPr>
              <w:t>.</w:t>
            </w:r>
            <w:r>
              <w:rPr>
                <w:rStyle w:val="EndnoteReference"/>
                <w:lang w:val="en-AU"/>
              </w:rPr>
              <w:endnoteReference w:id="136"/>
            </w:r>
            <w:r w:rsidRPr="00322899">
              <w:rPr>
                <w:lang w:val="en-AU"/>
              </w:rPr>
              <w:t xml:space="preserve"> The technology is attractive because it is reliable, provides secure supply, </w:t>
            </w:r>
            <w:r>
              <w:rPr>
                <w:lang w:val="en-AU"/>
              </w:rPr>
              <w:t xml:space="preserve">and </w:t>
            </w:r>
            <w:r w:rsidRPr="00322899">
              <w:rPr>
                <w:lang w:val="en-AU"/>
              </w:rPr>
              <w:t>has relatively low fuel costs and competitive capital and operating costs</w:t>
            </w:r>
            <w:r>
              <w:rPr>
                <w:lang w:val="en-AU"/>
              </w:rPr>
              <w:t>.</w:t>
            </w:r>
            <w:r>
              <w:rPr>
                <w:rStyle w:val="EndnoteReference"/>
                <w:lang w:val="en-AU"/>
              </w:rPr>
              <w:endnoteReference w:id="137"/>
            </w:r>
            <w:r w:rsidRPr="00322899">
              <w:rPr>
                <w:lang w:val="en-AU"/>
              </w:rPr>
              <w:t xml:space="preserve"> However, coal-fired generation also presents challenges in terms of air pollution and CO</w:t>
            </w:r>
            <w:r w:rsidRPr="00322899">
              <w:rPr>
                <w:vertAlign w:val="subscript"/>
                <w:lang w:val="en-AU"/>
              </w:rPr>
              <w:t>2</w:t>
            </w:r>
            <w:r w:rsidRPr="00322899">
              <w:rPr>
                <w:lang w:val="en-AU"/>
              </w:rPr>
              <w:t xml:space="preserve"> emissions.</w:t>
            </w:r>
            <w:r>
              <w:rPr>
                <w:rStyle w:val="EndnoteReference"/>
                <w:lang w:val="en-AU"/>
              </w:rPr>
              <w:endnoteReference w:id="138"/>
            </w:r>
            <w:r>
              <w:rPr>
                <w:lang w:val="en-AU"/>
              </w:rPr>
              <w:t xml:space="preserve"> The different technologies used for coal-fired power generation have markedly different efficiencies, costs, and pollution outcomes (Figure 3.8).</w:t>
            </w:r>
          </w:p>
          <w:p w14:paraId="6183C0AE" w14:textId="77777777" w:rsidR="006662A6" w:rsidRPr="00322899" w:rsidRDefault="006662A6" w:rsidP="0010256A">
            <w:pPr>
              <w:pStyle w:val="Boxtext"/>
              <w:rPr>
                <w:lang w:val="en-AU"/>
              </w:rPr>
            </w:pPr>
            <w:r w:rsidRPr="00EE0B71">
              <w:rPr>
                <w:b/>
                <w:lang w:val="en-AU"/>
              </w:rPr>
              <w:t>Pulverised Coal Combustion</w:t>
            </w:r>
            <w:r w:rsidRPr="00322899">
              <w:rPr>
                <w:lang w:val="en-AU"/>
              </w:rPr>
              <w:t xml:space="preserve"> (PCC) is the most common coal-fired technology deployed worldwide. There are a </w:t>
            </w:r>
            <w:r>
              <w:rPr>
                <w:lang w:val="en-AU"/>
              </w:rPr>
              <w:t>number of</w:t>
            </w:r>
            <w:r w:rsidRPr="00322899">
              <w:rPr>
                <w:lang w:val="en-AU"/>
              </w:rPr>
              <w:t xml:space="preserve"> PCC technologies being used that have markedly different efficiencies, costs and pollution outcomes. The efficiency of a plant refers to the electricity produced for a given heat input. In coal-fired power plants, this depends on the temperature and pressure of the steam generated in the boiler during combustion. The efficiency of a plant increases as both temperature and pressure are increased. </w:t>
            </w:r>
          </w:p>
          <w:p w14:paraId="1683C3E8" w14:textId="77777777" w:rsidR="006662A6" w:rsidRPr="00322899" w:rsidRDefault="006662A6" w:rsidP="0010256A">
            <w:pPr>
              <w:pStyle w:val="Boxtext"/>
              <w:rPr>
                <w:lang w:val="en-AU"/>
              </w:rPr>
            </w:pPr>
            <w:r w:rsidRPr="00EE0B71">
              <w:rPr>
                <w:b/>
                <w:lang w:val="en-AU"/>
              </w:rPr>
              <w:t>Subcritical technologies</w:t>
            </w:r>
            <w:r w:rsidRPr="00322899">
              <w:rPr>
                <w:lang w:val="en-AU"/>
              </w:rPr>
              <w:t xml:space="preserve"> are the most common</w:t>
            </w:r>
            <w:r>
              <w:rPr>
                <w:lang w:val="en-AU"/>
              </w:rPr>
              <w:t xml:space="preserve"> type of</w:t>
            </w:r>
            <w:r w:rsidRPr="00322899">
              <w:rPr>
                <w:lang w:val="en-AU"/>
              </w:rPr>
              <w:t xml:space="preserve"> coal-fired plant.</w:t>
            </w:r>
            <w:r>
              <w:rPr>
                <w:lang w:val="en-AU"/>
              </w:rPr>
              <w:t xml:space="preserve"> They have</w:t>
            </w:r>
            <w:r w:rsidRPr="00322899">
              <w:rPr>
                <w:lang w:val="en-AU"/>
              </w:rPr>
              <w:t xml:space="preserve"> the lowest efficiency (around 30 per cent) of the available technologies.</w:t>
            </w:r>
            <w:r>
              <w:rPr>
                <w:lang w:val="en-AU"/>
              </w:rPr>
              <w:t xml:space="preserve"> However,</w:t>
            </w:r>
            <w:r w:rsidRPr="00322899">
              <w:rPr>
                <w:lang w:val="en-AU"/>
              </w:rPr>
              <w:t xml:space="preserve"> </w:t>
            </w:r>
            <w:r>
              <w:rPr>
                <w:lang w:val="en-AU"/>
              </w:rPr>
              <w:t>s</w:t>
            </w:r>
            <w:r w:rsidRPr="00322899">
              <w:rPr>
                <w:lang w:val="en-AU"/>
              </w:rPr>
              <w:t xml:space="preserve">ubcritical plants generally have low capital costs, which supports </w:t>
            </w:r>
            <w:r>
              <w:rPr>
                <w:lang w:val="en-AU"/>
              </w:rPr>
              <w:t>their</w:t>
            </w:r>
            <w:r w:rsidRPr="00322899">
              <w:rPr>
                <w:lang w:val="en-AU"/>
              </w:rPr>
              <w:t xml:space="preserve"> large-scale uptake. </w:t>
            </w:r>
          </w:p>
          <w:p w14:paraId="57FF55F3" w14:textId="77777777" w:rsidR="006662A6" w:rsidRPr="00322899" w:rsidRDefault="006662A6" w:rsidP="0010256A">
            <w:pPr>
              <w:pStyle w:val="Boxtext"/>
              <w:rPr>
                <w:lang w:val="en-AU"/>
              </w:rPr>
            </w:pPr>
            <w:r w:rsidRPr="00EE0B71">
              <w:rPr>
                <w:b/>
                <w:lang w:val="en-AU"/>
              </w:rPr>
              <w:t>Supercritical technologies</w:t>
            </w:r>
            <w:r w:rsidRPr="00322899">
              <w:rPr>
                <w:lang w:val="en-AU"/>
              </w:rPr>
              <w:t xml:space="preserve"> </w:t>
            </w:r>
            <w:r>
              <w:rPr>
                <w:lang w:val="en-AU"/>
              </w:rPr>
              <w:t>use less coal and generate less</w:t>
            </w:r>
            <w:r w:rsidRPr="00322899">
              <w:rPr>
                <w:lang w:val="en-AU"/>
              </w:rPr>
              <w:t xml:space="preserve"> CO</w:t>
            </w:r>
            <w:r w:rsidRPr="00322899">
              <w:rPr>
                <w:vertAlign w:val="subscript"/>
                <w:lang w:val="en-AU"/>
              </w:rPr>
              <w:t>2</w:t>
            </w:r>
            <w:r>
              <w:rPr>
                <w:lang w:val="en-AU"/>
              </w:rPr>
              <w:t xml:space="preserve"> than subcritical plants, and achieve</w:t>
            </w:r>
            <w:r w:rsidRPr="00322899">
              <w:rPr>
                <w:lang w:val="en-AU"/>
              </w:rPr>
              <w:t xml:space="preserve"> efficiencies of around 40 per cent. The capital cost</w:t>
            </w:r>
            <w:r>
              <w:rPr>
                <w:lang w:val="en-AU"/>
              </w:rPr>
              <w:t>s</w:t>
            </w:r>
            <w:r w:rsidRPr="00322899">
              <w:rPr>
                <w:lang w:val="en-AU"/>
              </w:rPr>
              <w:t xml:space="preserve"> of </w:t>
            </w:r>
            <w:r>
              <w:rPr>
                <w:lang w:val="en-AU"/>
              </w:rPr>
              <w:t>supercritical</w:t>
            </w:r>
            <w:r w:rsidRPr="00322899">
              <w:rPr>
                <w:lang w:val="en-AU"/>
              </w:rPr>
              <w:t xml:space="preserve"> plants </w:t>
            </w:r>
            <w:r>
              <w:rPr>
                <w:lang w:val="en-AU"/>
              </w:rPr>
              <w:t>are</w:t>
            </w:r>
            <w:r w:rsidRPr="00322899">
              <w:rPr>
                <w:lang w:val="en-AU"/>
              </w:rPr>
              <w:t xml:space="preserve"> higher </w:t>
            </w:r>
            <w:r>
              <w:rPr>
                <w:lang w:val="en-AU"/>
              </w:rPr>
              <w:t>than for subcritical plants</w:t>
            </w:r>
            <w:r w:rsidRPr="00322899">
              <w:rPr>
                <w:lang w:val="en-AU"/>
              </w:rPr>
              <w:t xml:space="preserve"> because </w:t>
            </w:r>
            <w:r>
              <w:rPr>
                <w:lang w:val="en-AU"/>
              </w:rPr>
              <w:t>they</w:t>
            </w:r>
            <w:r w:rsidRPr="00322899">
              <w:rPr>
                <w:lang w:val="en-AU"/>
              </w:rPr>
              <w:t xml:space="preserve"> use materials with a greater heat tolerance in the boiler. </w:t>
            </w:r>
          </w:p>
          <w:p w14:paraId="79912DBB" w14:textId="77777777" w:rsidR="006662A6" w:rsidRDefault="006662A6" w:rsidP="0010256A">
            <w:pPr>
              <w:pStyle w:val="Boxtext"/>
              <w:rPr>
                <w:lang w:val="en-AU"/>
              </w:rPr>
            </w:pPr>
            <w:r w:rsidRPr="00EE0B71">
              <w:rPr>
                <w:b/>
                <w:lang w:val="en-AU"/>
              </w:rPr>
              <w:t xml:space="preserve">Ultra-supercritical and </w:t>
            </w:r>
            <w:r>
              <w:rPr>
                <w:b/>
                <w:lang w:val="en-AU"/>
              </w:rPr>
              <w:t>a</w:t>
            </w:r>
            <w:r w:rsidRPr="00EE0B71">
              <w:rPr>
                <w:b/>
                <w:lang w:val="en-AU"/>
              </w:rPr>
              <w:t>dvanced ultra-supercritical</w:t>
            </w:r>
            <w:r w:rsidRPr="00322899">
              <w:rPr>
                <w:lang w:val="en-AU"/>
              </w:rPr>
              <w:t xml:space="preserve"> plants operate at efficiencies between 45–50 per cent. The capital cost of these plants is high because they use advanced materials (with high nickel content) in the boiler. They use less coal and emit less CO</w:t>
            </w:r>
            <w:r w:rsidRPr="00322899">
              <w:rPr>
                <w:vertAlign w:val="subscript"/>
                <w:lang w:val="en-AU"/>
              </w:rPr>
              <w:t>2</w:t>
            </w:r>
            <w:r w:rsidRPr="00322899">
              <w:rPr>
                <w:lang w:val="en-AU"/>
              </w:rPr>
              <w:t xml:space="preserve"> than supercritical plants. Plants that utilise supercritical technologies and above require higher energy coal with low ash content</w:t>
            </w:r>
            <w:r>
              <w:rPr>
                <w:lang w:val="en-AU"/>
              </w:rPr>
              <w:t xml:space="preserve"> </w:t>
            </w:r>
            <w:r w:rsidRPr="00322899">
              <w:rPr>
                <w:lang w:val="en-AU"/>
              </w:rPr>
              <w:t>to operate optimally.</w:t>
            </w:r>
          </w:p>
          <w:p w14:paraId="519452B2" w14:textId="0080CF39" w:rsidR="006662A6" w:rsidRDefault="006662A6" w:rsidP="0010256A">
            <w:pPr>
              <w:pStyle w:val="Caption"/>
            </w:pPr>
            <w:r>
              <w:t xml:space="preserve">Figure </w:t>
            </w:r>
            <w:r>
              <w:rPr>
                <w:noProof/>
              </w:rPr>
              <w:t>3</w:t>
            </w:r>
            <w:r w:rsidRPr="000618FB">
              <w:t>.</w:t>
            </w:r>
            <w:r>
              <w:t>8: Effect of different technologies on</w:t>
            </w:r>
            <w:r w:rsidR="00E40B97">
              <w:t xml:space="preserve"> coal use and carbon emissions</w:t>
            </w:r>
          </w:p>
          <w:tbl>
            <w:tblPr>
              <w:tblStyle w:val="OCETable"/>
              <w:tblW w:w="4940" w:type="pct"/>
              <w:tblInd w:w="108" w:type="dxa"/>
              <w:tblLayout w:type="fixed"/>
              <w:tblLook w:val="04A0" w:firstRow="1" w:lastRow="0" w:firstColumn="1" w:lastColumn="0" w:noHBand="0" w:noVBand="1"/>
              <w:tblCaption w:val="Table contains figure 3.8"/>
            </w:tblPr>
            <w:tblGrid>
              <w:gridCol w:w="8704"/>
            </w:tblGrid>
            <w:tr w:rsidR="006662A6" w14:paraId="16074C61" w14:textId="77777777" w:rsidTr="004F178E">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23568EE" w14:textId="77777777" w:rsidR="006662A6" w:rsidRDefault="006662A6" w:rsidP="0010256A">
                  <w:pPr>
                    <w:pStyle w:val="PlaceholderWide"/>
                  </w:pPr>
                  <w:r>
                    <w:rPr>
                      <w:noProof/>
                      <w:lang w:eastAsia="en-AU"/>
                    </w:rPr>
                    <w:drawing>
                      <wp:inline distT="0" distB="0" distL="0" distR="0" wp14:anchorId="7ABD6BED" wp14:editId="2850833E">
                        <wp:extent cx="3010206" cy="2239540"/>
                        <wp:effectExtent l="0" t="0" r="0" b="8890"/>
                        <wp:docPr id="47" name="Picture 47" descr="This figure shows the relative coal use and emissions from an 800 megawatt power station operating at a capacity factor of 80 per cent and generating 6 TWh a year using different technologies. It demonstrates that compared with a subcritical unit, supercritical plants emit 13 per cent less CO2, ultra-supercritical 19 per cent less and advanced ultra-supercritical 30 per cent less." title="Figure 3.8: Effect of different technologies on coal use and 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10206" cy="2239540"/>
                                </a:xfrm>
                                <a:prstGeom prst="rect">
                                  <a:avLst/>
                                </a:prstGeom>
                              </pic:spPr>
                            </pic:pic>
                          </a:graphicData>
                        </a:graphic>
                      </wp:inline>
                    </w:drawing>
                  </w:r>
                </w:p>
              </w:tc>
            </w:tr>
          </w:tbl>
          <w:p w14:paraId="3109D784" w14:textId="7AAB35BD" w:rsidR="006662A6" w:rsidRDefault="006662A6" w:rsidP="0010256A">
            <w:pPr>
              <w:pStyle w:val="Source"/>
              <w:spacing w:after="60"/>
              <w:jc w:val="left"/>
            </w:pPr>
            <w:r>
              <w:t xml:space="preserve">Notes: Based on an 800 MW power plant operating at a capacity factor of 80 per cent and generating 6 TWh a year. Emissions are relative to a subcritical plant. i.e. A supercritical plant generates 13 per cent less </w:t>
            </w:r>
            <w:r w:rsidRPr="00322899">
              <w:rPr>
                <w:lang w:val="en-AU"/>
              </w:rPr>
              <w:t>CO</w:t>
            </w:r>
            <w:r w:rsidRPr="00322899">
              <w:rPr>
                <w:vertAlign w:val="subscript"/>
                <w:lang w:val="en-AU"/>
              </w:rPr>
              <w:t>2</w:t>
            </w:r>
            <w:r>
              <w:t xml:space="preserve">, an ultra-supercritical plant generates 19 per cent less </w:t>
            </w:r>
            <w:r w:rsidRPr="00322899">
              <w:rPr>
                <w:lang w:val="en-AU"/>
              </w:rPr>
              <w:t>CO</w:t>
            </w:r>
            <w:r w:rsidRPr="00322899">
              <w:rPr>
                <w:vertAlign w:val="subscript"/>
                <w:lang w:val="en-AU"/>
              </w:rPr>
              <w:t>2</w:t>
            </w:r>
            <w:r w:rsidRPr="00322899">
              <w:rPr>
                <w:lang w:val="en-AU"/>
              </w:rPr>
              <w:t xml:space="preserve"> </w:t>
            </w:r>
            <w:r>
              <w:rPr>
                <w:lang w:val="en-AU"/>
              </w:rPr>
              <w:t>etc.</w:t>
            </w:r>
            <w:r>
              <w:br/>
              <w:t>Source: IEA Clean Coal Centre (2014)</w:t>
            </w:r>
          </w:p>
          <w:p w14:paraId="619DB838" w14:textId="77777777" w:rsidR="006662A6" w:rsidRPr="00C820A5" w:rsidRDefault="006662A6" w:rsidP="0010256A">
            <w:pPr>
              <w:pStyle w:val="Source"/>
              <w:pBdr>
                <w:bottom w:val="none" w:sz="0" w:space="0" w:color="auto"/>
              </w:pBdr>
              <w:spacing w:before="0" w:after="0"/>
            </w:pPr>
          </w:p>
        </w:tc>
      </w:tr>
    </w:tbl>
    <w:p w14:paraId="14C05C87" w14:textId="19B61C5E" w:rsidR="006662A6" w:rsidRDefault="006662A6" w:rsidP="00B81D5B">
      <w:pPr>
        <w:pStyle w:val="Heading2"/>
      </w:pPr>
      <w:bookmarkStart w:id="237" w:name="_Toc17210805"/>
      <w:r>
        <w:t>Indian investment in Australia</w:t>
      </w:r>
      <w:bookmarkEnd w:id="234"/>
      <w:bookmarkEnd w:id="235"/>
      <w:bookmarkEnd w:id="236"/>
      <w:bookmarkEnd w:id="237"/>
    </w:p>
    <w:p w14:paraId="46C7057A" w14:textId="08B6C43A" w:rsidR="006662A6" w:rsidRPr="002E0937" w:rsidRDefault="006662A6" w:rsidP="00672E87">
      <w:pPr>
        <w:pStyle w:val="BodyText"/>
      </w:pPr>
      <w:r>
        <w:t>The limited investment by Indian companies in Australian thermal coal mines to date — beyond Adani’s Carmichael project — has been another factor that has limited Australian thermal coal exports to India. In contrast, India has long invested in coal mines in Indonesia, which have provided power generators with a reliable source of coal. Ownership of assets reduces exposure to price and supply risks compared with buying on the op</w:t>
      </w:r>
      <w:r w:rsidRPr="00856EC9">
        <w:t>e</w:t>
      </w:r>
      <w:r>
        <w:t xml:space="preserve">n market. These are crucial considerations for electricity companies, which require reliable sources of fuel. </w:t>
      </w:r>
    </w:p>
    <w:p w14:paraId="6D807C99" w14:textId="5C2493A1" w:rsidR="006662A6" w:rsidRDefault="006662A6" w:rsidP="002344A7">
      <w:pPr>
        <w:pStyle w:val="BodyText"/>
      </w:pPr>
      <w:r>
        <w:t>A key supporting factor that could drive up Australian exports of thermal coal to India is the development of Indian owned mines. Coal India has plans to invest in overseas metallurgical coal and high-grade, low-ash thermal coal projects for import into India, either through equity participation in working mines — on a production-sharing basis — or through the opening of new mines. In particular, Coal India has recently identified coal assets in Australia, for which it is interested in acquiring equity.</w:t>
      </w:r>
      <w:r>
        <w:rPr>
          <w:rStyle w:val="EndnoteReference"/>
        </w:rPr>
        <w:endnoteReference w:id="139"/>
      </w:r>
    </w:p>
    <w:p w14:paraId="18B875D8" w14:textId="578CB059" w:rsidR="00F431F4" w:rsidRDefault="00207972" w:rsidP="002344A7">
      <w:pPr>
        <w:pStyle w:val="BodyText"/>
      </w:pPr>
      <w:r>
        <w:t>There has been</w:t>
      </w:r>
      <w:r w:rsidR="00655F7A">
        <w:t xml:space="preserve"> substantial</w:t>
      </w:r>
      <w:r>
        <w:t xml:space="preserve"> interest from</w:t>
      </w:r>
      <w:r w:rsidR="002344A7">
        <w:t xml:space="preserve"> Indian companies in developing thermal coal projects in the Galilee Basin</w:t>
      </w:r>
      <w:r w:rsidR="005905D7">
        <w:t xml:space="preserve"> in Queensland</w:t>
      </w:r>
      <w:r w:rsidR="002344A7">
        <w:t>. There are three Indian</w:t>
      </w:r>
      <w:r w:rsidR="005905D7">
        <w:t>-</w:t>
      </w:r>
      <w:r w:rsidR="002344A7">
        <w:t>owned coal proj</w:t>
      </w:r>
      <w:r w:rsidR="003C3455">
        <w:t xml:space="preserve">ects in the </w:t>
      </w:r>
      <w:r w:rsidR="00560249">
        <w:t>investment pipeline</w:t>
      </w:r>
      <w:r w:rsidR="00437C81">
        <w:t>: Adani’s Carmichael mine, and GVK Hancock’s Alpha Coal and Kevin’s Corner mines</w:t>
      </w:r>
      <w:r w:rsidR="00560249">
        <w:t xml:space="preserve"> (</w:t>
      </w:r>
      <w:r w:rsidR="00E33158">
        <w:t>Table 3.5</w:t>
      </w:r>
      <w:r w:rsidR="003C3455">
        <w:t xml:space="preserve">). </w:t>
      </w:r>
      <w:r w:rsidR="00776CA9">
        <w:t>If these projects eventuate, most of the coal produced is expected to be destined for export markets, and could drive substantial growth in Australian thermal coal exports to India.</w:t>
      </w:r>
      <w:r w:rsidR="00450E69">
        <w:t xml:space="preserve"> </w:t>
      </w:r>
    </w:p>
    <w:p w14:paraId="4D94CC0E" w14:textId="42B50A17" w:rsidR="00776CA9" w:rsidRDefault="00776CA9" w:rsidP="00776CA9">
      <w:pPr>
        <w:pStyle w:val="Caption"/>
      </w:pPr>
      <w:r w:rsidRPr="000618FB">
        <w:t xml:space="preserve">Table </w:t>
      </w:r>
      <w:r w:rsidR="00005AE8">
        <w:rPr>
          <w:noProof/>
        </w:rPr>
        <w:t>3</w:t>
      </w:r>
      <w:r w:rsidRPr="000618FB">
        <w:t>.</w:t>
      </w:r>
      <w:r w:rsidR="00005AE8">
        <w:rPr>
          <w:noProof/>
        </w:rPr>
        <w:t>5</w:t>
      </w:r>
      <w:r w:rsidRPr="000618FB">
        <w:t xml:space="preserve">: </w:t>
      </w:r>
      <w:r>
        <w:t xml:space="preserve">Investment </w:t>
      </w:r>
      <w:r w:rsidR="001970EC">
        <w:t>in Australian thermal coal projects</w:t>
      </w:r>
      <w:r>
        <w:t xml:space="preserve"> by Indian companies</w:t>
      </w:r>
    </w:p>
    <w:tbl>
      <w:tblPr>
        <w:tblStyle w:val="OCETable"/>
        <w:tblW w:w="4994" w:type="pct"/>
        <w:tblInd w:w="57" w:type="dxa"/>
        <w:tblLayout w:type="fixed"/>
        <w:tblLook w:val="04A0" w:firstRow="1" w:lastRow="0" w:firstColumn="1" w:lastColumn="0" w:noHBand="0" w:noVBand="1"/>
        <w:tblCaption w:val="Table 3.5: Investment in Australian thermal coal projects by Indian companies"/>
        <w:tblDescription w:val="This table shows investment in Australian thermal coal projects by Indian companies."/>
      </w:tblPr>
      <w:tblGrid>
        <w:gridCol w:w="1218"/>
        <w:gridCol w:w="1134"/>
        <w:gridCol w:w="992"/>
        <w:gridCol w:w="1134"/>
        <w:gridCol w:w="1276"/>
        <w:gridCol w:w="3261"/>
      </w:tblGrid>
      <w:tr w:rsidR="00776CA9" w14:paraId="2D9776B5" w14:textId="77777777" w:rsidTr="005E1CD1">
        <w:trPr>
          <w:cnfStyle w:val="100000000000" w:firstRow="1" w:lastRow="0" w:firstColumn="0" w:lastColumn="0" w:oddVBand="0" w:evenVBand="0" w:oddHBand="0" w:evenHBand="0" w:firstRowFirstColumn="0" w:firstRowLastColumn="0" w:lastRowFirstColumn="0" w:lastRowLastColumn="0"/>
          <w:trHeight w:val="242"/>
          <w:tblHeader/>
        </w:trPr>
        <w:tc>
          <w:tcPr>
            <w:tcW w:w="1218" w:type="dxa"/>
          </w:tcPr>
          <w:p w14:paraId="606522EE" w14:textId="77777777" w:rsidR="00776CA9" w:rsidRDefault="00776CA9" w:rsidP="00776CA9">
            <w:pPr>
              <w:pStyle w:val="Tableheader"/>
              <w:rPr>
                <w:lang w:eastAsia="en-AU"/>
              </w:rPr>
            </w:pPr>
            <w:r>
              <w:rPr>
                <w:lang w:eastAsia="en-AU"/>
              </w:rPr>
              <w:t>Project</w:t>
            </w:r>
          </w:p>
        </w:tc>
        <w:tc>
          <w:tcPr>
            <w:tcW w:w="1134" w:type="dxa"/>
          </w:tcPr>
          <w:p w14:paraId="22F9E93E" w14:textId="77777777" w:rsidR="00776CA9" w:rsidRDefault="00776CA9" w:rsidP="00776CA9">
            <w:pPr>
              <w:pStyle w:val="Tableheader"/>
              <w:rPr>
                <w:lang w:eastAsia="en-AU"/>
              </w:rPr>
            </w:pPr>
            <w:r>
              <w:rPr>
                <w:lang w:eastAsia="en-AU"/>
              </w:rPr>
              <w:t>Company</w:t>
            </w:r>
          </w:p>
        </w:tc>
        <w:tc>
          <w:tcPr>
            <w:tcW w:w="992" w:type="dxa"/>
          </w:tcPr>
          <w:p w14:paraId="6875AEC3" w14:textId="77777777" w:rsidR="00776CA9" w:rsidRDefault="00776CA9" w:rsidP="00776CA9">
            <w:pPr>
              <w:pStyle w:val="Tableheader"/>
              <w:rPr>
                <w:lang w:eastAsia="en-AU"/>
              </w:rPr>
            </w:pPr>
            <w:r>
              <w:rPr>
                <w:lang w:eastAsia="en-AU"/>
              </w:rPr>
              <w:t>Capacity</w:t>
            </w:r>
          </w:p>
        </w:tc>
        <w:tc>
          <w:tcPr>
            <w:tcW w:w="1134" w:type="dxa"/>
          </w:tcPr>
          <w:p w14:paraId="05BE545F" w14:textId="77777777" w:rsidR="00776CA9" w:rsidRDefault="00776CA9" w:rsidP="00776CA9">
            <w:pPr>
              <w:pStyle w:val="Tableheader"/>
              <w:rPr>
                <w:lang w:eastAsia="en-AU"/>
              </w:rPr>
            </w:pPr>
            <w:r>
              <w:rPr>
                <w:lang w:eastAsia="en-AU"/>
              </w:rPr>
              <w:t>Status</w:t>
            </w:r>
          </w:p>
        </w:tc>
        <w:tc>
          <w:tcPr>
            <w:tcW w:w="1276" w:type="dxa"/>
          </w:tcPr>
          <w:p w14:paraId="71B778B5" w14:textId="77777777" w:rsidR="00776CA9" w:rsidRDefault="00776CA9" w:rsidP="00776CA9">
            <w:pPr>
              <w:pStyle w:val="Tableheader"/>
              <w:rPr>
                <w:lang w:eastAsia="en-AU"/>
              </w:rPr>
            </w:pPr>
            <w:r>
              <w:rPr>
                <w:lang w:eastAsia="en-AU"/>
              </w:rPr>
              <w:t>Investment</w:t>
            </w:r>
          </w:p>
        </w:tc>
        <w:tc>
          <w:tcPr>
            <w:tcW w:w="3261" w:type="dxa"/>
          </w:tcPr>
          <w:p w14:paraId="269E9A70" w14:textId="77777777" w:rsidR="00776CA9" w:rsidRDefault="00776CA9" w:rsidP="00776CA9">
            <w:pPr>
              <w:pStyle w:val="Tableheader"/>
              <w:rPr>
                <w:lang w:eastAsia="en-AU"/>
              </w:rPr>
            </w:pPr>
            <w:r>
              <w:rPr>
                <w:lang w:eastAsia="en-AU"/>
              </w:rPr>
              <w:t xml:space="preserve">Approvals </w:t>
            </w:r>
          </w:p>
        </w:tc>
      </w:tr>
      <w:tr w:rsidR="00776CA9" w14:paraId="0E562E17" w14:textId="77777777" w:rsidTr="00776CA9">
        <w:trPr>
          <w:cnfStyle w:val="000000100000" w:firstRow="0" w:lastRow="0" w:firstColumn="0" w:lastColumn="0" w:oddVBand="0" w:evenVBand="0" w:oddHBand="1" w:evenHBand="0" w:firstRowFirstColumn="0" w:firstRowLastColumn="0" w:lastRowFirstColumn="0" w:lastRowLastColumn="0"/>
          <w:trHeight w:val="178"/>
        </w:trPr>
        <w:tc>
          <w:tcPr>
            <w:tcW w:w="1218" w:type="dxa"/>
          </w:tcPr>
          <w:p w14:paraId="26B1C430" w14:textId="77777777" w:rsidR="00776CA9" w:rsidRDefault="00776CA9" w:rsidP="00776CA9">
            <w:pPr>
              <w:pStyle w:val="Tabletext"/>
              <w:rPr>
                <w:lang w:eastAsia="en-AU"/>
              </w:rPr>
            </w:pPr>
            <w:r>
              <w:rPr>
                <w:lang w:eastAsia="en-AU"/>
              </w:rPr>
              <w:t>Carmichael</w:t>
            </w:r>
          </w:p>
        </w:tc>
        <w:tc>
          <w:tcPr>
            <w:tcW w:w="1134" w:type="dxa"/>
          </w:tcPr>
          <w:p w14:paraId="0CC03564" w14:textId="77777777" w:rsidR="00776CA9" w:rsidRDefault="00776CA9" w:rsidP="00776CA9">
            <w:pPr>
              <w:pStyle w:val="Tabletext"/>
              <w:rPr>
                <w:lang w:eastAsia="en-AU"/>
              </w:rPr>
            </w:pPr>
            <w:r>
              <w:rPr>
                <w:lang w:eastAsia="en-AU"/>
              </w:rPr>
              <w:t>Adani</w:t>
            </w:r>
          </w:p>
        </w:tc>
        <w:tc>
          <w:tcPr>
            <w:tcW w:w="992" w:type="dxa"/>
          </w:tcPr>
          <w:p w14:paraId="44CCE989" w14:textId="4B563440" w:rsidR="00776CA9" w:rsidRDefault="0093169A" w:rsidP="00776CA9">
            <w:pPr>
              <w:pStyle w:val="Tabletext"/>
              <w:rPr>
                <w:lang w:eastAsia="en-AU"/>
              </w:rPr>
            </w:pPr>
            <w:r>
              <w:rPr>
                <w:lang w:eastAsia="en-AU"/>
              </w:rPr>
              <w:t>10–27</w:t>
            </w:r>
            <w:r w:rsidR="00776CA9">
              <w:rPr>
                <w:lang w:eastAsia="en-AU"/>
              </w:rPr>
              <w:t xml:space="preserve"> mtpa </w:t>
            </w:r>
            <w:r>
              <w:rPr>
                <w:lang w:eastAsia="en-AU"/>
              </w:rPr>
              <w:t>(Stage 1)</w:t>
            </w:r>
          </w:p>
        </w:tc>
        <w:tc>
          <w:tcPr>
            <w:tcW w:w="1134" w:type="dxa"/>
          </w:tcPr>
          <w:p w14:paraId="04280D0E" w14:textId="77777777" w:rsidR="00776CA9" w:rsidRDefault="00776CA9" w:rsidP="00776CA9">
            <w:pPr>
              <w:pStyle w:val="Tabletext"/>
              <w:rPr>
                <w:lang w:eastAsia="en-AU"/>
              </w:rPr>
            </w:pPr>
            <w:r>
              <w:rPr>
                <w:lang w:eastAsia="en-AU"/>
              </w:rPr>
              <w:t>Committed</w:t>
            </w:r>
          </w:p>
        </w:tc>
        <w:tc>
          <w:tcPr>
            <w:tcW w:w="1276" w:type="dxa"/>
          </w:tcPr>
          <w:p w14:paraId="0F89953A" w14:textId="77777777" w:rsidR="00776CA9" w:rsidRDefault="00776CA9" w:rsidP="00776CA9">
            <w:pPr>
              <w:pStyle w:val="Tabletext"/>
              <w:rPr>
                <w:lang w:eastAsia="en-AU"/>
              </w:rPr>
            </w:pPr>
            <w:r>
              <w:rPr>
                <w:lang w:eastAsia="en-AU"/>
              </w:rPr>
              <w:t>$2 billion</w:t>
            </w:r>
          </w:p>
        </w:tc>
        <w:tc>
          <w:tcPr>
            <w:tcW w:w="3261" w:type="dxa"/>
          </w:tcPr>
          <w:p w14:paraId="2C2E7BF5" w14:textId="77777777" w:rsidR="00776CA9" w:rsidRDefault="00776CA9" w:rsidP="00776CA9">
            <w:pPr>
              <w:pStyle w:val="Tabletext"/>
              <w:rPr>
                <w:lang w:eastAsia="en-AU"/>
              </w:rPr>
            </w:pPr>
            <w:r>
              <w:rPr>
                <w:lang w:eastAsia="en-AU"/>
              </w:rPr>
              <w:t xml:space="preserve">Mining Lease granted, EIS approved with conditions. Royalty agreement still to be finalised. </w:t>
            </w:r>
          </w:p>
        </w:tc>
      </w:tr>
      <w:tr w:rsidR="00776CA9" w14:paraId="2B33FB5A" w14:textId="77777777" w:rsidTr="00776CA9">
        <w:trPr>
          <w:cnfStyle w:val="000000010000" w:firstRow="0" w:lastRow="0" w:firstColumn="0" w:lastColumn="0" w:oddVBand="0" w:evenVBand="0" w:oddHBand="0" w:evenHBand="1" w:firstRowFirstColumn="0" w:firstRowLastColumn="0" w:lastRowFirstColumn="0" w:lastRowLastColumn="0"/>
          <w:trHeight w:val="169"/>
        </w:trPr>
        <w:tc>
          <w:tcPr>
            <w:tcW w:w="1218" w:type="dxa"/>
          </w:tcPr>
          <w:p w14:paraId="1B32D1CB" w14:textId="77777777" w:rsidR="00776CA9" w:rsidRDefault="00776CA9" w:rsidP="00776CA9">
            <w:pPr>
              <w:pStyle w:val="Tabletext"/>
              <w:rPr>
                <w:lang w:eastAsia="en-AU"/>
              </w:rPr>
            </w:pPr>
            <w:r>
              <w:rPr>
                <w:lang w:eastAsia="en-AU"/>
              </w:rPr>
              <w:t>Alpha Coal</w:t>
            </w:r>
          </w:p>
        </w:tc>
        <w:tc>
          <w:tcPr>
            <w:tcW w:w="1134" w:type="dxa"/>
          </w:tcPr>
          <w:p w14:paraId="07A71D62" w14:textId="77777777" w:rsidR="00776CA9" w:rsidRDefault="00776CA9" w:rsidP="00776CA9">
            <w:pPr>
              <w:pStyle w:val="Tabletext"/>
              <w:rPr>
                <w:lang w:eastAsia="en-AU"/>
              </w:rPr>
            </w:pPr>
            <w:r>
              <w:rPr>
                <w:lang w:eastAsia="en-AU"/>
              </w:rPr>
              <w:t>GVK Hancock</w:t>
            </w:r>
          </w:p>
        </w:tc>
        <w:tc>
          <w:tcPr>
            <w:tcW w:w="992" w:type="dxa"/>
          </w:tcPr>
          <w:p w14:paraId="311EFAC4" w14:textId="77777777" w:rsidR="00776CA9" w:rsidRDefault="00776CA9" w:rsidP="00776CA9">
            <w:pPr>
              <w:pStyle w:val="Tabletext"/>
              <w:rPr>
                <w:lang w:eastAsia="en-AU"/>
              </w:rPr>
            </w:pPr>
            <w:r>
              <w:rPr>
                <w:lang w:eastAsia="en-AU"/>
              </w:rPr>
              <w:t>30 mtpa</w:t>
            </w:r>
          </w:p>
        </w:tc>
        <w:tc>
          <w:tcPr>
            <w:tcW w:w="1134" w:type="dxa"/>
          </w:tcPr>
          <w:p w14:paraId="0C86F398" w14:textId="77777777" w:rsidR="00776CA9" w:rsidRDefault="00776CA9" w:rsidP="00776CA9">
            <w:pPr>
              <w:pStyle w:val="Tabletext"/>
              <w:rPr>
                <w:lang w:eastAsia="en-AU"/>
              </w:rPr>
            </w:pPr>
            <w:r>
              <w:rPr>
                <w:lang w:eastAsia="en-AU"/>
              </w:rPr>
              <w:t>Feasibility</w:t>
            </w:r>
          </w:p>
        </w:tc>
        <w:tc>
          <w:tcPr>
            <w:tcW w:w="1276" w:type="dxa"/>
          </w:tcPr>
          <w:p w14:paraId="303BBF26" w14:textId="77777777" w:rsidR="00776CA9" w:rsidRDefault="00776CA9" w:rsidP="00776CA9">
            <w:pPr>
              <w:pStyle w:val="Tabletext"/>
              <w:rPr>
                <w:lang w:eastAsia="en-AU"/>
              </w:rPr>
            </w:pPr>
            <w:r>
              <w:rPr>
                <w:lang w:eastAsia="en-AU"/>
              </w:rPr>
              <w:t>$10.8 billion (mine and rail)</w:t>
            </w:r>
          </w:p>
        </w:tc>
        <w:tc>
          <w:tcPr>
            <w:tcW w:w="3261" w:type="dxa"/>
          </w:tcPr>
          <w:p w14:paraId="7F20DFBB" w14:textId="77777777" w:rsidR="00776CA9" w:rsidRDefault="00776CA9" w:rsidP="00776CA9">
            <w:pPr>
              <w:pStyle w:val="Tabletext"/>
              <w:rPr>
                <w:lang w:eastAsia="en-AU"/>
              </w:rPr>
            </w:pPr>
            <w:r w:rsidRPr="007741BD">
              <w:rPr>
                <w:lang w:eastAsia="en-AU"/>
              </w:rPr>
              <w:t>Mining lease application still under assessment. EIS approved with conditions.</w:t>
            </w:r>
          </w:p>
        </w:tc>
      </w:tr>
      <w:tr w:rsidR="00776CA9" w14:paraId="28573095" w14:textId="77777777" w:rsidTr="00776CA9">
        <w:trPr>
          <w:cnfStyle w:val="000000100000" w:firstRow="0" w:lastRow="0" w:firstColumn="0" w:lastColumn="0" w:oddVBand="0" w:evenVBand="0" w:oddHBand="1" w:evenHBand="0" w:firstRowFirstColumn="0" w:firstRowLastColumn="0" w:lastRowFirstColumn="0" w:lastRowLastColumn="0"/>
          <w:trHeight w:val="178"/>
        </w:trPr>
        <w:tc>
          <w:tcPr>
            <w:tcW w:w="1218" w:type="dxa"/>
          </w:tcPr>
          <w:p w14:paraId="043E6D43" w14:textId="77777777" w:rsidR="00776CA9" w:rsidRDefault="00776CA9" w:rsidP="00776CA9">
            <w:pPr>
              <w:pStyle w:val="Tabletext"/>
              <w:rPr>
                <w:lang w:eastAsia="en-AU"/>
              </w:rPr>
            </w:pPr>
            <w:r>
              <w:rPr>
                <w:lang w:eastAsia="en-AU"/>
              </w:rPr>
              <w:t>Kevin’s Corner</w:t>
            </w:r>
          </w:p>
        </w:tc>
        <w:tc>
          <w:tcPr>
            <w:tcW w:w="1134" w:type="dxa"/>
          </w:tcPr>
          <w:p w14:paraId="69F25457" w14:textId="77777777" w:rsidR="00776CA9" w:rsidRDefault="00776CA9" w:rsidP="00776CA9">
            <w:pPr>
              <w:pStyle w:val="Tabletext"/>
              <w:rPr>
                <w:lang w:eastAsia="en-AU"/>
              </w:rPr>
            </w:pPr>
            <w:r>
              <w:rPr>
                <w:lang w:eastAsia="en-AU"/>
              </w:rPr>
              <w:t>GVK Hancock</w:t>
            </w:r>
          </w:p>
        </w:tc>
        <w:tc>
          <w:tcPr>
            <w:tcW w:w="992" w:type="dxa"/>
          </w:tcPr>
          <w:p w14:paraId="109A85DE" w14:textId="77777777" w:rsidR="00776CA9" w:rsidRDefault="00776CA9" w:rsidP="00776CA9">
            <w:pPr>
              <w:pStyle w:val="Tabletext"/>
              <w:rPr>
                <w:lang w:eastAsia="en-AU"/>
              </w:rPr>
            </w:pPr>
            <w:r>
              <w:rPr>
                <w:lang w:eastAsia="en-AU"/>
              </w:rPr>
              <w:t>30 mtpa</w:t>
            </w:r>
          </w:p>
        </w:tc>
        <w:tc>
          <w:tcPr>
            <w:tcW w:w="1134" w:type="dxa"/>
          </w:tcPr>
          <w:p w14:paraId="130E5D95" w14:textId="77777777" w:rsidR="00776CA9" w:rsidRDefault="00776CA9" w:rsidP="00776CA9">
            <w:pPr>
              <w:pStyle w:val="Tabletext"/>
              <w:rPr>
                <w:lang w:eastAsia="en-AU"/>
              </w:rPr>
            </w:pPr>
            <w:r>
              <w:rPr>
                <w:lang w:eastAsia="en-AU"/>
              </w:rPr>
              <w:t>Feasibility</w:t>
            </w:r>
          </w:p>
        </w:tc>
        <w:tc>
          <w:tcPr>
            <w:tcW w:w="1276" w:type="dxa"/>
          </w:tcPr>
          <w:p w14:paraId="2928DEFE" w14:textId="77777777" w:rsidR="00776CA9" w:rsidRDefault="00776CA9" w:rsidP="00776CA9">
            <w:pPr>
              <w:pStyle w:val="Tabletext"/>
              <w:rPr>
                <w:lang w:eastAsia="en-AU"/>
              </w:rPr>
            </w:pPr>
            <w:r>
              <w:rPr>
                <w:lang w:eastAsia="en-AU"/>
              </w:rPr>
              <w:t>$6 billion</w:t>
            </w:r>
          </w:p>
        </w:tc>
        <w:tc>
          <w:tcPr>
            <w:tcW w:w="3261" w:type="dxa"/>
          </w:tcPr>
          <w:p w14:paraId="1FFF8327" w14:textId="77777777" w:rsidR="00776CA9" w:rsidRDefault="00776CA9" w:rsidP="00776CA9">
            <w:pPr>
              <w:pStyle w:val="Tabletext"/>
              <w:rPr>
                <w:lang w:eastAsia="en-AU"/>
              </w:rPr>
            </w:pPr>
            <w:r w:rsidRPr="007741BD">
              <w:rPr>
                <w:lang w:eastAsia="en-AU"/>
              </w:rPr>
              <w:t>Mining Lease appl</w:t>
            </w:r>
            <w:r>
              <w:rPr>
                <w:lang w:eastAsia="en-AU"/>
              </w:rPr>
              <w:t xml:space="preserve">ication still under assessment. </w:t>
            </w:r>
            <w:r w:rsidRPr="007741BD">
              <w:rPr>
                <w:lang w:eastAsia="en-AU"/>
              </w:rPr>
              <w:t>EIS approved with conditions.</w:t>
            </w:r>
          </w:p>
        </w:tc>
      </w:tr>
    </w:tbl>
    <w:p w14:paraId="33EF8D8F" w14:textId="7DEC5DF7" w:rsidR="00776CA9" w:rsidRDefault="00776CA9" w:rsidP="00776CA9">
      <w:pPr>
        <w:pStyle w:val="Source"/>
        <w:jc w:val="left"/>
        <w:rPr>
          <w:lang w:eastAsia="en-AU"/>
        </w:rPr>
      </w:pPr>
      <w:r>
        <w:rPr>
          <w:lang w:eastAsia="en-AU"/>
        </w:rPr>
        <w:t xml:space="preserve">Notes: All three projects have received the Commonwealth Minister for the Environment’s approval, subject to conditions; </w:t>
      </w:r>
      <w:r w:rsidRPr="00F431F4">
        <w:rPr>
          <w:b/>
          <w:lang w:eastAsia="en-AU"/>
        </w:rPr>
        <w:t>mtpa</w:t>
      </w:r>
      <w:r>
        <w:rPr>
          <w:b/>
          <w:lang w:eastAsia="en-AU"/>
        </w:rPr>
        <w:t xml:space="preserve"> </w:t>
      </w:r>
      <w:r w:rsidR="00344FAB">
        <w:rPr>
          <w:lang w:eastAsia="en-AU"/>
        </w:rPr>
        <w:t xml:space="preserve">million tonnes per annum; </w:t>
      </w:r>
      <w:r w:rsidRPr="00353F6B">
        <w:rPr>
          <w:b/>
          <w:lang w:eastAsia="en-AU"/>
        </w:rPr>
        <w:t>EIS</w:t>
      </w:r>
      <w:r>
        <w:rPr>
          <w:lang w:eastAsia="en-AU"/>
        </w:rPr>
        <w:t xml:space="preserve"> Environmental Impact Statement.</w:t>
      </w:r>
      <w:r>
        <w:rPr>
          <w:lang w:eastAsia="en-AU"/>
        </w:rPr>
        <w:br/>
        <w:t>Source: AME Group (2019), Queensland Department of State Development, Manufacturing, Infrastructure and Planning (2019)</w:t>
      </w:r>
    </w:p>
    <w:p w14:paraId="3E115590" w14:textId="4F5BBB9F" w:rsidR="00655F7A" w:rsidRDefault="002344A7" w:rsidP="002344A7">
      <w:pPr>
        <w:pStyle w:val="BodyText"/>
      </w:pPr>
      <w:r>
        <w:t xml:space="preserve">Adani’s Carmichael </w:t>
      </w:r>
      <w:r w:rsidR="00F431F4" w:rsidRPr="00BB45B8">
        <w:t>project</w:t>
      </w:r>
      <w:r>
        <w:t xml:space="preserve"> </w:t>
      </w:r>
      <w:r w:rsidR="003C3455">
        <w:t xml:space="preserve">is </w:t>
      </w:r>
      <w:r>
        <w:t>the most advanced</w:t>
      </w:r>
      <w:r w:rsidR="00DA54E4">
        <w:t xml:space="preserve"> in the project pipeline</w:t>
      </w:r>
      <w:r w:rsidR="00450E69">
        <w:t xml:space="preserve">, and </w:t>
      </w:r>
      <w:r w:rsidR="005F5DCD">
        <w:t>could triple Australia’s thermal coal imports to India — although from a low base</w:t>
      </w:r>
      <w:r w:rsidR="0093169A">
        <w:t xml:space="preserve"> of 5 million tonnes currently</w:t>
      </w:r>
      <w:r w:rsidR="005F5DCD">
        <w:t xml:space="preserve">. </w:t>
      </w:r>
      <w:r w:rsidR="00353F6B">
        <w:t>The Carmichael</w:t>
      </w:r>
      <w:r w:rsidR="00F431F4">
        <w:t xml:space="preserve"> project was scaled down from</w:t>
      </w:r>
      <w:r w:rsidR="00353F6B">
        <w:t xml:space="preserve"> original plans for a </w:t>
      </w:r>
      <w:r w:rsidR="00F431F4">
        <w:t>60 million tonne mine and</w:t>
      </w:r>
      <w:r w:rsidR="00BB45B8">
        <w:t xml:space="preserve"> </w:t>
      </w:r>
      <w:r w:rsidR="007B4B9D">
        <w:t>a near-</w:t>
      </w:r>
      <w:r w:rsidR="00687DF3">
        <w:t>400 kilometre</w:t>
      </w:r>
      <w:r w:rsidR="00BB45B8">
        <w:t xml:space="preserve"> rail project</w:t>
      </w:r>
      <w:r w:rsidR="00F431F4">
        <w:t xml:space="preserve"> after it </w:t>
      </w:r>
      <w:r w:rsidR="00007520">
        <w:t>was unable to source financing. The project</w:t>
      </w:r>
      <w:r w:rsidR="007B4B9D">
        <w:t xml:space="preserve"> now</w:t>
      </w:r>
      <w:r w:rsidR="00007520">
        <w:t xml:space="preserve"> has a</w:t>
      </w:r>
      <w:r w:rsidR="00BB45B8">
        <w:t xml:space="preserve"> smaller </w:t>
      </w:r>
      <w:r w:rsidR="00007520">
        <w:t xml:space="preserve">proposed </w:t>
      </w:r>
      <w:r w:rsidR="00BB45B8">
        <w:t xml:space="preserve">capacity </w:t>
      </w:r>
      <w:r w:rsidR="0093169A">
        <w:t>of 10 to 27</w:t>
      </w:r>
      <w:r w:rsidR="00BB45B8">
        <w:t xml:space="preserve"> million tonnes, and </w:t>
      </w:r>
      <w:r w:rsidR="00687DF3">
        <w:t xml:space="preserve">a 200 </w:t>
      </w:r>
      <w:r w:rsidR="00400E18">
        <w:t>kilometre</w:t>
      </w:r>
      <w:r w:rsidR="00687DF3">
        <w:t xml:space="preserve"> rail line to</w:t>
      </w:r>
      <w:r w:rsidR="00BB45B8">
        <w:t xml:space="preserve"> </w:t>
      </w:r>
      <w:r w:rsidR="00687DF3">
        <w:t>Aurizon</w:t>
      </w:r>
      <w:r w:rsidR="00400E18">
        <w:t>’s Newlands</w:t>
      </w:r>
      <w:r w:rsidR="00BB45B8">
        <w:t xml:space="preserve"> rail infrastructure</w:t>
      </w:r>
      <w:r w:rsidR="00400E18">
        <w:t>, for which it still needs to negotiate access</w:t>
      </w:r>
      <w:r w:rsidR="00BB45B8">
        <w:t>.</w:t>
      </w:r>
      <w:r w:rsidR="00DA54E4">
        <w:rPr>
          <w:lang w:eastAsia="en-AU"/>
        </w:rPr>
        <w:t xml:space="preserve"> The project is intended to be vertically integrated with Adani’s power operations in India.</w:t>
      </w:r>
    </w:p>
    <w:p w14:paraId="1198DFD1" w14:textId="58066FAE" w:rsidR="00BB45B8" w:rsidRDefault="00DA54E4" w:rsidP="002344A7">
      <w:pPr>
        <w:pStyle w:val="BodyText"/>
      </w:pPr>
      <w:r>
        <w:t xml:space="preserve">The other two projects are owned by </w:t>
      </w:r>
      <w:r w:rsidR="00BB45B8">
        <w:t>GVK Hancock</w:t>
      </w:r>
      <w:r>
        <w:t>,</w:t>
      </w:r>
      <w:r w:rsidR="00BB45B8">
        <w:t xml:space="preserve"> a partnership between an Indian conglomerate, GVK Power and Infrastructure, and an Australian mining </w:t>
      </w:r>
      <w:r w:rsidR="005905D7">
        <w:t>company, Hancock Prospecting. GVK Hancock</w:t>
      </w:r>
      <w:r w:rsidR="00BB45B8">
        <w:t xml:space="preserve"> was the first company to propose a Galilee Basin mine in 2008. The Alpha Coal project is a proposed 30 million tonne</w:t>
      </w:r>
      <w:r w:rsidR="00007520">
        <w:t xml:space="preserve"> a year open-cut thermal coal</w:t>
      </w:r>
      <w:r w:rsidR="00BB45B8">
        <w:t xml:space="preserve"> mine</w:t>
      </w:r>
      <w:r w:rsidR="00007520">
        <w:t xml:space="preserve"> with the potential to expand underground operations in the future. The project also includes proposed</w:t>
      </w:r>
      <w:r w:rsidR="00BB45B8">
        <w:t xml:space="preserve"> rail infrastructure to the Abbot Point port</w:t>
      </w:r>
      <w:r w:rsidR="00344FAB">
        <w:t>, owned by Adani</w:t>
      </w:r>
      <w:r w:rsidR="00007520">
        <w:t xml:space="preserve">. The rail </w:t>
      </w:r>
      <w:r w:rsidR="00BB45B8">
        <w:t>would also be used by GVK Hancock’s other adjacent project, Kevin’s Corner, a proposed 30 million tonne</w:t>
      </w:r>
      <w:r w:rsidR="00007520">
        <w:t xml:space="preserve"> a year open-cut and underground thermal coal</w:t>
      </w:r>
      <w:r w:rsidR="00BB45B8">
        <w:t xml:space="preserve"> mine.  </w:t>
      </w:r>
    </w:p>
    <w:p w14:paraId="30200988" w14:textId="2DF5C519" w:rsidR="003830DA" w:rsidRDefault="003C3455" w:rsidP="002344A7">
      <w:pPr>
        <w:pStyle w:val="BodyText"/>
      </w:pPr>
      <w:r>
        <w:t xml:space="preserve">As with all mining projects, there </w:t>
      </w:r>
      <w:r w:rsidR="00B81D5B">
        <w:t>remain</w:t>
      </w:r>
      <w:r>
        <w:t xml:space="preserve"> a range of regulatory, financial</w:t>
      </w:r>
      <w:r w:rsidR="00776CA9">
        <w:t xml:space="preserve">, </w:t>
      </w:r>
      <w:r>
        <w:t>technical</w:t>
      </w:r>
      <w:r w:rsidR="008B0036">
        <w:t>, public relations</w:t>
      </w:r>
      <w:r w:rsidR="00776CA9">
        <w:t xml:space="preserve"> </w:t>
      </w:r>
      <w:r>
        <w:t xml:space="preserve">and </w:t>
      </w:r>
      <w:r w:rsidR="00776CA9">
        <w:t>commodity price</w:t>
      </w:r>
      <w:r>
        <w:t xml:space="preserve"> risks that, if realised, could result in delays, scope changes and cost overruns, and affect the commercial viability of </w:t>
      </w:r>
      <w:r w:rsidR="00400E18">
        <w:t>the</w:t>
      </w:r>
      <w:r>
        <w:t xml:space="preserve"> project</w:t>
      </w:r>
      <w:r w:rsidR="00400E18">
        <w:t>s</w:t>
      </w:r>
      <w:r>
        <w:t>.</w:t>
      </w:r>
      <w:r w:rsidR="00400E18">
        <w:t xml:space="preserve"> </w:t>
      </w:r>
    </w:p>
    <w:sectPr w:rsidR="003830DA" w:rsidSect="00E91467">
      <w:endnotePr>
        <w:numFmt w:val="decimal"/>
      </w:endnotePr>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689C7" w14:textId="77777777" w:rsidR="003C3282" w:rsidRDefault="003C3282" w:rsidP="00F244EA">
      <w:pPr>
        <w:spacing w:after="0" w:line="240" w:lineRule="auto"/>
      </w:pPr>
      <w:r>
        <w:separator/>
      </w:r>
    </w:p>
  </w:endnote>
  <w:endnote w:type="continuationSeparator" w:id="0">
    <w:p w14:paraId="10F45DAE" w14:textId="77777777" w:rsidR="003C3282" w:rsidRDefault="003C3282" w:rsidP="00F244EA">
      <w:pPr>
        <w:spacing w:after="0" w:line="240" w:lineRule="auto"/>
      </w:pPr>
      <w:r>
        <w:continuationSeparator/>
      </w:r>
    </w:p>
  </w:endnote>
  <w:endnote w:type="continuationNotice" w:id="1">
    <w:p w14:paraId="54C56901" w14:textId="77777777" w:rsidR="003C3282" w:rsidRDefault="003C3282">
      <w:pPr>
        <w:spacing w:after="0" w:line="240" w:lineRule="auto"/>
      </w:pPr>
    </w:p>
  </w:endnote>
  <w:endnote w:id="2">
    <w:p w14:paraId="7F685F21" w14:textId="621683A7" w:rsidR="003C3282" w:rsidRPr="00BF1F8C" w:rsidRDefault="003C3282" w:rsidP="00BF1F8C">
      <w:pPr>
        <w:pStyle w:val="Heading1"/>
      </w:pPr>
      <w:r w:rsidRPr="00BF1F8C">
        <w:t>Endnotes</w:t>
      </w:r>
    </w:p>
    <w:p w14:paraId="75B8DF25" w14:textId="50557DEF" w:rsidR="003C3282" w:rsidRPr="00BF1F8C" w:rsidRDefault="003C3282" w:rsidP="00BF1F8C">
      <w:pPr>
        <w:pStyle w:val="Heading2"/>
      </w:pPr>
      <w:r w:rsidRPr="00BF1F8C">
        <w:t>Foreword</w:t>
      </w:r>
    </w:p>
    <w:p w14:paraId="763D7600" w14:textId="3420E85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Department of Industry and Science (2015) Coal in India 2015, K Penney and I Cronshaw, Department of Industry and Science, </w:t>
      </w:r>
      <w:hyperlink r:id="rId1" w:history="1">
        <w:r w:rsidRPr="00BF1F8C">
          <w:rPr>
            <w:rStyle w:val="Hyperlink"/>
            <w:rFonts w:asciiTheme="majorHAnsi" w:hAnsiTheme="majorHAnsi" w:cstheme="majorHAnsi"/>
            <w:sz w:val="18"/>
            <w:szCs w:val="18"/>
          </w:rPr>
          <w:t>https://www.industry.gov.au/sites/g/files/net3906/f/June%202018/document/pdf/coal-in-india.pdf</w:t>
        </w:r>
      </w:hyperlink>
      <w:r w:rsidRPr="00BF1F8C">
        <w:rPr>
          <w:rFonts w:asciiTheme="majorHAnsi" w:hAnsiTheme="majorHAnsi" w:cstheme="majorHAnsi"/>
          <w:sz w:val="18"/>
          <w:szCs w:val="18"/>
        </w:rPr>
        <w:t xml:space="preserve"> </w:t>
      </w:r>
    </w:p>
    <w:p w14:paraId="7ACD1E73" w14:textId="2A161FCF" w:rsidR="003C3282" w:rsidRPr="00BF1F8C" w:rsidRDefault="003C3282" w:rsidP="00BF1F8C">
      <w:pPr>
        <w:pStyle w:val="Heading2"/>
      </w:pPr>
      <w:r w:rsidRPr="00BF1F8C">
        <w:t>Chapter 1</w:t>
      </w:r>
    </w:p>
  </w:endnote>
  <w:endnote w:id="3">
    <w:p w14:paraId="6BE3A96C" w14:textId="5FB2C6B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While India was the world’s seventh largest economy in 2018, it is expected to become the world’s fifth largest economy in 2019, according to the IMF (2019) World Economic Outlook Database, </w:t>
      </w:r>
      <w:hyperlink r:id="rId2" w:history="1">
        <w:r w:rsidRPr="00BF1F8C">
          <w:rPr>
            <w:rStyle w:val="Hyperlink"/>
            <w:rFonts w:asciiTheme="majorHAnsi" w:hAnsiTheme="majorHAnsi" w:cstheme="majorHAnsi"/>
            <w:sz w:val="18"/>
            <w:szCs w:val="18"/>
          </w:rPr>
          <w:t>https://www.imf.org/external/pubs/ft/weo/2019/01/weodata/index.aspx</w:t>
        </w:r>
      </w:hyperlink>
      <w:r w:rsidRPr="00BF1F8C">
        <w:rPr>
          <w:rFonts w:asciiTheme="majorHAnsi" w:hAnsiTheme="majorHAnsi" w:cstheme="majorHAnsi"/>
          <w:sz w:val="18"/>
          <w:szCs w:val="18"/>
        </w:rPr>
        <w:t xml:space="preserve"> </w:t>
      </w:r>
    </w:p>
  </w:endnote>
  <w:endnote w:id="4">
    <w:p w14:paraId="4194346E" w14:textId="1E71A48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Economic Outlook 2018, International Energy Agency, Paris </w:t>
      </w:r>
    </w:p>
  </w:endnote>
  <w:endnote w:id="5">
    <w:p w14:paraId="160F3E62" w14:textId="0FBFC5F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Murphy B and Daly H, Commentary: Electricity in energy village in India, IEA Newsroom, 1 June 2018, </w:t>
      </w:r>
      <w:hyperlink r:id="rId3" w:history="1">
        <w:r w:rsidRPr="00BF1F8C">
          <w:rPr>
            <w:rStyle w:val="Hyperlink"/>
            <w:rFonts w:asciiTheme="majorHAnsi" w:hAnsiTheme="majorHAnsi" w:cstheme="majorHAnsi"/>
            <w:sz w:val="18"/>
            <w:szCs w:val="18"/>
          </w:rPr>
          <w:t>https://www.iea.org/newsroom/news/2018/june/commentary-electricity-in-every-village-in-india.html</w:t>
        </w:r>
      </w:hyperlink>
    </w:p>
  </w:endnote>
  <w:endnote w:id="6">
    <w:p w14:paraId="66624415" w14:textId="0E47435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 </w:t>
      </w:r>
    </w:p>
  </w:endnote>
  <w:endnote w:id="7">
    <w:p w14:paraId="7B782822" w14:textId="351D608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The National Institution for Transforming India (NITI) Aayog and the Institute of Energy Economics (IEE), Japan (2017) Energizing India: A Joint Project Report of NITI Aayog and IEEJ, </w:t>
      </w:r>
      <w:hyperlink r:id="rId4" w:history="1">
        <w:r w:rsidRPr="00BF1F8C">
          <w:rPr>
            <w:rStyle w:val="Hyperlink"/>
            <w:rFonts w:asciiTheme="majorHAnsi" w:hAnsiTheme="majorHAnsi" w:cstheme="majorHAnsi"/>
            <w:sz w:val="18"/>
            <w:szCs w:val="18"/>
          </w:rPr>
          <w:t>https://www.niti.gov.in/writereaddata/files/Energising-India.pdf</w:t>
        </w:r>
      </w:hyperlink>
      <w:r w:rsidRPr="00BF1F8C">
        <w:rPr>
          <w:rFonts w:asciiTheme="majorHAnsi" w:hAnsiTheme="majorHAnsi" w:cstheme="majorHAnsi"/>
          <w:sz w:val="18"/>
          <w:szCs w:val="18"/>
        </w:rPr>
        <w:t xml:space="preserve"> </w:t>
      </w:r>
    </w:p>
  </w:endnote>
  <w:endnote w:id="8">
    <w:p w14:paraId="7A83AFB9" w14:textId="430D9B4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Economic Outlook 2018, International Energy Agency, Paris.</w:t>
      </w:r>
    </w:p>
  </w:endnote>
  <w:endnote w:id="9">
    <w:p w14:paraId="7E633131" w14:textId="15256D5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5"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10">
    <w:p w14:paraId="3328BCC3" w14:textId="33B1B4B5" w:rsidR="003C3282" w:rsidRPr="00BF1F8C" w:rsidRDefault="003C3282" w:rsidP="001D3E91">
      <w:pPr>
        <w:pStyle w:val="EndnoteText"/>
        <w:spacing w:before="40" w:after="40"/>
        <w:ind w:left="108"/>
        <w:jc w:val="left"/>
        <w:rPr>
          <w:rStyle w:val="EndnoteReference"/>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Jain A, Tripathi S, Mani S, Patnaik S, Shahidi T, and Ganesan K (2018) Access to Clean Cooking Energy and Electricity: Survey of States 2018, Council on Energy, Environment and Water, </w:t>
      </w:r>
      <w:hyperlink r:id="rId6" w:history="1">
        <w:r w:rsidRPr="00BF1F8C">
          <w:rPr>
            <w:rStyle w:val="Hyperlink"/>
            <w:rFonts w:asciiTheme="majorHAnsi" w:hAnsiTheme="majorHAnsi" w:cstheme="majorHAnsi"/>
            <w:sz w:val="18"/>
            <w:szCs w:val="18"/>
          </w:rPr>
          <w:t>https://www.ceew.in/publications/access-clean-cooking-energy-and-electricity</w:t>
        </w:r>
      </w:hyperlink>
      <w:r w:rsidRPr="00BF1F8C">
        <w:rPr>
          <w:rFonts w:asciiTheme="majorHAnsi" w:hAnsiTheme="majorHAnsi" w:cstheme="majorHAnsi"/>
          <w:sz w:val="18"/>
          <w:szCs w:val="18"/>
        </w:rPr>
        <w:t xml:space="preserve"> </w:t>
      </w:r>
    </w:p>
  </w:endnote>
  <w:endnote w:id="11">
    <w:p w14:paraId="4E6DC71E" w14:textId="1A4461D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Style w:val="EndnoteReference"/>
          <w:rFonts w:asciiTheme="majorHAnsi" w:hAnsiTheme="majorHAnsi" w:cstheme="majorHAnsi"/>
          <w:sz w:val="18"/>
          <w:szCs w:val="18"/>
        </w:rPr>
        <w:t xml:space="preserve"> </w:t>
      </w:r>
      <w:r w:rsidRPr="00BF1F8C">
        <w:rPr>
          <w:rFonts w:asciiTheme="majorHAnsi" w:hAnsiTheme="majorHAnsi" w:cstheme="majorHAnsi"/>
          <w:sz w:val="18"/>
          <w:szCs w:val="18"/>
        </w:rPr>
        <w:t xml:space="preserve">Varghese P (2018) An Indian Economic Strategy to 2035. Navigating from potential to delivery, report commissioned by Australian Government, </w:t>
      </w:r>
      <w:hyperlink r:id="rId7" w:history="1">
        <w:r w:rsidRPr="00BF1F8C">
          <w:rPr>
            <w:rStyle w:val="Hyperlink"/>
            <w:rFonts w:asciiTheme="majorHAnsi" w:hAnsiTheme="majorHAnsi" w:cstheme="majorHAnsi"/>
            <w:sz w:val="18"/>
            <w:szCs w:val="18"/>
          </w:rPr>
          <w:t>https://dfat.gov.au/geo/india/ies/pdf/dfat-an-india-economic-strategy-to-2035.pdf</w:t>
        </w:r>
      </w:hyperlink>
      <w:r w:rsidRPr="00BF1F8C">
        <w:rPr>
          <w:rFonts w:asciiTheme="majorHAnsi" w:hAnsiTheme="majorHAnsi" w:cstheme="majorHAnsi"/>
          <w:sz w:val="18"/>
          <w:szCs w:val="18"/>
        </w:rPr>
        <w:t xml:space="preserve"> </w:t>
      </w:r>
    </w:p>
  </w:endnote>
  <w:endnote w:id="12">
    <w:p w14:paraId="4BF55A83" w14:textId="0E4BAA1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Historically, India has not classified large-scale hydro (those over 25 MW) as renewable energy, but in March 2019 reclassified large-scale hydro projects as a renewable energy source. In this report, we mostly split out large-scale hydro from other renewables because Indian government document and targets typically preserve this split, and because large-scale hydro by itself accounts for a large share of installed capacity.</w:t>
      </w:r>
    </w:p>
  </w:endnote>
  <w:endnote w:id="13">
    <w:p w14:paraId="70C7547C" w14:textId="6A9AD73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National Institution for Transforming India (NITI) Aayog (2019) Overview, </w:t>
      </w:r>
      <w:hyperlink r:id="rId8" w:history="1">
        <w:r w:rsidRPr="00BF1F8C">
          <w:rPr>
            <w:rStyle w:val="Hyperlink"/>
            <w:rFonts w:asciiTheme="majorHAnsi" w:hAnsiTheme="majorHAnsi" w:cstheme="majorHAnsi"/>
            <w:sz w:val="18"/>
            <w:szCs w:val="18"/>
          </w:rPr>
          <w:t>http://164.100.94.191/content/overview</w:t>
        </w:r>
      </w:hyperlink>
      <w:r w:rsidRPr="00BF1F8C">
        <w:rPr>
          <w:rFonts w:asciiTheme="majorHAnsi" w:hAnsiTheme="majorHAnsi" w:cstheme="majorHAnsi"/>
          <w:sz w:val="18"/>
          <w:szCs w:val="18"/>
        </w:rPr>
        <w:t xml:space="preserve">  </w:t>
      </w:r>
    </w:p>
  </w:endnote>
  <w:endnote w:id="14">
    <w:p w14:paraId="3AECD6FA" w14:textId="1AA3FC1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India Ministry of Power (2019), About Us, </w:t>
      </w:r>
      <w:hyperlink r:id="rId9" w:history="1">
        <w:r w:rsidRPr="00BF1F8C">
          <w:rPr>
            <w:rStyle w:val="Hyperlink"/>
            <w:rFonts w:asciiTheme="majorHAnsi" w:hAnsiTheme="majorHAnsi" w:cstheme="majorHAnsi"/>
            <w:sz w:val="18"/>
            <w:szCs w:val="18"/>
          </w:rPr>
          <w:t>https://powermin.nic.in/</w:t>
        </w:r>
      </w:hyperlink>
      <w:r w:rsidRPr="00BF1F8C">
        <w:rPr>
          <w:rFonts w:asciiTheme="majorHAnsi" w:hAnsiTheme="majorHAnsi" w:cstheme="majorHAnsi"/>
          <w:sz w:val="18"/>
          <w:szCs w:val="18"/>
        </w:rPr>
        <w:t xml:space="preserve"> </w:t>
      </w:r>
    </w:p>
  </w:endnote>
  <w:endnote w:id="15">
    <w:p w14:paraId="0E78448C" w14:textId="14EB66D9"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Varghese P (2018) An Indian economic strategy to 2035. Navigating from potential to delivery, report commissioned by Department of Foreign Affairs and Trade, Canberra, </w:t>
      </w:r>
      <w:hyperlink r:id="rId10" w:history="1">
        <w:r w:rsidRPr="00BF1F8C">
          <w:rPr>
            <w:rStyle w:val="Hyperlink"/>
            <w:rFonts w:asciiTheme="majorHAnsi" w:hAnsiTheme="majorHAnsi" w:cstheme="majorHAnsi"/>
            <w:sz w:val="18"/>
            <w:szCs w:val="18"/>
          </w:rPr>
          <w:t>https://dfat.gov.au/geo/india/ies/pdf/dfat-an-india-economic-strategy-to-2035.pdf</w:t>
        </w:r>
      </w:hyperlink>
      <w:r w:rsidRPr="00BF1F8C">
        <w:rPr>
          <w:rFonts w:asciiTheme="majorHAnsi" w:hAnsiTheme="majorHAnsi" w:cstheme="majorHAnsi"/>
          <w:sz w:val="18"/>
          <w:szCs w:val="18"/>
        </w:rPr>
        <w:t xml:space="preserve"> </w:t>
      </w:r>
    </w:p>
  </w:endnote>
  <w:endnote w:id="16">
    <w:p w14:paraId="6869B391" w14:textId="25D54E2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(2012) Understanding energy challenges in India: Policy, players and issues, International Energy Agency, Paris.</w:t>
      </w:r>
    </w:p>
  </w:endnote>
  <w:endnote w:id="17">
    <w:p w14:paraId="6956726C" w14:textId="7C0B948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Central Electricity Authority (2019) All India Installed Capacity (In MW) Of Power Stations, CEA Reports, </w:t>
      </w:r>
      <w:hyperlink r:id="rId11" w:history="1">
        <w:r w:rsidRPr="00BF1F8C">
          <w:rPr>
            <w:rStyle w:val="Hyperlink"/>
            <w:rFonts w:asciiTheme="majorHAnsi" w:hAnsiTheme="majorHAnsi" w:cstheme="majorHAnsi"/>
            <w:sz w:val="18"/>
            <w:szCs w:val="18"/>
          </w:rPr>
          <w:t>http://cea.nic.in/reports/monthly/installedcapacity/2019/installed_capacity-06.pdf</w:t>
        </w:r>
      </w:hyperlink>
      <w:r w:rsidRPr="00BF1F8C">
        <w:rPr>
          <w:rFonts w:asciiTheme="majorHAnsi" w:hAnsiTheme="majorHAnsi" w:cstheme="majorHAnsi"/>
          <w:sz w:val="18"/>
          <w:szCs w:val="18"/>
        </w:rPr>
        <w:t xml:space="preserve"> </w:t>
      </w:r>
    </w:p>
  </w:endnote>
  <w:endnote w:id="18">
    <w:p w14:paraId="2188B919" w14:textId="076ECC3B"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(2012) Understanding energy challenges in India: Policy, players and issues, International Energy Agency, Paris.</w:t>
      </w:r>
    </w:p>
  </w:endnote>
  <w:endnote w:id="19">
    <w:p w14:paraId="4A355ABF" w14:textId="3A1783B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12"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20">
    <w:p w14:paraId="52A63229" w14:textId="64A14D7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21">
    <w:p w14:paraId="332551A4" w14:textId="07C85D7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(2012) Understanding energy challenges in India: Policy, players and issues, International Energy Agency, Paris.</w:t>
      </w:r>
    </w:p>
  </w:endnote>
  <w:endnote w:id="22">
    <w:p w14:paraId="26F1E2F8" w14:textId="51499B1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13" w:history="1">
        <w:r w:rsidRPr="00BF1F8C">
          <w:rPr>
            <w:rStyle w:val="Hyperlink"/>
            <w:rFonts w:asciiTheme="majorHAnsi" w:hAnsiTheme="majorHAnsi" w:cstheme="majorHAnsi"/>
            <w:sz w:val="18"/>
            <w:szCs w:val="18"/>
          </w:rPr>
          <w:t>https://openknowledge.worldbank.org/bitstream/handle/10986/30923/9781464811548.pdf</w:t>
        </w:r>
      </w:hyperlink>
    </w:p>
  </w:endnote>
  <w:endnote w:id="23">
    <w:p w14:paraId="3A4BBDD5" w14:textId="22107B1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Tongia R and Gross S (2019) Coal in India: Adjusting to transition, The Cross-Brookings Initiative on Energy and Climate Paper Series, Brookings India.</w:t>
      </w:r>
    </w:p>
  </w:endnote>
  <w:endnote w:id="24">
    <w:p w14:paraId="0AC4CF91" w14:textId="78160D7F"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KPMG (2017) Transition of the energy sector in India, </w:t>
      </w:r>
      <w:hyperlink r:id="rId14" w:history="1">
        <w:r w:rsidRPr="00BF1F8C">
          <w:rPr>
            <w:rStyle w:val="Hyperlink"/>
            <w:rFonts w:asciiTheme="majorHAnsi" w:hAnsiTheme="majorHAnsi" w:cstheme="majorHAnsi"/>
            <w:sz w:val="18"/>
            <w:szCs w:val="18"/>
          </w:rPr>
          <w:t>https://assets.kpmg/content/dam/kpmg/in/pdf/2017/11/Transition-of-the-energy-sector-in-India.pdf</w:t>
        </w:r>
      </w:hyperlink>
      <w:r w:rsidRPr="00BF1F8C">
        <w:rPr>
          <w:rFonts w:asciiTheme="majorHAnsi" w:hAnsiTheme="majorHAnsi" w:cstheme="majorHAnsi"/>
          <w:sz w:val="18"/>
          <w:szCs w:val="18"/>
        </w:rPr>
        <w:t xml:space="preserve"> </w:t>
      </w:r>
    </w:p>
  </w:endnote>
  <w:endnote w:id="25">
    <w:p w14:paraId="6CF94B02" w14:textId="4EC7B85C" w:rsidR="003C3282" w:rsidRPr="007756F1" w:rsidRDefault="003C3282" w:rsidP="001D3E91">
      <w:pPr>
        <w:pStyle w:val="EndnoteText"/>
        <w:spacing w:before="40" w:after="40"/>
        <w:ind w:left="108"/>
        <w:jc w:val="left"/>
        <w:rPr>
          <w:rFonts w:asciiTheme="majorHAnsi" w:hAnsiTheme="majorHAnsi" w:cstheme="majorHAnsi"/>
          <w:sz w:val="18"/>
          <w:szCs w:val="18"/>
          <w:vertAlign w:val="subscript"/>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Tongia R (2018) RE ‘versus’ coal in India, Policy Brief, Brookings India, </w:t>
      </w:r>
      <w:hyperlink r:id="rId15" w:history="1">
        <w:r w:rsidRPr="00BF1F8C">
          <w:rPr>
            <w:rStyle w:val="Hyperlink"/>
            <w:rFonts w:asciiTheme="majorHAnsi" w:hAnsiTheme="majorHAnsi" w:cstheme="majorHAnsi"/>
            <w:sz w:val="18"/>
            <w:szCs w:val="18"/>
          </w:rPr>
          <w:t>https://www.brookings.edu/wp-content/uploads/2018/10/Renewable-Energy-%E2%80%9Cversus%E2%80%9D-coal-in-India.pdf</w:t>
        </w:r>
      </w:hyperlink>
      <w:r>
        <w:rPr>
          <w:rFonts w:asciiTheme="majorHAnsi" w:hAnsiTheme="majorHAnsi" w:cstheme="majorHAnsi"/>
          <w:sz w:val="18"/>
          <w:szCs w:val="18"/>
          <w:vertAlign w:val="subscript"/>
        </w:rPr>
        <w:t xml:space="preserve"> </w:t>
      </w:r>
    </w:p>
  </w:endnote>
  <w:endnote w:id="26">
    <w:p w14:paraId="49D8190C" w14:textId="4FFBA9A9"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16" w:history="1">
        <w:r w:rsidRPr="00BF1F8C">
          <w:rPr>
            <w:rStyle w:val="Hyperlink"/>
            <w:rFonts w:asciiTheme="majorHAnsi" w:hAnsiTheme="majorHAnsi" w:cstheme="majorHAnsi"/>
            <w:sz w:val="18"/>
            <w:szCs w:val="18"/>
          </w:rPr>
          <w:t>https://openknowledge.worldbank.org/bitstream/handle/10986/30923/9781464811548.pdf</w:t>
        </w:r>
      </w:hyperlink>
    </w:p>
  </w:endnote>
  <w:endnote w:id="27">
    <w:p w14:paraId="1522E055" w14:textId="5E36278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Tongia R and Gross S (2019) Coal in India: Adjusting to transition, The Cross-Brookings Initiative on Energy and Climate Paper Series, Brookings India.</w:t>
      </w:r>
    </w:p>
  </w:endnote>
  <w:endnote w:id="28">
    <w:p w14:paraId="44302C73" w14:textId="2EEC6AB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Union Budget (2019) </w:t>
      </w:r>
      <w:hyperlink r:id="rId17" w:history="1">
        <w:r w:rsidRPr="00BF1F8C">
          <w:rPr>
            <w:rStyle w:val="Hyperlink"/>
            <w:rFonts w:asciiTheme="majorHAnsi" w:hAnsiTheme="majorHAnsi" w:cstheme="majorHAnsi"/>
            <w:sz w:val="18"/>
            <w:szCs w:val="18"/>
          </w:rPr>
          <w:t>https://www.indiabudget.gov.in/</w:t>
        </w:r>
      </w:hyperlink>
      <w:r w:rsidRPr="00BF1F8C">
        <w:rPr>
          <w:rFonts w:asciiTheme="majorHAnsi" w:hAnsiTheme="majorHAnsi" w:cstheme="majorHAnsi"/>
          <w:sz w:val="18"/>
          <w:szCs w:val="18"/>
        </w:rPr>
        <w:t xml:space="preserve"> </w:t>
      </w:r>
    </w:p>
  </w:endnote>
  <w:endnote w:id="29">
    <w:p w14:paraId="11E2596D" w14:textId="6A8A6CD0"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International Monetary Fund (2019) World Economic Outlook, Still Sluggish Global Growth, World Economic Outlook Report, July 2019 Update, </w:t>
      </w:r>
      <w:hyperlink r:id="rId18" w:history="1">
        <w:r w:rsidRPr="00BF1F8C">
          <w:rPr>
            <w:rStyle w:val="Hyperlink"/>
            <w:rFonts w:asciiTheme="majorHAnsi" w:hAnsiTheme="majorHAnsi" w:cstheme="majorHAnsi"/>
            <w:sz w:val="18"/>
            <w:szCs w:val="18"/>
          </w:rPr>
          <w:t>https://www.imf.org/en/Publications/WEO/Issues/2019/07/18/WEOupdateJuly2019</w:t>
        </w:r>
      </w:hyperlink>
      <w:r w:rsidRPr="00BF1F8C">
        <w:rPr>
          <w:rFonts w:asciiTheme="majorHAnsi" w:hAnsiTheme="majorHAnsi" w:cstheme="majorHAnsi"/>
          <w:sz w:val="18"/>
          <w:szCs w:val="18"/>
        </w:rPr>
        <w:t xml:space="preserve"> </w:t>
      </w:r>
    </w:p>
  </w:endnote>
  <w:endnote w:id="30">
    <w:p w14:paraId="04DC78CF" w14:textId="04C5DDF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Niti Aayog (2017) Draft National Energy Policy, Government of India, </w:t>
      </w:r>
      <w:hyperlink r:id="rId19" w:history="1">
        <w:r w:rsidRPr="00BF1F8C">
          <w:rPr>
            <w:rStyle w:val="Hyperlink"/>
            <w:rFonts w:asciiTheme="majorHAnsi" w:hAnsiTheme="majorHAnsi" w:cstheme="majorHAnsi"/>
            <w:sz w:val="18"/>
            <w:szCs w:val="18"/>
          </w:rPr>
          <w:t>https://www.niti.gov.in/writereaddata/files/new_initiatives/NEP-ID_27.06.2017.pdf</w:t>
        </w:r>
      </w:hyperlink>
      <w:r w:rsidRPr="00BF1F8C">
        <w:rPr>
          <w:rFonts w:asciiTheme="majorHAnsi" w:hAnsiTheme="majorHAnsi" w:cstheme="majorHAnsi"/>
          <w:sz w:val="18"/>
          <w:szCs w:val="18"/>
        </w:rPr>
        <w:t xml:space="preserve"> </w:t>
      </w:r>
    </w:p>
  </w:endnote>
  <w:endnote w:id="31">
    <w:p w14:paraId="249EDE59" w14:textId="4F297E4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BBC (2019) India budget 2019, BBC News, 5 July 2019, </w:t>
      </w:r>
      <w:hyperlink r:id="rId20" w:history="1">
        <w:r w:rsidRPr="00BF1F8C">
          <w:rPr>
            <w:rStyle w:val="Hyperlink"/>
            <w:rFonts w:asciiTheme="majorHAnsi" w:hAnsiTheme="majorHAnsi" w:cstheme="majorHAnsi"/>
            <w:sz w:val="18"/>
            <w:szCs w:val="18"/>
          </w:rPr>
          <w:t>https://www.bbc.com/news/world-asia-india-48880908</w:t>
        </w:r>
      </w:hyperlink>
      <w:r w:rsidRPr="00BF1F8C">
        <w:rPr>
          <w:rFonts w:asciiTheme="majorHAnsi" w:hAnsiTheme="majorHAnsi" w:cstheme="majorHAnsi"/>
          <w:sz w:val="18"/>
          <w:szCs w:val="18"/>
        </w:rPr>
        <w:t xml:space="preserve"> </w:t>
      </w:r>
    </w:p>
  </w:endnote>
  <w:endnote w:id="32">
    <w:p w14:paraId="7F362191" w14:textId="2F13C599"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CEA (2018) National Electricity Plan, Central Electricity Authority,  </w:t>
      </w:r>
      <w:hyperlink r:id="rId21" w:history="1">
        <w:r w:rsidRPr="00BF1F8C">
          <w:rPr>
            <w:rStyle w:val="Hyperlink"/>
            <w:rFonts w:asciiTheme="majorHAnsi" w:hAnsiTheme="majorHAnsi" w:cstheme="majorHAnsi"/>
            <w:sz w:val="18"/>
            <w:szCs w:val="18"/>
          </w:rPr>
          <w:t>http://www.cea.nic.in/reports/committee/nep/nep_jan_2018.pdf</w:t>
        </w:r>
      </w:hyperlink>
      <w:r w:rsidRPr="00BF1F8C">
        <w:rPr>
          <w:rFonts w:asciiTheme="majorHAnsi" w:hAnsiTheme="majorHAnsi" w:cstheme="majorHAnsi"/>
          <w:sz w:val="18"/>
          <w:szCs w:val="18"/>
        </w:rPr>
        <w:t xml:space="preserve"> </w:t>
      </w:r>
    </w:p>
  </w:endnote>
  <w:endnote w:id="33">
    <w:p w14:paraId="44143A1E" w14:textId="6FFC4E9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Union Budget (2018) </w:t>
      </w:r>
      <w:hyperlink r:id="rId22" w:history="1">
        <w:r w:rsidRPr="00BF1F8C">
          <w:rPr>
            <w:rStyle w:val="Hyperlink"/>
            <w:rFonts w:asciiTheme="majorHAnsi" w:hAnsiTheme="majorHAnsi" w:cstheme="majorHAnsi"/>
            <w:sz w:val="18"/>
            <w:szCs w:val="18"/>
          </w:rPr>
          <w:t>https://www.indiabudget.gov.in/budgetspeech.php</w:t>
        </w:r>
      </w:hyperlink>
      <w:r w:rsidRPr="00BF1F8C">
        <w:rPr>
          <w:rFonts w:asciiTheme="majorHAnsi" w:hAnsiTheme="majorHAnsi" w:cstheme="majorHAnsi"/>
          <w:sz w:val="18"/>
          <w:szCs w:val="18"/>
        </w:rPr>
        <w:t xml:space="preserve"> </w:t>
      </w:r>
    </w:p>
  </w:endnote>
  <w:endnote w:id="34">
    <w:p w14:paraId="610AE6C7" w14:textId="7D0BA67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Power grid corporation of India (2019) One Nation-One Grid, </w:t>
      </w:r>
      <w:hyperlink r:id="rId23" w:history="1">
        <w:r w:rsidRPr="00BF1F8C">
          <w:rPr>
            <w:rStyle w:val="Hyperlink"/>
            <w:rFonts w:asciiTheme="majorHAnsi" w:hAnsiTheme="majorHAnsi" w:cstheme="majorHAnsi"/>
            <w:sz w:val="18"/>
            <w:szCs w:val="18"/>
          </w:rPr>
          <w:t>https://www.powergridindia.com/one-nation-one-grid</w:t>
        </w:r>
      </w:hyperlink>
      <w:r w:rsidRPr="00BF1F8C">
        <w:rPr>
          <w:rFonts w:asciiTheme="majorHAnsi" w:hAnsiTheme="majorHAnsi" w:cstheme="majorHAnsi"/>
          <w:sz w:val="18"/>
          <w:szCs w:val="18"/>
        </w:rPr>
        <w:t xml:space="preserve"> </w:t>
      </w:r>
    </w:p>
  </w:endnote>
  <w:endnote w:id="35">
    <w:p w14:paraId="5AD87869" w14:textId="6D6458C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of India (2015) India’s Intended Nationally Determined Contribution. Working towards climate justice, submission to United Nations Climate Change, </w:t>
      </w:r>
      <w:hyperlink r:id="rId24" w:history="1">
        <w:r w:rsidRPr="00BF1F8C">
          <w:rPr>
            <w:rStyle w:val="Hyperlink"/>
            <w:rFonts w:asciiTheme="majorHAnsi" w:hAnsiTheme="majorHAnsi" w:cstheme="majorHAnsi"/>
            <w:sz w:val="18"/>
            <w:szCs w:val="18"/>
          </w:rPr>
          <w:t>https://www4.unfccc.int/sites/submissions/INDC/Published%20Documents/India/1/INDIA%20INDC%20TO%20UNFCCC.pdf</w:t>
        </w:r>
      </w:hyperlink>
      <w:r w:rsidRPr="00BF1F8C">
        <w:rPr>
          <w:rFonts w:asciiTheme="majorHAnsi" w:hAnsiTheme="majorHAnsi" w:cstheme="majorHAnsi"/>
          <w:sz w:val="18"/>
          <w:szCs w:val="18"/>
        </w:rPr>
        <w:t xml:space="preserve"> </w:t>
      </w:r>
    </w:p>
  </w:endnote>
  <w:endnote w:id="36">
    <w:p w14:paraId="3ABC19A6" w14:textId="3B4F022F"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37">
    <w:p w14:paraId="3E04F798" w14:textId="7D110BD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CEA (2018) National Electricity Plan, Central Electricity Authority, p. 6, </w:t>
      </w:r>
      <w:hyperlink r:id="rId25" w:history="1">
        <w:r w:rsidRPr="00BF1F8C">
          <w:rPr>
            <w:rStyle w:val="Hyperlink"/>
            <w:rFonts w:asciiTheme="majorHAnsi" w:hAnsiTheme="majorHAnsi" w:cstheme="majorHAnsi"/>
            <w:sz w:val="18"/>
            <w:szCs w:val="18"/>
          </w:rPr>
          <w:t>http://www.cea.nic.in/reports/committee/nep/nep_jan_2018.pdf</w:t>
        </w:r>
      </w:hyperlink>
      <w:r w:rsidRPr="00BF1F8C">
        <w:rPr>
          <w:rFonts w:asciiTheme="majorHAnsi" w:hAnsiTheme="majorHAnsi" w:cstheme="majorHAnsi"/>
          <w:sz w:val="18"/>
          <w:szCs w:val="18"/>
        </w:rPr>
        <w:t xml:space="preserve"> ; Government of India (2015) India’s Intended Nationally Determined Contribution. Working towards climate justice, submission to United Nations Climate Change, </w:t>
      </w:r>
      <w:hyperlink r:id="rId26" w:history="1">
        <w:r w:rsidRPr="00BF1F8C">
          <w:rPr>
            <w:rStyle w:val="Hyperlink"/>
            <w:rFonts w:asciiTheme="majorHAnsi" w:hAnsiTheme="majorHAnsi" w:cstheme="majorHAnsi"/>
            <w:sz w:val="18"/>
            <w:szCs w:val="18"/>
          </w:rPr>
          <w:t>https://www4.unfccc.int/sites/submissions/INDC/Published%20Documents/India/1/INDIA%20INDC%20TO%20UNFCCC.pdf</w:t>
        </w:r>
      </w:hyperlink>
      <w:r w:rsidRPr="00BF1F8C">
        <w:rPr>
          <w:rFonts w:asciiTheme="majorHAnsi" w:hAnsiTheme="majorHAnsi" w:cstheme="majorHAnsi"/>
          <w:sz w:val="18"/>
          <w:szCs w:val="18"/>
        </w:rPr>
        <w:t xml:space="preserve"> ; The 15 GW target for other generation (biomass and small-scale hydro) is higher than the target of 10 GW announced in the 2028 target of 500 GW.</w:t>
      </w:r>
    </w:p>
  </w:endnote>
  <w:endnote w:id="38">
    <w:p w14:paraId="7ED62D5A" w14:textId="683FA35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Saluja N and Singh S (2018) Renewable energy target now 227 GW, will need $50 billion more in investments, Economic Times, 5 June 2018, </w:t>
      </w:r>
      <w:hyperlink r:id="rId27" w:history="1">
        <w:r w:rsidRPr="00BF1F8C">
          <w:rPr>
            <w:rStyle w:val="Hyperlink"/>
            <w:rFonts w:asciiTheme="majorHAnsi" w:hAnsiTheme="majorHAnsi" w:cstheme="majorHAnsi"/>
            <w:sz w:val="18"/>
            <w:szCs w:val="18"/>
          </w:rPr>
          <w:t>https://economictimes.indiatimes.com/industry/energy/power/india-will-add-225-gw-renewable-energy-project-capacity-by-2022-r-k-singh/articleshow/64461995.cms</w:t>
        </w:r>
      </w:hyperlink>
      <w:r w:rsidRPr="00BF1F8C">
        <w:rPr>
          <w:rFonts w:asciiTheme="majorHAnsi" w:hAnsiTheme="majorHAnsi" w:cstheme="majorHAnsi"/>
          <w:sz w:val="18"/>
          <w:szCs w:val="18"/>
        </w:rPr>
        <w:t xml:space="preserve"> </w:t>
      </w:r>
    </w:p>
  </w:endnote>
  <w:endnote w:id="39">
    <w:p w14:paraId="3D04AC8D" w14:textId="1C5E906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Saurab H (2019) India Plans 40 Gigawatts of Solar &amp; Wind Auctions Every Year Till 2028, Clean Technica, 14 January 2019, </w:t>
      </w:r>
      <w:hyperlink r:id="rId28" w:history="1">
        <w:r w:rsidRPr="00BF1F8C">
          <w:rPr>
            <w:rStyle w:val="Hyperlink"/>
            <w:rFonts w:asciiTheme="majorHAnsi" w:hAnsiTheme="majorHAnsi" w:cstheme="majorHAnsi"/>
            <w:sz w:val="18"/>
            <w:szCs w:val="18"/>
          </w:rPr>
          <w:t>https://cleantechnica.com/2019/01/14/india-plans-40-gigawatts-of-solar-wind-auctions-every-year-till-2028/</w:t>
        </w:r>
      </w:hyperlink>
      <w:r w:rsidRPr="00BF1F8C">
        <w:rPr>
          <w:rFonts w:asciiTheme="majorHAnsi" w:hAnsiTheme="majorHAnsi" w:cstheme="majorHAnsi"/>
          <w:sz w:val="18"/>
          <w:szCs w:val="18"/>
        </w:rPr>
        <w:t xml:space="preserve"> ; Kumar A (2019) India to bid out 500 GW renewable energy capacity by 2028, Energyworld.com, 7 January 2019, </w:t>
      </w:r>
      <w:r w:rsidRPr="00BF1F8C">
        <w:rPr>
          <w:rStyle w:val="Hyperlink"/>
          <w:rFonts w:asciiTheme="majorHAnsi" w:hAnsiTheme="majorHAnsi" w:cstheme="majorHAnsi"/>
          <w:sz w:val="18"/>
          <w:szCs w:val="18"/>
        </w:rPr>
        <w:t>https://energy.economictimes.indiatimes.com/news/renewable/india-to-bid-out-500-gw-renewable-energy-capacity-by-2028/67418119</w:t>
      </w:r>
    </w:p>
  </w:endnote>
  <w:endnote w:id="40">
    <w:p w14:paraId="70B6413F" w14:textId="540A3D4F"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Saurab H (2019) India Plans 40 Gigawatts of Solar &amp; Wind Auctions Every Year Till 2028, Clean Technica, 14 January 2019, </w:t>
      </w:r>
      <w:hyperlink r:id="rId29" w:history="1">
        <w:r w:rsidRPr="00BF1F8C">
          <w:rPr>
            <w:rStyle w:val="Hyperlink"/>
            <w:rFonts w:asciiTheme="majorHAnsi" w:hAnsiTheme="majorHAnsi" w:cstheme="majorHAnsi"/>
            <w:sz w:val="18"/>
            <w:szCs w:val="18"/>
          </w:rPr>
          <w:t>https://cleantechnica.com/2019/01/14/india-plans-40-gigawatts-of-solar-wind-auctions-every-year-till-2028/</w:t>
        </w:r>
      </w:hyperlink>
      <w:r w:rsidRPr="00BF1F8C">
        <w:rPr>
          <w:rFonts w:asciiTheme="majorHAnsi" w:hAnsiTheme="majorHAnsi" w:cstheme="majorHAnsi"/>
          <w:sz w:val="18"/>
          <w:szCs w:val="18"/>
        </w:rPr>
        <w:t xml:space="preserve">  </w:t>
      </w:r>
    </w:p>
  </w:endnote>
  <w:endnote w:id="41">
    <w:p w14:paraId="0AAB9CC4" w14:textId="3DA4241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BNEF (2019) Research note on India’s energy policy in the Union Budget, Bloomberg New Energy Outlook.</w:t>
      </w:r>
    </w:p>
  </w:endnote>
  <w:endnote w:id="42">
    <w:p w14:paraId="3AD42FF5" w14:textId="5D0A437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Tongia R and Gross S (2018) Working to turn ambition into reality: the politics and economics of India’s turn to renewable power, Brookings India, </w:t>
      </w:r>
      <w:hyperlink r:id="rId30" w:history="1">
        <w:r w:rsidRPr="00BF1F8C">
          <w:rPr>
            <w:rStyle w:val="Hyperlink"/>
            <w:rFonts w:asciiTheme="majorHAnsi" w:hAnsiTheme="majorHAnsi" w:cstheme="majorHAnsi"/>
            <w:sz w:val="18"/>
            <w:szCs w:val="18"/>
          </w:rPr>
          <w:t>https://www.brookings.edu/research/working-to-turn-ambition-into-reality/</w:t>
        </w:r>
      </w:hyperlink>
    </w:p>
  </w:endnote>
  <w:endnote w:id="43">
    <w:p w14:paraId="0594544C" w14:textId="09BE5A1F"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44">
    <w:p w14:paraId="5E057D03" w14:textId="1AF0C38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The Editors (2019) Solar storm: AP govt’s bid to renegotiate renewable contracts could have serious repercussions, The Hindu, 2 August 2019, </w:t>
      </w:r>
      <w:hyperlink r:id="rId31" w:history="1">
        <w:r w:rsidRPr="00BF1F8C">
          <w:rPr>
            <w:rStyle w:val="Hyperlink"/>
            <w:rFonts w:asciiTheme="majorHAnsi" w:hAnsiTheme="majorHAnsi" w:cstheme="majorHAnsi"/>
            <w:sz w:val="18"/>
            <w:szCs w:val="18"/>
          </w:rPr>
          <w:t>https://www.thehindubusinessline.com/opinion/editorial/solar-storm-ap-governments-bid-to-renegotiate-renewable-contracts-could-have-serious-repercussions/article28791722.ece</w:t>
        </w:r>
      </w:hyperlink>
      <w:r w:rsidRPr="00BF1F8C">
        <w:rPr>
          <w:rFonts w:asciiTheme="majorHAnsi" w:hAnsiTheme="majorHAnsi" w:cstheme="majorHAnsi"/>
          <w:sz w:val="18"/>
          <w:szCs w:val="18"/>
        </w:rPr>
        <w:t xml:space="preserve"> </w:t>
      </w:r>
    </w:p>
  </w:endnote>
  <w:endnote w:id="45">
    <w:p w14:paraId="7A9860E8" w14:textId="7745E53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Health Effects Institute (2019) State of global air 2019, Special Report, Boston, MA: Health Effects Institute, </w:t>
      </w:r>
      <w:hyperlink r:id="rId32" w:history="1">
        <w:r w:rsidRPr="00BF1F8C">
          <w:rPr>
            <w:rStyle w:val="Hyperlink"/>
            <w:rFonts w:asciiTheme="majorHAnsi" w:hAnsiTheme="majorHAnsi" w:cstheme="majorHAnsi"/>
            <w:sz w:val="18"/>
            <w:szCs w:val="18"/>
          </w:rPr>
          <w:t>https://www.stateofglobalair.org/sites/default/files/soga_2019_report.pdf</w:t>
        </w:r>
      </w:hyperlink>
      <w:r w:rsidRPr="00BF1F8C">
        <w:rPr>
          <w:rFonts w:asciiTheme="majorHAnsi" w:hAnsiTheme="majorHAnsi" w:cstheme="majorHAnsi"/>
          <w:sz w:val="18"/>
          <w:szCs w:val="18"/>
        </w:rPr>
        <w:t xml:space="preserve"> </w:t>
      </w:r>
    </w:p>
  </w:endnote>
  <w:endnote w:id="46">
    <w:p w14:paraId="73EF52EA" w14:textId="410AE00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33"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47">
    <w:p w14:paraId="7B29CC08" w14:textId="42171B30"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In the Indian taxation system, a cess is a fee levied to raise funds for a specific purpose.</w:t>
      </w:r>
    </w:p>
  </w:endnote>
  <w:endnote w:id="48">
    <w:p w14:paraId="7152EC8A" w14:textId="4E5E9ACF" w:rsidR="003C3282" w:rsidRPr="00BF1F8C" w:rsidRDefault="003C3282" w:rsidP="001D3E91">
      <w:pPr>
        <w:pStyle w:val="EndnoteText"/>
        <w:tabs>
          <w:tab w:val="left" w:pos="3521"/>
        </w:tabs>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34"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49">
    <w:p w14:paraId="7C83B909" w14:textId="054D882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International Institute for Sustainable Development (2019) The evolution of the Clean Energy Cess on coal production in India, </w:t>
      </w:r>
      <w:hyperlink r:id="rId35" w:history="1">
        <w:r w:rsidRPr="00BF1F8C">
          <w:rPr>
            <w:rStyle w:val="Hyperlink"/>
            <w:rFonts w:asciiTheme="majorHAnsi" w:hAnsiTheme="majorHAnsi" w:cstheme="majorHAnsi"/>
            <w:sz w:val="18"/>
            <w:szCs w:val="18"/>
          </w:rPr>
          <w:t>https://www.iisd.org/sites/default/files/publications/stories-g20-india-en.pdf</w:t>
        </w:r>
      </w:hyperlink>
    </w:p>
  </w:endnote>
  <w:endnote w:id="50">
    <w:p w14:paraId="01EFD91B" w14:textId="07D3008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India (2019) Coal Vision 2030, Stakeholders’ consultation, </w:t>
      </w:r>
      <w:hyperlink r:id="rId36" w:history="1">
        <w:r w:rsidRPr="00BF1F8C">
          <w:rPr>
            <w:rStyle w:val="Hyperlink"/>
            <w:rFonts w:asciiTheme="majorHAnsi" w:hAnsiTheme="majorHAnsi" w:cstheme="majorHAnsi"/>
            <w:sz w:val="18"/>
            <w:szCs w:val="18"/>
          </w:rPr>
          <w:t>https://www.coalindia.in/DesktopModules/DocumentList/documents/Coal_Vision_2030_document_for_Coal_Sector_Stakeholders_Consultation_27012018.pdf</w:t>
        </w:r>
      </w:hyperlink>
      <w:r w:rsidRPr="00BF1F8C">
        <w:rPr>
          <w:rFonts w:asciiTheme="majorHAnsi" w:hAnsiTheme="majorHAnsi" w:cstheme="majorHAnsi"/>
          <w:sz w:val="18"/>
          <w:szCs w:val="18"/>
        </w:rPr>
        <w:t xml:space="preserve"> </w:t>
      </w:r>
    </w:p>
  </w:endnote>
  <w:endnote w:id="51">
    <w:p w14:paraId="41A9F631" w14:textId="7162EB9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BP (2019) BP Statistical Review of World Energy 2019, </w:t>
      </w:r>
      <w:hyperlink r:id="rId37" w:history="1">
        <w:r w:rsidRPr="00BF1F8C">
          <w:rPr>
            <w:rStyle w:val="Hyperlink"/>
            <w:rFonts w:asciiTheme="majorHAnsi" w:hAnsiTheme="majorHAnsi" w:cstheme="majorHAnsi"/>
            <w:sz w:val="18"/>
            <w:szCs w:val="18"/>
          </w:rPr>
          <w:t>https://www.bp.com/content/dam/bp/business-sites/en/global/corporate/pdfs/energy-economics/statistical-review/bp-stats-review-2019-full-report.pdf</w:t>
        </w:r>
      </w:hyperlink>
      <w:r w:rsidRPr="00BF1F8C">
        <w:rPr>
          <w:rFonts w:asciiTheme="majorHAnsi" w:hAnsiTheme="majorHAnsi" w:cstheme="majorHAnsi"/>
          <w:sz w:val="18"/>
          <w:szCs w:val="18"/>
        </w:rPr>
        <w:t>. According to the Government of India’s Ministry of Coal, India’s proved coal reserves are estimated at 148.8 billion tonnes.</w:t>
      </w:r>
    </w:p>
  </w:endnote>
  <w:endnote w:id="52">
    <w:p w14:paraId="6A0E956D" w14:textId="12D5331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Energy Outlook 2018, p. 236, International Energy Agency, Paris.</w:t>
      </w:r>
    </w:p>
  </w:endnote>
  <w:endnote w:id="53">
    <w:p w14:paraId="6787560D" w14:textId="51A08E7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of India, Ministry of Coal (2019) Coal statistics: Production and supplies, June 2019, </w:t>
      </w:r>
      <w:hyperlink r:id="rId38" w:history="1">
        <w:r w:rsidRPr="00BF1F8C">
          <w:rPr>
            <w:rStyle w:val="Hyperlink"/>
            <w:rFonts w:asciiTheme="majorHAnsi" w:hAnsiTheme="majorHAnsi" w:cstheme="majorHAnsi"/>
            <w:sz w:val="18"/>
            <w:szCs w:val="18"/>
          </w:rPr>
          <w:t>https://www.coal.nic.in/content/production-and-supplies</w:t>
        </w:r>
      </w:hyperlink>
      <w:r w:rsidRPr="00BF1F8C">
        <w:rPr>
          <w:rFonts w:asciiTheme="majorHAnsi" w:hAnsiTheme="majorHAnsi" w:cstheme="majorHAnsi"/>
          <w:sz w:val="18"/>
          <w:szCs w:val="18"/>
        </w:rPr>
        <w:t xml:space="preserve"> </w:t>
      </w:r>
    </w:p>
  </w:endnote>
  <w:endnote w:id="54">
    <w:p w14:paraId="10A36741" w14:textId="77777777" w:rsidR="003C3282" w:rsidRPr="00BF1F8C" w:rsidRDefault="003C3282" w:rsidP="008E2A4B">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of India, Ministry of Coal (2014) Functions and responsibilities, </w:t>
      </w:r>
      <w:hyperlink r:id="rId39" w:history="1">
        <w:r w:rsidRPr="00BF1F8C">
          <w:rPr>
            <w:rStyle w:val="Hyperlink"/>
            <w:rFonts w:asciiTheme="majorHAnsi" w:hAnsiTheme="majorHAnsi" w:cstheme="majorHAnsi"/>
            <w:sz w:val="18"/>
            <w:szCs w:val="18"/>
          </w:rPr>
          <w:t>https://www.coal.nic.in/content/functions-and-responsibilities</w:t>
        </w:r>
      </w:hyperlink>
    </w:p>
  </w:endnote>
  <w:endnote w:id="55">
    <w:p w14:paraId="67BCD438" w14:textId="77777777" w:rsidR="003C3282" w:rsidRPr="00BF1F8C" w:rsidRDefault="003C3282" w:rsidP="008E2A4B">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Controller (2015) Functions and responsibilities, Government of India, </w:t>
      </w:r>
      <w:hyperlink r:id="rId40" w:history="1">
        <w:r w:rsidRPr="00BF1F8C">
          <w:rPr>
            <w:rStyle w:val="Hyperlink"/>
            <w:rFonts w:asciiTheme="majorHAnsi" w:hAnsiTheme="majorHAnsi" w:cstheme="majorHAnsi"/>
            <w:sz w:val="18"/>
            <w:szCs w:val="18"/>
          </w:rPr>
          <w:t>http://www.coalcontroller.gov.in/pages/display/5-functionsresponsibilities</w:t>
        </w:r>
      </w:hyperlink>
      <w:r w:rsidRPr="00BF1F8C">
        <w:rPr>
          <w:rFonts w:asciiTheme="majorHAnsi" w:hAnsiTheme="majorHAnsi" w:cstheme="majorHAnsi"/>
          <w:sz w:val="18"/>
          <w:szCs w:val="18"/>
        </w:rPr>
        <w:t xml:space="preserve"> </w:t>
      </w:r>
    </w:p>
  </w:endnote>
  <w:endnote w:id="56">
    <w:p w14:paraId="52265D9B" w14:textId="77777777" w:rsidR="003C3282" w:rsidRPr="00BF1F8C" w:rsidRDefault="003C3282" w:rsidP="008E2A4B">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(2012) Understanding energy challenges in India: Policy, players and issues, International Energy Agency, Paris.</w:t>
      </w:r>
    </w:p>
  </w:endnote>
  <w:endnote w:id="57">
    <w:p w14:paraId="459D1003" w14:textId="102E189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2018: Analysis and forecasts to 2023, International Energy Agency, Paris.</w:t>
      </w:r>
    </w:p>
  </w:endnote>
  <w:endnote w:id="58">
    <w:p w14:paraId="1512EB30" w14:textId="0ADB015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Singh R (2019) India, world's No. 2 coal Buyer, plans to cut imports by a third, Bloomberg, 1 August 2019, </w:t>
      </w:r>
      <w:hyperlink r:id="rId41" w:history="1">
        <w:r w:rsidRPr="00BF1F8C">
          <w:rPr>
            <w:rStyle w:val="Hyperlink"/>
            <w:rFonts w:asciiTheme="majorHAnsi" w:hAnsiTheme="majorHAnsi" w:cstheme="majorHAnsi"/>
            <w:sz w:val="18"/>
            <w:szCs w:val="18"/>
          </w:rPr>
          <w:t>https://www.bloomberg.com/news/articles/2019-08-01/india-world-s-no-2-coal-buyer-plans-to-cut-imports-by-a-third</w:t>
        </w:r>
      </w:hyperlink>
      <w:r w:rsidRPr="00BF1F8C">
        <w:rPr>
          <w:rFonts w:asciiTheme="majorHAnsi" w:hAnsiTheme="majorHAnsi" w:cstheme="majorHAnsi"/>
          <w:sz w:val="18"/>
          <w:szCs w:val="18"/>
        </w:rPr>
        <w:t xml:space="preserve"> </w:t>
      </w:r>
    </w:p>
  </w:endnote>
  <w:endnote w:id="59">
    <w:p w14:paraId="11D54591" w14:textId="2575EFB0"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IHS Markit, US NAPP selling fast overseas, amid India petcoke ban fears, 29 November 2017.</w:t>
      </w:r>
    </w:p>
  </w:endnote>
  <w:endnote w:id="60">
    <w:p w14:paraId="1937B44E" w14:textId="5371B31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Information 2018, OECD Publishing, Paris.</w:t>
      </w:r>
    </w:p>
  </w:endnote>
  <w:endnote w:id="61">
    <w:p w14:paraId="63EC647A" w14:textId="604F58D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Energy Outlook 2018, International Energy Agency, Paris.</w:t>
      </w:r>
    </w:p>
  </w:endnote>
  <w:endnote w:id="62">
    <w:p w14:paraId="345C8260" w14:textId="4AB7A5B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Steel (2017) National Steel Policy 2017, </w:t>
      </w:r>
      <w:hyperlink r:id="rId42" w:history="1">
        <w:r w:rsidRPr="00BF1F8C">
          <w:rPr>
            <w:rStyle w:val="Hyperlink"/>
            <w:rFonts w:asciiTheme="majorHAnsi" w:hAnsiTheme="majorHAnsi" w:cstheme="majorHAnsi"/>
            <w:sz w:val="18"/>
            <w:szCs w:val="18"/>
          </w:rPr>
          <w:t>https://steel.gov.in/national-steel-policy-nsp-2017</w:t>
        </w:r>
      </w:hyperlink>
      <w:r w:rsidRPr="00BF1F8C">
        <w:rPr>
          <w:rFonts w:asciiTheme="majorHAnsi" w:hAnsiTheme="majorHAnsi" w:cstheme="majorHAnsi"/>
          <w:sz w:val="18"/>
          <w:szCs w:val="18"/>
        </w:rPr>
        <w:t xml:space="preserve"> </w:t>
      </w:r>
    </w:p>
  </w:endnote>
  <w:endnote w:id="63">
    <w:p w14:paraId="5DF75D6B" w14:textId="5FED0F3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Central Electricity Authority (2019) India installed capacity of power stations as at 30 June 2019, </w:t>
      </w:r>
      <w:hyperlink r:id="rId43" w:history="1">
        <w:r w:rsidRPr="00BF1F8C">
          <w:rPr>
            <w:rStyle w:val="Hyperlink"/>
            <w:rFonts w:asciiTheme="majorHAnsi" w:hAnsiTheme="majorHAnsi" w:cstheme="majorHAnsi"/>
            <w:sz w:val="18"/>
            <w:szCs w:val="18"/>
          </w:rPr>
          <w:t>http://cea.nic.in/reports/monthly/installedcapacity/2019/installed_capacity-06.pdf</w:t>
        </w:r>
      </w:hyperlink>
      <w:r w:rsidRPr="00BF1F8C">
        <w:rPr>
          <w:rFonts w:asciiTheme="majorHAnsi" w:hAnsiTheme="majorHAnsi" w:cstheme="majorHAnsi"/>
          <w:sz w:val="18"/>
          <w:szCs w:val="18"/>
        </w:rPr>
        <w:t xml:space="preserve"> </w:t>
      </w:r>
    </w:p>
  </w:endnote>
  <w:endnote w:id="64">
    <w:p w14:paraId="5E4EEC62" w14:textId="5F0FBFC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Platts (2019) World Electric Power Plants database, March 2019.</w:t>
      </w:r>
    </w:p>
  </w:endnote>
  <w:endnote w:id="65">
    <w:p w14:paraId="10E352CB" w14:textId="310F424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Bloomberg (2018) Coal power’s pace slows in India as glut leaves plants unused, The Economic Times, 2 January 2018, </w:t>
      </w:r>
      <w:hyperlink r:id="rId44" w:history="1">
        <w:r w:rsidRPr="00BF1F8C">
          <w:rPr>
            <w:rStyle w:val="Hyperlink"/>
            <w:rFonts w:asciiTheme="majorHAnsi" w:hAnsiTheme="majorHAnsi" w:cstheme="majorHAnsi"/>
            <w:sz w:val="18"/>
            <w:szCs w:val="18"/>
          </w:rPr>
          <w:t>https://economictimes.indiatimes.com/industry/energy/power/coal-powers-pace-slows-in-india-as-glut-leaves-plants-unused/articleshow/62332558.cms</w:t>
        </w:r>
      </w:hyperlink>
      <w:r w:rsidRPr="00BF1F8C">
        <w:rPr>
          <w:rFonts w:asciiTheme="majorHAnsi" w:hAnsiTheme="majorHAnsi" w:cstheme="majorHAnsi"/>
          <w:sz w:val="18"/>
          <w:szCs w:val="18"/>
        </w:rPr>
        <w:t xml:space="preserve"> </w:t>
      </w:r>
    </w:p>
    <w:p w14:paraId="4E3EF2E4" w14:textId="5FF901D9" w:rsidR="003C3282" w:rsidRPr="00BF1F8C" w:rsidRDefault="003C3282" w:rsidP="00BF1F8C">
      <w:pPr>
        <w:pStyle w:val="Heading2"/>
      </w:pPr>
      <w:r w:rsidRPr="00BF1F8C">
        <w:t>Chapter 2</w:t>
      </w:r>
    </w:p>
  </w:endnote>
  <w:endnote w:id="66">
    <w:p w14:paraId="0ECF49D0" w14:textId="1CDA387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IMF (2019) World Economic Outlook April 2019. Growth Slowdown, Precarious Recovery, IMF, Washington, DC.</w:t>
      </w:r>
    </w:p>
  </w:endnote>
  <w:endnote w:id="67">
    <w:p w14:paraId="29B8DAF9" w14:textId="23E2D7B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NITI Aayog (2017) Draft National Energy Policy, Government of India, </w:t>
      </w:r>
      <w:hyperlink r:id="rId45" w:history="1">
        <w:r w:rsidRPr="00BF1F8C">
          <w:rPr>
            <w:rStyle w:val="Hyperlink"/>
            <w:rFonts w:asciiTheme="majorHAnsi" w:hAnsiTheme="majorHAnsi" w:cstheme="majorHAnsi"/>
            <w:sz w:val="18"/>
            <w:szCs w:val="18"/>
          </w:rPr>
          <w:t>https://www.niti.gov.in/writereaddata/files/new_initiatives/NEP-ID_27.06.2017.pdf</w:t>
        </w:r>
      </w:hyperlink>
      <w:r w:rsidRPr="00BF1F8C">
        <w:rPr>
          <w:rFonts w:asciiTheme="majorHAnsi" w:hAnsiTheme="majorHAnsi" w:cstheme="majorHAnsi"/>
          <w:sz w:val="18"/>
          <w:szCs w:val="18"/>
        </w:rPr>
        <w:t xml:space="preserve"> </w:t>
      </w:r>
    </w:p>
  </w:endnote>
  <w:endnote w:id="68">
    <w:p w14:paraId="2B84CE27" w14:textId="7505C2B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India Limited (2018) Coal Vision 2030 Stakeholders’ consultation, </w:t>
      </w:r>
      <w:hyperlink r:id="rId46" w:history="1">
        <w:r w:rsidRPr="00BF1F8C">
          <w:rPr>
            <w:rStyle w:val="Hyperlink"/>
            <w:rFonts w:asciiTheme="majorHAnsi" w:hAnsiTheme="majorHAnsi" w:cstheme="majorHAnsi"/>
            <w:sz w:val="18"/>
            <w:szCs w:val="18"/>
          </w:rPr>
          <w:t>https://www.coalindia.in/DesktopModules/DocumentList/documents/Coal_Vision_2030_document_for_Coal_Sector_Stakeholders_Consultation_27012018.pdf</w:t>
        </w:r>
      </w:hyperlink>
      <w:r w:rsidRPr="00BF1F8C">
        <w:rPr>
          <w:rFonts w:asciiTheme="majorHAnsi" w:hAnsiTheme="majorHAnsi" w:cstheme="majorHAnsi"/>
          <w:sz w:val="18"/>
          <w:szCs w:val="18"/>
        </w:rPr>
        <w:t xml:space="preserve"> </w:t>
      </w:r>
    </w:p>
  </w:endnote>
  <w:endnote w:id="69">
    <w:p w14:paraId="72F12EEC" w14:textId="15CBE2C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Energy Outlook 2018, , p. 582, International Energy Agency, Paris. </w:t>
      </w:r>
    </w:p>
  </w:endnote>
  <w:endnote w:id="70">
    <w:p w14:paraId="586D6A26" w14:textId="668972A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Central Electricity Authority (2018) National Electricity Plan, Central Electricity Authority, </w:t>
      </w:r>
      <w:hyperlink r:id="rId47" w:history="1">
        <w:r w:rsidRPr="00BF1F8C">
          <w:rPr>
            <w:rStyle w:val="Hyperlink"/>
            <w:rFonts w:asciiTheme="majorHAnsi" w:hAnsiTheme="majorHAnsi" w:cstheme="majorHAnsi"/>
            <w:sz w:val="18"/>
            <w:szCs w:val="18"/>
          </w:rPr>
          <w:t>http://www.cea.nic.in/reports/committee/nep/nep_jan_2018.pdf</w:t>
        </w:r>
      </w:hyperlink>
    </w:p>
  </w:endnote>
  <w:endnote w:id="71">
    <w:p w14:paraId="0300B337" w14:textId="029A54AB"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Platts (2019) World Electric Power Plants database, March 2019.</w:t>
      </w:r>
    </w:p>
  </w:endnote>
  <w:endnote w:id="72">
    <w:p w14:paraId="7F21E827" w14:textId="22CE0C7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of India (2019) Economic Survey 2018-19, Volume 1, p. 175, </w:t>
      </w:r>
      <w:hyperlink r:id="rId48" w:history="1">
        <w:r w:rsidRPr="00BF1F8C">
          <w:rPr>
            <w:rStyle w:val="Hyperlink"/>
            <w:rFonts w:asciiTheme="majorHAnsi" w:hAnsiTheme="majorHAnsi" w:cstheme="majorHAnsi"/>
            <w:sz w:val="18"/>
            <w:szCs w:val="18"/>
          </w:rPr>
          <w:t>https://www.indiabudget.gov.in/economicsurvey/doc/vol1chapter/echap09_vol1.pdf</w:t>
        </w:r>
      </w:hyperlink>
      <w:r w:rsidRPr="00BF1F8C">
        <w:rPr>
          <w:rFonts w:asciiTheme="majorHAnsi" w:hAnsiTheme="majorHAnsi" w:cstheme="majorHAnsi"/>
          <w:sz w:val="18"/>
          <w:szCs w:val="18"/>
        </w:rPr>
        <w:t xml:space="preserve"> </w:t>
      </w:r>
    </w:p>
  </w:endnote>
  <w:endnote w:id="73">
    <w:p w14:paraId="42C40C1E" w14:textId="20E8C749"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Jai S (2018) A parking lot for stressed power assets that have no takers, 12 September 2018, Business Standard, </w:t>
      </w:r>
      <w:hyperlink r:id="rId49" w:history="1">
        <w:r w:rsidRPr="00BF1F8C">
          <w:rPr>
            <w:rStyle w:val="Hyperlink"/>
            <w:rFonts w:asciiTheme="majorHAnsi" w:hAnsiTheme="majorHAnsi" w:cstheme="majorHAnsi"/>
            <w:sz w:val="18"/>
            <w:szCs w:val="18"/>
          </w:rPr>
          <w:t>https://www.business-standard.com/article/economy-policy/pariwartan-a-parking-lot-for-stressed-power-assets-that-have-no-takers-118091101089_1.html</w:t>
        </w:r>
      </w:hyperlink>
      <w:r w:rsidRPr="00BF1F8C">
        <w:rPr>
          <w:rFonts w:asciiTheme="majorHAnsi" w:hAnsiTheme="majorHAnsi" w:cstheme="majorHAnsi"/>
          <w:sz w:val="18"/>
          <w:szCs w:val="18"/>
        </w:rPr>
        <w:t xml:space="preserve"> </w:t>
      </w:r>
    </w:p>
  </w:endnote>
  <w:endnote w:id="74">
    <w:p w14:paraId="24D4E6DF" w14:textId="1D320D9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Worrall L et al (2019) India’s energy transition: Stranded coal power assets, workers and energy subsidies, April 2019, International Institute for Sustainable Development, </w:t>
      </w:r>
      <w:hyperlink r:id="rId50" w:history="1">
        <w:r w:rsidRPr="00BF1F8C">
          <w:rPr>
            <w:rStyle w:val="Hyperlink"/>
            <w:rFonts w:asciiTheme="majorHAnsi" w:hAnsiTheme="majorHAnsi" w:cstheme="majorHAnsi"/>
            <w:sz w:val="18"/>
            <w:szCs w:val="18"/>
          </w:rPr>
          <w:t>https://www.iisd.org/sites/default/files/publications/india-energy-transition-stranded-coal-power-assets_0.pdf</w:t>
        </w:r>
      </w:hyperlink>
      <w:r w:rsidRPr="00BF1F8C">
        <w:rPr>
          <w:rFonts w:asciiTheme="majorHAnsi" w:hAnsiTheme="majorHAnsi" w:cstheme="majorHAnsi"/>
          <w:sz w:val="18"/>
          <w:szCs w:val="18"/>
        </w:rPr>
        <w:t xml:space="preserve"> </w:t>
      </w:r>
    </w:p>
  </w:endnote>
  <w:endnote w:id="75">
    <w:p w14:paraId="59760F9F" w14:textId="4752864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76">
    <w:p w14:paraId="5F45D1BF" w14:textId="7777777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IHS Markit (2019) Coal Insight: Recent regulatory measures to de-stress coal power plants, 23 July 2019.</w:t>
      </w:r>
    </w:p>
  </w:endnote>
  <w:endnote w:id="77">
    <w:p w14:paraId="45CC75AF" w14:textId="7F9C62F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Russel C (2019) Coal going from winner to loser in India's energy future</w:t>
      </w:r>
      <w:r w:rsidRPr="00BF1F8C">
        <w:rPr>
          <w:rStyle w:val="Hyperlink"/>
          <w:rFonts w:asciiTheme="majorHAnsi" w:hAnsiTheme="majorHAnsi" w:cstheme="majorHAnsi"/>
          <w:color w:val="373737"/>
          <w:sz w:val="18"/>
          <w:szCs w:val="18"/>
        </w:rPr>
        <w:t xml:space="preserve">, Reuters, 20 February 2019, </w:t>
      </w:r>
      <w:hyperlink r:id="rId51" w:history="1">
        <w:r w:rsidRPr="00BF1F8C">
          <w:rPr>
            <w:rStyle w:val="Hyperlink"/>
            <w:rFonts w:asciiTheme="majorHAnsi" w:hAnsiTheme="majorHAnsi" w:cstheme="majorHAnsi"/>
            <w:sz w:val="18"/>
            <w:szCs w:val="18"/>
          </w:rPr>
          <w:t>https://www.reuters.com/article/us-column-russell-coal-india/coal-going-from-winner-to-loser-in-indias-energy-future-russell-idUSKCN1Q90OP</w:t>
        </w:r>
      </w:hyperlink>
      <w:r w:rsidRPr="00BF1F8C">
        <w:rPr>
          <w:rStyle w:val="Hyperlink"/>
          <w:rFonts w:asciiTheme="majorHAnsi" w:hAnsiTheme="majorHAnsi" w:cstheme="majorHAnsi"/>
          <w:sz w:val="18"/>
          <w:szCs w:val="18"/>
        </w:rPr>
        <w:t>.</w:t>
      </w:r>
      <w:r w:rsidRPr="00BF1F8C">
        <w:rPr>
          <w:rFonts w:asciiTheme="majorHAnsi" w:hAnsiTheme="majorHAnsi" w:cstheme="majorHAnsi"/>
          <w:sz w:val="18"/>
          <w:szCs w:val="18"/>
        </w:rPr>
        <w:t xml:space="preserve"> </w:t>
      </w:r>
    </w:p>
  </w:endnote>
  <w:endnote w:id="78">
    <w:p w14:paraId="4FCB8C65" w14:textId="4E9564E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Tongia R and Gross S (2019) Coal in India: Adjusting to transition, Brookings India..</w:t>
      </w:r>
    </w:p>
  </w:endnote>
  <w:endnote w:id="79">
    <w:p w14:paraId="709B45A5" w14:textId="4CCEBC6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Nakano J and Ladislaw S (2019) A tale of three coal markets, Centre for Strategic and International Studies, </w:t>
      </w:r>
      <w:hyperlink r:id="rId52" w:history="1">
        <w:r w:rsidRPr="00BF1F8C">
          <w:rPr>
            <w:rStyle w:val="Hyperlink"/>
            <w:rFonts w:asciiTheme="majorHAnsi" w:hAnsiTheme="majorHAnsi" w:cstheme="majorHAnsi"/>
            <w:sz w:val="18"/>
            <w:szCs w:val="18"/>
          </w:rPr>
          <w:t>https://www.csis.org/analysis/tale-three-coal-markets</w:t>
        </w:r>
      </w:hyperlink>
      <w:r w:rsidRPr="00BF1F8C">
        <w:rPr>
          <w:rFonts w:asciiTheme="majorHAnsi" w:hAnsiTheme="majorHAnsi" w:cstheme="majorHAnsi"/>
          <w:sz w:val="18"/>
          <w:szCs w:val="18"/>
        </w:rPr>
        <w:t xml:space="preserve"> </w:t>
      </w:r>
    </w:p>
  </w:endnote>
  <w:endnote w:id="80">
    <w:p w14:paraId="61C27CD6" w14:textId="7016143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Science and Technology (2019) Funding opportunity announcement in carbon capture innovation challenge, </w:t>
      </w:r>
      <w:hyperlink r:id="rId53" w:history="1">
        <w:r w:rsidRPr="00BF1F8C">
          <w:rPr>
            <w:rStyle w:val="Hyperlink"/>
            <w:rFonts w:asciiTheme="majorHAnsi" w:hAnsiTheme="majorHAnsi" w:cstheme="majorHAnsi"/>
            <w:sz w:val="18"/>
            <w:szCs w:val="18"/>
          </w:rPr>
          <w:t>http://www.dst.gov.in/sites/default/files/1.%20IC%233%20advertisement_0.pdf</w:t>
        </w:r>
      </w:hyperlink>
      <w:r w:rsidRPr="00BF1F8C">
        <w:rPr>
          <w:rFonts w:asciiTheme="majorHAnsi" w:hAnsiTheme="majorHAnsi" w:cstheme="majorHAnsi"/>
          <w:sz w:val="18"/>
          <w:szCs w:val="18"/>
        </w:rPr>
        <w:t xml:space="preserve">. </w:t>
      </w:r>
    </w:p>
  </w:endnote>
  <w:endnote w:id="81">
    <w:p w14:paraId="3F294297" w14:textId="68CF39F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of India (2019) Second biennial update report to the United National Framework Convention on Climate Change, December 2018.</w:t>
      </w:r>
    </w:p>
  </w:endnote>
  <w:endnote w:id="82">
    <w:p w14:paraId="416E2471" w14:textId="3803C41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Energy Outlook 2018, p. 230, International Energy Agency, Paris.</w:t>
      </w:r>
    </w:p>
  </w:endnote>
  <w:endnote w:id="83">
    <w:p w14:paraId="3EAD2E5E" w14:textId="5D06830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Varadhan S (2019) India plans to add 500 GW renewable energy by 2030: government, Reuters, 25 June 2019, </w:t>
      </w:r>
      <w:hyperlink r:id="rId54" w:history="1">
        <w:r w:rsidRPr="00BF1F8C">
          <w:rPr>
            <w:rStyle w:val="Hyperlink"/>
            <w:rFonts w:asciiTheme="majorHAnsi" w:hAnsiTheme="majorHAnsi" w:cstheme="majorHAnsi"/>
            <w:sz w:val="18"/>
            <w:szCs w:val="18"/>
          </w:rPr>
          <w:t>https://www.reuters.com/article/us-india-renewables-idUSKCN1TQ1R9</w:t>
        </w:r>
      </w:hyperlink>
      <w:r w:rsidRPr="00BF1F8C">
        <w:rPr>
          <w:rFonts w:asciiTheme="majorHAnsi" w:hAnsiTheme="majorHAnsi" w:cstheme="majorHAnsi"/>
          <w:sz w:val="18"/>
          <w:szCs w:val="18"/>
        </w:rPr>
        <w:t xml:space="preserve"> </w:t>
      </w:r>
    </w:p>
  </w:endnote>
  <w:endnote w:id="84">
    <w:p w14:paraId="4D5404C5" w14:textId="77C193AF"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Ali S and Tongia R (2019) The future of Indian electricity supply: Scenarios of coal use by 2030, Brookings India, </w:t>
      </w:r>
      <w:hyperlink r:id="rId55" w:history="1">
        <w:r w:rsidRPr="00BF1F8C">
          <w:rPr>
            <w:rStyle w:val="Hyperlink"/>
            <w:rFonts w:asciiTheme="majorHAnsi" w:hAnsiTheme="majorHAnsi" w:cstheme="majorHAnsi"/>
            <w:sz w:val="18"/>
            <w:szCs w:val="18"/>
          </w:rPr>
          <w:t>https://www.brookings.edu/research/the-future-of-indian-electricity-supply-scenarios-of-coal-use-by-2030/</w:t>
        </w:r>
      </w:hyperlink>
      <w:r w:rsidRPr="00BF1F8C">
        <w:rPr>
          <w:rFonts w:asciiTheme="majorHAnsi" w:hAnsiTheme="majorHAnsi" w:cstheme="majorHAnsi"/>
          <w:sz w:val="18"/>
          <w:szCs w:val="18"/>
        </w:rPr>
        <w:t xml:space="preserve"> </w:t>
      </w:r>
    </w:p>
  </w:endnote>
  <w:endnote w:id="85">
    <w:p w14:paraId="2A82D63D" w14:textId="712F849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Tongia R and Gross S (2018) Working to turn ambition into reality. The politics and economics of India’s turn to renewable power, Brookings, </w:t>
      </w:r>
      <w:hyperlink r:id="rId56" w:history="1">
        <w:r w:rsidRPr="00BF1F8C">
          <w:rPr>
            <w:rStyle w:val="Hyperlink"/>
            <w:rFonts w:asciiTheme="majorHAnsi" w:hAnsiTheme="majorHAnsi" w:cstheme="majorHAnsi"/>
            <w:sz w:val="18"/>
            <w:szCs w:val="18"/>
          </w:rPr>
          <w:t>https://www.brookings.edu/research/working-to-turn-ambition-into-reality/</w:t>
        </w:r>
      </w:hyperlink>
    </w:p>
  </w:endnote>
  <w:endnote w:id="86">
    <w:p w14:paraId="24A4FAC5" w14:textId="096FCA2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Tongia R and Gross S (2018) Working to turn ambition into reality. The politics and economics of India’s turn to renewable power, Brookings, </w:t>
      </w:r>
      <w:hyperlink r:id="rId57" w:history="1">
        <w:r w:rsidRPr="00BF1F8C">
          <w:rPr>
            <w:rStyle w:val="Hyperlink"/>
            <w:rFonts w:asciiTheme="majorHAnsi" w:hAnsiTheme="majorHAnsi" w:cstheme="majorHAnsi"/>
            <w:sz w:val="18"/>
            <w:szCs w:val="18"/>
          </w:rPr>
          <w:t>https://www.brookings.edu/research/working-to-turn-ambition-into-reality/</w:t>
        </w:r>
      </w:hyperlink>
      <w:r w:rsidRPr="00BF1F8C">
        <w:rPr>
          <w:rStyle w:val="Hyperlink"/>
          <w:rFonts w:asciiTheme="majorHAnsi" w:hAnsiTheme="majorHAnsi" w:cstheme="majorHAnsi"/>
          <w:sz w:val="18"/>
          <w:szCs w:val="18"/>
        </w:rPr>
        <w:t>;</w:t>
      </w:r>
      <w:r w:rsidRPr="00BF1F8C">
        <w:rPr>
          <w:rFonts w:asciiTheme="majorHAnsi" w:hAnsiTheme="majorHAnsi" w:cstheme="majorHAnsi"/>
          <w:sz w:val="18"/>
          <w:szCs w:val="18"/>
        </w:rPr>
        <w:t xml:space="preserve"> Tongia R (2018) RE “versus” coal in India – A false framing as both have a role to play, Policy Brief, Brookings, </w:t>
      </w:r>
      <w:hyperlink r:id="rId58" w:history="1">
        <w:r w:rsidRPr="00BF1F8C">
          <w:rPr>
            <w:rStyle w:val="Hyperlink"/>
            <w:rFonts w:asciiTheme="majorHAnsi" w:hAnsiTheme="majorHAnsi" w:cstheme="majorHAnsi"/>
            <w:sz w:val="18"/>
            <w:szCs w:val="18"/>
          </w:rPr>
          <w:t>https://www.brookings.edu/wp-content/uploads/2018/10/Renewable-Energy-%E2%80%9Cversus%E2%80%9D-coal-in-India.pdf</w:t>
        </w:r>
      </w:hyperlink>
      <w:r w:rsidRPr="00BF1F8C">
        <w:rPr>
          <w:rFonts w:asciiTheme="majorHAnsi" w:hAnsiTheme="majorHAnsi" w:cstheme="majorHAnsi"/>
          <w:sz w:val="18"/>
          <w:szCs w:val="18"/>
        </w:rPr>
        <w:t xml:space="preserve"> </w:t>
      </w:r>
    </w:p>
  </w:endnote>
  <w:endnote w:id="87">
    <w:p w14:paraId="3F356198" w14:textId="3CE0494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Arora B (2019) Government may revise 1 billion tonne coal production target set for 2020, Bloomberg, 6 April 2018, </w:t>
      </w:r>
      <w:hyperlink r:id="rId59" w:history="1">
        <w:r w:rsidRPr="00BF1F8C">
          <w:rPr>
            <w:rStyle w:val="Hyperlink"/>
            <w:rFonts w:asciiTheme="majorHAnsi" w:hAnsiTheme="majorHAnsi" w:cstheme="majorHAnsi"/>
            <w:sz w:val="18"/>
            <w:szCs w:val="18"/>
          </w:rPr>
          <w:t>https://www.bloombergquint.com/business/government-may-revise-1-billion-tonne-coal-production-target-set-for-2020</w:t>
        </w:r>
      </w:hyperlink>
    </w:p>
  </w:endnote>
  <w:endnote w:id="88">
    <w:p w14:paraId="06C7F857" w14:textId="111E32D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Coal (2019) Minutes of Quarterly Project Review, January 2019, </w:t>
      </w:r>
      <w:hyperlink r:id="rId60" w:history="1">
        <w:r w:rsidRPr="00BF1F8C">
          <w:rPr>
            <w:rStyle w:val="Hyperlink"/>
            <w:rFonts w:asciiTheme="majorHAnsi" w:hAnsiTheme="majorHAnsi" w:cstheme="majorHAnsi"/>
            <w:sz w:val="18"/>
            <w:szCs w:val="18"/>
          </w:rPr>
          <w:t>https://coal.nic.in/sites/upload_files/coal/files/curentnotices/18-01-2019.pdf</w:t>
        </w:r>
      </w:hyperlink>
    </w:p>
  </w:endnote>
  <w:endnote w:id="89">
    <w:p w14:paraId="523081A0" w14:textId="5175078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90">
    <w:p w14:paraId="6F8D49D0" w14:textId="58E43DB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Coal (2018) Coal Vision 2030 Stakeholders’ Consultation, </w:t>
      </w:r>
      <w:hyperlink r:id="rId61" w:history="1">
        <w:r w:rsidRPr="00BF1F8C">
          <w:rPr>
            <w:rStyle w:val="Hyperlink"/>
            <w:rFonts w:asciiTheme="majorHAnsi" w:hAnsiTheme="majorHAnsi" w:cstheme="majorHAnsi"/>
            <w:sz w:val="18"/>
            <w:szCs w:val="18"/>
          </w:rPr>
          <w:t>https://www.coalindia.in/DesktopModules/DocumentList/documents/Coal_Vision_2030_document_for_Coal_Sector_Stakeholders_Consultation_27012018.pdf</w:t>
        </w:r>
      </w:hyperlink>
      <w:r w:rsidRPr="00BF1F8C">
        <w:rPr>
          <w:rFonts w:asciiTheme="majorHAnsi" w:hAnsiTheme="majorHAnsi" w:cstheme="majorHAnsi"/>
          <w:sz w:val="18"/>
          <w:szCs w:val="18"/>
        </w:rPr>
        <w:t xml:space="preserve"> </w:t>
      </w:r>
    </w:p>
  </w:endnote>
  <w:endnote w:id="91">
    <w:p w14:paraId="1A55A754" w14:textId="7009112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Dutta S (2019) 52 coal mines opened in 5 years to fuel power drive, 23 January 2019, Times of India, </w:t>
      </w:r>
      <w:hyperlink r:id="rId62" w:history="1">
        <w:r w:rsidRPr="00BF1F8C">
          <w:rPr>
            <w:rStyle w:val="Hyperlink"/>
            <w:rFonts w:asciiTheme="majorHAnsi" w:hAnsiTheme="majorHAnsi" w:cstheme="majorHAnsi"/>
            <w:sz w:val="18"/>
            <w:szCs w:val="18"/>
          </w:rPr>
          <w:t>https://timesofindia.indiatimes.com/india/government-opened-52-coal-mines-to-fuel-pm-narendra-modis-electrification-drive/articleshow/67646776.cms</w:t>
        </w:r>
      </w:hyperlink>
      <w:r w:rsidRPr="00BF1F8C">
        <w:rPr>
          <w:rFonts w:asciiTheme="majorHAnsi" w:hAnsiTheme="majorHAnsi" w:cstheme="majorHAnsi"/>
          <w:sz w:val="18"/>
          <w:szCs w:val="18"/>
        </w:rPr>
        <w:t xml:space="preserve"> </w:t>
      </w:r>
      <w:r w:rsidRPr="00BF1F8C">
        <w:rPr>
          <w:rFonts w:asciiTheme="majorHAnsi" w:hAnsiTheme="majorHAnsi" w:cstheme="majorHAnsi"/>
          <w:sz w:val="18"/>
          <w:szCs w:val="18"/>
        </w:rPr>
        <w:tab/>
      </w:r>
    </w:p>
  </w:endnote>
  <w:endnote w:id="92">
    <w:p w14:paraId="6300F13E" w14:textId="5633806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Coal (2018) Coal Vision 203 Stakeholders’ Consultation, </w:t>
      </w:r>
      <w:hyperlink r:id="rId63" w:history="1">
        <w:r w:rsidRPr="00BF1F8C">
          <w:rPr>
            <w:rStyle w:val="Hyperlink"/>
            <w:rFonts w:asciiTheme="majorHAnsi" w:hAnsiTheme="majorHAnsi" w:cstheme="majorHAnsi"/>
            <w:sz w:val="18"/>
            <w:szCs w:val="18"/>
          </w:rPr>
          <w:t>https://www.coalindia.in/DesktopModules/DocumentList/documents/Coal_Vision_2030_document_for_Coal_Sector_Stakeholders_Consultation_27012018.pdf</w:t>
        </w:r>
      </w:hyperlink>
    </w:p>
  </w:endnote>
  <w:endnote w:id="93">
    <w:p w14:paraId="3633CC6A" w14:textId="57ADCA9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International Labour Organisation (2018) ILO database, accessed through World Bank Databank, 2018.</w:t>
      </w:r>
    </w:p>
  </w:endnote>
  <w:endnote w:id="94">
    <w:p w14:paraId="7C35BFC4" w14:textId="17FDFC9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EIA (2016) International Energy Outlook 2016, US Energy Information Administration, </w:t>
      </w:r>
      <w:hyperlink r:id="rId64" w:history="1">
        <w:r w:rsidRPr="00BF1F8C">
          <w:rPr>
            <w:rStyle w:val="Hyperlink"/>
            <w:rFonts w:asciiTheme="majorHAnsi" w:hAnsiTheme="majorHAnsi" w:cstheme="majorHAnsi"/>
            <w:sz w:val="18"/>
            <w:szCs w:val="18"/>
          </w:rPr>
          <w:t>https://www.eia.gov/outlooks/ieo/pdf/0484(2016).pdf</w:t>
        </w:r>
      </w:hyperlink>
      <w:r w:rsidRPr="00BF1F8C">
        <w:rPr>
          <w:rFonts w:asciiTheme="majorHAnsi" w:hAnsiTheme="majorHAnsi" w:cstheme="majorHAnsi"/>
          <w:sz w:val="18"/>
          <w:szCs w:val="18"/>
        </w:rPr>
        <w:t xml:space="preserve"> </w:t>
      </w:r>
    </w:p>
  </w:endnote>
  <w:endnote w:id="95">
    <w:p w14:paraId="350ACA6C" w14:textId="58AF649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Centre for Policy Research (2019) Understanding Land Conflict in India and Suggestions for Reform, Centre for Policy Research News, 26 June 2019, </w:t>
      </w:r>
      <w:hyperlink r:id="rId65" w:history="1">
        <w:r w:rsidRPr="00BF1F8C">
          <w:rPr>
            <w:rStyle w:val="Hyperlink"/>
            <w:rFonts w:asciiTheme="majorHAnsi" w:hAnsiTheme="majorHAnsi" w:cstheme="majorHAnsi"/>
            <w:sz w:val="18"/>
            <w:szCs w:val="18"/>
          </w:rPr>
          <w:t>https://www.cprindia.org/news/7922</w:t>
        </w:r>
      </w:hyperlink>
      <w:r w:rsidRPr="00BF1F8C">
        <w:rPr>
          <w:rFonts w:asciiTheme="majorHAnsi" w:hAnsiTheme="majorHAnsi" w:cstheme="majorHAnsi"/>
          <w:sz w:val="18"/>
          <w:szCs w:val="18"/>
        </w:rPr>
        <w:t xml:space="preserve"> </w:t>
      </w:r>
    </w:p>
  </w:endnote>
  <w:endnote w:id="96">
    <w:p w14:paraId="6AAD79FD" w14:textId="4181D26F"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IHS Markit (2019) India Coal Market Briefing Q2 2019.</w:t>
      </w:r>
    </w:p>
  </w:endnote>
  <w:endnote w:id="97">
    <w:p w14:paraId="1C2DC8C9" w14:textId="5FDD228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BNEF (2019) New Energy Outlook, Bloomberg New Energy Finance.</w:t>
      </w:r>
    </w:p>
  </w:endnote>
  <w:endnote w:id="98">
    <w:p w14:paraId="237C93C0" w14:textId="76E788C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66"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99">
    <w:p w14:paraId="7D3CE039" w14:textId="3F0E43D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India Limited (2019) Annual report and accounts 2018–19, Coal India Limited.</w:t>
      </w:r>
    </w:p>
  </w:endnote>
  <w:endnote w:id="100">
    <w:p w14:paraId="2372E2BF" w14:textId="5D52E65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2018: Analysis and forecasts to 2023, International Energy Agency, Paris.</w:t>
      </w:r>
    </w:p>
  </w:endnote>
  <w:endnote w:id="101">
    <w:p w14:paraId="731184E7" w14:textId="2A4C1DA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India Limited (2019) Annual report and accounts 2018–19, Coal India Limited.</w:t>
      </w:r>
    </w:p>
  </w:endnote>
  <w:endnote w:id="102">
    <w:p w14:paraId="02248FCD" w14:textId="36846EAD" w:rsidR="003C3282" w:rsidRPr="00BF1F8C" w:rsidRDefault="003C3282" w:rsidP="001D3E91">
      <w:pPr>
        <w:pStyle w:val="EndnoteText"/>
        <w:spacing w:before="40" w:after="40"/>
        <w:ind w:left="108"/>
        <w:jc w:val="left"/>
        <w:rPr>
          <w:rFonts w:asciiTheme="majorHAnsi" w:hAnsiTheme="majorHAnsi" w:cstheme="majorHAnsi"/>
          <w:sz w:val="18"/>
          <w:szCs w:val="18"/>
          <w:highlight w:val="yellow"/>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Spencer T et al (2018) Coal Transition in India, November 2018, The Energy and Resources Institute, </w:t>
      </w:r>
      <w:hyperlink r:id="rId67" w:history="1">
        <w:r w:rsidRPr="00BF1F8C">
          <w:rPr>
            <w:rStyle w:val="Hyperlink"/>
            <w:rFonts w:asciiTheme="majorHAnsi" w:hAnsiTheme="majorHAnsi" w:cstheme="majorHAnsi"/>
            <w:sz w:val="18"/>
            <w:szCs w:val="18"/>
          </w:rPr>
          <w:t>https://www.teriin.org/sites/default/files/2018-12/Coal-Transition-in-India.pdf</w:t>
        </w:r>
      </w:hyperlink>
      <w:r w:rsidRPr="00BF1F8C">
        <w:rPr>
          <w:rFonts w:asciiTheme="majorHAnsi" w:hAnsiTheme="majorHAnsi" w:cstheme="majorHAnsi"/>
          <w:sz w:val="18"/>
          <w:szCs w:val="18"/>
        </w:rPr>
        <w:t xml:space="preserve"> </w:t>
      </w:r>
    </w:p>
  </w:endnote>
  <w:endnote w:id="103">
    <w:p w14:paraId="6C5D2CC1" w14:textId="1B3A2A4B"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India Limited (2019) Annual report and accounts 2018–19, Coal India Limited.</w:t>
      </w:r>
    </w:p>
  </w:endnote>
  <w:endnote w:id="104">
    <w:p w14:paraId="6151FEA1" w14:textId="2E20F52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Roychowdhury I (2019 CIL shuts underground mining with Centre push to convert all mines profitable, Financial Express, 26 April 2019, </w:t>
      </w:r>
      <w:hyperlink r:id="rId68" w:history="1">
        <w:r w:rsidRPr="00BF1F8C">
          <w:rPr>
            <w:rStyle w:val="Hyperlink"/>
            <w:rFonts w:asciiTheme="majorHAnsi" w:hAnsiTheme="majorHAnsi" w:cstheme="majorHAnsi"/>
            <w:sz w:val="18"/>
            <w:szCs w:val="18"/>
          </w:rPr>
          <w:t>https://www.financialexpress.com/market/cil-shuts-underground-mining-with-centre-push-to-convert-all-mines-profitable/1559373/</w:t>
        </w:r>
      </w:hyperlink>
      <w:r w:rsidRPr="00BF1F8C">
        <w:rPr>
          <w:rFonts w:asciiTheme="majorHAnsi" w:hAnsiTheme="majorHAnsi" w:cstheme="majorHAnsi"/>
          <w:sz w:val="18"/>
          <w:szCs w:val="18"/>
        </w:rPr>
        <w:t xml:space="preserve"> </w:t>
      </w:r>
    </w:p>
  </w:endnote>
  <w:endnote w:id="105">
    <w:p w14:paraId="1868582A" w14:textId="131A3B6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(2012) Understanding Energy Challenges in India: Policy, player and issues, International Energy Agency, Paris.</w:t>
      </w:r>
    </w:p>
  </w:endnote>
  <w:endnote w:id="106">
    <w:p w14:paraId="17457194" w14:textId="272F3B4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Sengupta D (2018) Coal India to adopt more transparent pricing system, The Economic Times, 25 March 2018, </w:t>
      </w:r>
      <w:hyperlink r:id="rId69" w:history="1">
        <w:r w:rsidRPr="00BF1F8C">
          <w:rPr>
            <w:rStyle w:val="Hyperlink"/>
            <w:rFonts w:asciiTheme="majorHAnsi" w:hAnsiTheme="majorHAnsi" w:cstheme="majorHAnsi"/>
            <w:sz w:val="18"/>
            <w:szCs w:val="18"/>
          </w:rPr>
          <w:t>https://economictimes.indiatimes.com/industry/indl-goods/svs/metals-mining/coal-india-to-adopt-more-transparent-pricing-system/articleshow/63456357.cms?from=mdr</w:t>
        </w:r>
      </w:hyperlink>
      <w:r w:rsidRPr="00BF1F8C">
        <w:rPr>
          <w:rFonts w:asciiTheme="majorHAnsi" w:hAnsiTheme="majorHAnsi" w:cstheme="majorHAnsi"/>
          <w:sz w:val="18"/>
          <w:szCs w:val="18"/>
        </w:rPr>
        <w:t xml:space="preserve"> </w:t>
      </w:r>
    </w:p>
  </w:endnote>
  <w:endnote w:id="107">
    <w:p w14:paraId="312E90FA" w14:textId="3BA9544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The World Bank, South Asia Development Forum, </w:t>
      </w:r>
      <w:hyperlink r:id="rId70"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108">
    <w:p w14:paraId="069BCC22" w14:textId="19D9B280"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109">
    <w:p w14:paraId="386C01A4" w14:textId="3F2BFE6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Coal (2018) Government of India Press Information Bureau, 20 February 2018, </w:t>
      </w:r>
      <w:r w:rsidRPr="00BF1F8C">
        <w:rPr>
          <w:rStyle w:val="Hyperlink"/>
          <w:rFonts w:asciiTheme="majorHAnsi" w:hAnsiTheme="majorHAnsi" w:cstheme="majorHAnsi"/>
          <w:sz w:val="18"/>
          <w:szCs w:val="18"/>
        </w:rPr>
        <w:t>http://pib.nic.in/PressReleseDetail.aspx?PRID=1521026</w:t>
      </w:r>
    </w:p>
  </w:endnote>
  <w:endnote w:id="110">
    <w:p w14:paraId="2287CF24" w14:textId="2DF5839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2018: Analysis and forecasts to 2023, International Energy Agency, Paris.</w:t>
      </w:r>
    </w:p>
  </w:endnote>
  <w:endnote w:id="111">
    <w:p w14:paraId="4F225465" w14:textId="084A2C8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Kumar N (2019) Trade Unions blocking auction of commercial coal mining, Sunday Guardian Live, 13 July 2019, </w:t>
      </w:r>
      <w:hyperlink r:id="rId71" w:history="1">
        <w:r w:rsidRPr="00BF1F8C">
          <w:rPr>
            <w:rStyle w:val="Hyperlink"/>
            <w:rFonts w:asciiTheme="majorHAnsi" w:hAnsiTheme="majorHAnsi" w:cstheme="majorHAnsi"/>
            <w:sz w:val="18"/>
            <w:szCs w:val="18"/>
          </w:rPr>
          <w:t>https://www.sundayguardianlive.com/news/trade-unions-blocking-auction-commercial-coal-mining</w:t>
        </w:r>
      </w:hyperlink>
      <w:r w:rsidRPr="00BF1F8C">
        <w:rPr>
          <w:rFonts w:asciiTheme="majorHAnsi" w:hAnsiTheme="majorHAnsi" w:cstheme="majorHAnsi"/>
          <w:sz w:val="18"/>
          <w:szCs w:val="18"/>
        </w:rPr>
        <w:t xml:space="preserve"> </w:t>
      </w:r>
    </w:p>
  </w:endnote>
  <w:endnote w:id="112">
    <w:p w14:paraId="730C88FF" w14:textId="6F3FA70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Sehgal A and Tongia R (2018) Commercial coal mining in India: A possible but not irrefutable game changer, 1 March 2018, Brookings, </w:t>
      </w:r>
      <w:hyperlink r:id="rId72" w:history="1">
        <w:r w:rsidRPr="00BF1F8C">
          <w:rPr>
            <w:rStyle w:val="Hyperlink"/>
            <w:rFonts w:asciiTheme="majorHAnsi" w:hAnsiTheme="majorHAnsi" w:cstheme="majorHAnsi"/>
            <w:sz w:val="18"/>
            <w:szCs w:val="18"/>
          </w:rPr>
          <w:t>https://www.brookings.edu/blog/planetpolicy/2018/03/01/commercial-coal-mining-in-india-a-possible-but-not-irrefutable-game-changer/</w:t>
        </w:r>
      </w:hyperlink>
    </w:p>
  </w:endnote>
  <w:endnote w:id="113">
    <w:p w14:paraId="42F08477" w14:textId="7777777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2018: Analysis and forecasts to 2023, International Energy Agency, Paris.</w:t>
      </w:r>
    </w:p>
  </w:endnote>
  <w:endnote w:id="114">
    <w:p w14:paraId="04291A4B" w14:textId="21414135"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Energy Outlook 2018, International Energy Agency, Paris.</w:t>
      </w:r>
    </w:p>
  </w:endnote>
  <w:endnote w:id="115">
    <w:p w14:paraId="0A859BD8" w14:textId="754F484C"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Cornot-Gandolphe S (2016) Indian steam coal imports: The great equation, The Oxford Institute for Energy Studies, </w:t>
      </w:r>
      <w:hyperlink r:id="rId73" w:history="1">
        <w:r w:rsidRPr="00BF1F8C">
          <w:rPr>
            <w:rStyle w:val="Hyperlink"/>
            <w:rFonts w:asciiTheme="majorHAnsi" w:hAnsiTheme="majorHAnsi" w:cstheme="majorHAnsi"/>
            <w:sz w:val="18"/>
            <w:szCs w:val="18"/>
          </w:rPr>
          <w:t>https://www.oxfordenergy.org/wpcms/wp-content/uploads/2016/03/Indian-Steam-Coal-Imports-The-Great-Equation-CL-3.pdf?v=6cc98ba2045f</w:t>
        </w:r>
      </w:hyperlink>
      <w:r w:rsidRPr="00BF1F8C">
        <w:rPr>
          <w:rFonts w:asciiTheme="majorHAnsi" w:hAnsiTheme="majorHAnsi" w:cstheme="majorHAnsi"/>
          <w:sz w:val="18"/>
          <w:szCs w:val="18"/>
        </w:rPr>
        <w:t xml:space="preserve"> </w:t>
      </w:r>
    </w:p>
  </w:endnote>
  <w:endnote w:id="116">
    <w:p w14:paraId="0D070DD2" w14:textId="63B42C9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endnote>
  <w:endnote w:id="117">
    <w:p w14:paraId="35D484E2" w14:textId="7777777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ORF (2017) Coal beneficiation: Policy priorities for India, July 2017, Observer Research Foundation, </w:t>
      </w:r>
      <w:hyperlink r:id="rId74" w:history="1">
        <w:r w:rsidRPr="00BF1F8C">
          <w:rPr>
            <w:rStyle w:val="Hyperlink"/>
            <w:rFonts w:asciiTheme="majorHAnsi" w:hAnsiTheme="majorHAnsi" w:cstheme="majorHAnsi"/>
            <w:sz w:val="18"/>
            <w:szCs w:val="18"/>
          </w:rPr>
          <w:t>https://www.orfonline.org/wp-content/uploads/2017/07/ORF_PolicyBrief_Coal.pdf</w:t>
        </w:r>
      </w:hyperlink>
      <w:r w:rsidRPr="00BF1F8C">
        <w:rPr>
          <w:rFonts w:asciiTheme="majorHAnsi" w:hAnsiTheme="majorHAnsi" w:cstheme="majorHAnsi"/>
          <w:sz w:val="18"/>
          <w:szCs w:val="18"/>
        </w:rPr>
        <w:t xml:space="preserve"> </w:t>
      </w:r>
    </w:p>
  </w:endnote>
  <w:endnote w:id="118">
    <w:p w14:paraId="21BE18D7" w14:textId="2AFA5AF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Coal (2018) Annual Report 2018–19, </w:t>
      </w:r>
      <w:hyperlink r:id="rId75" w:history="1">
        <w:r w:rsidRPr="00BF1F8C">
          <w:rPr>
            <w:rStyle w:val="Hyperlink"/>
            <w:rFonts w:asciiTheme="majorHAnsi" w:hAnsiTheme="majorHAnsi" w:cstheme="majorHAnsi"/>
            <w:sz w:val="18"/>
            <w:szCs w:val="18"/>
          </w:rPr>
          <w:t>https://www.coal.nic.in/sites/upload_files/coal/files/coalupload/AnnualReport1819.pdf</w:t>
        </w:r>
      </w:hyperlink>
      <w:r w:rsidRPr="00BF1F8C">
        <w:rPr>
          <w:rFonts w:asciiTheme="majorHAnsi" w:hAnsiTheme="majorHAnsi" w:cstheme="majorHAnsi"/>
          <w:sz w:val="18"/>
          <w:szCs w:val="18"/>
        </w:rPr>
        <w:t xml:space="preserve"> </w:t>
      </w:r>
    </w:p>
  </w:endnote>
  <w:endnote w:id="119">
    <w:p w14:paraId="6C7C5335" w14:textId="7483A77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Government of India, Coal washing capacity: Eleventh five year plan period, data.gov.in, </w:t>
      </w:r>
      <w:hyperlink r:id="rId76" w:history="1">
        <w:r w:rsidRPr="00BF1F8C">
          <w:rPr>
            <w:rStyle w:val="Hyperlink"/>
            <w:rFonts w:asciiTheme="majorHAnsi" w:hAnsiTheme="majorHAnsi" w:cstheme="majorHAnsi"/>
            <w:sz w:val="18"/>
            <w:szCs w:val="18"/>
          </w:rPr>
          <w:t>https://data.gov.in/keywords/coal-washing</w:t>
        </w:r>
      </w:hyperlink>
      <w:r w:rsidRPr="00BF1F8C">
        <w:rPr>
          <w:rFonts w:asciiTheme="majorHAnsi" w:hAnsiTheme="majorHAnsi" w:cstheme="majorHAnsi"/>
          <w:sz w:val="18"/>
          <w:szCs w:val="18"/>
        </w:rPr>
        <w:t xml:space="preserve"> </w:t>
      </w:r>
    </w:p>
  </w:endnote>
  <w:endnote w:id="120">
    <w:p w14:paraId="76FC85D1" w14:textId="79BC3F04"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ORF (2017) Coal beneficiation: Policy priorities for India, July 2017, Observer Research Foundation, </w:t>
      </w:r>
      <w:hyperlink r:id="rId77" w:history="1">
        <w:r w:rsidRPr="00BF1F8C">
          <w:rPr>
            <w:rStyle w:val="Hyperlink"/>
            <w:rFonts w:asciiTheme="majorHAnsi" w:hAnsiTheme="majorHAnsi" w:cstheme="majorHAnsi"/>
            <w:sz w:val="18"/>
            <w:szCs w:val="18"/>
          </w:rPr>
          <w:t>https://www.orfonline.org/wp-content/uploads/2017/07/ORF_PolicyBrief_Coal.pdf</w:t>
        </w:r>
      </w:hyperlink>
      <w:r w:rsidRPr="00BF1F8C">
        <w:rPr>
          <w:rFonts w:asciiTheme="majorHAnsi" w:hAnsiTheme="majorHAnsi" w:cstheme="majorHAnsi"/>
          <w:sz w:val="18"/>
          <w:szCs w:val="18"/>
        </w:rPr>
        <w:t xml:space="preserve"> </w:t>
      </w:r>
    </w:p>
  </w:endnote>
  <w:endnote w:id="121">
    <w:p w14:paraId="6C22B98A" w14:textId="42EAD96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Coal India Limited (2019) Annual report and accounts 2018–19, Coal India Limited.</w:t>
      </w:r>
    </w:p>
  </w:endnote>
  <w:endnote w:id="122">
    <w:p w14:paraId="5F74734E" w14:textId="3061DF03"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Arora I (2019) Power secretary says tariffs to rise in staggered manner over five years, bloombergquint.com, 3 January 2011, </w:t>
      </w:r>
      <w:hyperlink r:id="rId78" w:history="1">
        <w:r w:rsidRPr="00BF1F8C">
          <w:rPr>
            <w:rStyle w:val="Hyperlink"/>
            <w:rFonts w:asciiTheme="majorHAnsi" w:hAnsiTheme="majorHAnsi" w:cstheme="majorHAnsi"/>
            <w:sz w:val="18"/>
            <w:szCs w:val="18"/>
          </w:rPr>
          <w:t>https://www.bloombergquint.com/business/power-secretary-says-tariffs-to-rise-in-staggered-manner-over-five-years</w:t>
        </w:r>
      </w:hyperlink>
    </w:p>
  </w:endnote>
  <w:endnote w:id="123">
    <w:p w14:paraId="3B5C887F" w14:textId="3C200D1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Zhang F (2019) In the dark: How much do power sector distortions cost South Asia, World Bank, South Asia Development Forum, </w:t>
      </w:r>
      <w:hyperlink r:id="rId79" w:history="1">
        <w:r w:rsidRPr="00BF1F8C">
          <w:rPr>
            <w:rStyle w:val="Hyperlink"/>
            <w:rFonts w:asciiTheme="majorHAnsi" w:hAnsiTheme="majorHAnsi" w:cstheme="majorHAnsi"/>
            <w:sz w:val="18"/>
            <w:szCs w:val="18"/>
          </w:rPr>
          <w:t>https://openknowledge.worldbank.org/bitstream/handle/10986/30923/9781464811548.pdf</w:t>
        </w:r>
      </w:hyperlink>
      <w:r w:rsidRPr="00BF1F8C">
        <w:rPr>
          <w:rFonts w:asciiTheme="majorHAnsi" w:hAnsiTheme="majorHAnsi" w:cstheme="majorHAnsi"/>
          <w:sz w:val="18"/>
          <w:szCs w:val="18"/>
        </w:rPr>
        <w:t xml:space="preserve"> </w:t>
      </w:r>
    </w:p>
  </w:endnote>
  <w:endnote w:id="124">
    <w:p w14:paraId="796ED062" w14:textId="485A84EA"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Cornot-Gandolphe S (2016) Indian steam coal imports: The great equation, The Oxford Institute for Energy Studies, </w:t>
      </w:r>
      <w:hyperlink r:id="rId80" w:history="1">
        <w:r w:rsidRPr="00BF1F8C">
          <w:rPr>
            <w:rStyle w:val="Hyperlink"/>
            <w:rFonts w:asciiTheme="majorHAnsi" w:hAnsiTheme="majorHAnsi" w:cstheme="majorHAnsi"/>
            <w:sz w:val="18"/>
            <w:szCs w:val="18"/>
          </w:rPr>
          <w:t>https://www.oxfordenergy.org/wpcms/wp-content/uploads/2016/03/Indian-Steam-Coal-Imports-The-Great-Equation-CL-3.pdf?v=6cc98ba2045f</w:t>
        </w:r>
      </w:hyperlink>
      <w:r w:rsidRPr="00BF1F8C">
        <w:rPr>
          <w:rFonts w:asciiTheme="majorHAnsi" w:hAnsiTheme="majorHAnsi" w:cstheme="majorHAnsi"/>
          <w:sz w:val="18"/>
          <w:szCs w:val="18"/>
        </w:rPr>
        <w:t xml:space="preserve"> </w:t>
      </w:r>
    </w:p>
  </w:endnote>
  <w:endnote w:id="125">
    <w:p w14:paraId="22B074C3" w14:textId="774904EE"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Ministry of Coal (2018) Coal Vision 2030. Stakeholders’ consultation, </w:t>
      </w:r>
      <w:hyperlink r:id="rId81" w:history="1">
        <w:r w:rsidRPr="00BF1F8C">
          <w:rPr>
            <w:rStyle w:val="Hyperlink"/>
            <w:rFonts w:asciiTheme="majorHAnsi" w:hAnsiTheme="majorHAnsi" w:cstheme="majorHAnsi"/>
            <w:sz w:val="18"/>
            <w:szCs w:val="18"/>
          </w:rPr>
          <w:t>https://www.coalindia.in/DesktopModules/DocumentList/documents/Coal_Vision_2030_document_for_Coal_Sector_Stakeholders_Consultation_27012018.pdf</w:t>
        </w:r>
      </w:hyperlink>
    </w:p>
  </w:endnote>
  <w:endnote w:id="126">
    <w:p w14:paraId="3D652106" w14:textId="53A9E51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IHS Markit (2019) Coal Insight: Recent regulatory measures to de-stress coal power plants, 23 July 2019.</w:t>
      </w:r>
    </w:p>
  </w:endnote>
  <w:endnote w:id="127">
    <w:p w14:paraId="6C2EAA12" w14:textId="23B6203D"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Ibid.</w:t>
      </w:r>
    </w:p>
    <w:p w14:paraId="7AE52BCF" w14:textId="44CEB137" w:rsidR="003C3282" w:rsidRPr="00BF1F8C" w:rsidRDefault="003C3282" w:rsidP="00BF1F8C">
      <w:pPr>
        <w:pStyle w:val="Heading2"/>
      </w:pPr>
      <w:r w:rsidRPr="00BF1F8C">
        <w:t>Chapter 3</w:t>
      </w:r>
    </w:p>
  </w:endnote>
  <w:endnote w:id="128">
    <w:p w14:paraId="0540DFE7" w14:textId="4C6C1A07"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World Steel Association (2018) Steel Statistical Yearbook, </w:t>
      </w:r>
      <w:hyperlink r:id="rId82" w:history="1">
        <w:r w:rsidRPr="00BF1F8C">
          <w:rPr>
            <w:rStyle w:val="Hyperlink"/>
            <w:rFonts w:asciiTheme="majorHAnsi" w:hAnsiTheme="majorHAnsi" w:cstheme="majorHAnsi"/>
            <w:sz w:val="18"/>
            <w:szCs w:val="18"/>
          </w:rPr>
          <w:t>https://www.worldsteel.org/en/dam/jcr:e5a8eda5-4b46-4892-856b-00908b5ab492/SSY_2018.pdf</w:t>
        </w:r>
      </w:hyperlink>
      <w:r w:rsidRPr="00BF1F8C">
        <w:rPr>
          <w:rFonts w:asciiTheme="majorHAnsi" w:hAnsiTheme="majorHAnsi" w:cstheme="majorHAnsi"/>
          <w:sz w:val="18"/>
          <w:szCs w:val="18"/>
        </w:rPr>
        <w:t xml:space="preserve"> </w:t>
      </w:r>
    </w:p>
  </w:endnote>
  <w:endnote w:id="129">
    <w:p w14:paraId="199DB98F" w14:textId="1BD6E102"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Department of Industry, Innovation and Science (2017) Resources and Energy Quarterly, September 2017.</w:t>
      </w:r>
    </w:p>
  </w:endnote>
  <w:endnote w:id="130">
    <w:p w14:paraId="205B00D9" w14:textId="4AA16798"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World Steel Association (2019) Monthly crude steel production, World Steel Association.</w:t>
      </w:r>
    </w:p>
  </w:endnote>
  <w:endnote w:id="131">
    <w:p w14:paraId="61B4932F" w14:textId="509EF51C" w:rsidR="003C3282" w:rsidRPr="00BF1F8C" w:rsidRDefault="003C3282" w:rsidP="001D3E91">
      <w:pPr>
        <w:spacing w:before="40" w:after="40" w:line="240" w:lineRule="auto"/>
        <w:ind w:left="0"/>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Varghese P (2018) An Indian economic strategy to 2035. Navigating from potential to delivery, report commissioned by Department of Foreign Affairs and Trade, Canberra</w:t>
      </w:r>
      <w:r>
        <w:rPr>
          <w:rFonts w:asciiTheme="majorHAnsi" w:hAnsiTheme="majorHAnsi" w:cstheme="majorHAnsi"/>
          <w:sz w:val="18"/>
          <w:szCs w:val="18"/>
        </w:rPr>
        <w:t>.</w:t>
      </w:r>
    </w:p>
  </w:endnote>
  <w:endnote w:id="132">
    <w:p w14:paraId="60C41780" w14:textId="09639AAB" w:rsidR="003C3282" w:rsidRPr="00BF1F8C" w:rsidRDefault="003C3282" w:rsidP="001D3E91">
      <w:pPr>
        <w:pStyle w:val="EndnoteText"/>
        <w:spacing w:before="40" w:after="40"/>
        <w:ind w:left="0"/>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AusTrade (2019) Personal communication, 2 August 2019.</w:t>
      </w:r>
    </w:p>
  </w:endnote>
  <w:endnote w:id="133">
    <w:p w14:paraId="0BBCEB99" w14:textId="0411395B"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2018: Analysis and forecasts to 2023, International Energy Agency, Paris.</w:t>
      </w:r>
    </w:p>
  </w:endnote>
  <w:endnote w:id="134">
    <w:p w14:paraId="19B282FB" w14:textId="041A4D46"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World Energy Outlook 2018, International Energy Agency, Paris.</w:t>
      </w:r>
    </w:p>
  </w:endnote>
  <w:endnote w:id="135">
    <w:p w14:paraId="695A7BCE" w14:textId="4CCC156B"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(2018) Coal 2018: Analysis and forecasts to 2023, International Energy Agency, Paris.</w:t>
      </w:r>
    </w:p>
  </w:endnote>
  <w:endnote w:id="136">
    <w:p w14:paraId="2FA7BF84" w14:textId="437E5F3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IEA World Energy Outlook 2018, International Energy Agency, Paris.</w:t>
      </w:r>
    </w:p>
  </w:endnote>
  <w:endnote w:id="137">
    <w:p w14:paraId="516B088A" w14:textId="3B4AE6A0"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Cziesla, Bewerunge &amp; Senzel (2009) State of the Art ultra-supercritical steam power plant under construction, Siemens. </w:t>
      </w:r>
    </w:p>
  </w:endnote>
  <w:endnote w:id="138">
    <w:p w14:paraId="12336AF4" w14:textId="2B10A040"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Beer M (2009) Higher efficiency power generation reduces emissions, Massachusetts Institute of Technology, Cambridge, MA.</w:t>
      </w:r>
    </w:p>
  </w:endnote>
  <w:endnote w:id="139">
    <w:p w14:paraId="1042B167" w14:textId="2717D591" w:rsidR="003C3282" w:rsidRPr="00BF1F8C" w:rsidRDefault="003C3282" w:rsidP="001D3E91">
      <w:pPr>
        <w:pStyle w:val="EndnoteText"/>
        <w:spacing w:before="40" w:after="40"/>
        <w:ind w:left="108"/>
        <w:jc w:val="left"/>
        <w:rPr>
          <w:rFonts w:asciiTheme="majorHAnsi" w:hAnsiTheme="majorHAnsi" w:cstheme="majorHAnsi"/>
          <w:sz w:val="18"/>
          <w:szCs w:val="18"/>
        </w:rPr>
      </w:pPr>
      <w:r w:rsidRPr="00BF1F8C">
        <w:rPr>
          <w:rStyle w:val="EndnoteReference"/>
          <w:rFonts w:asciiTheme="majorHAnsi" w:hAnsiTheme="majorHAnsi" w:cstheme="majorHAnsi"/>
          <w:sz w:val="18"/>
          <w:szCs w:val="18"/>
        </w:rPr>
        <w:endnoteRef/>
      </w:r>
      <w:r w:rsidRPr="00BF1F8C">
        <w:rPr>
          <w:rFonts w:asciiTheme="majorHAnsi" w:hAnsiTheme="majorHAnsi" w:cstheme="majorHAnsi"/>
          <w:sz w:val="18"/>
          <w:szCs w:val="18"/>
        </w:rPr>
        <w:t xml:space="preserve"> “Special Correspondent” (2019) Coal India identifies assets in Australia for acquisition, The Hindu, 10 June 2019, </w:t>
      </w:r>
      <w:hyperlink r:id="rId83" w:history="1">
        <w:r w:rsidRPr="00BF1F8C">
          <w:rPr>
            <w:rStyle w:val="Hyperlink"/>
            <w:rFonts w:asciiTheme="majorHAnsi" w:hAnsiTheme="majorHAnsi" w:cstheme="majorHAnsi"/>
            <w:sz w:val="18"/>
            <w:szCs w:val="18"/>
          </w:rPr>
          <w:t>https://www.thehindu.com/business/Industry/coal-india-identifies-assets-in-australia-for-acquisition/article27766571.ece</w:t>
        </w:r>
      </w:hyperlink>
      <w:r w:rsidRPr="00BF1F8C">
        <w:rPr>
          <w:rFonts w:asciiTheme="majorHAnsi" w:hAnsiTheme="majorHAnsi" w:cstheme="majorHAnsi"/>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A8B7" w14:textId="77777777" w:rsidR="003C3282" w:rsidRPr="001C2E57" w:rsidRDefault="003C3282" w:rsidP="009348C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3B699E">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t xml:space="preserve"> </w:t>
    </w:r>
    <w:r>
      <w:tab/>
    </w:r>
    <w:r w:rsidRPr="001C2E57">
      <w:fldChar w:fldCharType="begin"/>
    </w:r>
    <w:r w:rsidRPr="001C2E57">
      <w:instrText xml:space="preserve"> PAGE   \* MERGEFORMAT </w:instrText>
    </w:r>
    <w:r w:rsidRPr="001C2E57">
      <w:fldChar w:fldCharType="separate"/>
    </w:r>
    <w:r w:rsidR="003B699E">
      <w:rPr>
        <w:noProof/>
      </w:rPr>
      <w:t>ix</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33BA1" w14:textId="77777777" w:rsidR="003C3282" w:rsidRPr="001C2E57" w:rsidRDefault="003C3282"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3B699E">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3B699E">
      <w:rPr>
        <w:noProof/>
      </w:rPr>
      <w:t>2</w:t>
    </w:r>
    <w:r w:rsidRPr="001C2E5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661A0" w14:textId="77777777" w:rsidR="003C3282" w:rsidRPr="001C2E57" w:rsidRDefault="003C3282"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2DDDE" w14:textId="77777777" w:rsidR="003C3282" w:rsidRDefault="003C3282" w:rsidP="00F244EA">
      <w:pPr>
        <w:spacing w:after="0" w:line="240" w:lineRule="auto"/>
      </w:pPr>
      <w:r>
        <w:separator/>
      </w:r>
    </w:p>
  </w:footnote>
  <w:footnote w:type="continuationSeparator" w:id="0">
    <w:p w14:paraId="7A1E1C59" w14:textId="77777777" w:rsidR="003C3282" w:rsidRDefault="003C3282" w:rsidP="00F244EA">
      <w:pPr>
        <w:spacing w:after="0" w:line="240" w:lineRule="auto"/>
      </w:pPr>
      <w:r>
        <w:continuationSeparator/>
      </w:r>
    </w:p>
  </w:footnote>
  <w:footnote w:type="continuationNotice" w:id="1">
    <w:p w14:paraId="5A1A724B" w14:textId="77777777" w:rsidR="003C3282" w:rsidRDefault="003C328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51855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65EF5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1843"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C81C8F"/>
    <w:multiLevelType w:val="hybridMultilevel"/>
    <w:tmpl w:val="9E6C1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25891"/>
    <w:multiLevelType w:val="hybridMultilevel"/>
    <w:tmpl w:val="D786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E75F0"/>
    <w:multiLevelType w:val="hybridMultilevel"/>
    <w:tmpl w:val="6FDCA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C48BC"/>
    <w:multiLevelType w:val="hybridMultilevel"/>
    <w:tmpl w:val="C86A09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5C7921"/>
    <w:multiLevelType w:val="hybridMultilevel"/>
    <w:tmpl w:val="3D02EEC8"/>
    <w:lvl w:ilvl="0" w:tplc="248C84E2">
      <w:start w:val="1"/>
      <w:numFmt w:val="decimal"/>
      <w:lvlText w:val="%1."/>
      <w:lvlJc w:val="left"/>
      <w:pPr>
        <w:ind w:left="720" w:hanging="360"/>
      </w:pPr>
      <w:rPr>
        <w:rFonts w:hint="default"/>
        <w:sz w:val="22"/>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B85217"/>
    <w:multiLevelType w:val="hybridMultilevel"/>
    <w:tmpl w:val="078E1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3E54B8"/>
    <w:multiLevelType w:val="hybridMultilevel"/>
    <w:tmpl w:val="DA349EE2"/>
    <w:lvl w:ilvl="0" w:tplc="BA920B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9A6EC1"/>
    <w:multiLevelType w:val="multilevel"/>
    <w:tmpl w:val="3BFA39A6"/>
    <w:numStyleLink w:val="OCENumberedList"/>
  </w:abstractNum>
  <w:abstractNum w:abstractNumId="12" w15:restartNumberingAfterBreak="0">
    <w:nsid w:val="175011B2"/>
    <w:multiLevelType w:val="hybridMultilevel"/>
    <w:tmpl w:val="1D906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14"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5"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6" w15:restartNumberingAfterBreak="0">
    <w:nsid w:val="1A2945BB"/>
    <w:multiLevelType w:val="hybridMultilevel"/>
    <w:tmpl w:val="A53EB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A544E"/>
    <w:multiLevelType w:val="hybridMultilevel"/>
    <w:tmpl w:val="FAC64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9" w15:restartNumberingAfterBreak="0">
    <w:nsid w:val="3E701CC3"/>
    <w:multiLevelType w:val="hybridMultilevel"/>
    <w:tmpl w:val="41D01C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452674AF"/>
    <w:multiLevelType w:val="hybridMultilevel"/>
    <w:tmpl w:val="654EE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84E3A"/>
    <w:multiLevelType w:val="hybridMultilevel"/>
    <w:tmpl w:val="8E48C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94390E"/>
    <w:multiLevelType w:val="multilevel"/>
    <w:tmpl w:val="7D22E52C"/>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505F1999"/>
    <w:multiLevelType w:val="hybridMultilevel"/>
    <w:tmpl w:val="8C9EF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153B38"/>
    <w:multiLevelType w:val="hybridMultilevel"/>
    <w:tmpl w:val="2E0E1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7A3FE3"/>
    <w:multiLevelType w:val="hybridMultilevel"/>
    <w:tmpl w:val="5AE0E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E12F6E"/>
    <w:multiLevelType w:val="hybridMultilevel"/>
    <w:tmpl w:val="9A94947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7B536DF8"/>
    <w:multiLevelType w:val="hybridMultilevel"/>
    <w:tmpl w:val="11040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374DC5"/>
    <w:multiLevelType w:val="hybridMultilevel"/>
    <w:tmpl w:val="7A126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30"/>
  </w:num>
  <w:num w:numId="3">
    <w:abstractNumId w:val="2"/>
  </w:num>
  <w:num w:numId="4">
    <w:abstractNumId w:val="23"/>
  </w:num>
  <w:num w:numId="5">
    <w:abstractNumId w:val="15"/>
  </w:num>
  <w:num w:numId="6">
    <w:abstractNumId w:val="14"/>
  </w:num>
  <w:num w:numId="7">
    <w:abstractNumId w:val="20"/>
  </w:num>
  <w:num w:numId="8">
    <w:abstractNumId w:val="13"/>
  </w:num>
  <w:num w:numId="9">
    <w:abstractNumId w:val="11"/>
  </w:num>
  <w:num w:numId="10">
    <w:abstractNumId w:val="13"/>
  </w:num>
  <w:num w:numId="11">
    <w:abstractNumId w:val="23"/>
  </w:num>
  <w:num w:numId="12">
    <w:abstractNumId w:val="10"/>
  </w:num>
  <w:num w:numId="13">
    <w:abstractNumId w:val="22"/>
  </w:num>
  <w:num w:numId="14">
    <w:abstractNumId w:val="5"/>
  </w:num>
  <w:num w:numId="15">
    <w:abstractNumId w:val="24"/>
  </w:num>
  <w:num w:numId="16">
    <w:abstractNumId w:val="16"/>
  </w:num>
  <w:num w:numId="17">
    <w:abstractNumId w:val="4"/>
  </w:num>
  <w:num w:numId="18">
    <w:abstractNumId w:val="19"/>
  </w:num>
  <w:num w:numId="19">
    <w:abstractNumId w:val="26"/>
  </w:num>
  <w:num w:numId="20">
    <w:abstractNumId w:val="9"/>
  </w:num>
  <w:num w:numId="21">
    <w:abstractNumId w:val="25"/>
  </w:num>
  <w:num w:numId="22">
    <w:abstractNumId w:val="12"/>
  </w:num>
  <w:num w:numId="23">
    <w:abstractNumId w:val="21"/>
  </w:num>
  <w:num w:numId="24">
    <w:abstractNumId w:val="17"/>
  </w:num>
  <w:num w:numId="25">
    <w:abstractNumId w:val="6"/>
  </w:num>
  <w:num w:numId="26">
    <w:abstractNumId w:val="27"/>
  </w:num>
  <w:num w:numId="27">
    <w:abstractNumId w:val="7"/>
  </w:num>
  <w:num w:numId="28">
    <w:abstractNumId w:val="3"/>
  </w:num>
  <w:num w:numId="29">
    <w:abstractNumId w:val="29"/>
  </w:num>
  <w:num w:numId="30">
    <w:abstractNumId w:val="28"/>
  </w:num>
  <w:num w:numId="31">
    <w:abstractNumId w:val="1"/>
  </w:num>
  <w:num w:numId="32">
    <w:abstractNumId w:val="0"/>
  </w:num>
  <w:num w:numId="3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C2A"/>
    <w:rsid w:val="000009DC"/>
    <w:rsid w:val="00000A47"/>
    <w:rsid w:val="000012CE"/>
    <w:rsid w:val="00001603"/>
    <w:rsid w:val="00001751"/>
    <w:rsid w:val="000017EF"/>
    <w:rsid w:val="000020E9"/>
    <w:rsid w:val="0000251B"/>
    <w:rsid w:val="000025CA"/>
    <w:rsid w:val="00002784"/>
    <w:rsid w:val="00002A95"/>
    <w:rsid w:val="00002C9B"/>
    <w:rsid w:val="00002F55"/>
    <w:rsid w:val="0000304D"/>
    <w:rsid w:val="0000304F"/>
    <w:rsid w:val="000036F1"/>
    <w:rsid w:val="00003B81"/>
    <w:rsid w:val="00004365"/>
    <w:rsid w:val="00004418"/>
    <w:rsid w:val="00004710"/>
    <w:rsid w:val="00004B87"/>
    <w:rsid w:val="00004BF6"/>
    <w:rsid w:val="000056C3"/>
    <w:rsid w:val="00005AE8"/>
    <w:rsid w:val="0000634D"/>
    <w:rsid w:val="000066B1"/>
    <w:rsid w:val="00006D71"/>
    <w:rsid w:val="00007520"/>
    <w:rsid w:val="00007BE1"/>
    <w:rsid w:val="00007EBB"/>
    <w:rsid w:val="000103B2"/>
    <w:rsid w:val="00010903"/>
    <w:rsid w:val="00010CC4"/>
    <w:rsid w:val="0001145D"/>
    <w:rsid w:val="0001161C"/>
    <w:rsid w:val="00011BE7"/>
    <w:rsid w:val="000122D8"/>
    <w:rsid w:val="00012820"/>
    <w:rsid w:val="0001323E"/>
    <w:rsid w:val="00013F4A"/>
    <w:rsid w:val="00013F80"/>
    <w:rsid w:val="00014EC7"/>
    <w:rsid w:val="00015221"/>
    <w:rsid w:val="00015B61"/>
    <w:rsid w:val="00015DBC"/>
    <w:rsid w:val="0001642D"/>
    <w:rsid w:val="00016D13"/>
    <w:rsid w:val="00017557"/>
    <w:rsid w:val="000177D0"/>
    <w:rsid w:val="00017BB5"/>
    <w:rsid w:val="00017C00"/>
    <w:rsid w:val="000202ED"/>
    <w:rsid w:val="00020301"/>
    <w:rsid w:val="00021166"/>
    <w:rsid w:val="000219A3"/>
    <w:rsid w:val="00021E89"/>
    <w:rsid w:val="0002285F"/>
    <w:rsid w:val="00022B9F"/>
    <w:rsid w:val="00023589"/>
    <w:rsid w:val="000238B9"/>
    <w:rsid w:val="000256AB"/>
    <w:rsid w:val="000258EF"/>
    <w:rsid w:val="00026143"/>
    <w:rsid w:val="0002648C"/>
    <w:rsid w:val="00026EFB"/>
    <w:rsid w:val="00027101"/>
    <w:rsid w:val="0002799E"/>
    <w:rsid w:val="00030227"/>
    <w:rsid w:val="00030328"/>
    <w:rsid w:val="000307E4"/>
    <w:rsid w:val="00030876"/>
    <w:rsid w:val="00031122"/>
    <w:rsid w:val="00032AC3"/>
    <w:rsid w:val="00032B43"/>
    <w:rsid w:val="00033304"/>
    <w:rsid w:val="0003385C"/>
    <w:rsid w:val="00033CEE"/>
    <w:rsid w:val="000340C4"/>
    <w:rsid w:val="000341EC"/>
    <w:rsid w:val="00035325"/>
    <w:rsid w:val="00035CBA"/>
    <w:rsid w:val="00036626"/>
    <w:rsid w:val="000367E2"/>
    <w:rsid w:val="000369A7"/>
    <w:rsid w:val="00036A2A"/>
    <w:rsid w:val="00036E20"/>
    <w:rsid w:val="0003704F"/>
    <w:rsid w:val="0003707B"/>
    <w:rsid w:val="00037972"/>
    <w:rsid w:val="00037A77"/>
    <w:rsid w:val="00037B42"/>
    <w:rsid w:val="00037DA1"/>
    <w:rsid w:val="000400EF"/>
    <w:rsid w:val="000406BB"/>
    <w:rsid w:val="0004082D"/>
    <w:rsid w:val="00040F97"/>
    <w:rsid w:val="00041510"/>
    <w:rsid w:val="00041FE3"/>
    <w:rsid w:val="000423EA"/>
    <w:rsid w:val="00042CA9"/>
    <w:rsid w:val="00043051"/>
    <w:rsid w:val="000432F7"/>
    <w:rsid w:val="000433A1"/>
    <w:rsid w:val="00043AF6"/>
    <w:rsid w:val="000441B7"/>
    <w:rsid w:val="00044475"/>
    <w:rsid w:val="0004453D"/>
    <w:rsid w:val="00044E81"/>
    <w:rsid w:val="00046B68"/>
    <w:rsid w:val="00047373"/>
    <w:rsid w:val="00047451"/>
    <w:rsid w:val="000479D5"/>
    <w:rsid w:val="00047E6E"/>
    <w:rsid w:val="00050655"/>
    <w:rsid w:val="000507C5"/>
    <w:rsid w:val="00050AC0"/>
    <w:rsid w:val="000512BE"/>
    <w:rsid w:val="000513E7"/>
    <w:rsid w:val="00051607"/>
    <w:rsid w:val="00051CFC"/>
    <w:rsid w:val="0005248C"/>
    <w:rsid w:val="00052A7A"/>
    <w:rsid w:val="00052F2F"/>
    <w:rsid w:val="00053691"/>
    <w:rsid w:val="00053974"/>
    <w:rsid w:val="000540FD"/>
    <w:rsid w:val="000542FB"/>
    <w:rsid w:val="00054B9C"/>
    <w:rsid w:val="00054DFD"/>
    <w:rsid w:val="0005656F"/>
    <w:rsid w:val="00056580"/>
    <w:rsid w:val="000567E3"/>
    <w:rsid w:val="0005719B"/>
    <w:rsid w:val="0005753A"/>
    <w:rsid w:val="00060184"/>
    <w:rsid w:val="00060761"/>
    <w:rsid w:val="00060CE1"/>
    <w:rsid w:val="00060FB0"/>
    <w:rsid w:val="000614AF"/>
    <w:rsid w:val="000618FB"/>
    <w:rsid w:val="00062169"/>
    <w:rsid w:val="0006264A"/>
    <w:rsid w:val="000626CF"/>
    <w:rsid w:val="000629D7"/>
    <w:rsid w:val="000641E0"/>
    <w:rsid w:val="0006492D"/>
    <w:rsid w:val="00064DD4"/>
    <w:rsid w:val="0006548C"/>
    <w:rsid w:val="0006568A"/>
    <w:rsid w:val="00066188"/>
    <w:rsid w:val="000667C2"/>
    <w:rsid w:val="00067203"/>
    <w:rsid w:val="00067812"/>
    <w:rsid w:val="00067B96"/>
    <w:rsid w:val="00067E7A"/>
    <w:rsid w:val="00070749"/>
    <w:rsid w:val="00070F9E"/>
    <w:rsid w:val="00071266"/>
    <w:rsid w:val="0007137D"/>
    <w:rsid w:val="0007198E"/>
    <w:rsid w:val="00071B74"/>
    <w:rsid w:val="000728D2"/>
    <w:rsid w:val="00072B79"/>
    <w:rsid w:val="00072E2F"/>
    <w:rsid w:val="00072F0B"/>
    <w:rsid w:val="000733BC"/>
    <w:rsid w:val="00073C74"/>
    <w:rsid w:val="000750D1"/>
    <w:rsid w:val="000755F1"/>
    <w:rsid w:val="00075F2B"/>
    <w:rsid w:val="000769DA"/>
    <w:rsid w:val="00076E42"/>
    <w:rsid w:val="00076F2F"/>
    <w:rsid w:val="00077570"/>
    <w:rsid w:val="00077868"/>
    <w:rsid w:val="00077E5F"/>
    <w:rsid w:val="00080001"/>
    <w:rsid w:val="0008011C"/>
    <w:rsid w:val="00080155"/>
    <w:rsid w:val="000815FB"/>
    <w:rsid w:val="00081C20"/>
    <w:rsid w:val="0008261D"/>
    <w:rsid w:val="00082ABD"/>
    <w:rsid w:val="00082BF4"/>
    <w:rsid w:val="0008332E"/>
    <w:rsid w:val="000833A4"/>
    <w:rsid w:val="000840C2"/>
    <w:rsid w:val="00085512"/>
    <w:rsid w:val="00085C8C"/>
    <w:rsid w:val="00086DE8"/>
    <w:rsid w:val="000875B7"/>
    <w:rsid w:val="00087BD6"/>
    <w:rsid w:val="00087D9D"/>
    <w:rsid w:val="00090174"/>
    <w:rsid w:val="000904D3"/>
    <w:rsid w:val="00091419"/>
    <w:rsid w:val="00091670"/>
    <w:rsid w:val="000920D2"/>
    <w:rsid w:val="0009238B"/>
    <w:rsid w:val="00092CD1"/>
    <w:rsid w:val="00093346"/>
    <w:rsid w:val="0009344A"/>
    <w:rsid w:val="00094248"/>
    <w:rsid w:val="00094375"/>
    <w:rsid w:val="0009468C"/>
    <w:rsid w:val="0009556C"/>
    <w:rsid w:val="0009571D"/>
    <w:rsid w:val="00095B1A"/>
    <w:rsid w:val="000960A6"/>
    <w:rsid w:val="00096676"/>
    <w:rsid w:val="00096956"/>
    <w:rsid w:val="00096F02"/>
    <w:rsid w:val="0009717E"/>
    <w:rsid w:val="00097C8A"/>
    <w:rsid w:val="000A011E"/>
    <w:rsid w:val="000A124E"/>
    <w:rsid w:val="000A1B8D"/>
    <w:rsid w:val="000A2080"/>
    <w:rsid w:val="000A29BA"/>
    <w:rsid w:val="000A2BC6"/>
    <w:rsid w:val="000A2F33"/>
    <w:rsid w:val="000A3D7F"/>
    <w:rsid w:val="000A3E3D"/>
    <w:rsid w:val="000A4AD3"/>
    <w:rsid w:val="000A4E45"/>
    <w:rsid w:val="000A540E"/>
    <w:rsid w:val="000A5452"/>
    <w:rsid w:val="000A587B"/>
    <w:rsid w:val="000A592F"/>
    <w:rsid w:val="000A5B07"/>
    <w:rsid w:val="000A5CFF"/>
    <w:rsid w:val="000A5D1B"/>
    <w:rsid w:val="000A6278"/>
    <w:rsid w:val="000A6370"/>
    <w:rsid w:val="000A63C0"/>
    <w:rsid w:val="000A6F5B"/>
    <w:rsid w:val="000A6F88"/>
    <w:rsid w:val="000A707F"/>
    <w:rsid w:val="000A70FD"/>
    <w:rsid w:val="000A739C"/>
    <w:rsid w:val="000A7BE2"/>
    <w:rsid w:val="000B1026"/>
    <w:rsid w:val="000B10FA"/>
    <w:rsid w:val="000B1925"/>
    <w:rsid w:val="000B1D2F"/>
    <w:rsid w:val="000B2256"/>
    <w:rsid w:val="000B23AE"/>
    <w:rsid w:val="000B2497"/>
    <w:rsid w:val="000B279E"/>
    <w:rsid w:val="000B27CF"/>
    <w:rsid w:val="000B293A"/>
    <w:rsid w:val="000B2C1B"/>
    <w:rsid w:val="000B2CBD"/>
    <w:rsid w:val="000B2DFC"/>
    <w:rsid w:val="000B2EF1"/>
    <w:rsid w:val="000B2F23"/>
    <w:rsid w:val="000B31BF"/>
    <w:rsid w:val="000B38CD"/>
    <w:rsid w:val="000B4BA1"/>
    <w:rsid w:val="000B5A8A"/>
    <w:rsid w:val="000B5B4C"/>
    <w:rsid w:val="000B5BC7"/>
    <w:rsid w:val="000B5CD5"/>
    <w:rsid w:val="000B7539"/>
    <w:rsid w:val="000B7F7A"/>
    <w:rsid w:val="000B7FCC"/>
    <w:rsid w:val="000C00F7"/>
    <w:rsid w:val="000C03CF"/>
    <w:rsid w:val="000C0413"/>
    <w:rsid w:val="000C05E2"/>
    <w:rsid w:val="000C0DD7"/>
    <w:rsid w:val="000C0F3F"/>
    <w:rsid w:val="000C18E7"/>
    <w:rsid w:val="000C19CB"/>
    <w:rsid w:val="000C2CF2"/>
    <w:rsid w:val="000C3228"/>
    <w:rsid w:val="000C48C6"/>
    <w:rsid w:val="000C5178"/>
    <w:rsid w:val="000C5344"/>
    <w:rsid w:val="000C5868"/>
    <w:rsid w:val="000C5C3C"/>
    <w:rsid w:val="000C63E9"/>
    <w:rsid w:val="000C6AD6"/>
    <w:rsid w:val="000C786B"/>
    <w:rsid w:val="000C7A5C"/>
    <w:rsid w:val="000D0512"/>
    <w:rsid w:val="000D05D3"/>
    <w:rsid w:val="000D1027"/>
    <w:rsid w:val="000D10BE"/>
    <w:rsid w:val="000D1B0C"/>
    <w:rsid w:val="000D1E3C"/>
    <w:rsid w:val="000D1FEC"/>
    <w:rsid w:val="000D2E36"/>
    <w:rsid w:val="000D2E87"/>
    <w:rsid w:val="000D2F92"/>
    <w:rsid w:val="000D31A8"/>
    <w:rsid w:val="000D33DA"/>
    <w:rsid w:val="000D38E5"/>
    <w:rsid w:val="000D3C1D"/>
    <w:rsid w:val="000D3E4D"/>
    <w:rsid w:val="000D3F0A"/>
    <w:rsid w:val="000D4630"/>
    <w:rsid w:val="000D47D6"/>
    <w:rsid w:val="000D5123"/>
    <w:rsid w:val="000D57DA"/>
    <w:rsid w:val="000D597C"/>
    <w:rsid w:val="000D6BAF"/>
    <w:rsid w:val="000D6D7D"/>
    <w:rsid w:val="000D72DC"/>
    <w:rsid w:val="000D74A1"/>
    <w:rsid w:val="000D794C"/>
    <w:rsid w:val="000D7DB8"/>
    <w:rsid w:val="000E020D"/>
    <w:rsid w:val="000E05F0"/>
    <w:rsid w:val="000E1CD6"/>
    <w:rsid w:val="000E1ED2"/>
    <w:rsid w:val="000E1F74"/>
    <w:rsid w:val="000E2417"/>
    <w:rsid w:val="000E2554"/>
    <w:rsid w:val="000E27A7"/>
    <w:rsid w:val="000E2DEE"/>
    <w:rsid w:val="000E2E3E"/>
    <w:rsid w:val="000E415F"/>
    <w:rsid w:val="000E46BB"/>
    <w:rsid w:val="000E4855"/>
    <w:rsid w:val="000E618E"/>
    <w:rsid w:val="000E6456"/>
    <w:rsid w:val="000E6689"/>
    <w:rsid w:val="000E7B4A"/>
    <w:rsid w:val="000E7CAD"/>
    <w:rsid w:val="000F014B"/>
    <w:rsid w:val="000F0265"/>
    <w:rsid w:val="000F0282"/>
    <w:rsid w:val="000F036F"/>
    <w:rsid w:val="000F0460"/>
    <w:rsid w:val="000F0A46"/>
    <w:rsid w:val="000F0E5C"/>
    <w:rsid w:val="000F1220"/>
    <w:rsid w:val="000F1C10"/>
    <w:rsid w:val="000F1E61"/>
    <w:rsid w:val="000F1F31"/>
    <w:rsid w:val="000F320F"/>
    <w:rsid w:val="000F35AD"/>
    <w:rsid w:val="000F3F46"/>
    <w:rsid w:val="000F47B4"/>
    <w:rsid w:val="000F5439"/>
    <w:rsid w:val="000F5D98"/>
    <w:rsid w:val="000F5D9F"/>
    <w:rsid w:val="000F612C"/>
    <w:rsid w:val="000F65C1"/>
    <w:rsid w:val="000F6DF8"/>
    <w:rsid w:val="000F72F3"/>
    <w:rsid w:val="000F7775"/>
    <w:rsid w:val="000F7C20"/>
    <w:rsid w:val="000F7EE8"/>
    <w:rsid w:val="00100029"/>
    <w:rsid w:val="00100B74"/>
    <w:rsid w:val="0010162A"/>
    <w:rsid w:val="00101A29"/>
    <w:rsid w:val="00101ED4"/>
    <w:rsid w:val="001024AF"/>
    <w:rsid w:val="0010256A"/>
    <w:rsid w:val="0010297E"/>
    <w:rsid w:val="00104106"/>
    <w:rsid w:val="0010429F"/>
    <w:rsid w:val="00105E8A"/>
    <w:rsid w:val="0010672E"/>
    <w:rsid w:val="00107543"/>
    <w:rsid w:val="0010760C"/>
    <w:rsid w:val="001076D6"/>
    <w:rsid w:val="00107802"/>
    <w:rsid w:val="00107A3F"/>
    <w:rsid w:val="00107E18"/>
    <w:rsid w:val="00110020"/>
    <w:rsid w:val="001108F9"/>
    <w:rsid w:val="00110D44"/>
    <w:rsid w:val="0011118C"/>
    <w:rsid w:val="00111444"/>
    <w:rsid w:val="0011153E"/>
    <w:rsid w:val="00111702"/>
    <w:rsid w:val="00112208"/>
    <w:rsid w:val="001123CE"/>
    <w:rsid w:val="001135E2"/>
    <w:rsid w:val="00113EB3"/>
    <w:rsid w:val="00114467"/>
    <w:rsid w:val="00114529"/>
    <w:rsid w:val="001148A0"/>
    <w:rsid w:val="00114BB1"/>
    <w:rsid w:val="00115259"/>
    <w:rsid w:val="0011640A"/>
    <w:rsid w:val="001169AA"/>
    <w:rsid w:val="00116A19"/>
    <w:rsid w:val="00116E58"/>
    <w:rsid w:val="00117635"/>
    <w:rsid w:val="0012045F"/>
    <w:rsid w:val="001207CB"/>
    <w:rsid w:val="00120AF8"/>
    <w:rsid w:val="00120E94"/>
    <w:rsid w:val="0012223C"/>
    <w:rsid w:val="00123E57"/>
    <w:rsid w:val="001243D4"/>
    <w:rsid w:val="001246EC"/>
    <w:rsid w:val="00124CC5"/>
    <w:rsid w:val="00125287"/>
    <w:rsid w:val="0012536D"/>
    <w:rsid w:val="001255E8"/>
    <w:rsid w:val="0012572F"/>
    <w:rsid w:val="00125971"/>
    <w:rsid w:val="0012599D"/>
    <w:rsid w:val="00130276"/>
    <w:rsid w:val="0013066A"/>
    <w:rsid w:val="00131409"/>
    <w:rsid w:val="0013155E"/>
    <w:rsid w:val="00131C70"/>
    <w:rsid w:val="00131E21"/>
    <w:rsid w:val="00133843"/>
    <w:rsid w:val="00133DBB"/>
    <w:rsid w:val="001342DA"/>
    <w:rsid w:val="00134B28"/>
    <w:rsid w:val="001354A4"/>
    <w:rsid w:val="00135554"/>
    <w:rsid w:val="00135E19"/>
    <w:rsid w:val="0013629D"/>
    <w:rsid w:val="00137914"/>
    <w:rsid w:val="00137E83"/>
    <w:rsid w:val="00140319"/>
    <w:rsid w:val="0014056E"/>
    <w:rsid w:val="00140B30"/>
    <w:rsid w:val="00140C0A"/>
    <w:rsid w:val="001411D9"/>
    <w:rsid w:val="001411DC"/>
    <w:rsid w:val="001413C3"/>
    <w:rsid w:val="001417F0"/>
    <w:rsid w:val="00141975"/>
    <w:rsid w:val="00142088"/>
    <w:rsid w:val="0014208F"/>
    <w:rsid w:val="00142A4E"/>
    <w:rsid w:val="00143A93"/>
    <w:rsid w:val="001444C4"/>
    <w:rsid w:val="001469BD"/>
    <w:rsid w:val="00146AAB"/>
    <w:rsid w:val="0014722A"/>
    <w:rsid w:val="00147AA6"/>
    <w:rsid w:val="00147D86"/>
    <w:rsid w:val="0015000D"/>
    <w:rsid w:val="00150198"/>
    <w:rsid w:val="00150E84"/>
    <w:rsid w:val="00151053"/>
    <w:rsid w:val="001517A1"/>
    <w:rsid w:val="0015180E"/>
    <w:rsid w:val="00151EB6"/>
    <w:rsid w:val="0015208F"/>
    <w:rsid w:val="001520AF"/>
    <w:rsid w:val="001535BF"/>
    <w:rsid w:val="001536B8"/>
    <w:rsid w:val="001548DB"/>
    <w:rsid w:val="0015522F"/>
    <w:rsid w:val="0015603A"/>
    <w:rsid w:val="00156B5B"/>
    <w:rsid w:val="00157056"/>
    <w:rsid w:val="00157757"/>
    <w:rsid w:val="00157AA4"/>
    <w:rsid w:val="00157C38"/>
    <w:rsid w:val="00157CED"/>
    <w:rsid w:val="00161FB5"/>
    <w:rsid w:val="00162029"/>
    <w:rsid w:val="00162DC1"/>
    <w:rsid w:val="00163225"/>
    <w:rsid w:val="0016393C"/>
    <w:rsid w:val="00163D6E"/>
    <w:rsid w:val="001640DC"/>
    <w:rsid w:val="00164393"/>
    <w:rsid w:val="00164B5E"/>
    <w:rsid w:val="00164D9A"/>
    <w:rsid w:val="001658D2"/>
    <w:rsid w:val="00165B2A"/>
    <w:rsid w:val="00166576"/>
    <w:rsid w:val="00166996"/>
    <w:rsid w:val="0016779F"/>
    <w:rsid w:val="001677A8"/>
    <w:rsid w:val="00170AD3"/>
    <w:rsid w:val="00171129"/>
    <w:rsid w:val="001713FE"/>
    <w:rsid w:val="00171C40"/>
    <w:rsid w:val="00171D60"/>
    <w:rsid w:val="00172166"/>
    <w:rsid w:val="0017293E"/>
    <w:rsid w:val="00172DAB"/>
    <w:rsid w:val="00172EA6"/>
    <w:rsid w:val="00172FC5"/>
    <w:rsid w:val="001732B4"/>
    <w:rsid w:val="00173680"/>
    <w:rsid w:val="00174624"/>
    <w:rsid w:val="0017468E"/>
    <w:rsid w:val="00174710"/>
    <w:rsid w:val="00174818"/>
    <w:rsid w:val="00174BB2"/>
    <w:rsid w:val="001750CF"/>
    <w:rsid w:val="00175857"/>
    <w:rsid w:val="00175BEA"/>
    <w:rsid w:val="0017687D"/>
    <w:rsid w:val="00176B32"/>
    <w:rsid w:val="0017747E"/>
    <w:rsid w:val="00177994"/>
    <w:rsid w:val="001800FD"/>
    <w:rsid w:val="001805B5"/>
    <w:rsid w:val="00180736"/>
    <w:rsid w:val="00180E4F"/>
    <w:rsid w:val="00181488"/>
    <w:rsid w:val="00182496"/>
    <w:rsid w:val="00182B15"/>
    <w:rsid w:val="00182B1B"/>
    <w:rsid w:val="001830FC"/>
    <w:rsid w:val="00184811"/>
    <w:rsid w:val="00185178"/>
    <w:rsid w:val="001858DD"/>
    <w:rsid w:val="001862AC"/>
    <w:rsid w:val="00186645"/>
    <w:rsid w:val="001868D7"/>
    <w:rsid w:val="00186C87"/>
    <w:rsid w:val="00186D3D"/>
    <w:rsid w:val="001871D9"/>
    <w:rsid w:val="001900EE"/>
    <w:rsid w:val="001901A4"/>
    <w:rsid w:val="0019058F"/>
    <w:rsid w:val="00191059"/>
    <w:rsid w:val="0019168F"/>
    <w:rsid w:val="00193CE3"/>
    <w:rsid w:val="0019458E"/>
    <w:rsid w:val="00194A82"/>
    <w:rsid w:val="00195C83"/>
    <w:rsid w:val="001970EC"/>
    <w:rsid w:val="001973B6"/>
    <w:rsid w:val="00197828"/>
    <w:rsid w:val="001A116A"/>
    <w:rsid w:val="001A19A8"/>
    <w:rsid w:val="001A1FCE"/>
    <w:rsid w:val="001A2EF6"/>
    <w:rsid w:val="001A2FBD"/>
    <w:rsid w:val="001A322A"/>
    <w:rsid w:val="001A3339"/>
    <w:rsid w:val="001A3451"/>
    <w:rsid w:val="001A3A4E"/>
    <w:rsid w:val="001A3EF7"/>
    <w:rsid w:val="001A476D"/>
    <w:rsid w:val="001A48B2"/>
    <w:rsid w:val="001A4E10"/>
    <w:rsid w:val="001A6352"/>
    <w:rsid w:val="001A7026"/>
    <w:rsid w:val="001A71CB"/>
    <w:rsid w:val="001B0122"/>
    <w:rsid w:val="001B032F"/>
    <w:rsid w:val="001B094D"/>
    <w:rsid w:val="001B14E4"/>
    <w:rsid w:val="001B16B5"/>
    <w:rsid w:val="001B27D5"/>
    <w:rsid w:val="001B2CA2"/>
    <w:rsid w:val="001B345E"/>
    <w:rsid w:val="001B383E"/>
    <w:rsid w:val="001B387E"/>
    <w:rsid w:val="001B3A8B"/>
    <w:rsid w:val="001B3E09"/>
    <w:rsid w:val="001B3F96"/>
    <w:rsid w:val="001B48BA"/>
    <w:rsid w:val="001B4965"/>
    <w:rsid w:val="001B54B9"/>
    <w:rsid w:val="001B55AF"/>
    <w:rsid w:val="001B5E2B"/>
    <w:rsid w:val="001B6316"/>
    <w:rsid w:val="001B6554"/>
    <w:rsid w:val="001B6C5F"/>
    <w:rsid w:val="001B6FF0"/>
    <w:rsid w:val="001B7593"/>
    <w:rsid w:val="001B7F03"/>
    <w:rsid w:val="001C035D"/>
    <w:rsid w:val="001C03EA"/>
    <w:rsid w:val="001C1495"/>
    <w:rsid w:val="001C17A4"/>
    <w:rsid w:val="001C276B"/>
    <w:rsid w:val="001C446E"/>
    <w:rsid w:val="001C4733"/>
    <w:rsid w:val="001C488C"/>
    <w:rsid w:val="001C4FFC"/>
    <w:rsid w:val="001C5291"/>
    <w:rsid w:val="001C54FC"/>
    <w:rsid w:val="001C56C0"/>
    <w:rsid w:val="001C5A1D"/>
    <w:rsid w:val="001C646C"/>
    <w:rsid w:val="001C6F29"/>
    <w:rsid w:val="001C7452"/>
    <w:rsid w:val="001C7E98"/>
    <w:rsid w:val="001C7EC5"/>
    <w:rsid w:val="001D0307"/>
    <w:rsid w:val="001D07A5"/>
    <w:rsid w:val="001D1B60"/>
    <w:rsid w:val="001D1DF3"/>
    <w:rsid w:val="001D204F"/>
    <w:rsid w:val="001D23D3"/>
    <w:rsid w:val="001D24DC"/>
    <w:rsid w:val="001D289C"/>
    <w:rsid w:val="001D2E2D"/>
    <w:rsid w:val="001D39DF"/>
    <w:rsid w:val="001D3A0A"/>
    <w:rsid w:val="001D3E91"/>
    <w:rsid w:val="001D3EC7"/>
    <w:rsid w:val="001D4374"/>
    <w:rsid w:val="001D4B48"/>
    <w:rsid w:val="001D5E67"/>
    <w:rsid w:val="001D6671"/>
    <w:rsid w:val="001D6E3E"/>
    <w:rsid w:val="001D7CF8"/>
    <w:rsid w:val="001D7EEC"/>
    <w:rsid w:val="001E03DF"/>
    <w:rsid w:val="001E063E"/>
    <w:rsid w:val="001E0946"/>
    <w:rsid w:val="001E1EFE"/>
    <w:rsid w:val="001E2136"/>
    <w:rsid w:val="001E2602"/>
    <w:rsid w:val="001E2620"/>
    <w:rsid w:val="001E2F67"/>
    <w:rsid w:val="001E36CF"/>
    <w:rsid w:val="001E3934"/>
    <w:rsid w:val="001E3D33"/>
    <w:rsid w:val="001E3E1F"/>
    <w:rsid w:val="001E4942"/>
    <w:rsid w:val="001E4C3A"/>
    <w:rsid w:val="001E58BF"/>
    <w:rsid w:val="001E59A3"/>
    <w:rsid w:val="001E59D7"/>
    <w:rsid w:val="001E5B39"/>
    <w:rsid w:val="001E5C74"/>
    <w:rsid w:val="001E63FF"/>
    <w:rsid w:val="001E683E"/>
    <w:rsid w:val="001E7239"/>
    <w:rsid w:val="001F07F7"/>
    <w:rsid w:val="001F1362"/>
    <w:rsid w:val="001F16D4"/>
    <w:rsid w:val="001F17F9"/>
    <w:rsid w:val="001F1D5B"/>
    <w:rsid w:val="001F1E5D"/>
    <w:rsid w:val="001F2A15"/>
    <w:rsid w:val="001F2A76"/>
    <w:rsid w:val="001F2BDA"/>
    <w:rsid w:val="001F2E7D"/>
    <w:rsid w:val="001F3421"/>
    <w:rsid w:val="001F3CA7"/>
    <w:rsid w:val="001F403C"/>
    <w:rsid w:val="001F42A9"/>
    <w:rsid w:val="001F4C3E"/>
    <w:rsid w:val="001F4FBC"/>
    <w:rsid w:val="001F551B"/>
    <w:rsid w:val="001F5892"/>
    <w:rsid w:val="001F5974"/>
    <w:rsid w:val="001F5BC1"/>
    <w:rsid w:val="001F5D18"/>
    <w:rsid w:val="001F5E09"/>
    <w:rsid w:val="001F5F85"/>
    <w:rsid w:val="001F61C6"/>
    <w:rsid w:val="001F6684"/>
    <w:rsid w:val="001F6FAB"/>
    <w:rsid w:val="001F7477"/>
    <w:rsid w:val="001F74CA"/>
    <w:rsid w:val="001F7D21"/>
    <w:rsid w:val="00200154"/>
    <w:rsid w:val="00200607"/>
    <w:rsid w:val="0020103A"/>
    <w:rsid w:val="002017F6"/>
    <w:rsid w:val="00201D0D"/>
    <w:rsid w:val="00202159"/>
    <w:rsid w:val="002029E0"/>
    <w:rsid w:val="00203330"/>
    <w:rsid w:val="00203505"/>
    <w:rsid w:val="00203A98"/>
    <w:rsid w:val="002041D1"/>
    <w:rsid w:val="002047DD"/>
    <w:rsid w:val="00204A6E"/>
    <w:rsid w:val="002053C0"/>
    <w:rsid w:val="002057D3"/>
    <w:rsid w:val="00205AB6"/>
    <w:rsid w:val="0020721E"/>
    <w:rsid w:val="002076C8"/>
    <w:rsid w:val="002078AE"/>
    <w:rsid w:val="00207972"/>
    <w:rsid w:val="00207D37"/>
    <w:rsid w:val="00207EC0"/>
    <w:rsid w:val="002108A3"/>
    <w:rsid w:val="00211467"/>
    <w:rsid w:val="00211DA7"/>
    <w:rsid w:val="002120D0"/>
    <w:rsid w:val="00212310"/>
    <w:rsid w:val="0021269D"/>
    <w:rsid w:val="0021273C"/>
    <w:rsid w:val="0021323C"/>
    <w:rsid w:val="0021355E"/>
    <w:rsid w:val="002135EE"/>
    <w:rsid w:val="0021385A"/>
    <w:rsid w:val="00213924"/>
    <w:rsid w:val="00214241"/>
    <w:rsid w:val="002148C3"/>
    <w:rsid w:val="00214C3C"/>
    <w:rsid w:val="00214E08"/>
    <w:rsid w:val="00214FC4"/>
    <w:rsid w:val="0021576F"/>
    <w:rsid w:val="00215780"/>
    <w:rsid w:val="002158A1"/>
    <w:rsid w:val="002162BD"/>
    <w:rsid w:val="002207C9"/>
    <w:rsid w:val="00220884"/>
    <w:rsid w:val="00221085"/>
    <w:rsid w:val="0022222D"/>
    <w:rsid w:val="00222571"/>
    <w:rsid w:val="002231D1"/>
    <w:rsid w:val="002233F0"/>
    <w:rsid w:val="00223625"/>
    <w:rsid w:val="0022378D"/>
    <w:rsid w:val="00223F46"/>
    <w:rsid w:val="00223FFB"/>
    <w:rsid w:val="0022405E"/>
    <w:rsid w:val="00224D27"/>
    <w:rsid w:val="0022579F"/>
    <w:rsid w:val="00225842"/>
    <w:rsid w:val="00225ED5"/>
    <w:rsid w:val="00226982"/>
    <w:rsid w:val="00226E88"/>
    <w:rsid w:val="002275F5"/>
    <w:rsid w:val="00227C9F"/>
    <w:rsid w:val="00227CD0"/>
    <w:rsid w:val="00227ECE"/>
    <w:rsid w:val="0023021E"/>
    <w:rsid w:val="002311F3"/>
    <w:rsid w:val="00231414"/>
    <w:rsid w:val="00231B44"/>
    <w:rsid w:val="00233566"/>
    <w:rsid w:val="00233794"/>
    <w:rsid w:val="00234110"/>
    <w:rsid w:val="00234497"/>
    <w:rsid w:val="002344A7"/>
    <w:rsid w:val="00234CEA"/>
    <w:rsid w:val="00234F7C"/>
    <w:rsid w:val="00234FBD"/>
    <w:rsid w:val="0023561C"/>
    <w:rsid w:val="002371E1"/>
    <w:rsid w:val="002373A6"/>
    <w:rsid w:val="00237C10"/>
    <w:rsid w:val="00237F94"/>
    <w:rsid w:val="002400CF"/>
    <w:rsid w:val="0024119F"/>
    <w:rsid w:val="0024132C"/>
    <w:rsid w:val="00241FB2"/>
    <w:rsid w:val="002421FC"/>
    <w:rsid w:val="002425B1"/>
    <w:rsid w:val="00243464"/>
    <w:rsid w:val="0024410B"/>
    <w:rsid w:val="00244E50"/>
    <w:rsid w:val="00244FA5"/>
    <w:rsid w:val="002455E7"/>
    <w:rsid w:val="002456C0"/>
    <w:rsid w:val="00246D61"/>
    <w:rsid w:val="00246D9A"/>
    <w:rsid w:val="00246F21"/>
    <w:rsid w:val="0024733E"/>
    <w:rsid w:val="0024749E"/>
    <w:rsid w:val="00247841"/>
    <w:rsid w:val="00247B24"/>
    <w:rsid w:val="00247B26"/>
    <w:rsid w:val="00250243"/>
    <w:rsid w:val="0025024F"/>
    <w:rsid w:val="00250BAB"/>
    <w:rsid w:val="00250DDA"/>
    <w:rsid w:val="00251254"/>
    <w:rsid w:val="00251511"/>
    <w:rsid w:val="00252C28"/>
    <w:rsid w:val="0025387D"/>
    <w:rsid w:val="00253B74"/>
    <w:rsid w:val="002548C3"/>
    <w:rsid w:val="00254CC9"/>
    <w:rsid w:val="0025527A"/>
    <w:rsid w:val="00255773"/>
    <w:rsid w:val="00255D0F"/>
    <w:rsid w:val="00255EE8"/>
    <w:rsid w:val="00256009"/>
    <w:rsid w:val="002561AB"/>
    <w:rsid w:val="00256400"/>
    <w:rsid w:val="00256442"/>
    <w:rsid w:val="00256BD3"/>
    <w:rsid w:val="00257213"/>
    <w:rsid w:val="00257567"/>
    <w:rsid w:val="002601E8"/>
    <w:rsid w:val="002602F7"/>
    <w:rsid w:val="00260B17"/>
    <w:rsid w:val="00260B79"/>
    <w:rsid w:val="00260FBC"/>
    <w:rsid w:val="002619F0"/>
    <w:rsid w:val="00261DAE"/>
    <w:rsid w:val="002622DD"/>
    <w:rsid w:val="002623E9"/>
    <w:rsid w:val="00262656"/>
    <w:rsid w:val="00262F55"/>
    <w:rsid w:val="002630DD"/>
    <w:rsid w:val="002639A7"/>
    <w:rsid w:val="00263BD7"/>
    <w:rsid w:val="002641B6"/>
    <w:rsid w:val="0026473C"/>
    <w:rsid w:val="00264ED8"/>
    <w:rsid w:val="00265700"/>
    <w:rsid w:val="0026576F"/>
    <w:rsid w:val="00266058"/>
    <w:rsid w:val="002663D1"/>
    <w:rsid w:val="0026658D"/>
    <w:rsid w:val="00266E41"/>
    <w:rsid w:val="00267507"/>
    <w:rsid w:val="00267C5C"/>
    <w:rsid w:val="002708C7"/>
    <w:rsid w:val="00270BDA"/>
    <w:rsid w:val="00270EA1"/>
    <w:rsid w:val="00271117"/>
    <w:rsid w:val="002712C6"/>
    <w:rsid w:val="00272952"/>
    <w:rsid w:val="002729C2"/>
    <w:rsid w:val="00272B94"/>
    <w:rsid w:val="00272BB9"/>
    <w:rsid w:val="00272BC7"/>
    <w:rsid w:val="00273CB8"/>
    <w:rsid w:val="00273D83"/>
    <w:rsid w:val="002748DE"/>
    <w:rsid w:val="002757A5"/>
    <w:rsid w:val="00277629"/>
    <w:rsid w:val="00280048"/>
    <w:rsid w:val="002800B7"/>
    <w:rsid w:val="00280EB9"/>
    <w:rsid w:val="00280F12"/>
    <w:rsid w:val="00281F75"/>
    <w:rsid w:val="002830F6"/>
    <w:rsid w:val="002830FC"/>
    <w:rsid w:val="002831AC"/>
    <w:rsid w:val="0028426C"/>
    <w:rsid w:val="00284E29"/>
    <w:rsid w:val="00285A2F"/>
    <w:rsid w:val="002866DE"/>
    <w:rsid w:val="0028712B"/>
    <w:rsid w:val="002876AF"/>
    <w:rsid w:val="00287A39"/>
    <w:rsid w:val="002903D5"/>
    <w:rsid w:val="00290CBD"/>
    <w:rsid w:val="002913EC"/>
    <w:rsid w:val="002919D1"/>
    <w:rsid w:val="00291F7C"/>
    <w:rsid w:val="002921F3"/>
    <w:rsid w:val="002922B5"/>
    <w:rsid w:val="0029234D"/>
    <w:rsid w:val="002926AD"/>
    <w:rsid w:val="00292AE8"/>
    <w:rsid w:val="00292F04"/>
    <w:rsid w:val="00293556"/>
    <w:rsid w:val="002943AA"/>
    <w:rsid w:val="00294435"/>
    <w:rsid w:val="00294621"/>
    <w:rsid w:val="00294B48"/>
    <w:rsid w:val="00294F53"/>
    <w:rsid w:val="00295128"/>
    <w:rsid w:val="002951DB"/>
    <w:rsid w:val="00295540"/>
    <w:rsid w:val="0029585B"/>
    <w:rsid w:val="0029596D"/>
    <w:rsid w:val="002960CA"/>
    <w:rsid w:val="00297A4B"/>
    <w:rsid w:val="00297A9A"/>
    <w:rsid w:val="00297D47"/>
    <w:rsid w:val="00297D6C"/>
    <w:rsid w:val="002A314A"/>
    <w:rsid w:val="002A33E7"/>
    <w:rsid w:val="002A478A"/>
    <w:rsid w:val="002A4949"/>
    <w:rsid w:val="002A5312"/>
    <w:rsid w:val="002A533C"/>
    <w:rsid w:val="002A5A14"/>
    <w:rsid w:val="002A5A68"/>
    <w:rsid w:val="002A5DBC"/>
    <w:rsid w:val="002A604D"/>
    <w:rsid w:val="002A6400"/>
    <w:rsid w:val="002A6979"/>
    <w:rsid w:val="002A69FC"/>
    <w:rsid w:val="002A7DE6"/>
    <w:rsid w:val="002A7F2D"/>
    <w:rsid w:val="002A7F46"/>
    <w:rsid w:val="002A7F47"/>
    <w:rsid w:val="002B13EF"/>
    <w:rsid w:val="002B181D"/>
    <w:rsid w:val="002B1DD2"/>
    <w:rsid w:val="002B2343"/>
    <w:rsid w:val="002B24BA"/>
    <w:rsid w:val="002B310E"/>
    <w:rsid w:val="002B3220"/>
    <w:rsid w:val="002B396E"/>
    <w:rsid w:val="002B4099"/>
    <w:rsid w:val="002B42E2"/>
    <w:rsid w:val="002B4552"/>
    <w:rsid w:val="002B464A"/>
    <w:rsid w:val="002B47EA"/>
    <w:rsid w:val="002B5099"/>
    <w:rsid w:val="002B527F"/>
    <w:rsid w:val="002B5324"/>
    <w:rsid w:val="002B64B5"/>
    <w:rsid w:val="002B779D"/>
    <w:rsid w:val="002B7ADB"/>
    <w:rsid w:val="002C001F"/>
    <w:rsid w:val="002C006F"/>
    <w:rsid w:val="002C0401"/>
    <w:rsid w:val="002C0492"/>
    <w:rsid w:val="002C080D"/>
    <w:rsid w:val="002C1083"/>
    <w:rsid w:val="002C1206"/>
    <w:rsid w:val="002C14AA"/>
    <w:rsid w:val="002C1D11"/>
    <w:rsid w:val="002C1F0B"/>
    <w:rsid w:val="002C2315"/>
    <w:rsid w:val="002C2328"/>
    <w:rsid w:val="002C2625"/>
    <w:rsid w:val="002C2E64"/>
    <w:rsid w:val="002C3AC3"/>
    <w:rsid w:val="002C3CD6"/>
    <w:rsid w:val="002C408E"/>
    <w:rsid w:val="002C46C9"/>
    <w:rsid w:val="002C4F6D"/>
    <w:rsid w:val="002C61C4"/>
    <w:rsid w:val="002C6D85"/>
    <w:rsid w:val="002C746D"/>
    <w:rsid w:val="002C777F"/>
    <w:rsid w:val="002C7AEF"/>
    <w:rsid w:val="002C7B38"/>
    <w:rsid w:val="002D0127"/>
    <w:rsid w:val="002D10ED"/>
    <w:rsid w:val="002D17FA"/>
    <w:rsid w:val="002D1945"/>
    <w:rsid w:val="002D1AD4"/>
    <w:rsid w:val="002D1C3F"/>
    <w:rsid w:val="002D2548"/>
    <w:rsid w:val="002D322E"/>
    <w:rsid w:val="002D3CF7"/>
    <w:rsid w:val="002D4188"/>
    <w:rsid w:val="002D41C1"/>
    <w:rsid w:val="002D4DC6"/>
    <w:rsid w:val="002D508A"/>
    <w:rsid w:val="002D56BA"/>
    <w:rsid w:val="002D5C65"/>
    <w:rsid w:val="002D627C"/>
    <w:rsid w:val="002D69C7"/>
    <w:rsid w:val="002D711E"/>
    <w:rsid w:val="002D7504"/>
    <w:rsid w:val="002D75F5"/>
    <w:rsid w:val="002D764F"/>
    <w:rsid w:val="002D7E58"/>
    <w:rsid w:val="002E06C3"/>
    <w:rsid w:val="002E0937"/>
    <w:rsid w:val="002E0B5A"/>
    <w:rsid w:val="002E0C16"/>
    <w:rsid w:val="002E1016"/>
    <w:rsid w:val="002E1827"/>
    <w:rsid w:val="002E27C7"/>
    <w:rsid w:val="002E3270"/>
    <w:rsid w:val="002E395F"/>
    <w:rsid w:val="002E43BD"/>
    <w:rsid w:val="002E4B64"/>
    <w:rsid w:val="002E562B"/>
    <w:rsid w:val="002E5D17"/>
    <w:rsid w:val="002E694A"/>
    <w:rsid w:val="002E714F"/>
    <w:rsid w:val="002E764A"/>
    <w:rsid w:val="002E79C8"/>
    <w:rsid w:val="002F0EEF"/>
    <w:rsid w:val="002F10A2"/>
    <w:rsid w:val="002F1713"/>
    <w:rsid w:val="002F1DEE"/>
    <w:rsid w:val="002F2208"/>
    <w:rsid w:val="002F22DA"/>
    <w:rsid w:val="002F25F4"/>
    <w:rsid w:val="002F3101"/>
    <w:rsid w:val="002F40A9"/>
    <w:rsid w:val="002F429A"/>
    <w:rsid w:val="002F487F"/>
    <w:rsid w:val="002F4936"/>
    <w:rsid w:val="002F4C6A"/>
    <w:rsid w:val="002F4D44"/>
    <w:rsid w:val="002F50EE"/>
    <w:rsid w:val="002F548F"/>
    <w:rsid w:val="002F56EE"/>
    <w:rsid w:val="002F5913"/>
    <w:rsid w:val="002F5E13"/>
    <w:rsid w:val="002F688B"/>
    <w:rsid w:val="002F6ABB"/>
    <w:rsid w:val="002F6BA4"/>
    <w:rsid w:val="002F7289"/>
    <w:rsid w:val="002F7D32"/>
    <w:rsid w:val="00300738"/>
    <w:rsid w:val="00300901"/>
    <w:rsid w:val="00300FEC"/>
    <w:rsid w:val="00301129"/>
    <w:rsid w:val="003019BA"/>
    <w:rsid w:val="00301B3D"/>
    <w:rsid w:val="00301D88"/>
    <w:rsid w:val="00302147"/>
    <w:rsid w:val="00302F97"/>
    <w:rsid w:val="00302FCF"/>
    <w:rsid w:val="003043F8"/>
    <w:rsid w:val="0030442F"/>
    <w:rsid w:val="00304D3C"/>
    <w:rsid w:val="003060A9"/>
    <w:rsid w:val="0030631B"/>
    <w:rsid w:val="003076BF"/>
    <w:rsid w:val="003079E5"/>
    <w:rsid w:val="00307AD6"/>
    <w:rsid w:val="00310698"/>
    <w:rsid w:val="003107D4"/>
    <w:rsid w:val="00310CDE"/>
    <w:rsid w:val="00311867"/>
    <w:rsid w:val="00311A07"/>
    <w:rsid w:val="00311B71"/>
    <w:rsid w:val="003135D1"/>
    <w:rsid w:val="00313894"/>
    <w:rsid w:val="003140F8"/>
    <w:rsid w:val="00314675"/>
    <w:rsid w:val="0031513E"/>
    <w:rsid w:val="00315931"/>
    <w:rsid w:val="00315AE5"/>
    <w:rsid w:val="00315B65"/>
    <w:rsid w:val="00315B6F"/>
    <w:rsid w:val="00315C5C"/>
    <w:rsid w:val="00315CC1"/>
    <w:rsid w:val="00316849"/>
    <w:rsid w:val="00316D7A"/>
    <w:rsid w:val="003172B3"/>
    <w:rsid w:val="00317AA7"/>
    <w:rsid w:val="003200B8"/>
    <w:rsid w:val="003201EF"/>
    <w:rsid w:val="0032025F"/>
    <w:rsid w:val="0032129D"/>
    <w:rsid w:val="0032157B"/>
    <w:rsid w:val="00322656"/>
    <w:rsid w:val="00322899"/>
    <w:rsid w:val="00322F24"/>
    <w:rsid w:val="00323652"/>
    <w:rsid w:val="00323B86"/>
    <w:rsid w:val="0032468D"/>
    <w:rsid w:val="00324CDF"/>
    <w:rsid w:val="0032645A"/>
    <w:rsid w:val="00327D09"/>
    <w:rsid w:val="00327D82"/>
    <w:rsid w:val="00327FB5"/>
    <w:rsid w:val="00330224"/>
    <w:rsid w:val="003303D1"/>
    <w:rsid w:val="003306A1"/>
    <w:rsid w:val="00331634"/>
    <w:rsid w:val="0033172E"/>
    <w:rsid w:val="003322B1"/>
    <w:rsid w:val="0033342B"/>
    <w:rsid w:val="00334AFE"/>
    <w:rsid w:val="0033531A"/>
    <w:rsid w:val="00335882"/>
    <w:rsid w:val="003366A6"/>
    <w:rsid w:val="00337123"/>
    <w:rsid w:val="00337774"/>
    <w:rsid w:val="00337F20"/>
    <w:rsid w:val="0034040D"/>
    <w:rsid w:val="003404EC"/>
    <w:rsid w:val="00340DDE"/>
    <w:rsid w:val="00340E62"/>
    <w:rsid w:val="00341F0A"/>
    <w:rsid w:val="00342DDA"/>
    <w:rsid w:val="00342F61"/>
    <w:rsid w:val="0034378C"/>
    <w:rsid w:val="00343980"/>
    <w:rsid w:val="00344A0E"/>
    <w:rsid w:val="00344FAB"/>
    <w:rsid w:val="00345516"/>
    <w:rsid w:val="003455BB"/>
    <w:rsid w:val="00345A30"/>
    <w:rsid w:val="00345B54"/>
    <w:rsid w:val="003460B6"/>
    <w:rsid w:val="00346175"/>
    <w:rsid w:val="003467EE"/>
    <w:rsid w:val="00347A7F"/>
    <w:rsid w:val="00347E34"/>
    <w:rsid w:val="00350351"/>
    <w:rsid w:val="00350C19"/>
    <w:rsid w:val="00350EB1"/>
    <w:rsid w:val="0035162E"/>
    <w:rsid w:val="0035186C"/>
    <w:rsid w:val="00352356"/>
    <w:rsid w:val="003528AF"/>
    <w:rsid w:val="00352F2F"/>
    <w:rsid w:val="00353830"/>
    <w:rsid w:val="00353F6B"/>
    <w:rsid w:val="00354E7E"/>
    <w:rsid w:val="00354EA2"/>
    <w:rsid w:val="00354F07"/>
    <w:rsid w:val="00355B4F"/>
    <w:rsid w:val="00356701"/>
    <w:rsid w:val="00356950"/>
    <w:rsid w:val="00356A41"/>
    <w:rsid w:val="00356AFF"/>
    <w:rsid w:val="003571C2"/>
    <w:rsid w:val="00357243"/>
    <w:rsid w:val="00357470"/>
    <w:rsid w:val="003578A6"/>
    <w:rsid w:val="00357ABC"/>
    <w:rsid w:val="00357C7F"/>
    <w:rsid w:val="00360E18"/>
    <w:rsid w:val="00361DF7"/>
    <w:rsid w:val="0036207E"/>
    <w:rsid w:val="00362618"/>
    <w:rsid w:val="00362C80"/>
    <w:rsid w:val="003636BA"/>
    <w:rsid w:val="0036397E"/>
    <w:rsid w:val="003640DE"/>
    <w:rsid w:val="003641D9"/>
    <w:rsid w:val="00364311"/>
    <w:rsid w:val="003646E9"/>
    <w:rsid w:val="00364839"/>
    <w:rsid w:val="00364BAD"/>
    <w:rsid w:val="00365227"/>
    <w:rsid w:val="00366510"/>
    <w:rsid w:val="00366A9D"/>
    <w:rsid w:val="00367082"/>
    <w:rsid w:val="00367526"/>
    <w:rsid w:val="00370633"/>
    <w:rsid w:val="00370CD0"/>
    <w:rsid w:val="00371226"/>
    <w:rsid w:val="003712D9"/>
    <w:rsid w:val="00371571"/>
    <w:rsid w:val="003715C0"/>
    <w:rsid w:val="00371E30"/>
    <w:rsid w:val="00371F36"/>
    <w:rsid w:val="0037266D"/>
    <w:rsid w:val="00372E46"/>
    <w:rsid w:val="00374029"/>
    <w:rsid w:val="00375508"/>
    <w:rsid w:val="003756C1"/>
    <w:rsid w:val="00375948"/>
    <w:rsid w:val="00376D71"/>
    <w:rsid w:val="00376FA6"/>
    <w:rsid w:val="0037708E"/>
    <w:rsid w:val="0037714C"/>
    <w:rsid w:val="00377C1C"/>
    <w:rsid w:val="0038108D"/>
    <w:rsid w:val="0038187B"/>
    <w:rsid w:val="00382BB2"/>
    <w:rsid w:val="00382BE7"/>
    <w:rsid w:val="00382F61"/>
    <w:rsid w:val="003830DA"/>
    <w:rsid w:val="00383AAE"/>
    <w:rsid w:val="00383B25"/>
    <w:rsid w:val="00383F7B"/>
    <w:rsid w:val="00384B78"/>
    <w:rsid w:val="00384E04"/>
    <w:rsid w:val="0038579A"/>
    <w:rsid w:val="0038585E"/>
    <w:rsid w:val="00385BB6"/>
    <w:rsid w:val="0038670C"/>
    <w:rsid w:val="003868B9"/>
    <w:rsid w:val="003871EA"/>
    <w:rsid w:val="00387CD9"/>
    <w:rsid w:val="00387F73"/>
    <w:rsid w:val="003902AA"/>
    <w:rsid w:val="003907ED"/>
    <w:rsid w:val="00390C16"/>
    <w:rsid w:val="00390CAB"/>
    <w:rsid w:val="00390E9F"/>
    <w:rsid w:val="003912C0"/>
    <w:rsid w:val="00391B1A"/>
    <w:rsid w:val="00392181"/>
    <w:rsid w:val="0039279D"/>
    <w:rsid w:val="00392C71"/>
    <w:rsid w:val="00392D54"/>
    <w:rsid w:val="00392FF9"/>
    <w:rsid w:val="003949CA"/>
    <w:rsid w:val="003950E3"/>
    <w:rsid w:val="003960C5"/>
    <w:rsid w:val="003966E8"/>
    <w:rsid w:val="00396734"/>
    <w:rsid w:val="0039678E"/>
    <w:rsid w:val="003967EE"/>
    <w:rsid w:val="00396E87"/>
    <w:rsid w:val="00397C32"/>
    <w:rsid w:val="003A011B"/>
    <w:rsid w:val="003A041A"/>
    <w:rsid w:val="003A04CB"/>
    <w:rsid w:val="003A0531"/>
    <w:rsid w:val="003A0872"/>
    <w:rsid w:val="003A093A"/>
    <w:rsid w:val="003A1341"/>
    <w:rsid w:val="003A17AB"/>
    <w:rsid w:val="003A20F8"/>
    <w:rsid w:val="003A2123"/>
    <w:rsid w:val="003A223A"/>
    <w:rsid w:val="003A253A"/>
    <w:rsid w:val="003A2BB4"/>
    <w:rsid w:val="003A2C3D"/>
    <w:rsid w:val="003A2C6C"/>
    <w:rsid w:val="003A3249"/>
    <w:rsid w:val="003A33D9"/>
    <w:rsid w:val="003A3DAF"/>
    <w:rsid w:val="003A41EA"/>
    <w:rsid w:val="003A4F47"/>
    <w:rsid w:val="003A52B3"/>
    <w:rsid w:val="003A564E"/>
    <w:rsid w:val="003A595C"/>
    <w:rsid w:val="003A5A88"/>
    <w:rsid w:val="003A5E4C"/>
    <w:rsid w:val="003A6B1A"/>
    <w:rsid w:val="003A70BC"/>
    <w:rsid w:val="003A70D0"/>
    <w:rsid w:val="003B020D"/>
    <w:rsid w:val="003B0313"/>
    <w:rsid w:val="003B062B"/>
    <w:rsid w:val="003B079F"/>
    <w:rsid w:val="003B0A93"/>
    <w:rsid w:val="003B0D97"/>
    <w:rsid w:val="003B0F4A"/>
    <w:rsid w:val="003B12F3"/>
    <w:rsid w:val="003B141B"/>
    <w:rsid w:val="003B1981"/>
    <w:rsid w:val="003B19AD"/>
    <w:rsid w:val="003B1B3A"/>
    <w:rsid w:val="003B1DF2"/>
    <w:rsid w:val="003B3F1F"/>
    <w:rsid w:val="003B4B52"/>
    <w:rsid w:val="003B5742"/>
    <w:rsid w:val="003B5794"/>
    <w:rsid w:val="003B5EC8"/>
    <w:rsid w:val="003B621F"/>
    <w:rsid w:val="003B699E"/>
    <w:rsid w:val="003B742B"/>
    <w:rsid w:val="003B7ABC"/>
    <w:rsid w:val="003B7C70"/>
    <w:rsid w:val="003B7C7C"/>
    <w:rsid w:val="003C0FAA"/>
    <w:rsid w:val="003C17B1"/>
    <w:rsid w:val="003C1ECF"/>
    <w:rsid w:val="003C1FFA"/>
    <w:rsid w:val="003C200D"/>
    <w:rsid w:val="003C2F99"/>
    <w:rsid w:val="003C2FB0"/>
    <w:rsid w:val="003C3282"/>
    <w:rsid w:val="003C33A2"/>
    <w:rsid w:val="003C3455"/>
    <w:rsid w:val="003C34A9"/>
    <w:rsid w:val="003C40C2"/>
    <w:rsid w:val="003C4CA2"/>
    <w:rsid w:val="003C4D24"/>
    <w:rsid w:val="003C5819"/>
    <w:rsid w:val="003C587D"/>
    <w:rsid w:val="003C5DA7"/>
    <w:rsid w:val="003C5EFE"/>
    <w:rsid w:val="003C5F07"/>
    <w:rsid w:val="003C5F8A"/>
    <w:rsid w:val="003C69D7"/>
    <w:rsid w:val="003C6BE0"/>
    <w:rsid w:val="003C72ED"/>
    <w:rsid w:val="003C7A7F"/>
    <w:rsid w:val="003D0E4F"/>
    <w:rsid w:val="003D0FFB"/>
    <w:rsid w:val="003D103E"/>
    <w:rsid w:val="003D12FA"/>
    <w:rsid w:val="003D1CCE"/>
    <w:rsid w:val="003D235A"/>
    <w:rsid w:val="003D24EA"/>
    <w:rsid w:val="003D25E9"/>
    <w:rsid w:val="003D286A"/>
    <w:rsid w:val="003D2FE5"/>
    <w:rsid w:val="003D322B"/>
    <w:rsid w:val="003D3EF5"/>
    <w:rsid w:val="003D533F"/>
    <w:rsid w:val="003D554E"/>
    <w:rsid w:val="003D5CF9"/>
    <w:rsid w:val="003D5EE1"/>
    <w:rsid w:val="003D6E21"/>
    <w:rsid w:val="003D7074"/>
    <w:rsid w:val="003D78B3"/>
    <w:rsid w:val="003E0A5D"/>
    <w:rsid w:val="003E0DFF"/>
    <w:rsid w:val="003E14A8"/>
    <w:rsid w:val="003E19AF"/>
    <w:rsid w:val="003E246C"/>
    <w:rsid w:val="003E2472"/>
    <w:rsid w:val="003E32D9"/>
    <w:rsid w:val="003E431F"/>
    <w:rsid w:val="003E458A"/>
    <w:rsid w:val="003E494B"/>
    <w:rsid w:val="003E494E"/>
    <w:rsid w:val="003E4ECC"/>
    <w:rsid w:val="003E50C4"/>
    <w:rsid w:val="003E616E"/>
    <w:rsid w:val="003E6C4D"/>
    <w:rsid w:val="003E701A"/>
    <w:rsid w:val="003E7595"/>
    <w:rsid w:val="003E762E"/>
    <w:rsid w:val="003E7903"/>
    <w:rsid w:val="003E797A"/>
    <w:rsid w:val="003E79C0"/>
    <w:rsid w:val="003F0D24"/>
    <w:rsid w:val="003F1C28"/>
    <w:rsid w:val="003F2247"/>
    <w:rsid w:val="003F225C"/>
    <w:rsid w:val="003F2ED4"/>
    <w:rsid w:val="003F3243"/>
    <w:rsid w:val="003F4843"/>
    <w:rsid w:val="003F49FB"/>
    <w:rsid w:val="003F5F21"/>
    <w:rsid w:val="003F6887"/>
    <w:rsid w:val="003F6C72"/>
    <w:rsid w:val="003F6F5F"/>
    <w:rsid w:val="003F7372"/>
    <w:rsid w:val="003F76F7"/>
    <w:rsid w:val="003F7E51"/>
    <w:rsid w:val="0040061A"/>
    <w:rsid w:val="00400634"/>
    <w:rsid w:val="004007F7"/>
    <w:rsid w:val="00400E18"/>
    <w:rsid w:val="00400E76"/>
    <w:rsid w:val="00400FA3"/>
    <w:rsid w:val="004010E5"/>
    <w:rsid w:val="00401257"/>
    <w:rsid w:val="004019BF"/>
    <w:rsid w:val="00401E2A"/>
    <w:rsid w:val="00402652"/>
    <w:rsid w:val="00402C8D"/>
    <w:rsid w:val="004034BC"/>
    <w:rsid w:val="00403AC3"/>
    <w:rsid w:val="004044C9"/>
    <w:rsid w:val="00404917"/>
    <w:rsid w:val="00407BFB"/>
    <w:rsid w:val="00407DD7"/>
    <w:rsid w:val="00407DE9"/>
    <w:rsid w:val="00410B42"/>
    <w:rsid w:val="00411BA3"/>
    <w:rsid w:val="00411C05"/>
    <w:rsid w:val="00411EB7"/>
    <w:rsid w:val="004121CF"/>
    <w:rsid w:val="0041256E"/>
    <w:rsid w:val="0041281D"/>
    <w:rsid w:val="00412FCE"/>
    <w:rsid w:val="00412FF5"/>
    <w:rsid w:val="0041308C"/>
    <w:rsid w:val="00413F73"/>
    <w:rsid w:val="0041445E"/>
    <w:rsid w:val="00415D3F"/>
    <w:rsid w:val="00415F5C"/>
    <w:rsid w:val="004165A1"/>
    <w:rsid w:val="0041683B"/>
    <w:rsid w:val="00416F09"/>
    <w:rsid w:val="00417907"/>
    <w:rsid w:val="0042087B"/>
    <w:rsid w:val="00420969"/>
    <w:rsid w:val="00420D21"/>
    <w:rsid w:val="00420E15"/>
    <w:rsid w:val="0042115F"/>
    <w:rsid w:val="00421428"/>
    <w:rsid w:val="00421920"/>
    <w:rsid w:val="00421A7F"/>
    <w:rsid w:val="00421E25"/>
    <w:rsid w:val="004222A3"/>
    <w:rsid w:val="00422859"/>
    <w:rsid w:val="00422920"/>
    <w:rsid w:val="00423951"/>
    <w:rsid w:val="00423AAE"/>
    <w:rsid w:val="0042481A"/>
    <w:rsid w:val="004253A5"/>
    <w:rsid w:val="004264B9"/>
    <w:rsid w:val="00426781"/>
    <w:rsid w:val="00426883"/>
    <w:rsid w:val="00426A0B"/>
    <w:rsid w:val="004305B7"/>
    <w:rsid w:val="004306AF"/>
    <w:rsid w:val="004307FA"/>
    <w:rsid w:val="00430937"/>
    <w:rsid w:val="00430E39"/>
    <w:rsid w:val="00431C6A"/>
    <w:rsid w:val="00431DA4"/>
    <w:rsid w:val="004320B2"/>
    <w:rsid w:val="004329D0"/>
    <w:rsid w:val="00432ABB"/>
    <w:rsid w:val="00433687"/>
    <w:rsid w:val="004339AA"/>
    <w:rsid w:val="004340D8"/>
    <w:rsid w:val="0043461F"/>
    <w:rsid w:val="00434C78"/>
    <w:rsid w:val="00435264"/>
    <w:rsid w:val="0043566D"/>
    <w:rsid w:val="00435FDB"/>
    <w:rsid w:val="0043797F"/>
    <w:rsid w:val="00437C81"/>
    <w:rsid w:val="00440A8B"/>
    <w:rsid w:val="0044118A"/>
    <w:rsid w:val="00441561"/>
    <w:rsid w:val="00441AEA"/>
    <w:rsid w:val="00442575"/>
    <w:rsid w:val="004432BC"/>
    <w:rsid w:val="00443344"/>
    <w:rsid w:val="0044360D"/>
    <w:rsid w:val="00443948"/>
    <w:rsid w:val="00443B0C"/>
    <w:rsid w:val="00444BE8"/>
    <w:rsid w:val="00444E32"/>
    <w:rsid w:val="004459B3"/>
    <w:rsid w:val="00445ACD"/>
    <w:rsid w:val="00445DE2"/>
    <w:rsid w:val="00446880"/>
    <w:rsid w:val="004468C5"/>
    <w:rsid w:val="00446C1F"/>
    <w:rsid w:val="00446D48"/>
    <w:rsid w:val="00447193"/>
    <w:rsid w:val="00447972"/>
    <w:rsid w:val="00447B15"/>
    <w:rsid w:val="00447FB6"/>
    <w:rsid w:val="00447FD1"/>
    <w:rsid w:val="00450E69"/>
    <w:rsid w:val="00451072"/>
    <w:rsid w:val="00451C76"/>
    <w:rsid w:val="00451E4E"/>
    <w:rsid w:val="004520FE"/>
    <w:rsid w:val="004529E1"/>
    <w:rsid w:val="00452B58"/>
    <w:rsid w:val="00452D9E"/>
    <w:rsid w:val="0045318A"/>
    <w:rsid w:val="00453DB8"/>
    <w:rsid w:val="00453FCE"/>
    <w:rsid w:val="00454649"/>
    <w:rsid w:val="004553DC"/>
    <w:rsid w:val="0045558E"/>
    <w:rsid w:val="00455E87"/>
    <w:rsid w:val="004561DA"/>
    <w:rsid w:val="0045635D"/>
    <w:rsid w:val="004566C8"/>
    <w:rsid w:val="00456827"/>
    <w:rsid w:val="00456AB5"/>
    <w:rsid w:val="00456CB4"/>
    <w:rsid w:val="004574C5"/>
    <w:rsid w:val="0045791A"/>
    <w:rsid w:val="00457D05"/>
    <w:rsid w:val="0046038E"/>
    <w:rsid w:val="00460D0D"/>
    <w:rsid w:val="00461236"/>
    <w:rsid w:val="0046158D"/>
    <w:rsid w:val="00461E4A"/>
    <w:rsid w:val="004622FB"/>
    <w:rsid w:val="00462C8C"/>
    <w:rsid w:val="0046304F"/>
    <w:rsid w:val="004635DA"/>
    <w:rsid w:val="00463696"/>
    <w:rsid w:val="00463A1A"/>
    <w:rsid w:val="00463D2F"/>
    <w:rsid w:val="00463E30"/>
    <w:rsid w:val="0046406C"/>
    <w:rsid w:val="00464382"/>
    <w:rsid w:val="00464430"/>
    <w:rsid w:val="0046493F"/>
    <w:rsid w:val="00464C8C"/>
    <w:rsid w:val="00464F71"/>
    <w:rsid w:val="0046583F"/>
    <w:rsid w:val="004666BB"/>
    <w:rsid w:val="0047090E"/>
    <w:rsid w:val="00471387"/>
    <w:rsid w:val="0047180F"/>
    <w:rsid w:val="00471DA2"/>
    <w:rsid w:val="00472AAA"/>
    <w:rsid w:val="00472AC3"/>
    <w:rsid w:val="00472E66"/>
    <w:rsid w:val="00472E7E"/>
    <w:rsid w:val="00472EEF"/>
    <w:rsid w:val="004741D3"/>
    <w:rsid w:val="004742E3"/>
    <w:rsid w:val="0047445A"/>
    <w:rsid w:val="00474612"/>
    <w:rsid w:val="00474645"/>
    <w:rsid w:val="00474A75"/>
    <w:rsid w:val="00474C4B"/>
    <w:rsid w:val="0047563C"/>
    <w:rsid w:val="0047565B"/>
    <w:rsid w:val="0047626F"/>
    <w:rsid w:val="00476D82"/>
    <w:rsid w:val="00477C01"/>
    <w:rsid w:val="004800EE"/>
    <w:rsid w:val="00480231"/>
    <w:rsid w:val="0048023B"/>
    <w:rsid w:val="00480321"/>
    <w:rsid w:val="00480BE8"/>
    <w:rsid w:val="00480CAF"/>
    <w:rsid w:val="004812C0"/>
    <w:rsid w:val="00481C97"/>
    <w:rsid w:val="00482C0B"/>
    <w:rsid w:val="00483169"/>
    <w:rsid w:val="0048341C"/>
    <w:rsid w:val="004836B3"/>
    <w:rsid w:val="004838CC"/>
    <w:rsid w:val="00483CC3"/>
    <w:rsid w:val="00483F96"/>
    <w:rsid w:val="0048558E"/>
    <w:rsid w:val="00485625"/>
    <w:rsid w:val="00485A3A"/>
    <w:rsid w:val="00485AB2"/>
    <w:rsid w:val="00486BF9"/>
    <w:rsid w:val="004909D6"/>
    <w:rsid w:val="004916ED"/>
    <w:rsid w:val="00491B32"/>
    <w:rsid w:val="00492115"/>
    <w:rsid w:val="00493324"/>
    <w:rsid w:val="0049339E"/>
    <w:rsid w:val="0049341B"/>
    <w:rsid w:val="00493446"/>
    <w:rsid w:val="00493520"/>
    <w:rsid w:val="00493730"/>
    <w:rsid w:val="004939EA"/>
    <w:rsid w:val="00493F1C"/>
    <w:rsid w:val="00494123"/>
    <w:rsid w:val="004942C4"/>
    <w:rsid w:val="00494580"/>
    <w:rsid w:val="004953F5"/>
    <w:rsid w:val="00495C1B"/>
    <w:rsid w:val="004960D4"/>
    <w:rsid w:val="00496236"/>
    <w:rsid w:val="00496875"/>
    <w:rsid w:val="00496DA4"/>
    <w:rsid w:val="004971F2"/>
    <w:rsid w:val="004972D5"/>
    <w:rsid w:val="00497978"/>
    <w:rsid w:val="00497BDB"/>
    <w:rsid w:val="00497F7F"/>
    <w:rsid w:val="004A0171"/>
    <w:rsid w:val="004A14AC"/>
    <w:rsid w:val="004A1EDF"/>
    <w:rsid w:val="004A20C7"/>
    <w:rsid w:val="004A2AF0"/>
    <w:rsid w:val="004A2C4E"/>
    <w:rsid w:val="004A2CE6"/>
    <w:rsid w:val="004A2FB0"/>
    <w:rsid w:val="004A3F16"/>
    <w:rsid w:val="004A46E3"/>
    <w:rsid w:val="004A4D60"/>
    <w:rsid w:val="004A4EB0"/>
    <w:rsid w:val="004A5598"/>
    <w:rsid w:val="004A57EC"/>
    <w:rsid w:val="004A5A3C"/>
    <w:rsid w:val="004A5B60"/>
    <w:rsid w:val="004A5CDD"/>
    <w:rsid w:val="004A6042"/>
    <w:rsid w:val="004A6F78"/>
    <w:rsid w:val="004A7089"/>
    <w:rsid w:val="004A745D"/>
    <w:rsid w:val="004A752B"/>
    <w:rsid w:val="004A756B"/>
    <w:rsid w:val="004A7724"/>
    <w:rsid w:val="004A7C49"/>
    <w:rsid w:val="004B01F4"/>
    <w:rsid w:val="004B0259"/>
    <w:rsid w:val="004B09A8"/>
    <w:rsid w:val="004B0E4F"/>
    <w:rsid w:val="004B0EF4"/>
    <w:rsid w:val="004B11D8"/>
    <w:rsid w:val="004B1A02"/>
    <w:rsid w:val="004B1D66"/>
    <w:rsid w:val="004B2252"/>
    <w:rsid w:val="004B243F"/>
    <w:rsid w:val="004B2B15"/>
    <w:rsid w:val="004B2C98"/>
    <w:rsid w:val="004B2FEA"/>
    <w:rsid w:val="004B3243"/>
    <w:rsid w:val="004B3CD2"/>
    <w:rsid w:val="004B3DA9"/>
    <w:rsid w:val="004B3DEA"/>
    <w:rsid w:val="004B48E1"/>
    <w:rsid w:val="004B4E62"/>
    <w:rsid w:val="004B516A"/>
    <w:rsid w:val="004B53E7"/>
    <w:rsid w:val="004B5D5E"/>
    <w:rsid w:val="004B5FA0"/>
    <w:rsid w:val="004B6518"/>
    <w:rsid w:val="004B692F"/>
    <w:rsid w:val="004B70E3"/>
    <w:rsid w:val="004B7724"/>
    <w:rsid w:val="004B7AEA"/>
    <w:rsid w:val="004C0091"/>
    <w:rsid w:val="004C062F"/>
    <w:rsid w:val="004C064A"/>
    <w:rsid w:val="004C08BF"/>
    <w:rsid w:val="004C0C84"/>
    <w:rsid w:val="004C1602"/>
    <w:rsid w:val="004C170E"/>
    <w:rsid w:val="004C2892"/>
    <w:rsid w:val="004C34DB"/>
    <w:rsid w:val="004C3A58"/>
    <w:rsid w:val="004C4C85"/>
    <w:rsid w:val="004C51FD"/>
    <w:rsid w:val="004C538A"/>
    <w:rsid w:val="004C6150"/>
    <w:rsid w:val="004C631C"/>
    <w:rsid w:val="004C65B2"/>
    <w:rsid w:val="004C66B0"/>
    <w:rsid w:val="004C66C3"/>
    <w:rsid w:val="004C679B"/>
    <w:rsid w:val="004C6A6F"/>
    <w:rsid w:val="004C6B93"/>
    <w:rsid w:val="004C7203"/>
    <w:rsid w:val="004D0CD8"/>
    <w:rsid w:val="004D1136"/>
    <w:rsid w:val="004D1467"/>
    <w:rsid w:val="004D1597"/>
    <w:rsid w:val="004D17CB"/>
    <w:rsid w:val="004D3441"/>
    <w:rsid w:val="004D3522"/>
    <w:rsid w:val="004D50E3"/>
    <w:rsid w:val="004D5DF6"/>
    <w:rsid w:val="004D5E72"/>
    <w:rsid w:val="004D5F15"/>
    <w:rsid w:val="004D65D1"/>
    <w:rsid w:val="004D674C"/>
    <w:rsid w:val="004D6B9A"/>
    <w:rsid w:val="004D6B9D"/>
    <w:rsid w:val="004D7B98"/>
    <w:rsid w:val="004E0086"/>
    <w:rsid w:val="004E0103"/>
    <w:rsid w:val="004E07FA"/>
    <w:rsid w:val="004E0B4D"/>
    <w:rsid w:val="004E1CA5"/>
    <w:rsid w:val="004E2E6A"/>
    <w:rsid w:val="004E31FA"/>
    <w:rsid w:val="004E3346"/>
    <w:rsid w:val="004E33DE"/>
    <w:rsid w:val="004E3489"/>
    <w:rsid w:val="004E34F2"/>
    <w:rsid w:val="004E3D67"/>
    <w:rsid w:val="004E4056"/>
    <w:rsid w:val="004E456F"/>
    <w:rsid w:val="004E4ED5"/>
    <w:rsid w:val="004E5115"/>
    <w:rsid w:val="004E57FF"/>
    <w:rsid w:val="004E5A30"/>
    <w:rsid w:val="004E6206"/>
    <w:rsid w:val="004E640F"/>
    <w:rsid w:val="004E67FE"/>
    <w:rsid w:val="004E693C"/>
    <w:rsid w:val="004E742B"/>
    <w:rsid w:val="004E744E"/>
    <w:rsid w:val="004E7755"/>
    <w:rsid w:val="004F0298"/>
    <w:rsid w:val="004F0404"/>
    <w:rsid w:val="004F0503"/>
    <w:rsid w:val="004F0959"/>
    <w:rsid w:val="004F178E"/>
    <w:rsid w:val="004F1DBD"/>
    <w:rsid w:val="004F20AD"/>
    <w:rsid w:val="004F3030"/>
    <w:rsid w:val="004F3615"/>
    <w:rsid w:val="004F38B6"/>
    <w:rsid w:val="004F3A48"/>
    <w:rsid w:val="004F3AB0"/>
    <w:rsid w:val="004F4452"/>
    <w:rsid w:val="004F4925"/>
    <w:rsid w:val="004F4935"/>
    <w:rsid w:val="004F4EB1"/>
    <w:rsid w:val="004F60A6"/>
    <w:rsid w:val="004F64E6"/>
    <w:rsid w:val="004F6AF5"/>
    <w:rsid w:val="004F71BF"/>
    <w:rsid w:val="004F7491"/>
    <w:rsid w:val="004F7917"/>
    <w:rsid w:val="004F791C"/>
    <w:rsid w:val="004F7D5E"/>
    <w:rsid w:val="00500071"/>
    <w:rsid w:val="00500E0A"/>
    <w:rsid w:val="00500E57"/>
    <w:rsid w:val="00500EB7"/>
    <w:rsid w:val="00501637"/>
    <w:rsid w:val="00501689"/>
    <w:rsid w:val="00501AB0"/>
    <w:rsid w:val="00501C41"/>
    <w:rsid w:val="00502406"/>
    <w:rsid w:val="0050247F"/>
    <w:rsid w:val="005027B9"/>
    <w:rsid w:val="00502804"/>
    <w:rsid w:val="00502FCC"/>
    <w:rsid w:val="005032F1"/>
    <w:rsid w:val="00503415"/>
    <w:rsid w:val="0050350C"/>
    <w:rsid w:val="0050374D"/>
    <w:rsid w:val="00503A65"/>
    <w:rsid w:val="00503C02"/>
    <w:rsid w:val="00503C64"/>
    <w:rsid w:val="00503EC3"/>
    <w:rsid w:val="005040C0"/>
    <w:rsid w:val="005043B5"/>
    <w:rsid w:val="00504577"/>
    <w:rsid w:val="00504A3A"/>
    <w:rsid w:val="00504C93"/>
    <w:rsid w:val="00505701"/>
    <w:rsid w:val="0050578C"/>
    <w:rsid w:val="00506238"/>
    <w:rsid w:val="00506490"/>
    <w:rsid w:val="00506F8F"/>
    <w:rsid w:val="00506FE3"/>
    <w:rsid w:val="00507C1F"/>
    <w:rsid w:val="00507C40"/>
    <w:rsid w:val="00507F38"/>
    <w:rsid w:val="0051017B"/>
    <w:rsid w:val="0051079B"/>
    <w:rsid w:val="0051099B"/>
    <w:rsid w:val="00510CE5"/>
    <w:rsid w:val="00510DAE"/>
    <w:rsid w:val="0051113E"/>
    <w:rsid w:val="00511756"/>
    <w:rsid w:val="005126DB"/>
    <w:rsid w:val="005127F0"/>
    <w:rsid w:val="00512BAC"/>
    <w:rsid w:val="005131F2"/>
    <w:rsid w:val="00513F90"/>
    <w:rsid w:val="005141A1"/>
    <w:rsid w:val="005141B7"/>
    <w:rsid w:val="005141DA"/>
    <w:rsid w:val="005157D5"/>
    <w:rsid w:val="00515FF1"/>
    <w:rsid w:val="005164CE"/>
    <w:rsid w:val="00516A09"/>
    <w:rsid w:val="00516B49"/>
    <w:rsid w:val="00516D57"/>
    <w:rsid w:val="00517D98"/>
    <w:rsid w:val="00520502"/>
    <w:rsid w:val="005209B2"/>
    <w:rsid w:val="00520A3C"/>
    <w:rsid w:val="005210F3"/>
    <w:rsid w:val="00521151"/>
    <w:rsid w:val="00521F62"/>
    <w:rsid w:val="0052245F"/>
    <w:rsid w:val="00522523"/>
    <w:rsid w:val="00522DBB"/>
    <w:rsid w:val="00522EBD"/>
    <w:rsid w:val="00522EF9"/>
    <w:rsid w:val="00523578"/>
    <w:rsid w:val="00523B1A"/>
    <w:rsid w:val="00523B54"/>
    <w:rsid w:val="00524363"/>
    <w:rsid w:val="0052497E"/>
    <w:rsid w:val="0052508D"/>
    <w:rsid w:val="0052573C"/>
    <w:rsid w:val="00525837"/>
    <w:rsid w:val="00525CAD"/>
    <w:rsid w:val="00525F49"/>
    <w:rsid w:val="00526055"/>
    <w:rsid w:val="005277BE"/>
    <w:rsid w:val="00527AB6"/>
    <w:rsid w:val="00527CD7"/>
    <w:rsid w:val="00527E81"/>
    <w:rsid w:val="00530451"/>
    <w:rsid w:val="00530869"/>
    <w:rsid w:val="005317ED"/>
    <w:rsid w:val="00531A13"/>
    <w:rsid w:val="00532498"/>
    <w:rsid w:val="00532777"/>
    <w:rsid w:val="00532870"/>
    <w:rsid w:val="00533215"/>
    <w:rsid w:val="00533FB0"/>
    <w:rsid w:val="00534311"/>
    <w:rsid w:val="00535139"/>
    <w:rsid w:val="00535DBC"/>
    <w:rsid w:val="0053612D"/>
    <w:rsid w:val="00536A31"/>
    <w:rsid w:val="00537BAB"/>
    <w:rsid w:val="00537CDE"/>
    <w:rsid w:val="00537FCF"/>
    <w:rsid w:val="00540BE0"/>
    <w:rsid w:val="00540BF3"/>
    <w:rsid w:val="00540E67"/>
    <w:rsid w:val="00541ADA"/>
    <w:rsid w:val="00542EC6"/>
    <w:rsid w:val="00542F58"/>
    <w:rsid w:val="00543E44"/>
    <w:rsid w:val="00544601"/>
    <w:rsid w:val="005448ED"/>
    <w:rsid w:val="0054506A"/>
    <w:rsid w:val="005453E2"/>
    <w:rsid w:val="005453E8"/>
    <w:rsid w:val="00545E4D"/>
    <w:rsid w:val="0054662A"/>
    <w:rsid w:val="00546638"/>
    <w:rsid w:val="00546668"/>
    <w:rsid w:val="00546776"/>
    <w:rsid w:val="00546788"/>
    <w:rsid w:val="00546809"/>
    <w:rsid w:val="00546959"/>
    <w:rsid w:val="005502D6"/>
    <w:rsid w:val="00550C82"/>
    <w:rsid w:val="00551A05"/>
    <w:rsid w:val="00551DAF"/>
    <w:rsid w:val="005532BA"/>
    <w:rsid w:val="0055343D"/>
    <w:rsid w:val="00553446"/>
    <w:rsid w:val="00553CA0"/>
    <w:rsid w:val="005545A4"/>
    <w:rsid w:val="005556AF"/>
    <w:rsid w:val="00556011"/>
    <w:rsid w:val="0055669B"/>
    <w:rsid w:val="00556763"/>
    <w:rsid w:val="0055681E"/>
    <w:rsid w:val="00556AE6"/>
    <w:rsid w:val="00556CF7"/>
    <w:rsid w:val="005577EE"/>
    <w:rsid w:val="005577F2"/>
    <w:rsid w:val="00560249"/>
    <w:rsid w:val="00561120"/>
    <w:rsid w:val="005621D1"/>
    <w:rsid w:val="00562489"/>
    <w:rsid w:val="005624E1"/>
    <w:rsid w:val="005625F4"/>
    <w:rsid w:val="00562AC4"/>
    <w:rsid w:val="00563541"/>
    <w:rsid w:val="00563C63"/>
    <w:rsid w:val="00563EB6"/>
    <w:rsid w:val="005644B6"/>
    <w:rsid w:val="0056462B"/>
    <w:rsid w:val="00564849"/>
    <w:rsid w:val="005648BD"/>
    <w:rsid w:val="00565158"/>
    <w:rsid w:val="00565B1C"/>
    <w:rsid w:val="00565D30"/>
    <w:rsid w:val="005663D5"/>
    <w:rsid w:val="00566A82"/>
    <w:rsid w:val="005673C5"/>
    <w:rsid w:val="005678F3"/>
    <w:rsid w:val="005679D0"/>
    <w:rsid w:val="00567CBE"/>
    <w:rsid w:val="00567FE2"/>
    <w:rsid w:val="005701D6"/>
    <w:rsid w:val="00570226"/>
    <w:rsid w:val="005706D6"/>
    <w:rsid w:val="005708B5"/>
    <w:rsid w:val="00570C5E"/>
    <w:rsid w:val="00570C8E"/>
    <w:rsid w:val="00570FDD"/>
    <w:rsid w:val="005715E7"/>
    <w:rsid w:val="0057169D"/>
    <w:rsid w:val="005725D6"/>
    <w:rsid w:val="00572D0F"/>
    <w:rsid w:val="00573040"/>
    <w:rsid w:val="005730DD"/>
    <w:rsid w:val="005731F6"/>
    <w:rsid w:val="005732AB"/>
    <w:rsid w:val="0057367E"/>
    <w:rsid w:val="00573AAD"/>
    <w:rsid w:val="00573F05"/>
    <w:rsid w:val="00574D26"/>
    <w:rsid w:val="00575282"/>
    <w:rsid w:val="00575316"/>
    <w:rsid w:val="00575A0F"/>
    <w:rsid w:val="00576141"/>
    <w:rsid w:val="00576255"/>
    <w:rsid w:val="00576504"/>
    <w:rsid w:val="00576614"/>
    <w:rsid w:val="00576B53"/>
    <w:rsid w:val="00577000"/>
    <w:rsid w:val="00580032"/>
    <w:rsid w:val="00580693"/>
    <w:rsid w:val="00580B59"/>
    <w:rsid w:val="0058109D"/>
    <w:rsid w:val="00581527"/>
    <w:rsid w:val="00581B8B"/>
    <w:rsid w:val="00582BC6"/>
    <w:rsid w:val="0058362E"/>
    <w:rsid w:val="00583C1E"/>
    <w:rsid w:val="00584542"/>
    <w:rsid w:val="00584B71"/>
    <w:rsid w:val="00585BB3"/>
    <w:rsid w:val="00585D51"/>
    <w:rsid w:val="0058605E"/>
    <w:rsid w:val="005862E9"/>
    <w:rsid w:val="00586A5E"/>
    <w:rsid w:val="00587147"/>
    <w:rsid w:val="00587701"/>
    <w:rsid w:val="00587D9D"/>
    <w:rsid w:val="005905D7"/>
    <w:rsid w:val="0059116C"/>
    <w:rsid w:val="00592575"/>
    <w:rsid w:val="0059302A"/>
    <w:rsid w:val="0059303B"/>
    <w:rsid w:val="00593679"/>
    <w:rsid w:val="005939DC"/>
    <w:rsid w:val="00593E1E"/>
    <w:rsid w:val="00594BF6"/>
    <w:rsid w:val="00594C2A"/>
    <w:rsid w:val="00595A2E"/>
    <w:rsid w:val="00596ED4"/>
    <w:rsid w:val="00596F5E"/>
    <w:rsid w:val="005971FA"/>
    <w:rsid w:val="00597359"/>
    <w:rsid w:val="00597484"/>
    <w:rsid w:val="005976A4"/>
    <w:rsid w:val="005A00BB"/>
    <w:rsid w:val="005A00D0"/>
    <w:rsid w:val="005A09DF"/>
    <w:rsid w:val="005A0BBB"/>
    <w:rsid w:val="005A1AE6"/>
    <w:rsid w:val="005A205D"/>
    <w:rsid w:val="005A2AD0"/>
    <w:rsid w:val="005A3707"/>
    <w:rsid w:val="005A37CF"/>
    <w:rsid w:val="005A39A1"/>
    <w:rsid w:val="005A3DB8"/>
    <w:rsid w:val="005A409E"/>
    <w:rsid w:val="005A47DE"/>
    <w:rsid w:val="005A4C98"/>
    <w:rsid w:val="005A5257"/>
    <w:rsid w:val="005A527E"/>
    <w:rsid w:val="005A55E5"/>
    <w:rsid w:val="005A5D05"/>
    <w:rsid w:val="005A65AA"/>
    <w:rsid w:val="005B09AE"/>
    <w:rsid w:val="005B0C50"/>
    <w:rsid w:val="005B0CDC"/>
    <w:rsid w:val="005B0F3A"/>
    <w:rsid w:val="005B205F"/>
    <w:rsid w:val="005B22D2"/>
    <w:rsid w:val="005B2B2C"/>
    <w:rsid w:val="005B2B3B"/>
    <w:rsid w:val="005B385C"/>
    <w:rsid w:val="005B3AE5"/>
    <w:rsid w:val="005B41A5"/>
    <w:rsid w:val="005B4A4B"/>
    <w:rsid w:val="005B515A"/>
    <w:rsid w:val="005B525D"/>
    <w:rsid w:val="005B6539"/>
    <w:rsid w:val="005B73AD"/>
    <w:rsid w:val="005C0798"/>
    <w:rsid w:val="005C11AF"/>
    <w:rsid w:val="005C20B3"/>
    <w:rsid w:val="005C28A8"/>
    <w:rsid w:val="005C2F9D"/>
    <w:rsid w:val="005C3CC4"/>
    <w:rsid w:val="005C4185"/>
    <w:rsid w:val="005C4415"/>
    <w:rsid w:val="005C4CAB"/>
    <w:rsid w:val="005C5B65"/>
    <w:rsid w:val="005C5BAE"/>
    <w:rsid w:val="005C5D37"/>
    <w:rsid w:val="005C6678"/>
    <w:rsid w:val="005C6A53"/>
    <w:rsid w:val="005C6FB9"/>
    <w:rsid w:val="005C727E"/>
    <w:rsid w:val="005C7508"/>
    <w:rsid w:val="005C7614"/>
    <w:rsid w:val="005C7B0D"/>
    <w:rsid w:val="005D04BF"/>
    <w:rsid w:val="005D07C9"/>
    <w:rsid w:val="005D0BB0"/>
    <w:rsid w:val="005D0CE5"/>
    <w:rsid w:val="005D0DE5"/>
    <w:rsid w:val="005D0E74"/>
    <w:rsid w:val="005D1A61"/>
    <w:rsid w:val="005D2896"/>
    <w:rsid w:val="005D2C16"/>
    <w:rsid w:val="005D3496"/>
    <w:rsid w:val="005D3502"/>
    <w:rsid w:val="005D46ED"/>
    <w:rsid w:val="005D4AAC"/>
    <w:rsid w:val="005D5105"/>
    <w:rsid w:val="005D53D7"/>
    <w:rsid w:val="005D59B7"/>
    <w:rsid w:val="005D60D9"/>
    <w:rsid w:val="005D72C5"/>
    <w:rsid w:val="005D7697"/>
    <w:rsid w:val="005D7981"/>
    <w:rsid w:val="005D7E33"/>
    <w:rsid w:val="005E073D"/>
    <w:rsid w:val="005E121F"/>
    <w:rsid w:val="005E1509"/>
    <w:rsid w:val="005E1CD1"/>
    <w:rsid w:val="005E1E27"/>
    <w:rsid w:val="005E208B"/>
    <w:rsid w:val="005E20BA"/>
    <w:rsid w:val="005E2F43"/>
    <w:rsid w:val="005E4987"/>
    <w:rsid w:val="005E5666"/>
    <w:rsid w:val="005E5943"/>
    <w:rsid w:val="005E5AE3"/>
    <w:rsid w:val="005E5B9C"/>
    <w:rsid w:val="005E60F8"/>
    <w:rsid w:val="005E63EE"/>
    <w:rsid w:val="005E6AC0"/>
    <w:rsid w:val="005E6FDA"/>
    <w:rsid w:val="005E783B"/>
    <w:rsid w:val="005E7981"/>
    <w:rsid w:val="005E7E76"/>
    <w:rsid w:val="005F048F"/>
    <w:rsid w:val="005F1236"/>
    <w:rsid w:val="005F153C"/>
    <w:rsid w:val="005F1734"/>
    <w:rsid w:val="005F19BF"/>
    <w:rsid w:val="005F1C6A"/>
    <w:rsid w:val="005F2985"/>
    <w:rsid w:val="005F2E99"/>
    <w:rsid w:val="005F3135"/>
    <w:rsid w:val="005F3382"/>
    <w:rsid w:val="005F3712"/>
    <w:rsid w:val="005F3F44"/>
    <w:rsid w:val="005F405C"/>
    <w:rsid w:val="005F4627"/>
    <w:rsid w:val="005F4742"/>
    <w:rsid w:val="005F487F"/>
    <w:rsid w:val="005F4EDB"/>
    <w:rsid w:val="005F5226"/>
    <w:rsid w:val="005F54EE"/>
    <w:rsid w:val="005F5DCD"/>
    <w:rsid w:val="005F69D2"/>
    <w:rsid w:val="005F74B5"/>
    <w:rsid w:val="005F7C8C"/>
    <w:rsid w:val="00602158"/>
    <w:rsid w:val="006034DE"/>
    <w:rsid w:val="00603DDC"/>
    <w:rsid w:val="00603F30"/>
    <w:rsid w:val="00604241"/>
    <w:rsid w:val="006043C0"/>
    <w:rsid w:val="00604C76"/>
    <w:rsid w:val="00605B65"/>
    <w:rsid w:val="00605C9E"/>
    <w:rsid w:val="006068A4"/>
    <w:rsid w:val="00607E41"/>
    <w:rsid w:val="0061016B"/>
    <w:rsid w:val="00611312"/>
    <w:rsid w:val="0061140B"/>
    <w:rsid w:val="006114A4"/>
    <w:rsid w:val="00611B48"/>
    <w:rsid w:val="00611E40"/>
    <w:rsid w:val="00612272"/>
    <w:rsid w:val="006128D9"/>
    <w:rsid w:val="00612E39"/>
    <w:rsid w:val="006132F2"/>
    <w:rsid w:val="006139BD"/>
    <w:rsid w:val="00614453"/>
    <w:rsid w:val="00614612"/>
    <w:rsid w:val="00614DC8"/>
    <w:rsid w:val="006150DD"/>
    <w:rsid w:val="006154C8"/>
    <w:rsid w:val="0061559E"/>
    <w:rsid w:val="0061599C"/>
    <w:rsid w:val="00615DA1"/>
    <w:rsid w:val="00616671"/>
    <w:rsid w:val="006169F9"/>
    <w:rsid w:val="00616A03"/>
    <w:rsid w:val="00616A5B"/>
    <w:rsid w:val="00616AEF"/>
    <w:rsid w:val="00617360"/>
    <w:rsid w:val="006174FF"/>
    <w:rsid w:val="00617E30"/>
    <w:rsid w:val="006204C5"/>
    <w:rsid w:val="0062058C"/>
    <w:rsid w:val="00620945"/>
    <w:rsid w:val="00622FEC"/>
    <w:rsid w:val="0062306C"/>
    <w:rsid w:val="00623F17"/>
    <w:rsid w:val="00624754"/>
    <w:rsid w:val="006249ED"/>
    <w:rsid w:val="00625757"/>
    <w:rsid w:val="00625A81"/>
    <w:rsid w:val="0063005A"/>
    <w:rsid w:val="0063036B"/>
    <w:rsid w:val="00631D18"/>
    <w:rsid w:val="00632191"/>
    <w:rsid w:val="006321E5"/>
    <w:rsid w:val="00632473"/>
    <w:rsid w:val="0063292A"/>
    <w:rsid w:val="00632C94"/>
    <w:rsid w:val="00632D7F"/>
    <w:rsid w:val="00633D59"/>
    <w:rsid w:val="00634385"/>
    <w:rsid w:val="006346A5"/>
    <w:rsid w:val="00634C6F"/>
    <w:rsid w:val="00635011"/>
    <w:rsid w:val="00635987"/>
    <w:rsid w:val="00636A13"/>
    <w:rsid w:val="00636CC1"/>
    <w:rsid w:val="006370E6"/>
    <w:rsid w:val="006406EC"/>
    <w:rsid w:val="00640B00"/>
    <w:rsid w:val="0064136A"/>
    <w:rsid w:val="00641AAA"/>
    <w:rsid w:val="00641BBD"/>
    <w:rsid w:val="00641E44"/>
    <w:rsid w:val="00642369"/>
    <w:rsid w:val="00642704"/>
    <w:rsid w:val="00642B71"/>
    <w:rsid w:val="006432C7"/>
    <w:rsid w:val="0064370C"/>
    <w:rsid w:val="006441F5"/>
    <w:rsid w:val="0064425E"/>
    <w:rsid w:val="00644301"/>
    <w:rsid w:val="006446EF"/>
    <w:rsid w:val="006456A1"/>
    <w:rsid w:val="006457A6"/>
    <w:rsid w:val="00645B58"/>
    <w:rsid w:val="00645EE5"/>
    <w:rsid w:val="0064614B"/>
    <w:rsid w:val="006461DC"/>
    <w:rsid w:val="00646834"/>
    <w:rsid w:val="00647A8E"/>
    <w:rsid w:val="006503FE"/>
    <w:rsid w:val="006504E9"/>
    <w:rsid w:val="0065091F"/>
    <w:rsid w:val="0065093E"/>
    <w:rsid w:val="00650D6C"/>
    <w:rsid w:val="00650E54"/>
    <w:rsid w:val="00650FEB"/>
    <w:rsid w:val="00651DF3"/>
    <w:rsid w:val="0065213F"/>
    <w:rsid w:val="006524CD"/>
    <w:rsid w:val="0065263F"/>
    <w:rsid w:val="00652811"/>
    <w:rsid w:val="006529B8"/>
    <w:rsid w:val="00653033"/>
    <w:rsid w:val="0065315A"/>
    <w:rsid w:val="0065321D"/>
    <w:rsid w:val="00653768"/>
    <w:rsid w:val="00654CC9"/>
    <w:rsid w:val="00655222"/>
    <w:rsid w:val="0065568A"/>
    <w:rsid w:val="00655F7A"/>
    <w:rsid w:val="0065696F"/>
    <w:rsid w:val="00656BC6"/>
    <w:rsid w:val="0065773A"/>
    <w:rsid w:val="00657853"/>
    <w:rsid w:val="006603A1"/>
    <w:rsid w:val="006604AE"/>
    <w:rsid w:val="00660D36"/>
    <w:rsid w:val="00661BAE"/>
    <w:rsid w:val="00661DA1"/>
    <w:rsid w:val="006624F2"/>
    <w:rsid w:val="00663185"/>
    <w:rsid w:val="00663B37"/>
    <w:rsid w:val="0066416E"/>
    <w:rsid w:val="0066461B"/>
    <w:rsid w:val="00664A73"/>
    <w:rsid w:val="00664BC0"/>
    <w:rsid w:val="00664F83"/>
    <w:rsid w:val="00665B3D"/>
    <w:rsid w:val="006662A6"/>
    <w:rsid w:val="006664A6"/>
    <w:rsid w:val="00666787"/>
    <w:rsid w:val="006669DB"/>
    <w:rsid w:val="00666F8A"/>
    <w:rsid w:val="00667357"/>
    <w:rsid w:val="0066780E"/>
    <w:rsid w:val="00667CD7"/>
    <w:rsid w:val="00670613"/>
    <w:rsid w:val="00670810"/>
    <w:rsid w:val="00670BE0"/>
    <w:rsid w:val="00671B11"/>
    <w:rsid w:val="00671EFB"/>
    <w:rsid w:val="00672152"/>
    <w:rsid w:val="006721A2"/>
    <w:rsid w:val="00672E87"/>
    <w:rsid w:val="006734A1"/>
    <w:rsid w:val="006736B3"/>
    <w:rsid w:val="00673997"/>
    <w:rsid w:val="00673EB8"/>
    <w:rsid w:val="00674105"/>
    <w:rsid w:val="00674326"/>
    <w:rsid w:val="00674EEA"/>
    <w:rsid w:val="00675604"/>
    <w:rsid w:val="0067561E"/>
    <w:rsid w:val="00676FEB"/>
    <w:rsid w:val="006776AA"/>
    <w:rsid w:val="00677E12"/>
    <w:rsid w:val="006801D6"/>
    <w:rsid w:val="0068047F"/>
    <w:rsid w:val="00680804"/>
    <w:rsid w:val="006811E9"/>
    <w:rsid w:val="006815A2"/>
    <w:rsid w:val="00681774"/>
    <w:rsid w:val="00681BF7"/>
    <w:rsid w:val="00682640"/>
    <w:rsid w:val="006826ED"/>
    <w:rsid w:val="00682C99"/>
    <w:rsid w:val="00682EF9"/>
    <w:rsid w:val="00683199"/>
    <w:rsid w:val="00683A72"/>
    <w:rsid w:val="0068400E"/>
    <w:rsid w:val="006843FD"/>
    <w:rsid w:val="00684893"/>
    <w:rsid w:val="00684F0E"/>
    <w:rsid w:val="00685A22"/>
    <w:rsid w:val="00685BC2"/>
    <w:rsid w:val="00685F6E"/>
    <w:rsid w:val="0068602B"/>
    <w:rsid w:val="006864B4"/>
    <w:rsid w:val="00686AFE"/>
    <w:rsid w:val="0068710E"/>
    <w:rsid w:val="00687181"/>
    <w:rsid w:val="006875B4"/>
    <w:rsid w:val="006878B9"/>
    <w:rsid w:val="006878BC"/>
    <w:rsid w:val="00687DF3"/>
    <w:rsid w:val="00691119"/>
    <w:rsid w:val="006915ED"/>
    <w:rsid w:val="00691704"/>
    <w:rsid w:val="00692166"/>
    <w:rsid w:val="0069246B"/>
    <w:rsid w:val="00692510"/>
    <w:rsid w:val="006934D3"/>
    <w:rsid w:val="00693B87"/>
    <w:rsid w:val="00694BCF"/>
    <w:rsid w:val="00695EE4"/>
    <w:rsid w:val="0069616E"/>
    <w:rsid w:val="0069664E"/>
    <w:rsid w:val="00696A0B"/>
    <w:rsid w:val="00697614"/>
    <w:rsid w:val="006A07F6"/>
    <w:rsid w:val="006A0AB0"/>
    <w:rsid w:val="006A0C47"/>
    <w:rsid w:val="006A0CD5"/>
    <w:rsid w:val="006A0EF1"/>
    <w:rsid w:val="006A126D"/>
    <w:rsid w:val="006A12D8"/>
    <w:rsid w:val="006A295E"/>
    <w:rsid w:val="006A3983"/>
    <w:rsid w:val="006A452A"/>
    <w:rsid w:val="006A4F6E"/>
    <w:rsid w:val="006A553E"/>
    <w:rsid w:val="006A5617"/>
    <w:rsid w:val="006A665B"/>
    <w:rsid w:val="006A6873"/>
    <w:rsid w:val="006A7FA4"/>
    <w:rsid w:val="006B045C"/>
    <w:rsid w:val="006B084F"/>
    <w:rsid w:val="006B0878"/>
    <w:rsid w:val="006B0B4C"/>
    <w:rsid w:val="006B0E76"/>
    <w:rsid w:val="006B1BAA"/>
    <w:rsid w:val="006B1E2D"/>
    <w:rsid w:val="006B2BF5"/>
    <w:rsid w:val="006B3C11"/>
    <w:rsid w:val="006B4276"/>
    <w:rsid w:val="006B4587"/>
    <w:rsid w:val="006B53BC"/>
    <w:rsid w:val="006B5716"/>
    <w:rsid w:val="006B632A"/>
    <w:rsid w:val="006B7ADA"/>
    <w:rsid w:val="006C018A"/>
    <w:rsid w:val="006C01FA"/>
    <w:rsid w:val="006C0A8C"/>
    <w:rsid w:val="006C0C71"/>
    <w:rsid w:val="006C2476"/>
    <w:rsid w:val="006C2855"/>
    <w:rsid w:val="006C295D"/>
    <w:rsid w:val="006C2F45"/>
    <w:rsid w:val="006C32A6"/>
    <w:rsid w:val="006C32C7"/>
    <w:rsid w:val="006C37F3"/>
    <w:rsid w:val="006C55AF"/>
    <w:rsid w:val="006C5E1A"/>
    <w:rsid w:val="006C604E"/>
    <w:rsid w:val="006C6468"/>
    <w:rsid w:val="006C66D9"/>
    <w:rsid w:val="006C7511"/>
    <w:rsid w:val="006C7994"/>
    <w:rsid w:val="006D05DE"/>
    <w:rsid w:val="006D07EF"/>
    <w:rsid w:val="006D1F75"/>
    <w:rsid w:val="006D24EE"/>
    <w:rsid w:val="006D2AEC"/>
    <w:rsid w:val="006D3274"/>
    <w:rsid w:val="006D3601"/>
    <w:rsid w:val="006D39CA"/>
    <w:rsid w:val="006D3D52"/>
    <w:rsid w:val="006D4411"/>
    <w:rsid w:val="006D4441"/>
    <w:rsid w:val="006D479B"/>
    <w:rsid w:val="006D4A21"/>
    <w:rsid w:val="006D4C6D"/>
    <w:rsid w:val="006D529C"/>
    <w:rsid w:val="006D541B"/>
    <w:rsid w:val="006D5BCF"/>
    <w:rsid w:val="006D5C3E"/>
    <w:rsid w:val="006D5F06"/>
    <w:rsid w:val="006D6A57"/>
    <w:rsid w:val="006D6C5F"/>
    <w:rsid w:val="006D71BE"/>
    <w:rsid w:val="006D72C0"/>
    <w:rsid w:val="006D73BD"/>
    <w:rsid w:val="006D7511"/>
    <w:rsid w:val="006D75A6"/>
    <w:rsid w:val="006D7B80"/>
    <w:rsid w:val="006E017C"/>
    <w:rsid w:val="006E04D6"/>
    <w:rsid w:val="006E0ADA"/>
    <w:rsid w:val="006E0CCE"/>
    <w:rsid w:val="006E1824"/>
    <w:rsid w:val="006E1A2B"/>
    <w:rsid w:val="006E1C2A"/>
    <w:rsid w:val="006E1C46"/>
    <w:rsid w:val="006E1CE4"/>
    <w:rsid w:val="006E20B1"/>
    <w:rsid w:val="006E38E1"/>
    <w:rsid w:val="006E4627"/>
    <w:rsid w:val="006E5061"/>
    <w:rsid w:val="006E5194"/>
    <w:rsid w:val="006E592D"/>
    <w:rsid w:val="006E6242"/>
    <w:rsid w:val="006E684E"/>
    <w:rsid w:val="006E7681"/>
    <w:rsid w:val="006E7AF6"/>
    <w:rsid w:val="006F0575"/>
    <w:rsid w:val="006F07FD"/>
    <w:rsid w:val="006F08D6"/>
    <w:rsid w:val="006F127F"/>
    <w:rsid w:val="006F1AA5"/>
    <w:rsid w:val="006F1CF3"/>
    <w:rsid w:val="006F1F8D"/>
    <w:rsid w:val="006F2BB0"/>
    <w:rsid w:val="006F3408"/>
    <w:rsid w:val="006F398D"/>
    <w:rsid w:val="006F3AA3"/>
    <w:rsid w:val="006F4882"/>
    <w:rsid w:val="006F5243"/>
    <w:rsid w:val="006F6139"/>
    <w:rsid w:val="006F6C39"/>
    <w:rsid w:val="006F77CD"/>
    <w:rsid w:val="00700593"/>
    <w:rsid w:val="00700C3A"/>
    <w:rsid w:val="00700CAE"/>
    <w:rsid w:val="00700D26"/>
    <w:rsid w:val="00701341"/>
    <w:rsid w:val="00701550"/>
    <w:rsid w:val="0070198C"/>
    <w:rsid w:val="00701CBC"/>
    <w:rsid w:val="00701E8F"/>
    <w:rsid w:val="0070250B"/>
    <w:rsid w:val="00702728"/>
    <w:rsid w:val="00702813"/>
    <w:rsid w:val="00703105"/>
    <w:rsid w:val="00703BC5"/>
    <w:rsid w:val="00704560"/>
    <w:rsid w:val="00704D79"/>
    <w:rsid w:val="00705414"/>
    <w:rsid w:val="007057CE"/>
    <w:rsid w:val="007059BC"/>
    <w:rsid w:val="007068D3"/>
    <w:rsid w:val="00707701"/>
    <w:rsid w:val="0070789A"/>
    <w:rsid w:val="00707EA0"/>
    <w:rsid w:val="0071041D"/>
    <w:rsid w:val="00710943"/>
    <w:rsid w:val="00710B99"/>
    <w:rsid w:val="00711837"/>
    <w:rsid w:val="00711AB4"/>
    <w:rsid w:val="00711CE4"/>
    <w:rsid w:val="00712467"/>
    <w:rsid w:val="00712538"/>
    <w:rsid w:val="007126D7"/>
    <w:rsid w:val="00712E0C"/>
    <w:rsid w:val="00712F84"/>
    <w:rsid w:val="00713CA3"/>
    <w:rsid w:val="00713F1F"/>
    <w:rsid w:val="00713FBE"/>
    <w:rsid w:val="00714B51"/>
    <w:rsid w:val="00715453"/>
    <w:rsid w:val="00716741"/>
    <w:rsid w:val="00716836"/>
    <w:rsid w:val="00716B7E"/>
    <w:rsid w:val="007172A5"/>
    <w:rsid w:val="00717D26"/>
    <w:rsid w:val="00720B31"/>
    <w:rsid w:val="00722986"/>
    <w:rsid w:val="00722AE4"/>
    <w:rsid w:val="0072328B"/>
    <w:rsid w:val="007236F6"/>
    <w:rsid w:val="00724057"/>
    <w:rsid w:val="0072413B"/>
    <w:rsid w:val="007248F0"/>
    <w:rsid w:val="00724E22"/>
    <w:rsid w:val="00725099"/>
    <w:rsid w:val="007254C2"/>
    <w:rsid w:val="00725517"/>
    <w:rsid w:val="00725740"/>
    <w:rsid w:val="00725E7B"/>
    <w:rsid w:val="007260B6"/>
    <w:rsid w:val="007265B2"/>
    <w:rsid w:val="0072763F"/>
    <w:rsid w:val="00727D3D"/>
    <w:rsid w:val="00727F11"/>
    <w:rsid w:val="007302FF"/>
    <w:rsid w:val="00730ADA"/>
    <w:rsid w:val="00730CED"/>
    <w:rsid w:val="00730D15"/>
    <w:rsid w:val="0073121C"/>
    <w:rsid w:val="00731E8B"/>
    <w:rsid w:val="00731F9C"/>
    <w:rsid w:val="007324D7"/>
    <w:rsid w:val="00732BB5"/>
    <w:rsid w:val="007330C3"/>
    <w:rsid w:val="0073384B"/>
    <w:rsid w:val="00733D85"/>
    <w:rsid w:val="00734015"/>
    <w:rsid w:val="0073430E"/>
    <w:rsid w:val="00735087"/>
    <w:rsid w:val="007357AB"/>
    <w:rsid w:val="00735CF8"/>
    <w:rsid w:val="00735E92"/>
    <w:rsid w:val="00735F38"/>
    <w:rsid w:val="007364E6"/>
    <w:rsid w:val="007364F7"/>
    <w:rsid w:val="007365EC"/>
    <w:rsid w:val="00736B73"/>
    <w:rsid w:val="00736EAC"/>
    <w:rsid w:val="007372FA"/>
    <w:rsid w:val="0073762B"/>
    <w:rsid w:val="00737ECC"/>
    <w:rsid w:val="0074050F"/>
    <w:rsid w:val="0074131C"/>
    <w:rsid w:val="00741410"/>
    <w:rsid w:val="007422B9"/>
    <w:rsid w:val="00742578"/>
    <w:rsid w:val="00742DEF"/>
    <w:rsid w:val="00742F67"/>
    <w:rsid w:val="00744050"/>
    <w:rsid w:val="0074485F"/>
    <w:rsid w:val="00746272"/>
    <w:rsid w:val="00746291"/>
    <w:rsid w:val="00746C0F"/>
    <w:rsid w:val="00746DCC"/>
    <w:rsid w:val="00747786"/>
    <w:rsid w:val="00747926"/>
    <w:rsid w:val="00750074"/>
    <w:rsid w:val="007505E2"/>
    <w:rsid w:val="00751128"/>
    <w:rsid w:val="00751B4C"/>
    <w:rsid w:val="00751BED"/>
    <w:rsid w:val="00751F43"/>
    <w:rsid w:val="00752049"/>
    <w:rsid w:val="007524DE"/>
    <w:rsid w:val="007529B4"/>
    <w:rsid w:val="007534A6"/>
    <w:rsid w:val="007538AC"/>
    <w:rsid w:val="00753E88"/>
    <w:rsid w:val="00754819"/>
    <w:rsid w:val="00754B25"/>
    <w:rsid w:val="00756371"/>
    <w:rsid w:val="00756406"/>
    <w:rsid w:val="00756995"/>
    <w:rsid w:val="00756E18"/>
    <w:rsid w:val="007602FD"/>
    <w:rsid w:val="007619E1"/>
    <w:rsid w:val="00761A83"/>
    <w:rsid w:val="00761BF5"/>
    <w:rsid w:val="00761FBB"/>
    <w:rsid w:val="0076230D"/>
    <w:rsid w:val="007631E6"/>
    <w:rsid w:val="00763E8C"/>
    <w:rsid w:val="007644CE"/>
    <w:rsid w:val="007649C6"/>
    <w:rsid w:val="007649EB"/>
    <w:rsid w:val="00764A46"/>
    <w:rsid w:val="00764D2E"/>
    <w:rsid w:val="00765582"/>
    <w:rsid w:val="00765706"/>
    <w:rsid w:val="00765B70"/>
    <w:rsid w:val="00765BAA"/>
    <w:rsid w:val="00766C2A"/>
    <w:rsid w:val="00766E58"/>
    <w:rsid w:val="007670F0"/>
    <w:rsid w:val="00767248"/>
    <w:rsid w:val="00770760"/>
    <w:rsid w:val="007714DE"/>
    <w:rsid w:val="007719E5"/>
    <w:rsid w:val="00771D8F"/>
    <w:rsid w:val="007723C2"/>
    <w:rsid w:val="00772E20"/>
    <w:rsid w:val="00773326"/>
    <w:rsid w:val="00773BE7"/>
    <w:rsid w:val="00773E5C"/>
    <w:rsid w:val="007741BD"/>
    <w:rsid w:val="00774216"/>
    <w:rsid w:val="00774DC9"/>
    <w:rsid w:val="00774FE6"/>
    <w:rsid w:val="007756F1"/>
    <w:rsid w:val="007762BA"/>
    <w:rsid w:val="0077647F"/>
    <w:rsid w:val="007765CC"/>
    <w:rsid w:val="007765E4"/>
    <w:rsid w:val="007767F1"/>
    <w:rsid w:val="00776845"/>
    <w:rsid w:val="00776CA9"/>
    <w:rsid w:val="00776F23"/>
    <w:rsid w:val="00777A3A"/>
    <w:rsid w:val="00777A90"/>
    <w:rsid w:val="00777B06"/>
    <w:rsid w:val="00780162"/>
    <w:rsid w:val="00780408"/>
    <w:rsid w:val="007812AE"/>
    <w:rsid w:val="00781B56"/>
    <w:rsid w:val="007820F0"/>
    <w:rsid w:val="00784026"/>
    <w:rsid w:val="00784F0C"/>
    <w:rsid w:val="00785976"/>
    <w:rsid w:val="0078660F"/>
    <w:rsid w:val="00787DB9"/>
    <w:rsid w:val="0079046B"/>
    <w:rsid w:val="007910DB"/>
    <w:rsid w:val="00791BB3"/>
    <w:rsid w:val="00792518"/>
    <w:rsid w:val="007929FD"/>
    <w:rsid w:val="00792AC3"/>
    <w:rsid w:val="00792D85"/>
    <w:rsid w:val="0079318E"/>
    <w:rsid w:val="007932D0"/>
    <w:rsid w:val="007942C7"/>
    <w:rsid w:val="00794BC2"/>
    <w:rsid w:val="007959E0"/>
    <w:rsid w:val="00795CA9"/>
    <w:rsid w:val="0079600D"/>
    <w:rsid w:val="00796467"/>
    <w:rsid w:val="00796847"/>
    <w:rsid w:val="00796C5A"/>
    <w:rsid w:val="00796C5D"/>
    <w:rsid w:val="00797086"/>
    <w:rsid w:val="007978F7"/>
    <w:rsid w:val="00797CBE"/>
    <w:rsid w:val="00797EB4"/>
    <w:rsid w:val="007A0256"/>
    <w:rsid w:val="007A0B74"/>
    <w:rsid w:val="007A0DA6"/>
    <w:rsid w:val="007A29BA"/>
    <w:rsid w:val="007A2AF0"/>
    <w:rsid w:val="007A3E32"/>
    <w:rsid w:val="007A3F36"/>
    <w:rsid w:val="007A4264"/>
    <w:rsid w:val="007A435C"/>
    <w:rsid w:val="007A5036"/>
    <w:rsid w:val="007A508F"/>
    <w:rsid w:val="007A545A"/>
    <w:rsid w:val="007A5508"/>
    <w:rsid w:val="007A59E6"/>
    <w:rsid w:val="007A6224"/>
    <w:rsid w:val="007A6BA0"/>
    <w:rsid w:val="007A6F26"/>
    <w:rsid w:val="007A7202"/>
    <w:rsid w:val="007A74CE"/>
    <w:rsid w:val="007A7866"/>
    <w:rsid w:val="007A7929"/>
    <w:rsid w:val="007A7BDC"/>
    <w:rsid w:val="007A7D5A"/>
    <w:rsid w:val="007A7F99"/>
    <w:rsid w:val="007A7FC3"/>
    <w:rsid w:val="007B0AA4"/>
    <w:rsid w:val="007B0D39"/>
    <w:rsid w:val="007B0F33"/>
    <w:rsid w:val="007B131D"/>
    <w:rsid w:val="007B167E"/>
    <w:rsid w:val="007B2068"/>
    <w:rsid w:val="007B26C2"/>
    <w:rsid w:val="007B2738"/>
    <w:rsid w:val="007B2881"/>
    <w:rsid w:val="007B315F"/>
    <w:rsid w:val="007B31C0"/>
    <w:rsid w:val="007B3AAC"/>
    <w:rsid w:val="007B4103"/>
    <w:rsid w:val="007B4B9D"/>
    <w:rsid w:val="007B4EAD"/>
    <w:rsid w:val="007B516E"/>
    <w:rsid w:val="007B51B0"/>
    <w:rsid w:val="007B53D3"/>
    <w:rsid w:val="007B6941"/>
    <w:rsid w:val="007B6A75"/>
    <w:rsid w:val="007B6D3C"/>
    <w:rsid w:val="007B703D"/>
    <w:rsid w:val="007B7CDF"/>
    <w:rsid w:val="007B7EA4"/>
    <w:rsid w:val="007C0BEC"/>
    <w:rsid w:val="007C136F"/>
    <w:rsid w:val="007C15B3"/>
    <w:rsid w:val="007C1723"/>
    <w:rsid w:val="007C1CBA"/>
    <w:rsid w:val="007C267F"/>
    <w:rsid w:val="007C2C81"/>
    <w:rsid w:val="007C3EE2"/>
    <w:rsid w:val="007C448C"/>
    <w:rsid w:val="007C5055"/>
    <w:rsid w:val="007C5FA4"/>
    <w:rsid w:val="007C6988"/>
    <w:rsid w:val="007C6F2D"/>
    <w:rsid w:val="007C7A53"/>
    <w:rsid w:val="007D05A0"/>
    <w:rsid w:val="007D0E23"/>
    <w:rsid w:val="007D1788"/>
    <w:rsid w:val="007D19EE"/>
    <w:rsid w:val="007D20FC"/>
    <w:rsid w:val="007D3446"/>
    <w:rsid w:val="007D36C7"/>
    <w:rsid w:val="007D3ADF"/>
    <w:rsid w:val="007D3FDE"/>
    <w:rsid w:val="007D5442"/>
    <w:rsid w:val="007D5E09"/>
    <w:rsid w:val="007D606E"/>
    <w:rsid w:val="007D6410"/>
    <w:rsid w:val="007D66B0"/>
    <w:rsid w:val="007D6E5D"/>
    <w:rsid w:val="007D7031"/>
    <w:rsid w:val="007D7631"/>
    <w:rsid w:val="007D7C0B"/>
    <w:rsid w:val="007D7D86"/>
    <w:rsid w:val="007E0438"/>
    <w:rsid w:val="007E05A3"/>
    <w:rsid w:val="007E09AE"/>
    <w:rsid w:val="007E0F12"/>
    <w:rsid w:val="007E0FE6"/>
    <w:rsid w:val="007E12FF"/>
    <w:rsid w:val="007E1F84"/>
    <w:rsid w:val="007E22CC"/>
    <w:rsid w:val="007E243D"/>
    <w:rsid w:val="007E2489"/>
    <w:rsid w:val="007E2884"/>
    <w:rsid w:val="007E289B"/>
    <w:rsid w:val="007E2B7C"/>
    <w:rsid w:val="007E3F38"/>
    <w:rsid w:val="007E42AC"/>
    <w:rsid w:val="007E4551"/>
    <w:rsid w:val="007E5C8B"/>
    <w:rsid w:val="007E5EAF"/>
    <w:rsid w:val="007E6036"/>
    <w:rsid w:val="007E60B9"/>
    <w:rsid w:val="007E70B6"/>
    <w:rsid w:val="007E7287"/>
    <w:rsid w:val="007E75CA"/>
    <w:rsid w:val="007E7707"/>
    <w:rsid w:val="007F13B5"/>
    <w:rsid w:val="007F13C4"/>
    <w:rsid w:val="007F194E"/>
    <w:rsid w:val="007F1FBF"/>
    <w:rsid w:val="007F1FF4"/>
    <w:rsid w:val="007F21EA"/>
    <w:rsid w:val="007F2378"/>
    <w:rsid w:val="007F354B"/>
    <w:rsid w:val="007F3687"/>
    <w:rsid w:val="007F3703"/>
    <w:rsid w:val="007F3B35"/>
    <w:rsid w:val="007F3CA8"/>
    <w:rsid w:val="007F3DA0"/>
    <w:rsid w:val="007F465B"/>
    <w:rsid w:val="007F4856"/>
    <w:rsid w:val="007F50C5"/>
    <w:rsid w:val="007F54DB"/>
    <w:rsid w:val="007F5FAC"/>
    <w:rsid w:val="007F749F"/>
    <w:rsid w:val="007F756A"/>
    <w:rsid w:val="007F75D3"/>
    <w:rsid w:val="007F7909"/>
    <w:rsid w:val="0080063E"/>
    <w:rsid w:val="008006A1"/>
    <w:rsid w:val="008006BA"/>
    <w:rsid w:val="0080077B"/>
    <w:rsid w:val="00801332"/>
    <w:rsid w:val="008019FD"/>
    <w:rsid w:val="00801E70"/>
    <w:rsid w:val="00802621"/>
    <w:rsid w:val="00802F75"/>
    <w:rsid w:val="00803605"/>
    <w:rsid w:val="0080363D"/>
    <w:rsid w:val="00804BC4"/>
    <w:rsid w:val="00805098"/>
    <w:rsid w:val="008057E6"/>
    <w:rsid w:val="008058C1"/>
    <w:rsid w:val="00806DDE"/>
    <w:rsid w:val="0081078B"/>
    <w:rsid w:val="00810BC6"/>
    <w:rsid w:val="00810DCC"/>
    <w:rsid w:val="00810F3D"/>
    <w:rsid w:val="00811315"/>
    <w:rsid w:val="0081148D"/>
    <w:rsid w:val="00812A26"/>
    <w:rsid w:val="0081328C"/>
    <w:rsid w:val="0081419D"/>
    <w:rsid w:val="008142AA"/>
    <w:rsid w:val="008150BC"/>
    <w:rsid w:val="0081521D"/>
    <w:rsid w:val="008159AD"/>
    <w:rsid w:val="008162FF"/>
    <w:rsid w:val="00816B05"/>
    <w:rsid w:val="00816C53"/>
    <w:rsid w:val="008174F6"/>
    <w:rsid w:val="00817A6A"/>
    <w:rsid w:val="00820D8C"/>
    <w:rsid w:val="00820F40"/>
    <w:rsid w:val="00820F49"/>
    <w:rsid w:val="00821CB9"/>
    <w:rsid w:val="00821F76"/>
    <w:rsid w:val="00822354"/>
    <w:rsid w:val="00822464"/>
    <w:rsid w:val="008233B0"/>
    <w:rsid w:val="0082355B"/>
    <w:rsid w:val="0082372B"/>
    <w:rsid w:val="00823897"/>
    <w:rsid w:val="008238A5"/>
    <w:rsid w:val="00823AEC"/>
    <w:rsid w:val="00823C93"/>
    <w:rsid w:val="00823F43"/>
    <w:rsid w:val="008240FF"/>
    <w:rsid w:val="0082428B"/>
    <w:rsid w:val="00824BC7"/>
    <w:rsid w:val="00824E0D"/>
    <w:rsid w:val="00824ECD"/>
    <w:rsid w:val="00824ED6"/>
    <w:rsid w:val="008267F3"/>
    <w:rsid w:val="00826B30"/>
    <w:rsid w:val="00826FE9"/>
    <w:rsid w:val="00827233"/>
    <w:rsid w:val="00827C30"/>
    <w:rsid w:val="008300F3"/>
    <w:rsid w:val="00830ED5"/>
    <w:rsid w:val="00831187"/>
    <w:rsid w:val="0083193E"/>
    <w:rsid w:val="00831ECB"/>
    <w:rsid w:val="00831F92"/>
    <w:rsid w:val="00832208"/>
    <w:rsid w:val="008325C1"/>
    <w:rsid w:val="00832B1F"/>
    <w:rsid w:val="00832CAA"/>
    <w:rsid w:val="0083319C"/>
    <w:rsid w:val="00833420"/>
    <w:rsid w:val="00833562"/>
    <w:rsid w:val="0083377F"/>
    <w:rsid w:val="008338C6"/>
    <w:rsid w:val="00833DB3"/>
    <w:rsid w:val="00835678"/>
    <w:rsid w:val="008357CA"/>
    <w:rsid w:val="00835A8B"/>
    <w:rsid w:val="00835B31"/>
    <w:rsid w:val="00836BF4"/>
    <w:rsid w:val="00836F29"/>
    <w:rsid w:val="008400CD"/>
    <w:rsid w:val="00840604"/>
    <w:rsid w:val="00840A66"/>
    <w:rsid w:val="0084132A"/>
    <w:rsid w:val="00841767"/>
    <w:rsid w:val="008425AC"/>
    <w:rsid w:val="00842B98"/>
    <w:rsid w:val="00842FC7"/>
    <w:rsid w:val="00843E15"/>
    <w:rsid w:val="008458D7"/>
    <w:rsid w:val="00846043"/>
    <w:rsid w:val="00847122"/>
    <w:rsid w:val="00847DFC"/>
    <w:rsid w:val="00850213"/>
    <w:rsid w:val="008506CA"/>
    <w:rsid w:val="00850B47"/>
    <w:rsid w:val="00850C5D"/>
    <w:rsid w:val="00850C72"/>
    <w:rsid w:val="00851121"/>
    <w:rsid w:val="00851175"/>
    <w:rsid w:val="00851518"/>
    <w:rsid w:val="008515B0"/>
    <w:rsid w:val="0085164F"/>
    <w:rsid w:val="00851FC2"/>
    <w:rsid w:val="00852A5B"/>
    <w:rsid w:val="00852E85"/>
    <w:rsid w:val="008531AB"/>
    <w:rsid w:val="008538D9"/>
    <w:rsid w:val="00853D64"/>
    <w:rsid w:val="00854480"/>
    <w:rsid w:val="00854B87"/>
    <w:rsid w:val="00854C8E"/>
    <w:rsid w:val="00855182"/>
    <w:rsid w:val="00856079"/>
    <w:rsid w:val="00856104"/>
    <w:rsid w:val="00856A73"/>
    <w:rsid w:val="00856EC9"/>
    <w:rsid w:val="00857649"/>
    <w:rsid w:val="00857815"/>
    <w:rsid w:val="008604EF"/>
    <w:rsid w:val="00860584"/>
    <w:rsid w:val="00860C21"/>
    <w:rsid w:val="00861449"/>
    <w:rsid w:val="00861B19"/>
    <w:rsid w:val="00861CCE"/>
    <w:rsid w:val="00861F0E"/>
    <w:rsid w:val="008620BF"/>
    <w:rsid w:val="008639D5"/>
    <w:rsid w:val="0086415B"/>
    <w:rsid w:val="008644AA"/>
    <w:rsid w:val="00864646"/>
    <w:rsid w:val="008649F6"/>
    <w:rsid w:val="00864DA6"/>
    <w:rsid w:val="00865688"/>
    <w:rsid w:val="00865F70"/>
    <w:rsid w:val="0086611B"/>
    <w:rsid w:val="0086730D"/>
    <w:rsid w:val="0086745F"/>
    <w:rsid w:val="00867CF0"/>
    <w:rsid w:val="00867F6B"/>
    <w:rsid w:val="00870006"/>
    <w:rsid w:val="00870D65"/>
    <w:rsid w:val="00871950"/>
    <w:rsid w:val="00872182"/>
    <w:rsid w:val="0087267D"/>
    <w:rsid w:val="008729B5"/>
    <w:rsid w:val="008729D0"/>
    <w:rsid w:val="00872E88"/>
    <w:rsid w:val="008735F6"/>
    <w:rsid w:val="0087444A"/>
    <w:rsid w:val="00874D23"/>
    <w:rsid w:val="008767A1"/>
    <w:rsid w:val="008768AA"/>
    <w:rsid w:val="00876BAA"/>
    <w:rsid w:val="00876C2C"/>
    <w:rsid w:val="00877D83"/>
    <w:rsid w:val="00880A56"/>
    <w:rsid w:val="00881163"/>
    <w:rsid w:val="00881C1C"/>
    <w:rsid w:val="00882AAD"/>
    <w:rsid w:val="00882D79"/>
    <w:rsid w:val="00882D86"/>
    <w:rsid w:val="00882DEF"/>
    <w:rsid w:val="00882E60"/>
    <w:rsid w:val="0088317C"/>
    <w:rsid w:val="00883930"/>
    <w:rsid w:val="00883AE2"/>
    <w:rsid w:val="008845A4"/>
    <w:rsid w:val="0088597E"/>
    <w:rsid w:val="00885A99"/>
    <w:rsid w:val="0088617D"/>
    <w:rsid w:val="008861F4"/>
    <w:rsid w:val="00886E26"/>
    <w:rsid w:val="00886E9F"/>
    <w:rsid w:val="00886F1D"/>
    <w:rsid w:val="00887064"/>
    <w:rsid w:val="0088744A"/>
    <w:rsid w:val="00887853"/>
    <w:rsid w:val="00887F62"/>
    <w:rsid w:val="00890078"/>
    <w:rsid w:val="0089074D"/>
    <w:rsid w:val="00890AC7"/>
    <w:rsid w:val="00890F2D"/>
    <w:rsid w:val="008914CB"/>
    <w:rsid w:val="00891846"/>
    <w:rsid w:val="008918FB"/>
    <w:rsid w:val="00891A5E"/>
    <w:rsid w:val="00891AC0"/>
    <w:rsid w:val="00891CAE"/>
    <w:rsid w:val="008921BD"/>
    <w:rsid w:val="00892449"/>
    <w:rsid w:val="00892713"/>
    <w:rsid w:val="0089414F"/>
    <w:rsid w:val="00894241"/>
    <w:rsid w:val="0089465B"/>
    <w:rsid w:val="008946B3"/>
    <w:rsid w:val="00894922"/>
    <w:rsid w:val="00894EB7"/>
    <w:rsid w:val="00895006"/>
    <w:rsid w:val="00895030"/>
    <w:rsid w:val="008955B1"/>
    <w:rsid w:val="00895B44"/>
    <w:rsid w:val="00895F3D"/>
    <w:rsid w:val="00896292"/>
    <w:rsid w:val="008966DB"/>
    <w:rsid w:val="00896F41"/>
    <w:rsid w:val="00897AF9"/>
    <w:rsid w:val="008A024C"/>
    <w:rsid w:val="008A081D"/>
    <w:rsid w:val="008A0F7A"/>
    <w:rsid w:val="008A13A0"/>
    <w:rsid w:val="008A1F4D"/>
    <w:rsid w:val="008A22F1"/>
    <w:rsid w:val="008A25C6"/>
    <w:rsid w:val="008A28B4"/>
    <w:rsid w:val="008A2B9F"/>
    <w:rsid w:val="008A3540"/>
    <w:rsid w:val="008A3D49"/>
    <w:rsid w:val="008A5B4E"/>
    <w:rsid w:val="008A61B5"/>
    <w:rsid w:val="008A62BB"/>
    <w:rsid w:val="008A6D93"/>
    <w:rsid w:val="008A72C4"/>
    <w:rsid w:val="008A7834"/>
    <w:rsid w:val="008A7872"/>
    <w:rsid w:val="008B0036"/>
    <w:rsid w:val="008B0568"/>
    <w:rsid w:val="008B0899"/>
    <w:rsid w:val="008B09E8"/>
    <w:rsid w:val="008B265D"/>
    <w:rsid w:val="008B37B8"/>
    <w:rsid w:val="008B415F"/>
    <w:rsid w:val="008B4767"/>
    <w:rsid w:val="008B4ACE"/>
    <w:rsid w:val="008B4DEC"/>
    <w:rsid w:val="008B4FA8"/>
    <w:rsid w:val="008B569B"/>
    <w:rsid w:val="008B5D23"/>
    <w:rsid w:val="008B5EA3"/>
    <w:rsid w:val="008B66FC"/>
    <w:rsid w:val="008B770B"/>
    <w:rsid w:val="008C0D1D"/>
    <w:rsid w:val="008C1C60"/>
    <w:rsid w:val="008C1F5E"/>
    <w:rsid w:val="008C227A"/>
    <w:rsid w:val="008C2283"/>
    <w:rsid w:val="008C302E"/>
    <w:rsid w:val="008C321B"/>
    <w:rsid w:val="008C3322"/>
    <w:rsid w:val="008C3865"/>
    <w:rsid w:val="008C3E24"/>
    <w:rsid w:val="008C41EF"/>
    <w:rsid w:val="008C47CA"/>
    <w:rsid w:val="008C4869"/>
    <w:rsid w:val="008C5244"/>
    <w:rsid w:val="008C6145"/>
    <w:rsid w:val="008C736B"/>
    <w:rsid w:val="008C7439"/>
    <w:rsid w:val="008C79AA"/>
    <w:rsid w:val="008D0685"/>
    <w:rsid w:val="008D0E3B"/>
    <w:rsid w:val="008D18C0"/>
    <w:rsid w:val="008D1F5D"/>
    <w:rsid w:val="008D21E1"/>
    <w:rsid w:val="008D2755"/>
    <w:rsid w:val="008D2CA8"/>
    <w:rsid w:val="008D2E53"/>
    <w:rsid w:val="008D2F8B"/>
    <w:rsid w:val="008D3DEF"/>
    <w:rsid w:val="008D481D"/>
    <w:rsid w:val="008D49DC"/>
    <w:rsid w:val="008D4E56"/>
    <w:rsid w:val="008D5853"/>
    <w:rsid w:val="008D5AF9"/>
    <w:rsid w:val="008D5B59"/>
    <w:rsid w:val="008D5C8F"/>
    <w:rsid w:val="008D5FC0"/>
    <w:rsid w:val="008D68E0"/>
    <w:rsid w:val="008D72EA"/>
    <w:rsid w:val="008D7ACD"/>
    <w:rsid w:val="008D7B16"/>
    <w:rsid w:val="008D7C9A"/>
    <w:rsid w:val="008E0EEF"/>
    <w:rsid w:val="008E29B1"/>
    <w:rsid w:val="008E2A4B"/>
    <w:rsid w:val="008E4399"/>
    <w:rsid w:val="008E4D04"/>
    <w:rsid w:val="008E4EE2"/>
    <w:rsid w:val="008E4EFC"/>
    <w:rsid w:val="008E5AA2"/>
    <w:rsid w:val="008E64FA"/>
    <w:rsid w:val="008E6CC4"/>
    <w:rsid w:val="008F02B4"/>
    <w:rsid w:val="008F03FE"/>
    <w:rsid w:val="008F0567"/>
    <w:rsid w:val="008F0577"/>
    <w:rsid w:val="008F06CA"/>
    <w:rsid w:val="008F0B3B"/>
    <w:rsid w:val="008F15B1"/>
    <w:rsid w:val="008F2277"/>
    <w:rsid w:val="008F28CD"/>
    <w:rsid w:val="008F2DCC"/>
    <w:rsid w:val="008F3372"/>
    <w:rsid w:val="008F3D62"/>
    <w:rsid w:val="008F4093"/>
    <w:rsid w:val="008F55F3"/>
    <w:rsid w:val="008F5AC4"/>
    <w:rsid w:val="008F66D6"/>
    <w:rsid w:val="008F68B5"/>
    <w:rsid w:val="008F7E31"/>
    <w:rsid w:val="00900DCE"/>
    <w:rsid w:val="00901A4D"/>
    <w:rsid w:val="00901C83"/>
    <w:rsid w:val="0090232C"/>
    <w:rsid w:val="0090240E"/>
    <w:rsid w:val="0090247D"/>
    <w:rsid w:val="00903E9B"/>
    <w:rsid w:val="009050F3"/>
    <w:rsid w:val="009062B5"/>
    <w:rsid w:val="00906B37"/>
    <w:rsid w:val="009070C6"/>
    <w:rsid w:val="00907669"/>
    <w:rsid w:val="0091020F"/>
    <w:rsid w:val="0091075B"/>
    <w:rsid w:val="00910A88"/>
    <w:rsid w:val="00910DB1"/>
    <w:rsid w:val="00912B30"/>
    <w:rsid w:val="009131FC"/>
    <w:rsid w:val="0091327D"/>
    <w:rsid w:val="009132DE"/>
    <w:rsid w:val="00913DCE"/>
    <w:rsid w:val="00913EFA"/>
    <w:rsid w:val="0091508F"/>
    <w:rsid w:val="009154D2"/>
    <w:rsid w:val="00915DE6"/>
    <w:rsid w:val="009160BE"/>
    <w:rsid w:val="0091671E"/>
    <w:rsid w:val="0091676F"/>
    <w:rsid w:val="009168EA"/>
    <w:rsid w:val="00916AC8"/>
    <w:rsid w:val="00916EAE"/>
    <w:rsid w:val="0091753D"/>
    <w:rsid w:val="0091767B"/>
    <w:rsid w:val="0091795C"/>
    <w:rsid w:val="00917C8D"/>
    <w:rsid w:val="00917F97"/>
    <w:rsid w:val="00920263"/>
    <w:rsid w:val="0092057A"/>
    <w:rsid w:val="00920845"/>
    <w:rsid w:val="00921365"/>
    <w:rsid w:val="00921720"/>
    <w:rsid w:val="00921942"/>
    <w:rsid w:val="00921DF4"/>
    <w:rsid w:val="00922396"/>
    <w:rsid w:val="00922CA4"/>
    <w:rsid w:val="00922DA2"/>
    <w:rsid w:val="00922DC2"/>
    <w:rsid w:val="009237A0"/>
    <w:rsid w:val="00923ABB"/>
    <w:rsid w:val="0092504F"/>
    <w:rsid w:val="00925490"/>
    <w:rsid w:val="00925E9D"/>
    <w:rsid w:val="00925EEC"/>
    <w:rsid w:val="009263DE"/>
    <w:rsid w:val="00926B19"/>
    <w:rsid w:val="00926BA1"/>
    <w:rsid w:val="00926FFF"/>
    <w:rsid w:val="00927CF3"/>
    <w:rsid w:val="00927ED7"/>
    <w:rsid w:val="009301C2"/>
    <w:rsid w:val="0093112E"/>
    <w:rsid w:val="0093169A"/>
    <w:rsid w:val="009328FF"/>
    <w:rsid w:val="009329B7"/>
    <w:rsid w:val="00932CD5"/>
    <w:rsid w:val="0093309C"/>
    <w:rsid w:val="009337F3"/>
    <w:rsid w:val="0093473D"/>
    <w:rsid w:val="0093486C"/>
    <w:rsid w:val="009348C9"/>
    <w:rsid w:val="00934AF8"/>
    <w:rsid w:val="00934BA8"/>
    <w:rsid w:val="00934E79"/>
    <w:rsid w:val="00935050"/>
    <w:rsid w:val="009351C4"/>
    <w:rsid w:val="00935433"/>
    <w:rsid w:val="009354CB"/>
    <w:rsid w:val="009354F3"/>
    <w:rsid w:val="00935F88"/>
    <w:rsid w:val="009366BF"/>
    <w:rsid w:val="00936FC3"/>
    <w:rsid w:val="00937481"/>
    <w:rsid w:val="009374CB"/>
    <w:rsid w:val="0094085A"/>
    <w:rsid w:val="00940A3B"/>
    <w:rsid w:val="00941E1D"/>
    <w:rsid w:val="00942051"/>
    <w:rsid w:val="00942794"/>
    <w:rsid w:val="009447B3"/>
    <w:rsid w:val="00944C03"/>
    <w:rsid w:val="00944D2B"/>
    <w:rsid w:val="00944F5D"/>
    <w:rsid w:val="00945466"/>
    <w:rsid w:val="009469E6"/>
    <w:rsid w:val="00946EEC"/>
    <w:rsid w:val="0094703F"/>
    <w:rsid w:val="009473F9"/>
    <w:rsid w:val="0094790E"/>
    <w:rsid w:val="00947AD1"/>
    <w:rsid w:val="00947B0A"/>
    <w:rsid w:val="00951561"/>
    <w:rsid w:val="00952EB3"/>
    <w:rsid w:val="009540CE"/>
    <w:rsid w:val="009542C8"/>
    <w:rsid w:val="0095472B"/>
    <w:rsid w:val="0095476D"/>
    <w:rsid w:val="009547E5"/>
    <w:rsid w:val="009550A4"/>
    <w:rsid w:val="00955124"/>
    <w:rsid w:val="00955C60"/>
    <w:rsid w:val="00955E6F"/>
    <w:rsid w:val="009561D6"/>
    <w:rsid w:val="00956521"/>
    <w:rsid w:val="00956681"/>
    <w:rsid w:val="009567A2"/>
    <w:rsid w:val="00956B02"/>
    <w:rsid w:val="00956D94"/>
    <w:rsid w:val="0095743E"/>
    <w:rsid w:val="00957CCD"/>
    <w:rsid w:val="00960B31"/>
    <w:rsid w:val="00960CDD"/>
    <w:rsid w:val="00960F04"/>
    <w:rsid w:val="009612B6"/>
    <w:rsid w:val="00961A88"/>
    <w:rsid w:val="009634B0"/>
    <w:rsid w:val="009635A6"/>
    <w:rsid w:val="009635EF"/>
    <w:rsid w:val="00963BAA"/>
    <w:rsid w:val="00964608"/>
    <w:rsid w:val="00964723"/>
    <w:rsid w:val="009650DF"/>
    <w:rsid w:val="00965213"/>
    <w:rsid w:val="00965413"/>
    <w:rsid w:val="00965EE6"/>
    <w:rsid w:val="00966231"/>
    <w:rsid w:val="00966298"/>
    <w:rsid w:val="009663AE"/>
    <w:rsid w:val="00967699"/>
    <w:rsid w:val="009703D9"/>
    <w:rsid w:val="00970783"/>
    <w:rsid w:val="0097080F"/>
    <w:rsid w:val="00971081"/>
    <w:rsid w:val="00971117"/>
    <w:rsid w:val="0097112C"/>
    <w:rsid w:val="00972DE8"/>
    <w:rsid w:val="00973384"/>
    <w:rsid w:val="00973390"/>
    <w:rsid w:val="00973C7C"/>
    <w:rsid w:val="00974452"/>
    <w:rsid w:val="00974776"/>
    <w:rsid w:val="009755DB"/>
    <w:rsid w:val="00975A9D"/>
    <w:rsid w:val="00976FE8"/>
    <w:rsid w:val="00977EC6"/>
    <w:rsid w:val="00980916"/>
    <w:rsid w:val="00980D9D"/>
    <w:rsid w:val="0098123F"/>
    <w:rsid w:val="00981326"/>
    <w:rsid w:val="009815F6"/>
    <w:rsid w:val="00981BF4"/>
    <w:rsid w:val="00981EEE"/>
    <w:rsid w:val="009828CA"/>
    <w:rsid w:val="00982912"/>
    <w:rsid w:val="00984330"/>
    <w:rsid w:val="00984F9C"/>
    <w:rsid w:val="00985322"/>
    <w:rsid w:val="00985B64"/>
    <w:rsid w:val="00986188"/>
    <w:rsid w:val="009861EC"/>
    <w:rsid w:val="00987171"/>
    <w:rsid w:val="0098719A"/>
    <w:rsid w:val="0098721F"/>
    <w:rsid w:val="00987E2A"/>
    <w:rsid w:val="0099012D"/>
    <w:rsid w:val="009925C7"/>
    <w:rsid w:val="00993105"/>
    <w:rsid w:val="00993C20"/>
    <w:rsid w:val="00995FF2"/>
    <w:rsid w:val="00996212"/>
    <w:rsid w:val="00996C6A"/>
    <w:rsid w:val="00996F80"/>
    <w:rsid w:val="009970FE"/>
    <w:rsid w:val="009A1084"/>
    <w:rsid w:val="009A1D93"/>
    <w:rsid w:val="009A26D6"/>
    <w:rsid w:val="009A2C31"/>
    <w:rsid w:val="009A374A"/>
    <w:rsid w:val="009A3A3C"/>
    <w:rsid w:val="009A3B62"/>
    <w:rsid w:val="009A3F0A"/>
    <w:rsid w:val="009A42A6"/>
    <w:rsid w:val="009A463E"/>
    <w:rsid w:val="009A4F68"/>
    <w:rsid w:val="009A599D"/>
    <w:rsid w:val="009A6B9F"/>
    <w:rsid w:val="009A6C5C"/>
    <w:rsid w:val="009A735A"/>
    <w:rsid w:val="009B029E"/>
    <w:rsid w:val="009B0301"/>
    <w:rsid w:val="009B031A"/>
    <w:rsid w:val="009B0B3A"/>
    <w:rsid w:val="009B0BDC"/>
    <w:rsid w:val="009B0DA8"/>
    <w:rsid w:val="009B12E0"/>
    <w:rsid w:val="009B142E"/>
    <w:rsid w:val="009B1C29"/>
    <w:rsid w:val="009B2198"/>
    <w:rsid w:val="009B23E0"/>
    <w:rsid w:val="009B2E92"/>
    <w:rsid w:val="009B31F4"/>
    <w:rsid w:val="009B3448"/>
    <w:rsid w:val="009B4B96"/>
    <w:rsid w:val="009B56BD"/>
    <w:rsid w:val="009B5C1C"/>
    <w:rsid w:val="009B6099"/>
    <w:rsid w:val="009B6124"/>
    <w:rsid w:val="009B7CC6"/>
    <w:rsid w:val="009B7FE5"/>
    <w:rsid w:val="009C0045"/>
    <w:rsid w:val="009C0312"/>
    <w:rsid w:val="009C04BB"/>
    <w:rsid w:val="009C187E"/>
    <w:rsid w:val="009C1C04"/>
    <w:rsid w:val="009C25FD"/>
    <w:rsid w:val="009C2DE6"/>
    <w:rsid w:val="009C3049"/>
    <w:rsid w:val="009C3129"/>
    <w:rsid w:val="009C3169"/>
    <w:rsid w:val="009C3870"/>
    <w:rsid w:val="009C389F"/>
    <w:rsid w:val="009C3B80"/>
    <w:rsid w:val="009C3B91"/>
    <w:rsid w:val="009C4066"/>
    <w:rsid w:val="009C41C4"/>
    <w:rsid w:val="009C45A6"/>
    <w:rsid w:val="009C500A"/>
    <w:rsid w:val="009C5334"/>
    <w:rsid w:val="009C58E9"/>
    <w:rsid w:val="009C5E19"/>
    <w:rsid w:val="009C660D"/>
    <w:rsid w:val="009C663B"/>
    <w:rsid w:val="009C7647"/>
    <w:rsid w:val="009C78DD"/>
    <w:rsid w:val="009C7C92"/>
    <w:rsid w:val="009C7EA3"/>
    <w:rsid w:val="009D1323"/>
    <w:rsid w:val="009D14B7"/>
    <w:rsid w:val="009D18EF"/>
    <w:rsid w:val="009D1CA5"/>
    <w:rsid w:val="009D2131"/>
    <w:rsid w:val="009D24CA"/>
    <w:rsid w:val="009D2673"/>
    <w:rsid w:val="009D28FB"/>
    <w:rsid w:val="009D3499"/>
    <w:rsid w:val="009D390E"/>
    <w:rsid w:val="009D3EF6"/>
    <w:rsid w:val="009D3F5E"/>
    <w:rsid w:val="009D4084"/>
    <w:rsid w:val="009D4A3A"/>
    <w:rsid w:val="009D4D04"/>
    <w:rsid w:val="009D55CA"/>
    <w:rsid w:val="009D5ACC"/>
    <w:rsid w:val="009D5EB3"/>
    <w:rsid w:val="009D6B76"/>
    <w:rsid w:val="009D6D28"/>
    <w:rsid w:val="009D756E"/>
    <w:rsid w:val="009D7D3D"/>
    <w:rsid w:val="009D7EB1"/>
    <w:rsid w:val="009D7FCE"/>
    <w:rsid w:val="009D7FD2"/>
    <w:rsid w:val="009E013D"/>
    <w:rsid w:val="009E01B6"/>
    <w:rsid w:val="009E1425"/>
    <w:rsid w:val="009E16E5"/>
    <w:rsid w:val="009E1948"/>
    <w:rsid w:val="009E1F5D"/>
    <w:rsid w:val="009E27E1"/>
    <w:rsid w:val="009E29F9"/>
    <w:rsid w:val="009E2AF1"/>
    <w:rsid w:val="009E32E0"/>
    <w:rsid w:val="009E3CA8"/>
    <w:rsid w:val="009E3E45"/>
    <w:rsid w:val="009E410B"/>
    <w:rsid w:val="009E420E"/>
    <w:rsid w:val="009E42B5"/>
    <w:rsid w:val="009E44DF"/>
    <w:rsid w:val="009E4FAD"/>
    <w:rsid w:val="009E4FF8"/>
    <w:rsid w:val="009E53FB"/>
    <w:rsid w:val="009E5DBE"/>
    <w:rsid w:val="009E6C34"/>
    <w:rsid w:val="009E714B"/>
    <w:rsid w:val="009F02A0"/>
    <w:rsid w:val="009F037D"/>
    <w:rsid w:val="009F19A3"/>
    <w:rsid w:val="009F1ADB"/>
    <w:rsid w:val="009F2590"/>
    <w:rsid w:val="009F3A19"/>
    <w:rsid w:val="009F46E1"/>
    <w:rsid w:val="009F4743"/>
    <w:rsid w:val="009F4A34"/>
    <w:rsid w:val="009F5192"/>
    <w:rsid w:val="009F51E1"/>
    <w:rsid w:val="009F5371"/>
    <w:rsid w:val="009F59F6"/>
    <w:rsid w:val="009F5FB3"/>
    <w:rsid w:val="009F6677"/>
    <w:rsid w:val="009F714E"/>
    <w:rsid w:val="009F769E"/>
    <w:rsid w:val="009F76FF"/>
    <w:rsid w:val="009F78F1"/>
    <w:rsid w:val="009F7A75"/>
    <w:rsid w:val="009F7B70"/>
    <w:rsid w:val="00A00177"/>
    <w:rsid w:val="00A001C7"/>
    <w:rsid w:val="00A004C6"/>
    <w:rsid w:val="00A0155A"/>
    <w:rsid w:val="00A01741"/>
    <w:rsid w:val="00A01F1B"/>
    <w:rsid w:val="00A02161"/>
    <w:rsid w:val="00A02854"/>
    <w:rsid w:val="00A03095"/>
    <w:rsid w:val="00A03187"/>
    <w:rsid w:val="00A03212"/>
    <w:rsid w:val="00A0323C"/>
    <w:rsid w:val="00A0378C"/>
    <w:rsid w:val="00A03991"/>
    <w:rsid w:val="00A03BC1"/>
    <w:rsid w:val="00A03C28"/>
    <w:rsid w:val="00A03E7F"/>
    <w:rsid w:val="00A05049"/>
    <w:rsid w:val="00A05086"/>
    <w:rsid w:val="00A05175"/>
    <w:rsid w:val="00A05375"/>
    <w:rsid w:val="00A053D7"/>
    <w:rsid w:val="00A0621E"/>
    <w:rsid w:val="00A06730"/>
    <w:rsid w:val="00A06AD2"/>
    <w:rsid w:val="00A06DBC"/>
    <w:rsid w:val="00A0712A"/>
    <w:rsid w:val="00A0750E"/>
    <w:rsid w:val="00A07A05"/>
    <w:rsid w:val="00A07FE5"/>
    <w:rsid w:val="00A10717"/>
    <w:rsid w:val="00A10737"/>
    <w:rsid w:val="00A1079D"/>
    <w:rsid w:val="00A11D01"/>
    <w:rsid w:val="00A11F21"/>
    <w:rsid w:val="00A12B35"/>
    <w:rsid w:val="00A12E49"/>
    <w:rsid w:val="00A13119"/>
    <w:rsid w:val="00A1375F"/>
    <w:rsid w:val="00A140D2"/>
    <w:rsid w:val="00A1455B"/>
    <w:rsid w:val="00A14C00"/>
    <w:rsid w:val="00A15233"/>
    <w:rsid w:val="00A15A6F"/>
    <w:rsid w:val="00A160B6"/>
    <w:rsid w:val="00A17ACF"/>
    <w:rsid w:val="00A200A9"/>
    <w:rsid w:val="00A20F09"/>
    <w:rsid w:val="00A20F77"/>
    <w:rsid w:val="00A21295"/>
    <w:rsid w:val="00A2211E"/>
    <w:rsid w:val="00A22938"/>
    <w:rsid w:val="00A242BA"/>
    <w:rsid w:val="00A247D0"/>
    <w:rsid w:val="00A2533C"/>
    <w:rsid w:val="00A25395"/>
    <w:rsid w:val="00A2557D"/>
    <w:rsid w:val="00A2595C"/>
    <w:rsid w:val="00A26037"/>
    <w:rsid w:val="00A2680C"/>
    <w:rsid w:val="00A26924"/>
    <w:rsid w:val="00A26C63"/>
    <w:rsid w:val="00A26D87"/>
    <w:rsid w:val="00A27E89"/>
    <w:rsid w:val="00A30089"/>
    <w:rsid w:val="00A30D00"/>
    <w:rsid w:val="00A3158E"/>
    <w:rsid w:val="00A31815"/>
    <w:rsid w:val="00A31982"/>
    <w:rsid w:val="00A31E54"/>
    <w:rsid w:val="00A321C0"/>
    <w:rsid w:val="00A324D2"/>
    <w:rsid w:val="00A32C6A"/>
    <w:rsid w:val="00A35031"/>
    <w:rsid w:val="00A35A4C"/>
    <w:rsid w:val="00A35D3E"/>
    <w:rsid w:val="00A35F58"/>
    <w:rsid w:val="00A36D3D"/>
    <w:rsid w:val="00A36D87"/>
    <w:rsid w:val="00A3749F"/>
    <w:rsid w:val="00A374F9"/>
    <w:rsid w:val="00A37F21"/>
    <w:rsid w:val="00A41347"/>
    <w:rsid w:val="00A414F9"/>
    <w:rsid w:val="00A41B05"/>
    <w:rsid w:val="00A41F64"/>
    <w:rsid w:val="00A42607"/>
    <w:rsid w:val="00A426CF"/>
    <w:rsid w:val="00A42E6D"/>
    <w:rsid w:val="00A43794"/>
    <w:rsid w:val="00A43EC9"/>
    <w:rsid w:val="00A44050"/>
    <w:rsid w:val="00A44872"/>
    <w:rsid w:val="00A44C95"/>
    <w:rsid w:val="00A44F1A"/>
    <w:rsid w:val="00A45062"/>
    <w:rsid w:val="00A45094"/>
    <w:rsid w:val="00A45627"/>
    <w:rsid w:val="00A45C3D"/>
    <w:rsid w:val="00A46192"/>
    <w:rsid w:val="00A4716E"/>
    <w:rsid w:val="00A47574"/>
    <w:rsid w:val="00A47DC7"/>
    <w:rsid w:val="00A501C7"/>
    <w:rsid w:val="00A502B6"/>
    <w:rsid w:val="00A503BF"/>
    <w:rsid w:val="00A5054F"/>
    <w:rsid w:val="00A506E5"/>
    <w:rsid w:val="00A515D1"/>
    <w:rsid w:val="00A51952"/>
    <w:rsid w:val="00A527F7"/>
    <w:rsid w:val="00A52AFD"/>
    <w:rsid w:val="00A52D83"/>
    <w:rsid w:val="00A5343F"/>
    <w:rsid w:val="00A5356F"/>
    <w:rsid w:val="00A5377B"/>
    <w:rsid w:val="00A549A6"/>
    <w:rsid w:val="00A55421"/>
    <w:rsid w:val="00A55C93"/>
    <w:rsid w:val="00A55EB8"/>
    <w:rsid w:val="00A56078"/>
    <w:rsid w:val="00A56D66"/>
    <w:rsid w:val="00A56D9E"/>
    <w:rsid w:val="00A570CA"/>
    <w:rsid w:val="00A5742D"/>
    <w:rsid w:val="00A57470"/>
    <w:rsid w:val="00A578FE"/>
    <w:rsid w:val="00A57D03"/>
    <w:rsid w:val="00A605F4"/>
    <w:rsid w:val="00A60F25"/>
    <w:rsid w:val="00A61083"/>
    <w:rsid w:val="00A612AD"/>
    <w:rsid w:val="00A61B8E"/>
    <w:rsid w:val="00A62AC9"/>
    <w:rsid w:val="00A62D20"/>
    <w:rsid w:val="00A62ECA"/>
    <w:rsid w:val="00A63329"/>
    <w:rsid w:val="00A63877"/>
    <w:rsid w:val="00A639EB"/>
    <w:rsid w:val="00A642BD"/>
    <w:rsid w:val="00A646CC"/>
    <w:rsid w:val="00A6480D"/>
    <w:rsid w:val="00A64CB6"/>
    <w:rsid w:val="00A64E85"/>
    <w:rsid w:val="00A65155"/>
    <w:rsid w:val="00A658E2"/>
    <w:rsid w:val="00A65A43"/>
    <w:rsid w:val="00A66007"/>
    <w:rsid w:val="00A6621E"/>
    <w:rsid w:val="00A66F8B"/>
    <w:rsid w:val="00A678F9"/>
    <w:rsid w:val="00A67DD1"/>
    <w:rsid w:val="00A67E97"/>
    <w:rsid w:val="00A7049C"/>
    <w:rsid w:val="00A70ECE"/>
    <w:rsid w:val="00A71905"/>
    <w:rsid w:val="00A719AC"/>
    <w:rsid w:val="00A71A91"/>
    <w:rsid w:val="00A71B74"/>
    <w:rsid w:val="00A71D5D"/>
    <w:rsid w:val="00A72669"/>
    <w:rsid w:val="00A73210"/>
    <w:rsid w:val="00A73B57"/>
    <w:rsid w:val="00A74AEE"/>
    <w:rsid w:val="00A754DD"/>
    <w:rsid w:val="00A75C2A"/>
    <w:rsid w:val="00A76518"/>
    <w:rsid w:val="00A76681"/>
    <w:rsid w:val="00A76CDE"/>
    <w:rsid w:val="00A77F5C"/>
    <w:rsid w:val="00A80A0F"/>
    <w:rsid w:val="00A81AFE"/>
    <w:rsid w:val="00A84182"/>
    <w:rsid w:val="00A84879"/>
    <w:rsid w:val="00A84D04"/>
    <w:rsid w:val="00A85661"/>
    <w:rsid w:val="00A869FA"/>
    <w:rsid w:val="00A87C5A"/>
    <w:rsid w:val="00A901D8"/>
    <w:rsid w:val="00A90630"/>
    <w:rsid w:val="00A90D4B"/>
    <w:rsid w:val="00A91303"/>
    <w:rsid w:val="00A9133A"/>
    <w:rsid w:val="00A91EF8"/>
    <w:rsid w:val="00A9258F"/>
    <w:rsid w:val="00A92594"/>
    <w:rsid w:val="00A92638"/>
    <w:rsid w:val="00A9268F"/>
    <w:rsid w:val="00A927B3"/>
    <w:rsid w:val="00A9288D"/>
    <w:rsid w:val="00A92BA0"/>
    <w:rsid w:val="00A933AF"/>
    <w:rsid w:val="00A93E84"/>
    <w:rsid w:val="00A955B9"/>
    <w:rsid w:val="00A95758"/>
    <w:rsid w:val="00A95C48"/>
    <w:rsid w:val="00A95F9C"/>
    <w:rsid w:val="00A97581"/>
    <w:rsid w:val="00A975DA"/>
    <w:rsid w:val="00A9790E"/>
    <w:rsid w:val="00A97D87"/>
    <w:rsid w:val="00A97F16"/>
    <w:rsid w:val="00A97F5A"/>
    <w:rsid w:val="00AA0379"/>
    <w:rsid w:val="00AA13EB"/>
    <w:rsid w:val="00AA23E2"/>
    <w:rsid w:val="00AA2517"/>
    <w:rsid w:val="00AA2571"/>
    <w:rsid w:val="00AA2984"/>
    <w:rsid w:val="00AA2F5E"/>
    <w:rsid w:val="00AA3B7A"/>
    <w:rsid w:val="00AA42B8"/>
    <w:rsid w:val="00AA44B4"/>
    <w:rsid w:val="00AA4A40"/>
    <w:rsid w:val="00AA4F3A"/>
    <w:rsid w:val="00AA5B75"/>
    <w:rsid w:val="00AA5CC2"/>
    <w:rsid w:val="00AA6E42"/>
    <w:rsid w:val="00AA71B0"/>
    <w:rsid w:val="00AA7485"/>
    <w:rsid w:val="00AA750B"/>
    <w:rsid w:val="00AA785F"/>
    <w:rsid w:val="00AB037C"/>
    <w:rsid w:val="00AB07DF"/>
    <w:rsid w:val="00AB0F2E"/>
    <w:rsid w:val="00AB2058"/>
    <w:rsid w:val="00AB2894"/>
    <w:rsid w:val="00AB28E0"/>
    <w:rsid w:val="00AB2EE7"/>
    <w:rsid w:val="00AB34C9"/>
    <w:rsid w:val="00AB358C"/>
    <w:rsid w:val="00AB3F23"/>
    <w:rsid w:val="00AB46B7"/>
    <w:rsid w:val="00AB4795"/>
    <w:rsid w:val="00AB4844"/>
    <w:rsid w:val="00AB4C03"/>
    <w:rsid w:val="00AB4D42"/>
    <w:rsid w:val="00AB5A75"/>
    <w:rsid w:val="00AB5ECE"/>
    <w:rsid w:val="00AB6A2A"/>
    <w:rsid w:val="00AB701D"/>
    <w:rsid w:val="00AB755E"/>
    <w:rsid w:val="00AB75B6"/>
    <w:rsid w:val="00AB76E9"/>
    <w:rsid w:val="00AC00C5"/>
    <w:rsid w:val="00AC0A27"/>
    <w:rsid w:val="00AC0EE4"/>
    <w:rsid w:val="00AC1084"/>
    <w:rsid w:val="00AC1408"/>
    <w:rsid w:val="00AC2041"/>
    <w:rsid w:val="00AC2BBF"/>
    <w:rsid w:val="00AC3176"/>
    <w:rsid w:val="00AC3467"/>
    <w:rsid w:val="00AC4842"/>
    <w:rsid w:val="00AC49CB"/>
    <w:rsid w:val="00AC4AF0"/>
    <w:rsid w:val="00AC4D62"/>
    <w:rsid w:val="00AC4EC7"/>
    <w:rsid w:val="00AC53A0"/>
    <w:rsid w:val="00AC5580"/>
    <w:rsid w:val="00AC5993"/>
    <w:rsid w:val="00AC6741"/>
    <w:rsid w:val="00AC706B"/>
    <w:rsid w:val="00AC7EB9"/>
    <w:rsid w:val="00AD0224"/>
    <w:rsid w:val="00AD110E"/>
    <w:rsid w:val="00AD24D4"/>
    <w:rsid w:val="00AD2C51"/>
    <w:rsid w:val="00AD3249"/>
    <w:rsid w:val="00AD33EE"/>
    <w:rsid w:val="00AD4E16"/>
    <w:rsid w:val="00AD541C"/>
    <w:rsid w:val="00AD63C4"/>
    <w:rsid w:val="00AD6D92"/>
    <w:rsid w:val="00AD6E41"/>
    <w:rsid w:val="00AE0A0E"/>
    <w:rsid w:val="00AE122B"/>
    <w:rsid w:val="00AE1FAA"/>
    <w:rsid w:val="00AE21CA"/>
    <w:rsid w:val="00AE314D"/>
    <w:rsid w:val="00AE32D9"/>
    <w:rsid w:val="00AE3349"/>
    <w:rsid w:val="00AE34D6"/>
    <w:rsid w:val="00AE44FF"/>
    <w:rsid w:val="00AE46E9"/>
    <w:rsid w:val="00AE5816"/>
    <w:rsid w:val="00AE5F31"/>
    <w:rsid w:val="00AE6C9F"/>
    <w:rsid w:val="00AF0526"/>
    <w:rsid w:val="00AF1502"/>
    <w:rsid w:val="00AF1D6E"/>
    <w:rsid w:val="00AF2F00"/>
    <w:rsid w:val="00AF2F26"/>
    <w:rsid w:val="00AF38E3"/>
    <w:rsid w:val="00AF4852"/>
    <w:rsid w:val="00AF4953"/>
    <w:rsid w:val="00AF54CB"/>
    <w:rsid w:val="00AF5C0E"/>
    <w:rsid w:val="00AF6580"/>
    <w:rsid w:val="00AF680F"/>
    <w:rsid w:val="00AF6E57"/>
    <w:rsid w:val="00AF7264"/>
    <w:rsid w:val="00AF72E4"/>
    <w:rsid w:val="00AF7ACD"/>
    <w:rsid w:val="00B0004D"/>
    <w:rsid w:val="00B002EC"/>
    <w:rsid w:val="00B00762"/>
    <w:rsid w:val="00B00CC0"/>
    <w:rsid w:val="00B01061"/>
    <w:rsid w:val="00B01A13"/>
    <w:rsid w:val="00B01AA2"/>
    <w:rsid w:val="00B02164"/>
    <w:rsid w:val="00B025E5"/>
    <w:rsid w:val="00B02882"/>
    <w:rsid w:val="00B02E9E"/>
    <w:rsid w:val="00B0306F"/>
    <w:rsid w:val="00B0363E"/>
    <w:rsid w:val="00B03A32"/>
    <w:rsid w:val="00B03C9F"/>
    <w:rsid w:val="00B059F5"/>
    <w:rsid w:val="00B05F94"/>
    <w:rsid w:val="00B0602D"/>
    <w:rsid w:val="00B069A4"/>
    <w:rsid w:val="00B06D79"/>
    <w:rsid w:val="00B0763C"/>
    <w:rsid w:val="00B077B0"/>
    <w:rsid w:val="00B079CB"/>
    <w:rsid w:val="00B07AC6"/>
    <w:rsid w:val="00B07E54"/>
    <w:rsid w:val="00B10353"/>
    <w:rsid w:val="00B1049E"/>
    <w:rsid w:val="00B105CA"/>
    <w:rsid w:val="00B10C0F"/>
    <w:rsid w:val="00B11106"/>
    <w:rsid w:val="00B1143A"/>
    <w:rsid w:val="00B116D8"/>
    <w:rsid w:val="00B11AD3"/>
    <w:rsid w:val="00B11D3E"/>
    <w:rsid w:val="00B124FA"/>
    <w:rsid w:val="00B12D7D"/>
    <w:rsid w:val="00B12D92"/>
    <w:rsid w:val="00B13588"/>
    <w:rsid w:val="00B135A6"/>
    <w:rsid w:val="00B138F7"/>
    <w:rsid w:val="00B14535"/>
    <w:rsid w:val="00B14C8B"/>
    <w:rsid w:val="00B1538E"/>
    <w:rsid w:val="00B15477"/>
    <w:rsid w:val="00B15569"/>
    <w:rsid w:val="00B15CBA"/>
    <w:rsid w:val="00B16326"/>
    <w:rsid w:val="00B166CB"/>
    <w:rsid w:val="00B167CB"/>
    <w:rsid w:val="00B168F6"/>
    <w:rsid w:val="00B16F86"/>
    <w:rsid w:val="00B200FD"/>
    <w:rsid w:val="00B20BCE"/>
    <w:rsid w:val="00B2120C"/>
    <w:rsid w:val="00B22BA0"/>
    <w:rsid w:val="00B23245"/>
    <w:rsid w:val="00B23288"/>
    <w:rsid w:val="00B2365E"/>
    <w:rsid w:val="00B245B1"/>
    <w:rsid w:val="00B24C50"/>
    <w:rsid w:val="00B25040"/>
    <w:rsid w:val="00B252A0"/>
    <w:rsid w:val="00B26D4C"/>
    <w:rsid w:val="00B26E3A"/>
    <w:rsid w:val="00B2728D"/>
    <w:rsid w:val="00B2756E"/>
    <w:rsid w:val="00B27921"/>
    <w:rsid w:val="00B27CBF"/>
    <w:rsid w:val="00B27F59"/>
    <w:rsid w:val="00B303A4"/>
    <w:rsid w:val="00B30660"/>
    <w:rsid w:val="00B309B5"/>
    <w:rsid w:val="00B30A6B"/>
    <w:rsid w:val="00B30E02"/>
    <w:rsid w:val="00B30E0C"/>
    <w:rsid w:val="00B31763"/>
    <w:rsid w:val="00B322C6"/>
    <w:rsid w:val="00B32368"/>
    <w:rsid w:val="00B32696"/>
    <w:rsid w:val="00B3291A"/>
    <w:rsid w:val="00B32B34"/>
    <w:rsid w:val="00B33220"/>
    <w:rsid w:val="00B334CF"/>
    <w:rsid w:val="00B343CA"/>
    <w:rsid w:val="00B34756"/>
    <w:rsid w:val="00B3479A"/>
    <w:rsid w:val="00B347CA"/>
    <w:rsid w:val="00B352C4"/>
    <w:rsid w:val="00B35E3F"/>
    <w:rsid w:val="00B36876"/>
    <w:rsid w:val="00B37D8E"/>
    <w:rsid w:val="00B37E84"/>
    <w:rsid w:val="00B40A94"/>
    <w:rsid w:val="00B40F38"/>
    <w:rsid w:val="00B41096"/>
    <w:rsid w:val="00B411DC"/>
    <w:rsid w:val="00B41C0C"/>
    <w:rsid w:val="00B41F94"/>
    <w:rsid w:val="00B42A0D"/>
    <w:rsid w:val="00B42C18"/>
    <w:rsid w:val="00B42D88"/>
    <w:rsid w:val="00B43105"/>
    <w:rsid w:val="00B4336E"/>
    <w:rsid w:val="00B43845"/>
    <w:rsid w:val="00B438A3"/>
    <w:rsid w:val="00B442BD"/>
    <w:rsid w:val="00B443B5"/>
    <w:rsid w:val="00B44B9E"/>
    <w:rsid w:val="00B44F7B"/>
    <w:rsid w:val="00B45215"/>
    <w:rsid w:val="00B45A82"/>
    <w:rsid w:val="00B45A8B"/>
    <w:rsid w:val="00B45BBD"/>
    <w:rsid w:val="00B466BC"/>
    <w:rsid w:val="00B472FD"/>
    <w:rsid w:val="00B47DA7"/>
    <w:rsid w:val="00B503DD"/>
    <w:rsid w:val="00B5171C"/>
    <w:rsid w:val="00B51CB5"/>
    <w:rsid w:val="00B51CF2"/>
    <w:rsid w:val="00B53C0C"/>
    <w:rsid w:val="00B54028"/>
    <w:rsid w:val="00B54743"/>
    <w:rsid w:val="00B551FD"/>
    <w:rsid w:val="00B55FC2"/>
    <w:rsid w:val="00B561B7"/>
    <w:rsid w:val="00B56416"/>
    <w:rsid w:val="00B56ABE"/>
    <w:rsid w:val="00B56FEF"/>
    <w:rsid w:val="00B5752F"/>
    <w:rsid w:val="00B5783E"/>
    <w:rsid w:val="00B6022F"/>
    <w:rsid w:val="00B6104B"/>
    <w:rsid w:val="00B61317"/>
    <w:rsid w:val="00B6143B"/>
    <w:rsid w:val="00B614AB"/>
    <w:rsid w:val="00B61EF8"/>
    <w:rsid w:val="00B64982"/>
    <w:rsid w:val="00B64AC6"/>
    <w:rsid w:val="00B65D1E"/>
    <w:rsid w:val="00B666C0"/>
    <w:rsid w:val="00B66A3B"/>
    <w:rsid w:val="00B66D36"/>
    <w:rsid w:val="00B67312"/>
    <w:rsid w:val="00B67813"/>
    <w:rsid w:val="00B70291"/>
    <w:rsid w:val="00B70BE7"/>
    <w:rsid w:val="00B70C90"/>
    <w:rsid w:val="00B712F9"/>
    <w:rsid w:val="00B714A4"/>
    <w:rsid w:val="00B725C2"/>
    <w:rsid w:val="00B72C23"/>
    <w:rsid w:val="00B72E9A"/>
    <w:rsid w:val="00B7387E"/>
    <w:rsid w:val="00B74DF3"/>
    <w:rsid w:val="00B74E6D"/>
    <w:rsid w:val="00B75190"/>
    <w:rsid w:val="00B757E6"/>
    <w:rsid w:val="00B75C1B"/>
    <w:rsid w:val="00B76076"/>
    <w:rsid w:val="00B762C9"/>
    <w:rsid w:val="00B762FC"/>
    <w:rsid w:val="00B766F7"/>
    <w:rsid w:val="00B76D7C"/>
    <w:rsid w:val="00B76E6A"/>
    <w:rsid w:val="00B77DCD"/>
    <w:rsid w:val="00B804A6"/>
    <w:rsid w:val="00B80788"/>
    <w:rsid w:val="00B80A8D"/>
    <w:rsid w:val="00B80B54"/>
    <w:rsid w:val="00B80DEC"/>
    <w:rsid w:val="00B80FAB"/>
    <w:rsid w:val="00B81D5B"/>
    <w:rsid w:val="00B81E71"/>
    <w:rsid w:val="00B82549"/>
    <w:rsid w:val="00B82AE1"/>
    <w:rsid w:val="00B8375C"/>
    <w:rsid w:val="00B83AD5"/>
    <w:rsid w:val="00B83FE9"/>
    <w:rsid w:val="00B84164"/>
    <w:rsid w:val="00B84180"/>
    <w:rsid w:val="00B84681"/>
    <w:rsid w:val="00B84B26"/>
    <w:rsid w:val="00B852A9"/>
    <w:rsid w:val="00B857CA"/>
    <w:rsid w:val="00B85825"/>
    <w:rsid w:val="00B85A59"/>
    <w:rsid w:val="00B85E60"/>
    <w:rsid w:val="00B86D1C"/>
    <w:rsid w:val="00B8762C"/>
    <w:rsid w:val="00B87ED7"/>
    <w:rsid w:val="00B90206"/>
    <w:rsid w:val="00B906BA"/>
    <w:rsid w:val="00B907E9"/>
    <w:rsid w:val="00B9127E"/>
    <w:rsid w:val="00B91D11"/>
    <w:rsid w:val="00B92122"/>
    <w:rsid w:val="00B924F0"/>
    <w:rsid w:val="00B92C08"/>
    <w:rsid w:val="00B92C52"/>
    <w:rsid w:val="00B930B3"/>
    <w:rsid w:val="00B933D4"/>
    <w:rsid w:val="00B93E9E"/>
    <w:rsid w:val="00B940DA"/>
    <w:rsid w:val="00B94C2E"/>
    <w:rsid w:val="00B95BC0"/>
    <w:rsid w:val="00B961B9"/>
    <w:rsid w:val="00B96865"/>
    <w:rsid w:val="00B96F46"/>
    <w:rsid w:val="00BA05AA"/>
    <w:rsid w:val="00BA07D6"/>
    <w:rsid w:val="00BA13CA"/>
    <w:rsid w:val="00BA1B44"/>
    <w:rsid w:val="00BA21A1"/>
    <w:rsid w:val="00BA2518"/>
    <w:rsid w:val="00BA254A"/>
    <w:rsid w:val="00BA2687"/>
    <w:rsid w:val="00BA2A27"/>
    <w:rsid w:val="00BA31B0"/>
    <w:rsid w:val="00BA4528"/>
    <w:rsid w:val="00BA478A"/>
    <w:rsid w:val="00BA4918"/>
    <w:rsid w:val="00BA5ABA"/>
    <w:rsid w:val="00BA5B51"/>
    <w:rsid w:val="00BA5E0B"/>
    <w:rsid w:val="00BA66D4"/>
    <w:rsid w:val="00BA6A6C"/>
    <w:rsid w:val="00BA6EE3"/>
    <w:rsid w:val="00BB087B"/>
    <w:rsid w:val="00BB0C2F"/>
    <w:rsid w:val="00BB1143"/>
    <w:rsid w:val="00BB1A36"/>
    <w:rsid w:val="00BB1F18"/>
    <w:rsid w:val="00BB1FA3"/>
    <w:rsid w:val="00BB2367"/>
    <w:rsid w:val="00BB2F29"/>
    <w:rsid w:val="00BB30AA"/>
    <w:rsid w:val="00BB394D"/>
    <w:rsid w:val="00BB42BD"/>
    <w:rsid w:val="00BB45B8"/>
    <w:rsid w:val="00BB4914"/>
    <w:rsid w:val="00BB496D"/>
    <w:rsid w:val="00BB4C11"/>
    <w:rsid w:val="00BB5399"/>
    <w:rsid w:val="00BB7591"/>
    <w:rsid w:val="00BB762A"/>
    <w:rsid w:val="00BB7A45"/>
    <w:rsid w:val="00BC036D"/>
    <w:rsid w:val="00BC05D4"/>
    <w:rsid w:val="00BC12DD"/>
    <w:rsid w:val="00BC18AD"/>
    <w:rsid w:val="00BC1984"/>
    <w:rsid w:val="00BC1EBA"/>
    <w:rsid w:val="00BC356C"/>
    <w:rsid w:val="00BC3D7F"/>
    <w:rsid w:val="00BC412E"/>
    <w:rsid w:val="00BC4E2C"/>
    <w:rsid w:val="00BC5133"/>
    <w:rsid w:val="00BC560B"/>
    <w:rsid w:val="00BC6425"/>
    <w:rsid w:val="00BC6C20"/>
    <w:rsid w:val="00BC710D"/>
    <w:rsid w:val="00BC730C"/>
    <w:rsid w:val="00BD0159"/>
    <w:rsid w:val="00BD08B0"/>
    <w:rsid w:val="00BD10AC"/>
    <w:rsid w:val="00BD1261"/>
    <w:rsid w:val="00BD142E"/>
    <w:rsid w:val="00BD1463"/>
    <w:rsid w:val="00BD1765"/>
    <w:rsid w:val="00BD2526"/>
    <w:rsid w:val="00BD288E"/>
    <w:rsid w:val="00BD2C62"/>
    <w:rsid w:val="00BD2F6A"/>
    <w:rsid w:val="00BD401E"/>
    <w:rsid w:val="00BD44C1"/>
    <w:rsid w:val="00BD458B"/>
    <w:rsid w:val="00BD4814"/>
    <w:rsid w:val="00BD4C36"/>
    <w:rsid w:val="00BD5022"/>
    <w:rsid w:val="00BD5CF0"/>
    <w:rsid w:val="00BD7040"/>
    <w:rsid w:val="00BD7473"/>
    <w:rsid w:val="00BD771A"/>
    <w:rsid w:val="00BD7826"/>
    <w:rsid w:val="00BD7860"/>
    <w:rsid w:val="00BD79F7"/>
    <w:rsid w:val="00BD7A3A"/>
    <w:rsid w:val="00BD7D60"/>
    <w:rsid w:val="00BE1606"/>
    <w:rsid w:val="00BE2A2F"/>
    <w:rsid w:val="00BE2D4C"/>
    <w:rsid w:val="00BE2E2A"/>
    <w:rsid w:val="00BE2E7E"/>
    <w:rsid w:val="00BE3D27"/>
    <w:rsid w:val="00BE3D6A"/>
    <w:rsid w:val="00BE50A9"/>
    <w:rsid w:val="00BE5C1B"/>
    <w:rsid w:val="00BE5D07"/>
    <w:rsid w:val="00BE639D"/>
    <w:rsid w:val="00BE6877"/>
    <w:rsid w:val="00BE6881"/>
    <w:rsid w:val="00BE6A16"/>
    <w:rsid w:val="00BE6A75"/>
    <w:rsid w:val="00BE6F2C"/>
    <w:rsid w:val="00BF004C"/>
    <w:rsid w:val="00BF0DEF"/>
    <w:rsid w:val="00BF0F00"/>
    <w:rsid w:val="00BF0F27"/>
    <w:rsid w:val="00BF1F8C"/>
    <w:rsid w:val="00BF250E"/>
    <w:rsid w:val="00BF27B2"/>
    <w:rsid w:val="00BF33DE"/>
    <w:rsid w:val="00BF347D"/>
    <w:rsid w:val="00BF43B3"/>
    <w:rsid w:val="00BF4625"/>
    <w:rsid w:val="00BF4779"/>
    <w:rsid w:val="00BF4B6B"/>
    <w:rsid w:val="00BF58A0"/>
    <w:rsid w:val="00BF6972"/>
    <w:rsid w:val="00BF6B8B"/>
    <w:rsid w:val="00BF7420"/>
    <w:rsid w:val="00C003CB"/>
    <w:rsid w:val="00C003E2"/>
    <w:rsid w:val="00C00493"/>
    <w:rsid w:val="00C005AE"/>
    <w:rsid w:val="00C0070E"/>
    <w:rsid w:val="00C01E6E"/>
    <w:rsid w:val="00C027C4"/>
    <w:rsid w:val="00C02D6E"/>
    <w:rsid w:val="00C03967"/>
    <w:rsid w:val="00C04187"/>
    <w:rsid w:val="00C0436A"/>
    <w:rsid w:val="00C0521F"/>
    <w:rsid w:val="00C05250"/>
    <w:rsid w:val="00C053BA"/>
    <w:rsid w:val="00C059F8"/>
    <w:rsid w:val="00C05DA9"/>
    <w:rsid w:val="00C0620B"/>
    <w:rsid w:val="00C06D34"/>
    <w:rsid w:val="00C070A0"/>
    <w:rsid w:val="00C07707"/>
    <w:rsid w:val="00C07BCC"/>
    <w:rsid w:val="00C1010E"/>
    <w:rsid w:val="00C10944"/>
    <w:rsid w:val="00C10A41"/>
    <w:rsid w:val="00C11733"/>
    <w:rsid w:val="00C12718"/>
    <w:rsid w:val="00C12DC6"/>
    <w:rsid w:val="00C131D1"/>
    <w:rsid w:val="00C13242"/>
    <w:rsid w:val="00C13676"/>
    <w:rsid w:val="00C13AB2"/>
    <w:rsid w:val="00C145B4"/>
    <w:rsid w:val="00C14E00"/>
    <w:rsid w:val="00C151C7"/>
    <w:rsid w:val="00C15D00"/>
    <w:rsid w:val="00C16182"/>
    <w:rsid w:val="00C16193"/>
    <w:rsid w:val="00C16EC7"/>
    <w:rsid w:val="00C17072"/>
    <w:rsid w:val="00C171C8"/>
    <w:rsid w:val="00C17772"/>
    <w:rsid w:val="00C17AAC"/>
    <w:rsid w:val="00C2047D"/>
    <w:rsid w:val="00C20F19"/>
    <w:rsid w:val="00C216BB"/>
    <w:rsid w:val="00C2193E"/>
    <w:rsid w:val="00C21AAD"/>
    <w:rsid w:val="00C21B4F"/>
    <w:rsid w:val="00C2262E"/>
    <w:rsid w:val="00C2299C"/>
    <w:rsid w:val="00C22D7A"/>
    <w:rsid w:val="00C238A8"/>
    <w:rsid w:val="00C23BB3"/>
    <w:rsid w:val="00C24F48"/>
    <w:rsid w:val="00C26161"/>
    <w:rsid w:val="00C27281"/>
    <w:rsid w:val="00C30087"/>
    <w:rsid w:val="00C3014C"/>
    <w:rsid w:val="00C3068D"/>
    <w:rsid w:val="00C3071E"/>
    <w:rsid w:val="00C3139F"/>
    <w:rsid w:val="00C31987"/>
    <w:rsid w:val="00C31A9B"/>
    <w:rsid w:val="00C31E75"/>
    <w:rsid w:val="00C31EA1"/>
    <w:rsid w:val="00C31F14"/>
    <w:rsid w:val="00C325FC"/>
    <w:rsid w:val="00C330E8"/>
    <w:rsid w:val="00C347B5"/>
    <w:rsid w:val="00C34A2C"/>
    <w:rsid w:val="00C36149"/>
    <w:rsid w:val="00C365E6"/>
    <w:rsid w:val="00C36E29"/>
    <w:rsid w:val="00C36E7A"/>
    <w:rsid w:val="00C36EE4"/>
    <w:rsid w:val="00C37D64"/>
    <w:rsid w:val="00C40F45"/>
    <w:rsid w:val="00C4191F"/>
    <w:rsid w:val="00C42429"/>
    <w:rsid w:val="00C42B80"/>
    <w:rsid w:val="00C42C08"/>
    <w:rsid w:val="00C42FE1"/>
    <w:rsid w:val="00C4395F"/>
    <w:rsid w:val="00C44146"/>
    <w:rsid w:val="00C4441C"/>
    <w:rsid w:val="00C4445F"/>
    <w:rsid w:val="00C44A93"/>
    <w:rsid w:val="00C44AA4"/>
    <w:rsid w:val="00C44B5A"/>
    <w:rsid w:val="00C45759"/>
    <w:rsid w:val="00C46FEC"/>
    <w:rsid w:val="00C47105"/>
    <w:rsid w:val="00C50423"/>
    <w:rsid w:val="00C50571"/>
    <w:rsid w:val="00C50726"/>
    <w:rsid w:val="00C50CEF"/>
    <w:rsid w:val="00C5195A"/>
    <w:rsid w:val="00C51D12"/>
    <w:rsid w:val="00C51E94"/>
    <w:rsid w:val="00C527E6"/>
    <w:rsid w:val="00C52F9F"/>
    <w:rsid w:val="00C5307A"/>
    <w:rsid w:val="00C53424"/>
    <w:rsid w:val="00C53E36"/>
    <w:rsid w:val="00C53F49"/>
    <w:rsid w:val="00C546E3"/>
    <w:rsid w:val="00C54780"/>
    <w:rsid w:val="00C54E7B"/>
    <w:rsid w:val="00C5570D"/>
    <w:rsid w:val="00C55C83"/>
    <w:rsid w:val="00C561C3"/>
    <w:rsid w:val="00C56E96"/>
    <w:rsid w:val="00C57069"/>
    <w:rsid w:val="00C5781D"/>
    <w:rsid w:val="00C5799E"/>
    <w:rsid w:val="00C603BA"/>
    <w:rsid w:val="00C61D03"/>
    <w:rsid w:val="00C61D60"/>
    <w:rsid w:val="00C62301"/>
    <w:rsid w:val="00C634D3"/>
    <w:rsid w:val="00C63A06"/>
    <w:rsid w:val="00C63F52"/>
    <w:rsid w:val="00C63FF5"/>
    <w:rsid w:val="00C648E0"/>
    <w:rsid w:val="00C64D21"/>
    <w:rsid w:val="00C65328"/>
    <w:rsid w:val="00C65595"/>
    <w:rsid w:val="00C65770"/>
    <w:rsid w:val="00C66388"/>
    <w:rsid w:val="00C667B0"/>
    <w:rsid w:val="00C66F09"/>
    <w:rsid w:val="00C67220"/>
    <w:rsid w:val="00C67317"/>
    <w:rsid w:val="00C67343"/>
    <w:rsid w:val="00C6765A"/>
    <w:rsid w:val="00C679D0"/>
    <w:rsid w:val="00C700BE"/>
    <w:rsid w:val="00C7011E"/>
    <w:rsid w:val="00C703A1"/>
    <w:rsid w:val="00C71B1F"/>
    <w:rsid w:val="00C721DC"/>
    <w:rsid w:val="00C726CD"/>
    <w:rsid w:val="00C72DF2"/>
    <w:rsid w:val="00C733B8"/>
    <w:rsid w:val="00C7341D"/>
    <w:rsid w:val="00C73580"/>
    <w:rsid w:val="00C739F8"/>
    <w:rsid w:val="00C73FD2"/>
    <w:rsid w:val="00C74E23"/>
    <w:rsid w:val="00C7537F"/>
    <w:rsid w:val="00C759C6"/>
    <w:rsid w:val="00C75DF9"/>
    <w:rsid w:val="00C774EE"/>
    <w:rsid w:val="00C77E83"/>
    <w:rsid w:val="00C8039D"/>
    <w:rsid w:val="00C8041E"/>
    <w:rsid w:val="00C80618"/>
    <w:rsid w:val="00C80860"/>
    <w:rsid w:val="00C80908"/>
    <w:rsid w:val="00C80DB1"/>
    <w:rsid w:val="00C80F3D"/>
    <w:rsid w:val="00C81178"/>
    <w:rsid w:val="00C811BF"/>
    <w:rsid w:val="00C812F0"/>
    <w:rsid w:val="00C820A5"/>
    <w:rsid w:val="00C82A8C"/>
    <w:rsid w:val="00C8312B"/>
    <w:rsid w:val="00C8407F"/>
    <w:rsid w:val="00C8458B"/>
    <w:rsid w:val="00C848C7"/>
    <w:rsid w:val="00C84D1A"/>
    <w:rsid w:val="00C8613B"/>
    <w:rsid w:val="00C8621D"/>
    <w:rsid w:val="00C865EB"/>
    <w:rsid w:val="00C86B36"/>
    <w:rsid w:val="00C86B85"/>
    <w:rsid w:val="00C9012A"/>
    <w:rsid w:val="00C90242"/>
    <w:rsid w:val="00C902D3"/>
    <w:rsid w:val="00C907A8"/>
    <w:rsid w:val="00C90C26"/>
    <w:rsid w:val="00C90EF5"/>
    <w:rsid w:val="00C90F6E"/>
    <w:rsid w:val="00C916EC"/>
    <w:rsid w:val="00C9191F"/>
    <w:rsid w:val="00C91AE0"/>
    <w:rsid w:val="00C91F1E"/>
    <w:rsid w:val="00C93194"/>
    <w:rsid w:val="00C9326C"/>
    <w:rsid w:val="00C93634"/>
    <w:rsid w:val="00C93A09"/>
    <w:rsid w:val="00C93DA6"/>
    <w:rsid w:val="00C94DC2"/>
    <w:rsid w:val="00C9532F"/>
    <w:rsid w:val="00C95566"/>
    <w:rsid w:val="00C9577D"/>
    <w:rsid w:val="00C95A80"/>
    <w:rsid w:val="00C95F96"/>
    <w:rsid w:val="00C96AB6"/>
    <w:rsid w:val="00C96B3F"/>
    <w:rsid w:val="00C9731C"/>
    <w:rsid w:val="00CA001F"/>
    <w:rsid w:val="00CA0649"/>
    <w:rsid w:val="00CA0852"/>
    <w:rsid w:val="00CA0C12"/>
    <w:rsid w:val="00CA1216"/>
    <w:rsid w:val="00CA1644"/>
    <w:rsid w:val="00CA1EF3"/>
    <w:rsid w:val="00CA2ABF"/>
    <w:rsid w:val="00CA2C19"/>
    <w:rsid w:val="00CA30D3"/>
    <w:rsid w:val="00CA3C03"/>
    <w:rsid w:val="00CA4124"/>
    <w:rsid w:val="00CA43C2"/>
    <w:rsid w:val="00CA5513"/>
    <w:rsid w:val="00CA5EBF"/>
    <w:rsid w:val="00CA6E33"/>
    <w:rsid w:val="00CA6FE2"/>
    <w:rsid w:val="00CA73B9"/>
    <w:rsid w:val="00CB1C35"/>
    <w:rsid w:val="00CB238F"/>
    <w:rsid w:val="00CB267B"/>
    <w:rsid w:val="00CB2B12"/>
    <w:rsid w:val="00CB2E90"/>
    <w:rsid w:val="00CB3A30"/>
    <w:rsid w:val="00CB3D1D"/>
    <w:rsid w:val="00CB448F"/>
    <w:rsid w:val="00CB46C0"/>
    <w:rsid w:val="00CB578E"/>
    <w:rsid w:val="00CB5844"/>
    <w:rsid w:val="00CB5B7F"/>
    <w:rsid w:val="00CB5C9E"/>
    <w:rsid w:val="00CB64F5"/>
    <w:rsid w:val="00CB675D"/>
    <w:rsid w:val="00CB6B6E"/>
    <w:rsid w:val="00CB6CF3"/>
    <w:rsid w:val="00CC0588"/>
    <w:rsid w:val="00CC0C9B"/>
    <w:rsid w:val="00CC0D41"/>
    <w:rsid w:val="00CC0DBE"/>
    <w:rsid w:val="00CC0FF1"/>
    <w:rsid w:val="00CC27EB"/>
    <w:rsid w:val="00CC2CAB"/>
    <w:rsid w:val="00CC339B"/>
    <w:rsid w:val="00CC3799"/>
    <w:rsid w:val="00CC38E3"/>
    <w:rsid w:val="00CC39FE"/>
    <w:rsid w:val="00CC52E7"/>
    <w:rsid w:val="00CC5324"/>
    <w:rsid w:val="00CC5722"/>
    <w:rsid w:val="00CC61C5"/>
    <w:rsid w:val="00CC6865"/>
    <w:rsid w:val="00CC6C36"/>
    <w:rsid w:val="00CC71D1"/>
    <w:rsid w:val="00CC7957"/>
    <w:rsid w:val="00CD00E3"/>
    <w:rsid w:val="00CD04A5"/>
    <w:rsid w:val="00CD09BA"/>
    <w:rsid w:val="00CD1468"/>
    <w:rsid w:val="00CD1E8E"/>
    <w:rsid w:val="00CD2373"/>
    <w:rsid w:val="00CD29F0"/>
    <w:rsid w:val="00CD2BA0"/>
    <w:rsid w:val="00CD32C8"/>
    <w:rsid w:val="00CD3477"/>
    <w:rsid w:val="00CD402B"/>
    <w:rsid w:val="00CD42D4"/>
    <w:rsid w:val="00CD4A55"/>
    <w:rsid w:val="00CD56E5"/>
    <w:rsid w:val="00CD595F"/>
    <w:rsid w:val="00CD6340"/>
    <w:rsid w:val="00CD6A33"/>
    <w:rsid w:val="00CD7AA2"/>
    <w:rsid w:val="00CD7ACE"/>
    <w:rsid w:val="00CE00C2"/>
    <w:rsid w:val="00CE0C10"/>
    <w:rsid w:val="00CE0D52"/>
    <w:rsid w:val="00CE1384"/>
    <w:rsid w:val="00CE20AF"/>
    <w:rsid w:val="00CE21B2"/>
    <w:rsid w:val="00CE2652"/>
    <w:rsid w:val="00CE2A73"/>
    <w:rsid w:val="00CE2C82"/>
    <w:rsid w:val="00CE2DBA"/>
    <w:rsid w:val="00CE2E03"/>
    <w:rsid w:val="00CE2FB4"/>
    <w:rsid w:val="00CE30AB"/>
    <w:rsid w:val="00CE3DCD"/>
    <w:rsid w:val="00CE40F7"/>
    <w:rsid w:val="00CE4193"/>
    <w:rsid w:val="00CE4721"/>
    <w:rsid w:val="00CE49C7"/>
    <w:rsid w:val="00CE4D08"/>
    <w:rsid w:val="00CE5066"/>
    <w:rsid w:val="00CE51A0"/>
    <w:rsid w:val="00CE528A"/>
    <w:rsid w:val="00CE58DA"/>
    <w:rsid w:val="00CE6DDB"/>
    <w:rsid w:val="00CE6E2D"/>
    <w:rsid w:val="00CE76F8"/>
    <w:rsid w:val="00CE7BD1"/>
    <w:rsid w:val="00CE7C2F"/>
    <w:rsid w:val="00CE7F69"/>
    <w:rsid w:val="00CE7FDC"/>
    <w:rsid w:val="00CF0120"/>
    <w:rsid w:val="00CF0699"/>
    <w:rsid w:val="00CF0D8C"/>
    <w:rsid w:val="00CF0E37"/>
    <w:rsid w:val="00CF0FA4"/>
    <w:rsid w:val="00CF0FB2"/>
    <w:rsid w:val="00CF12DA"/>
    <w:rsid w:val="00CF1C8F"/>
    <w:rsid w:val="00CF29F7"/>
    <w:rsid w:val="00CF2A62"/>
    <w:rsid w:val="00CF30D8"/>
    <w:rsid w:val="00CF357C"/>
    <w:rsid w:val="00CF3CB3"/>
    <w:rsid w:val="00CF3D51"/>
    <w:rsid w:val="00CF4D53"/>
    <w:rsid w:val="00CF5276"/>
    <w:rsid w:val="00CF52CC"/>
    <w:rsid w:val="00CF536D"/>
    <w:rsid w:val="00CF53C5"/>
    <w:rsid w:val="00CF6976"/>
    <w:rsid w:val="00CF753D"/>
    <w:rsid w:val="00CF75D0"/>
    <w:rsid w:val="00D006FC"/>
    <w:rsid w:val="00D0081D"/>
    <w:rsid w:val="00D00ACC"/>
    <w:rsid w:val="00D010F6"/>
    <w:rsid w:val="00D01766"/>
    <w:rsid w:val="00D01BC6"/>
    <w:rsid w:val="00D01FAB"/>
    <w:rsid w:val="00D02032"/>
    <w:rsid w:val="00D021B5"/>
    <w:rsid w:val="00D02587"/>
    <w:rsid w:val="00D02D6C"/>
    <w:rsid w:val="00D02F3D"/>
    <w:rsid w:val="00D03244"/>
    <w:rsid w:val="00D03383"/>
    <w:rsid w:val="00D03F62"/>
    <w:rsid w:val="00D04709"/>
    <w:rsid w:val="00D04BE0"/>
    <w:rsid w:val="00D055DA"/>
    <w:rsid w:val="00D05A3D"/>
    <w:rsid w:val="00D06086"/>
    <w:rsid w:val="00D0659B"/>
    <w:rsid w:val="00D07372"/>
    <w:rsid w:val="00D0781A"/>
    <w:rsid w:val="00D078C6"/>
    <w:rsid w:val="00D106B1"/>
    <w:rsid w:val="00D10F0C"/>
    <w:rsid w:val="00D11440"/>
    <w:rsid w:val="00D11977"/>
    <w:rsid w:val="00D12B36"/>
    <w:rsid w:val="00D12E8B"/>
    <w:rsid w:val="00D13FC5"/>
    <w:rsid w:val="00D14727"/>
    <w:rsid w:val="00D149E8"/>
    <w:rsid w:val="00D14B10"/>
    <w:rsid w:val="00D14E11"/>
    <w:rsid w:val="00D15034"/>
    <w:rsid w:val="00D1580C"/>
    <w:rsid w:val="00D158E1"/>
    <w:rsid w:val="00D15F7F"/>
    <w:rsid w:val="00D163EB"/>
    <w:rsid w:val="00D1663A"/>
    <w:rsid w:val="00D16DBB"/>
    <w:rsid w:val="00D17363"/>
    <w:rsid w:val="00D1737B"/>
    <w:rsid w:val="00D17A3F"/>
    <w:rsid w:val="00D17C46"/>
    <w:rsid w:val="00D200E3"/>
    <w:rsid w:val="00D20FDE"/>
    <w:rsid w:val="00D2109E"/>
    <w:rsid w:val="00D21FFF"/>
    <w:rsid w:val="00D229E9"/>
    <w:rsid w:val="00D2329F"/>
    <w:rsid w:val="00D23B2B"/>
    <w:rsid w:val="00D24771"/>
    <w:rsid w:val="00D24F9C"/>
    <w:rsid w:val="00D25381"/>
    <w:rsid w:val="00D268A6"/>
    <w:rsid w:val="00D2768D"/>
    <w:rsid w:val="00D30250"/>
    <w:rsid w:val="00D30438"/>
    <w:rsid w:val="00D31609"/>
    <w:rsid w:val="00D3163A"/>
    <w:rsid w:val="00D31C00"/>
    <w:rsid w:val="00D31E23"/>
    <w:rsid w:val="00D32902"/>
    <w:rsid w:val="00D32D09"/>
    <w:rsid w:val="00D33D5D"/>
    <w:rsid w:val="00D343E4"/>
    <w:rsid w:val="00D34979"/>
    <w:rsid w:val="00D351EF"/>
    <w:rsid w:val="00D35D6F"/>
    <w:rsid w:val="00D35DAF"/>
    <w:rsid w:val="00D367B5"/>
    <w:rsid w:val="00D36F7B"/>
    <w:rsid w:val="00D37387"/>
    <w:rsid w:val="00D37E46"/>
    <w:rsid w:val="00D4069A"/>
    <w:rsid w:val="00D40846"/>
    <w:rsid w:val="00D413AF"/>
    <w:rsid w:val="00D417E4"/>
    <w:rsid w:val="00D41C0A"/>
    <w:rsid w:val="00D41C42"/>
    <w:rsid w:val="00D41EA4"/>
    <w:rsid w:val="00D42D06"/>
    <w:rsid w:val="00D42F89"/>
    <w:rsid w:val="00D4358B"/>
    <w:rsid w:val="00D435BD"/>
    <w:rsid w:val="00D43764"/>
    <w:rsid w:val="00D437D7"/>
    <w:rsid w:val="00D43F2B"/>
    <w:rsid w:val="00D4466D"/>
    <w:rsid w:val="00D44C30"/>
    <w:rsid w:val="00D4562A"/>
    <w:rsid w:val="00D4597E"/>
    <w:rsid w:val="00D45BAF"/>
    <w:rsid w:val="00D45DD3"/>
    <w:rsid w:val="00D45F2A"/>
    <w:rsid w:val="00D4602D"/>
    <w:rsid w:val="00D464D4"/>
    <w:rsid w:val="00D4676B"/>
    <w:rsid w:val="00D467F2"/>
    <w:rsid w:val="00D46DB7"/>
    <w:rsid w:val="00D4717D"/>
    <w:rsid w:val="00D50174"/>
    <w:rsid w:val="00D504AB"/>
    <w:rsid w:val="00D50516"/>
    <w:rsid w:val="00D50803"/>
    <w:rsid w:val="00D50B45"/>
    <w:rsid w:val="00D50B54"/>
    <w:rsid w:val="00D5113C"/>
    <w:rsid w:val="00D5121F"/>
    <w:rsid w:val="00D519D2"/>
    <w:rsid w:val="00D51F28"/>
    <w:rsid w:val="00D531C7"/>
    <w:rsid w:val="00D532E6"/>
    <w:rsid w:val="00D53B4E"/>
    <w:rsid w:val="00D53B84"/>
    <w:rsid w:val="00D5483C"/>
    <w:rsid w:val="00D559BF"/>
    <w:rsid w:val="00D55B8C"/>
    <w:rsid w:val="00D55EA6"/>
    <w:rsid w:val="00D56EFB"/>
    <w:rsid w:val="00D573DB"/>
    <w:rsid w:val="00D602AE"/>
    <w:rsid w:val="00D6089D"/>
    <w:rsid w:val="00D620AE"/>
    <w:rsid w:val="00D626BD"/>
    <w:rsid w:val="00D62D4B"/>
    <w:rsid w:val="00D62E5C"/>
    <w:rsid w:val="00D636CE"/>
    <w:rsid w:val="00D64B87"/>
    <w:rsid w:val="00D64E86"/>
    <w:rsid w:val="00D658EA"/>
    <w:rsid w:val="00D65FC2"/>
    <w:rsid w:val="00D66B6D"/>
    <w:rsid w:val="00D66CD5"/>
    <w:rsid w:val="00D67081"/>
    <w:rsid w:val="00D67726"/>
    <w:rsid w:val="00D67873"/>
    <w:rsid w:val="00D67B1D"/>
    <w:rsid w:val="00D67EB0"/>
    <w:rsid w:val="00D70AF6"/>
    <w:rsid w:val="00D70BBD"/>
    <w:rsid w:val="00D71A31"/>
    <w:rsid w:val="00D71B8D"/>
    <w:rsid w:val="00D71BBF"/>
    <w:rsid w:val="00D71CA1"/>
    <w:rsid w:val="00D72A0F"/>
    <w:rsid w:val="00D73208"/>
    <w:rsid w:val="00D735B7"/>
    <w:rsid w:val="00D73C14"/>
    <w:rsid w:val="00D741BD"/>
    <w:rsid w:val="00D755C0"/>
    <w:rsid w:val="00D76C28"/>
    <w:rsid w:val="00D76E14"/>
    <w:rsid w:val="00D77102"/>
    <w:rsid w:val="00D775D4"/>
    <w:rsid w:val="00D777D2"/>
    <w:rsid w:val="00D77C4E"/>
    <w:rsid w:val="00D77D5B"/>
    <w:rsid w:val="00D81290"/>
    <w:rsid w:val="00D8136C"/>
    <w:rsid w:val="00D81EF7"/>
    <w:rsid w:val="00D821F1"/>
    <w:rsid w:val="00D82725"/>
    <w:rsid w:val="00D82D11"/>
    <w:rsid w:val="00D8303E"/>
    <w:rsid w:val="00D835DE"/>
    <w:rsid w:val="00D8391C"/>
    <w:rsid w:val="00D83EDE"/>
    <w:rsid w:val="00D84354"/>
    <w:rsid w:val="00D84868"/>
    <w:rsid w:val="00D84AAE"/>
    <w:rsid w:val="00D84BBB"/>
    <w:rsid w:val="00D84CDE"/>
    <w:rsid w:val="00D8534F"/>
    <w:rsid w:val="00D8551D"/>
    <w:rsid w:val="00D85E26"/>
    <w:rsid w:val="00D85F56"/>
    <w:rsid w:val="00D8650A"/>
    <w:rsid w:val="00D86837"/>
    <w:rsid w:val="00D869EB"/>
    <w:rsid w:val="00D86B26"/>
    <w:rsid w:val="00D8754B"/>
    <w:rsid w:val="00D877B2"/>
    <w:rsid w:val="00D87D12"/>
    <w:rsid w:val="00D90581"/>
    <w:rsid w:val="00D909FD"/>
    <w:rsid w:val="00D90E06"/>
    <w:rsid w:val="00D91860"/>
    <w:rsid w:val="00D922F5"/>
    <w:rsid w:val="00D924A8"/>
    <w:rsid w:val="00D9288D"/>
    <w:rsid w:val="00D930BE"/>
    <w:rsid w:val="00D942C3"/>
    <w:rsid w:val="00D952D3"/>
    <w:rsid w:val="00D9575B"/>
    <w:rsid w:val="00D95FFE"/>
    <w:rsid w:val="00D96258"/>
    <w:rsid w:val="00D9649E"/>
    <w:rsid w:val="00D9674A"/>
    <w:rsid w:val="00D96C41"/>
    <w:rsid w:val="00DA0127"/>
    <w:rsid w:val="00DA02A0"/>
    <w:rsid w:val="00DA046E"/>
    <w:rsid w:val="00DA04D0"/>
    <w:rsid w:val="00DA115C"/>
    <w:rsid w:val="00DA1750"/>
    <w:rsid w:val="00DA1BA9"/>
    <w:rsid w:val="00DA1E71"/>
    <w:rsid w:val="00DA246C"/>
    <w:rsid w:val="00DA2ED6"/>
    <w:rsid w:val="00DA3007"/>
    <w:rsid w:val="00DA3619"/>
    <w:rsid w:val="00DA3771"/>
    <w:rsid w:val="00DA5269"/>
    <w:rsid w:val="00DA54E4"/>
    <w:rsid w:val="00DA63F5"/>
    <w:rsid w:val="00DA6A26"/>
    <w:rsid w:val="00DA6A67"/>
    <w:rsid w:val="00DA6D74"/>
    <w:rsid w:val="00DA700F"/>
    <w:rsid w:val="00DA7831"/>
    <w:rsid w:val="00DB1291"/>
    <w:rsid w:val="00DB2638"/>
    <w:rsid w:val="00DB2AE8"/>
    <w:rsid w:val="00DB336A"/>
    <w:rsid w:val="00DB336B"/>
    <w:rsid w:val="00DB33C1"/>
    <w:rsid w:val="00DB3AFA"/>
    <w:rsid w:val="00DB55C6"/>
    <w:rsid w:val="00DB5724"/>
    <w:rsid w:val="00DB5A5D"/>
    <w:rsid w:val="00DB5C47"/>
    <w:rsid w:val="00DB5E86"/>
    <w:rsid w:val="00DB69A9"/>
    <w:rsid w:val="00DB6D06"/>
    <w:rsid w:val="00DB7770"/>
    <w:rsid w:val="00DB7832"/>
    <w:rsid w:val="00DB7B98"/>
    <w:rsid w:val="00DC03C5"/>
    <w:rsid w:val="00DC05EC"/>
    <w:rsid w:val="00DC0672"/>
    <w:rsid w:val="00DC0E7C"/>
    <w:rsid w:val="00DC0E9F"/>
    <w:rsid w:val="00DC0FC7"/>
    <w:rsid w:val="00DC10F5"/>
    <w:rsid w:val="00DC126F"/>
    <w:rsid w:val="00DC1596"/>
    <w:rsid w:val="00DC378B"/>
    <w:rsid w:val="00DC4997"/>
    <w:rsid w:val="00DC4B16"/>
    <w:rsid w:val="00DC4E0E"/>
    <w:rsid w:val="00DC4E22"/>
    <w:rsid w:val="00DC5C00"/>
    <w:rsid w:val="00DC5EFA"/>
    <w:rsid w:val="00DC637E"/>
    <w:rsid w:val="00DC63B1"/>
    <w:rsid w:val="00DC676B"/>
    <w:rsid w:val="00DD01DC"/>
    <w:rsid w:val="00DD0D9A"/>
    <w:rsid w:val="00DD1CC4"/>
    <w:rsid w:val="00DD2175"/>
    <w:rsid w:val="00DD2763"/>
    <w:rsid w:val="00DD363B"/>
    <w:rsid w:val="00DD3B9B"/>
    <w:rsid w:val="00DD4275"/>
    <w:rsid w:val="00DD43BB"/>
    <w:rsid w:val="00DD4AAB"/>
    <w:rsid w:val="00DD4CDF"/>
    <w:rsid w:val="00DD4FA8"/>
    <w:rsid w:val="00DD50F8"/>
    <w:rsid w:val="00DD5215"/>
    <w:rsid w:val="00DD5E9A"/>
    <w:rsid w:val="00DD6A18"/>
    <w:rsid w:val="00DD6EE9"/>
    <w:rsid w:val="00DD72FD"/>
    <w:rsid w:val="00DD7AA5"/>
    <w:rsid w:val="00DE0275"/>
    <w:rsid w:val="00DE03EA"/>
    <w:rsid w:val="00DE0A89"/>
    <w:rsid w:val="00DE1337"/>
    <w:rsid w:val="00DE1624"/>
    <w:rsid w:val="00DE19EB"/>
    <w:rsid w:val="00DE2264"/>
    <w:rsid w:val="00DE2466"/>
    <w:rsid w:val="00DE2966"/>
    <w:rsid w:val="00DE36BF"/>
    <w:rsid w:val="00DE38D9"/>
    <w:rsid w:val="00DE40EE"/>
    <w:rsid w:val="00DE41B2"/>
    <w:rsid w:val="00DE4601"/>
    <w:rsid w:val="00DE4703"/>
    <w:rsid w:val="00DE619B"/>
    <w:rsid w:val="00DE6355"/>
    <w:rsid w:val="00DE6D39"/>
    <w:rsid w:val="00DE762B"/>
    <w:rsid w:val="00DE7649"/>
    <w:rsid w:val="00DE7755"/>
    <w:rsid w:val="00DE7C86"/>
    <w:rsid w:val="00DF0070"/>
    <w:rsid w:val="00DF0090"/>
    <w:rsid w:val="00DF03D7"/>
    <w:rsid w:val="00DF0ACC"/>
    <w:rsid w:val="00DF1C86"/>
    <w:rsid w:val="00DF1E20"/>
    <w:rsid w:val="00DF214C"/>
    <w:rsid w:val="00DF2FE6"/>
    <w:rsid w:val="00DF312D"/>
    <w:rsid w:val="00DF3C78"/>
    <w:rsid w:val="00DF40FA"/>
    <w:rsid w:val="00DF410F"/>
    <w:rsid w:val="00DF4611"/>
    <w:rsid w:val="00DF47B4"/>
    <w:rsid w:val="00DF4D7E"/>
    <w:rsid w:val="00DF50CD"/>
    <w:rsid w:val="00DF53F2"/>
    <w:rsid w:val="00DF55F2"/>
    <w:rsid w:val="00DF5913"/>
    <w:rsid w:val="00DF5D42"/>
    <w:rsid w:val="00DF6483"/>
    <w:rsid w:val="00DF64BA"/>
    <w:rsid w:val="00DF680D"/>
    <w:rsid w:val="00DF699F"/>
    <w:rsid w:val="00DF7BBA"/>
    <w:rsid w:val="00E00149"/>
    <w:rsid w:val="00E00EF1"/>
    <w:rsid w:val="00E013FC"/>
    <w:rsid w:val="00E01876"/>
    <w:rsid w:val="00E018EC"/>
    <w:rsid w:val="00E037B3"/>
    <w:rsid w:val="00E03969"/>
    <w:rsid w:val="00E04E25"/>
    <w:rsid w:val="00E04EAB"/>
    <w:rsid w:val="00E054DF"/>
    <w:rsid w:val="00E058EB"/>
    <w:rsid w:val="00E06282"/>
    <w:rsid w:val="00E07602"/>
    <w:rsid w:val="00E079C5"/>
    <w:rsid w:val="00E07AE9"/>
    <w:rsid w:val="00E106BA"/>
    <w:rsid w:val="00E114B0"/>
    <w:rsid w:val="00E118E1"/>
    <w:rsid w:val="00E11EEF"/>
    <w:rsid w:val="00E122F2"/>
    <w:rsid w:val="00E12874"/>
    <w:rsid w:val="00E12B1D"/>
    <w:rsid w:val="00E12EB3"/>
    <w:rsid w:val="00E12F0F"/>
    <w:rsid w:val="00E12F97"/>
    <w:rsid w:val="00E1384D"/>
    <w:rsid w:val="00E13FB0"/>
    <w:rsid w:val="00E14049"/>
    <w:rsid w:val="00E14B52"/>
    <w:rsid w:val="00E15318"/>
    <w:rsid w:val="00E165D2"/>
    <w:rsid w:val="00E1664A"/>
    <w:rsid w:val="00E166B4"/>
    <w:rsid w:val="00E16754"/>
    <w:rsid w:val="00E16CEE"/>
    <w:rsid w:val="00E17055"/>
    <w:rsid w:val="00E17FFE"/>
    <w:rsid w:val="00E20023"/>
    <w:rsid w:val="00E2005A"/>
    <w:rsid w:val="00E202F1"/>
    <w:rsid w:val="00E20464"/>
    <w:rsid w:val="00E2097B"/>
    <w:rsid w:val="00E20A3B"/>
    <w:rsid w:val="00E212FC"/>
    <w:rsid w:val="00E21340"/>
    <w:rsid w:val="00E21C0D"/>
    <w:rsid w:val="00E22D31"/>
    <w:rsid w:val="00E2371C"/>
    <w:rsid w:val="00E23A91"/>
    <w:rsid w:val="00E24322"/>
    <w:rsid w:val="00E24353"/>
    <w:rsid w:val="00E254E2"/>
    <w:rsid w:val="00E255C4"/>
    <w:rsid w:val="00E26E73"/>
    <w:rsid w:val="00E27448"/>
    <w:rsid w:val="00E2785A"/>
    <w:rsid w:val="00E278C0"/>
    <w:rsid w:val="00E30079"/>
    <w:rsid w:val="00E30157"/>
    <w:rsid w:val="00E30DA6"/>
    <w:rsid w:val="00E30FF6"/>
    <w:rsid w:val="00E31F60"/>
    <w:rsid w:val="00E3218F"/>
    <w:rsid w:val="00E32D2C"/>
    <w:rsid w:val="00E33010"/>
    <w:rsid w:val="00E3314E"/>
    <w:rsid w:val="00E33158"/>
    <w:rsid w:val="00E33AA3"/>
    <w:rsid w:val="00E33B47"/>
    <w:rsid w:val="00E33F38"/>
    <w:rsid w:val="00E347D9"/>
    <w:rsid w:val="00E34848"/>
    <w:rsid w:val="00E34D6B"/>
    <w:rsid w:val="00E35ECE"/>
    <w:rsid w:val="00E3603C"/>
    <w:rsid w:val="00E36070"/>
    <w:rsid w:val="00E36127"/>
    <w:rsid w:val="00E36C7B"/>
    <w:rsid w:val="00E36E78"/>
    <w:rsid w:val="00E37022"/>
    <w:rsid w:val="00E3739A"/>
    <w:rsid w:val="00E377C4"/>
    <w:rsid w:val="00E379FD"/>
    <w:rsid w:val="00E37C47"/>
    <w:rsid w:val="00E37E2D"/>
    <w:rsid w:val="00E4080F"/>
    <w:rsid w:val="00E4093F"/>
    <w:rsid w:val="00E40B82"/>
    <w:rsid w:val="00E40B97"/>
    <w:rsid w:val="00E40CF5"/>
    <w:rsid w:val="00E40D2B"/>
    <w:rsid w:val="00E412F5"/>
    <w:rsid w:val="00E4205F"/>
    <w:rsid w:val="00E424BA"/>
    <w:rsid w:val="00E4267E"/>
    <w:rsid w:val="00E42758"/>
    <w:rsid w:val="00E429B4"/>
    <w:rsid w:val="00E43E49"/>
    <w:rsid w:val="00E4440D"/>
    <w:rsid w:val="00E444C1"/>
    <w:rsid w:val="00E45561"/>
    <w:rsid w:val="00E4561E"/>
    <w:rsid w:val="00E45A73"/>
    <w:rsid w:val="00E45B9A"/>
    <w:rsid w:val="00E45C78"/>
    <w:rsid w:val="00E45E17"/>
    <w:rsid w:val="00E46010"/>
    <w:rsid w:val="00E46ACD"/>
    <w:rsid w:val="00E46BD3"/>
    <w:rsid w:val="00E473F2"/>
    <w:rsid w:val="00E4746F"/>
    <w:rsid w:val="00E501EA"/>
    <w:rsid w:val="00E502EC"/>
    <w:rsid w:val="00E5105E"/>
    <w:rsid w:val="00E5117E"/>
    <w:rsid w:val="00E511CB"/>
    <w:rsid w:val="00E5136C"/>
    <w:rsid w:val="00E51406"/>
    <w:rsid w:val="00E51930"/>
    <w:rsid w:val="00E521DB"/>
    <w:rsid w:val="00E526AF"/>
    <w:rsid w:val="00E52C56"/>
    <w:rsid w:val="00E52C9F"/>
    <w:rsid w:val="00E530CD"/>
    <w:rsid w:val="00E533F7"/>
    <w:rsid w:val="00E5341E"/>
    <w:rsid w:val="00E538CD"/>
    <w:rsid w:val="00E539ED"/>
    <w:rsid w:val="00E54BF1"/>
    <w:rsid w:val="00E555E5"/>
    <w:rsid w:val="00E55885"/>
    <w:rsid w:val="00E55A43"/>
    <w:rsid w:val="00E55ACF"/>
    <w:rsid w:val="00E57835"/>
    <w:rsid w:val="00E57C1D"/>
    <w:rsid w:val="00E609D5"/>
    <w:rsid w:val="00E60AF7"/>
    <w:rsid w:val="00E60E61"/>
    <w:rsid w:val="00E614C0"/>
    <w:rsid w:val="00E61C85"/>
    <w:rsid w:val="00E61D14"/>
    <w:rsid w:val="00E61E9A"/>
    <w:rsid w:val="00E62D33"/>
    <w:rsid w:val="00E62DF4"/>
    <w:rsid w:val="00E6385A"/>
    <w:rsid w:val="00E63D62"/>
    <w:rsid w:val="00E63F22"/>
    <w:rsid w:val="00E64624"/>
    <w:rsid w:val="00E64A1F"/>
    <w:rsid w:val="00E6532A"/>
    <w:rsid w:val="00E65FB7"/>
    <w:rsid w:val="00E66DFD"/>
    <w:rsid w:val="00E67175"/>
    <w:rsid w:val="00E673E3"/>
    <w:rsid w:val="00E67573"/>
    <w:rsid w:val="00E67F61"/>
    <w:rsid w:val="00E702BF"/>
    <w:rsid w:val="00E70708"/>
    <w:rsid w:val="00E70C38"/>
    <w:rsid w:val="00E711D5"/>
    <w:rsid w:val="00E71893"/>
    <w:rsid w:val="00E725B6"/>
    <w:rsid w:val="00E72E3F"/>
    <w:rsid w:val="00E72F40"/>
    <w:rsid w:val="00E73C8D"/>
    <w:rsid w:val="00E7425E"/>
    <w:rsid w:val="00E74BB7"/>
    <w:rsid w:val="00E758D0"/>
    <w:rsid w:val="00E75941"/>
    <w:rsid w:val="00E75ACA"/>
    <w:rsid w:val="00E75F2A"/>
    <w:rsid w:val="00E76564"/>
    <w:rsid w:val="00E77192"/>
    <w:rsid w:val="00E776DF"/>
    <w:rsid w:val="00E77B01"/>
    <w:rsid w:val="00E77CF6"/>
    <w:rsid w:val="00E77DD4"/>
    <w:rsid w:val="00E80587"/>
    <w:rsid w:val="00E80CA9"/>
    <w:rsid w:val="00E80CBC"/>
    <w:rsid w:val="00E80DC0"/>
    <w:rsid w:val="00E8157A"/>
    <w:rsid w:val="00E81C89"/>
    <w:rsid w:val="00E81DC5"/>
    <w:rsid w:val="00E827BF"/>
    <w:rsid w:val="00E82990"/>
    <w:rsid w:val="00E82C81"/>
    <w:rsid w:val="00E82C84"/>
    <w:rsid w:val="00E830C8"/>
    <w:rsid w:val="00E834B8"/>
    <w:rsid w:val="00E83525"/>
    <w:rsid w:val="00E8410F"/>
    <w:rsid w:val="00E8459F"/>
    <w:rsid w:val="00E845F8"/>
    <w:rsid w:val="00E84DF0"/>
    <w:rsid w:val="00E850B4"/>
    <w:rsid w:val="00E85A86"/>
    <w:rsid w:val="00E85AD0"/>
    <w:rsid w:val="00E86599"/>
    <w:rsid w:val="00E86F10"/>
    <w:rsid w:val="00E90C04"/>
    <w:rsid w:val="00E90C9A"/>
    <w:rsid w:val="00E90CB5"/>
    <w:rsid w:val="00E91289"/>
    <w:rsid w:val="00E9142F"/>
    <w:rsid w:val="00E91467"/>
    <w:rsid w:val="00E919E4"/>
    <w:rsid w:val="00E921A1"/>
    <w:rsid w:val="00E93081"/>
    <w:rsid w:val="00E9447B"/>
    <w:rsid w:val="00E94EE5"/>
    <w:rsid w:val="00E951CF"/>
    <w:rsid w:val="00E9567E"/>
    <w:rsid w:val="00E95FDD"/>
    <w:rsid w:val="00E96157"/>
    <w:rsid w:val="00E96634"/>
    <w:rsid w:val="00E968F4"/>
    <w:rsid w:val="00E9702A"/>
    <w:rsid w:val="00E97249"/>
    <w:rsid w:val="00E97330"/>
    <w:rsid w:val="00E97891"/>
    <w:rsid w:val="00E97B2D"/>
    <w:rsid w:val="00E97CA7"/>
    <w:rsid w:val="00E97EB0"/>
    <w:rsid w:val="00EA1E2F"/>
    <w:rsid w:val="00EA2775"/>
    <w:rsid w:val="00EA2BD3"/>
    <w:rsid w:val="00EA34B8"/>
    <w:rsid w:val="00EA42D9"/>
    <w:rsid w:val="00EA4D38"/>
    <w:rsid w:val="00EA50B3"/>
    <w:rsid w:val="00EA5F71"/>
    <w:rsid w:val="00EA6070"/>
    <w:rsid w:val="00EA65FF"/>
    <w:rsid w:val="00EA6826"/>
    <w:rsid w:val="00EA724D"/>
    <w:rsid w:val="00EA78DD"/>
    <w:rsid w:val="00EB0586"/>
    <w:rsid w:val="00EB0C7E"/>
    <w:rsid w:val="00EB0E7C"/>
    <w:rsid w:val="00EB0FA5"/>
    <w:rsid w:val="00EB156D"/>
    <w:rsid w:val="00EB2B37"/>
    <w:rsid w:val="00EB33F9"/>
    <w:rsid w:val="00EB347E"/>
    <w:rsid w:val="00EB38F2"/>
    <w:rsid w:val="00EB3B89"/>
    <w:rsid w:val="00EB41A8"/>
    <w:rsid w:val="00EB451C"/>
    <w:rsid w:val="00EB4623"/>
    <w:rsid w:val="00EB491C"/>
    <w:rsid w:val="00EB5C01"/>
    <w:rsid w:val="00EB5E02"/>
    <w:rsid w:val="00EB68CB"/>
    <w:rsid w:val="00EB736A"/>
    <w:rsid w:val="00EB74C2"/>
    <w:rsid w:val="00EB7A3F"/>
    <w:rsid w:val="00EB7A8A"/>
    <w:rsid w:val="00EC0098"/>
    <w:rsid w:val="00EC0548"/>
    <w:rsid w:val="00EC096C"/>
    <w:rsid w:val="00EC0ECE"/>
    <w:rsid w:val="00EC1E96"/>
    <w:rsid w:val="00EC1F86"/>
    <w:rsid w:val="00EC213C"/>
    <w:rsid w:val="00EC2198"/>
    <w:rsid w:val="00EC23A8"/>
    <w:rsid w:val="00EC26D6"/>
    <w:rsid w:val="00EC3441"/>
    <w:rsid w:val="00EC46C6"/>
    <w:rsid w:val="00EC5F61"/>
    <w:rsid w:val="00EC700F"/>
    <w:rsid w:val="00EC7228"/>
    <w:rsid w:val="00EC78C4"/>
    <w:rsid w:val="00EC7A2F"/>
    <w:rsid w:val="00EC7B71"/>
    <w:rsid w:val="00ED1389"/>
    <w:rsid w:val="00ED1818"/>
    <w:rsid w:val="00ED1F2A"/>
    <w:rsid w:val="00ED432C"/>
    <w:rsid w:val="00ED4679"/>
    <w:rsid w:val="00ED5715"/>
    <w:rsid w:val="00ED5D60"/>
    <w:rsid w:val="00ED6D59"/>
    <w:rsid w:val="00ED7536"/>
    <w:rsid w:val="00ED77BA"/>
    <w:rsid w:val="00ED77FD"/>
    <w:rsid w:val="00ED78D1"/>
    <w:rsid w:val="00ED7A81"/>
    <w:rsid w:val="00EE00A9"/>
    <w:rsid w:val="00EE0108"/>
    <w:rsid w:val="00EE03D7"/>
    <w:rsid w:val="00EE0A8B"/>
    <w:rsid w:val="00EE0B71"/>
    <w:rsid w:val="00EE0BA2"/>
    <w:rsid w:val="00EE1F03"/>
    <w:rsid w:val="00EE25EF"/>
    <w:rsid w:val="00EE26E2"/>
    <w:rsid w:val="00EE28E8"/>
    <w:rsid w:val="00EE2A69"/>
    <w:rsid w:val="00EE2AA8"/>
    <w:rsid w:val="00EE2EAF"/>
    <w:rsid w:val="00EE3DE1"/>
    <w:rsid w:val="00EE4755"/>
    <w:rsid w:val="00EE4D7F"/>
    <w:rsid w:val="00EE5269"/>
    <w:rsid w:val="00EE6030"/>
    <w:rsid w:val="00EE6AC3"/>
    <w:rsid w:val="00EE7022"/>
    <w:rsid w:val="00EE77AB"/>
    <w:rsid w:val="00EF0537"/>
    <w:rsid w:val="00EF054B"/>
    <w:rsid w:val="00EF0AB2"/>
    <w:rsid w:val="00EF0AE5"/>
    <w:rsid w:val="00EF1668"/>
    <w:rsid w:val="00EF185B"/>
    <w:rsid w:val="00EF24D2"/>
    <w:rsid w:val="00EF2D53"/>
    <w:rsid w:val="00EF3497"/>
    <w:rsid w:val="00EF37CC"/>
    <w:rsid w:val="00EF3828"/>
    <w:rsid w:val="00EF3E01"/>
    <w:rsid w:val="00EF46C5"/>
    <w:rsid w:val="00EF535F"/>
    <w:rsid w:val="00EF5619"/>
    <w:rsid w:val="00EF61FE"/>
    <w:rsid w:val="00EF71B1"/>
    <w:rsid w:val="00EF7629"/>
    <w:rsid w:val="00EF7BDD"/>
    <w:rsid w:val="00F001C1"/>
    <w:rsid w:val="00F00A2B"/>
    <w:rsid w:val="00F00DCA"/>
    <w:rsid w:val="00F01C27"/>
    <w:rsid w:val="00F01D55"/>
    <w:rsid w:val="00F01F4A"/>
    <w:rsid w:val="00F021BB"/>
    <w:rsid w:val="00F0247D"/>
    <w:rsid w:val="00F03846"/>
    <w:rsid w:val="00F04158"/>
    <w:rsid w:val="00F04CC2"/>
    <w:rsid w:val="00F057A8"/>
    <w:rsid w:val="00F05D7B"/>
    <w:rsid w:val="00F0682F"/>
    <w:rsid w:val="00F07260"/>
    <w:rsid w:val="00F07596"/>
    <w:rsid w:val="00F10BB3"/>
    <w:rsid w:val="00F11635"/>
    <w:rsid w:val="00F1195C"/>
    <w:rsid w:val="00F1246B"/>
    <w:rsid w:val="00F12AAF"/>
    <w:rsid w:val="00F132F5"/>
    <w:rsid w:val="00F13322"/>
    <w:rsid w:val="00F14093"/>
    <w:rsid w:val="00F14165"/>
    <w:rsid w:val="00F14C26"/>
    <w:rsid w:val="00F15173"/>
    <w:rsid w:val="00F159D9"/>
    <w:rsid w:val="00F16D7A"/>
    <w:rsid w:val="00F17117"/>
    <w:rsid w:val="00F1782E"/>
    <w:rsid w:val="00F1788F"/>
    <w:rsid w:val="00F178FC"/>
    <w:rsid w:val="00F2097B"/>
    <w:rsid w:val="00F20A86"/>
    <w:rsid w:val="00F20C27"/>
    <w:rsid w:val="00F20F51"/>
    <w:rsid w:val="00F214D7"/>
    <w:rsid w:val="00F2199E"/>
    <w:rsid w:val="00F223C3"/>
    <w:rsid w:val="00F2257D"/>
    <w:rsid w:val="00F228DB"/>
    <w:rsid w:val="00F22C90"/>
    <w:rsid w:val="00F230CB"/>
    <w:rsid w:val="00F23873"/>
    <w:rsid w:val="00F238A0"/>
    <w:rsid w:val="00F23B70"/>
    <w:rsid w:val="00F23DD1"/>
    <w:rsid w:val="00F244EA"/>
    <w:rsid w:val="00F24BBC"/>
    <w:rsid w:val="00F2557C"/>
    <w:rsid w:val="00F25AEC"/>
    <w:rsid w:val="00F260BF"/>
    <w:rsid w:val="00F26232"/>
    <w:rsid w:val="00F26443"/>
    <w:rsid w:val="00F264B3"/>
    <w:rsid w:val="00F27390"/>
    <w:rsid w:val="00F278BD"/>
    <w:rsid w:val="00F279AA"/>
    <w:rsid w:val="00F27B51"/>
    <w:rsid w:val="00F27CC4"/>
    <w:rsid w:val="00F27F34"/>
    <w:rsid w:val="00F30BC1"/>
    <w:rsid w:val="00F317E0"/>
    <w:rsid w:val="00F3180A"/>
    <w:rsid w:val="00F318D9"/>
    <w:rsid w:val="00F3211F"/>
    <w:rsid w:val="00F32A6C"/>
    <w:rsid w:val="00F32D98"/>
    <w:rsid w:val="00F32EF1"/>
    <w:rsid w:val="00F330AD"/>
    <w:rsid w:val="00F330B9"/>
    <w:rsid w:val="00F332B2"/>
    <w:rsid w:val="00F334D2"/>
    <w:rsid w:val="00F3359C"/>
    <w:rsid w:val="00F34137"/>
    <w:rsid w:val="00F34404"/>
    <w:rsid w:val="00F34668"/>
    <w:rsid w:val="00F34A26"/>
    <w:rsid w:val="00F34F2A"/>
    <w:rsid w:val="00F35C17"/>
    <w:rsid w:val="00F36236"/>
    <w:rsid w:val="00F364EB"/>
    <w:rsid w:val="00F3671B"/>
    <w:rsid w:val="00F37030"/>
    <w:rsid w:val="00F373C7"/>
    <w:rsid w:val="00F37599"/>
    <w:rsid w:val="00F37625"/>
    <w:rsid w:val="00F3775A"/>
    <w:rsid w:val="00F37D05"/>
    <w:rsid w:val="00F37E6A"/>
    <w:rsid w:val="00F4019F"/>
    <w:rsid w:val="00F402CC"/>
    <w:rsid w:val="00F40485"/>
    <w:rsid w:val="00F4059F"/>
    <w:rsid w:val="00F405B0"/>
    <w:rsid w:val="00F4098E"/>
    <w:rsid w:val="00F40993"/>
    <w:rsid w:val="00F41640"/>
    <w:rsid w:val="00F41939"/>
    <w:rsid w:val="00F41B70"/>
    <w:rsid w:val="00F429D2"/>
    <w:rsid w:val="00F431F4"/>
    <w:rsid w:val="00F43FA6"/>
    <w:rsid w:val="00F440CE"/>
    <w:rsid w:val="00F44D0C"/>
    <w:rsid w:val="00F4508A"/>
    <w:rsid w:val="00F45683"/>
    <w:rsid w:val="00F45969"/>
    <w:rsid w:val="00F45B21"/>
    <w:rsid w:val="00F46356"/>
    <w:rsid w:val="00F473D5"/>
    <w:rsid w:val="00F47CF7"/>
    <w:rsid w:val="00F47EC2"/>
    <w:rsid w:val="00F501CC"/>
    <w:rsid w:val="00F50317"/>
    <w:rsid w:val="00F505CE"/>
    <w:rsid w:val="00F505D5"/>
    <w:rsid w:val="00F50811"/>
    <w:rsid w:val="00F50ABD"/>
    <w:rsid w:val="00F50DFF"/>
    <w:rsid w:val="00F511FB"/>
    <w:rsid w:val="00F51792"/>
    <w:rsid w:val="00F51EA2"/>
    <w:rsid w:val="00F52846"/>
    <w:rsid w:val="00F52AF9"/>
    <w:rsid w:val="00F52B38"/>
    <w:rsid w:val="00F5339D"/>
    <w:rsid w:val="00F534D2"/>
    <w:rsid w:val="00F53F4E"/>
    <w:rsid w:val="00F542B5"/>
    <w:rsid w:val="00F54456"/>
    <w:rsid w:val="00F54846"/>
    <w:rsid w:val="00F54A63"/>
    <w:rsid w:val="00F558B0"/>
    <w:rsid w:val="00F559BF"/>
    <w:rsid w:val="00F55B1D"/>
    <w:rsid w:val="00F56A1E"/>
    <w:rsid w:val="00F57C9B"/>
    <w:rsid w:val="00F60229"/>
    <w:rsid w:val="00F604F3"/>
    <w:rsid w:val="00F607C8"/>
    <w:rsid w:val="00F60CD6"/>
    <w:rsid w:val="00F61ECB"/>
    <w:rsid w:val="00F62250"/>
    <w:rsid w:val="00F65666"/>
    <w:rsid w:val="00F65CA2"/>
    <w:rsid w:val="00F65E5F"/>
    <w:rsid w:val="00F669FC"/>
    <w:rsid w:val="00F670D1"/>
    <w:rsid w:val="00F67406"/>
    <w:rsid w:val="00F6751F"/>
    <w:rsid w:val="00F67CC6"/>
    <w:rsid w:val="00F67D7A"/>
    <w:rsid w:val="00F700E5"/>
    <w:rsid w:val="00F70182"/>
    <w:rsid w:val="00F70404"/>
    <w:rsid w:val="00F708FF"/>
    <w:rsid w:val="00F7123D"/>
    <w:rsid w:val="00F719D1"/>
    <w:rsid w:val="00F71ACE"/>
    <w:rsid w:val="00F71CB8"/>
    <w:rsid w:val="00F71E5F"/>
    <w:rsid w:val="00F7255F"/>
    <w:rsid w:val="00F726EA"/>
    <w:rsid w:val="00F73AC1"/>
    <w:rsid w:val="00F73CF2"/>
    <w:rsid w:val="00F7401A"/>
    <w:rsid w:val="00F74B86"/>
    <w:rsid w:val="00F74DB0"/>
    <w:rsid w:val="00F76C0B"/>
    <w:rsid w:val="00F77750"/>
    <w:rsid w:val="00F819DE"/>
    <w:rsid w:val="00F81BF6"/>
    <w:rsid w:val="00F82773"/>
    <w:rsid w:val="00F82EDB"/>
    <w:rsid w:val="00F832E5"/>
    <w:rsid w:val="00F838FD"/>
    <w:rsid w:val="00F83ADE"/>
    <w:rsid w:val="00F840C4"/>
    <w:rsid w:val="00F841F8"/>
    <w:rsid w:val="00F845CC"/>
    <w:rsid w:val="00F846BB"/>
    <w:rsid w:val="00F8484C"/>
    <w:rsid w:val="00F84BFF"/>
    <w:rsid w:val="00F84D7F"/>
    <w:rsid w:val="00F851CD"/>
    <w:rsid w:val="00F85857"/>
    <w:rsid w:val="00F85CBF"/>
    <w:rsid w:val="00F86C5A"/>
    <w:rsid w:val="00F86D99"/>
    <w:rsid w:val="00F87535"/>
    <w:rsid w:val="00F87674"/>
    <w:rsid w:val="00F87783"/>
    <w:rsid w:val="00F87BD3"/>
    <w:rsid w:val="00F87E81"/>
    <w:rsid w:val="00F902B8"/>
    <w:rsid w:val="00F915A3"/>
    <w:rsid w:val="00F9180C"/>
    <w:rsid w:val="00F92EA3"/>
    <w:rsid w:val="00F92FFF"/>
    <w:rsid w:val="00F93096"/>
    <w:rsid w:val="00F939E0"/>
    <w:rsid w:val="00F93CEF"/>
    <w:rsid w:val="00F93D60"/>
    <w:rsid w:val="00F93DFF"/>
    <w:rsid w:val="00F93FC9"/>
    <w:rsid w:val="00F94061"/>
    <w:rsid w:val="00F946CA"/>
    <w:rsid w:val="00F95A1A"/>
    <w:rsid w:val="00F96318"/>
    <w:rsid w:val="00F970BB"/>
    <w:rsid w:val="00F9713F"/>
    <w:rsid w:val="00F97611"/>
    <w:rsid w:val="00F97CD2"/>
    <w:rsid w:val="00FA0747"/>
    <w:rsid w:val="00FA3306"/>
    <w:rsid w:val="00FA354A"/>
    <w:rsid w:val="00FA3DFA"/>
    <w:rsid w:val="00FA43FE"/>
    <w:rsid w:val="00FA45E9"/>
    <w:rsid w:val="00FA4603"/>
    <w:rsid w:val="00FA48FC"/>
    <w:rsid w:val="00FA4E86"/>
    <w:rsid w:val="00FA51FF"/>
    <w:rsid w:val="00FA544B"/>
    <w:rsid w:val="00FA58A9"/>
    <w:rsid w:val="00FA5A2A"/>
    <w:rsid w:val="00FA5DCE"/>
    <w:rsid w:val="00FA609D"/>
    <w:rsid w:val="00FA6CA6"/>
    <w:rsid w:val="00FB0127"/>
    <w:rsid w:val="00FB042E"/>
    <w:rsid w:val="00FB107B"/>
    <w:rsid w:val="00FB1482"/>
    <w:rsid w:val="00FB1F20"/>
    <w:rsid w:val="00FB28D2"/>
    <w:rsid w:val="00FB2996"/>
    <w:rsid w:val="00FB29BD"/>
    <w:rsid w:val="00FB2C36"/>
    <w:rsid w:val="00FB32E0"/>
    <w:rsid w:val="00FB3890"/>
    <w:rsid w:val="00FB3DCF"/>
    <w:rsid w:val="00FB42DE"/>
    <w:rsid w:val="00FB452B"/>
    <w:rsid w:val="00FB5003"/>
    <w:rsid w:val="00FB5C9F"/>
    <w:rsid w:val="00FB61FB"/>
    <w:rsid w:val="00FB6294"/>
    <w:rsid w:val="00FB6365"/>
    <w:rsid w:val="00FB6BF6"/>
    <w:rsid w:val="00FB7FEB"/>
    <w:rsid w:val="00FC0089"/>
    <w:rsid w:val="00FC05A6"/>
    <w:rsid w:val="00FC061D"/>
    <w:rsid w:val="00FC1ED0"/>
    <w:rsid w:val="00FC2B7E"/>
    <w:rsid w:val="00FC33ED"/>
    <w:rsid w:val="00FC348F"/>
    <w:rsid w:val="00FC371A"/>
    <w:rsid w:val="00FC4D5C"/>
    <w:rsid w:val="00FC5118"/>
    <w:rsid w:val="00FC56BB"/>
    <w:rsid w:val="00FC5DED"/>
    <w:rsid w:val="00FC6553"/>
    <w:rsid w:val="00FC6755"/>
    <w:rsid w:val="00FC6BC9"/>
    <w:rsid w:val="00FC7428"/>
    <w:rsid w:val="00FC743C"/>
    <w:rsid w:val="00FC78C1"/>
    <w:rsid w:val="00FD0B43"/>
    <w:rsid w:val="00FD0EE6"/>
    <w:rsid w:val="00FD13F9"/>
    <w:rsid w:val="00FD1780"/>
    <w:rsid w:val="00FD1999"/>
    <w:rsid w:val="00FD1B32"/>
    <w:rsid w:val="00FD20E8"/>
    <w:rsid w:val="00FD259F"/>
    <w:rsid w:val="00FD3219"/>
    <w:rsid w:val="00FD3EBC"/>
    <w:rsid w:val="00FD514F"/>
    <w:rsid w:val="00FD5C21"/>
    <w:rsid w:val="00FD6228"/>
    <w:rsid w:val="00FD62ED"/>
    <w:rsid w:val="00FD649D"/>
    <w:rsid w:val="00FD6ED8"/>
    <w:rsid w:val="00FD6F22"/>
    <w:rsid w:val="00FE046E"/>
    <w:rsid w:val="00FE08FC"/>
    <w:rsid w:val="00FE098B"/>
    <w:rsid w:val="00FE0BC3"/>
    <w:rsid w:val="00FE0C4C"/>
    <w:rsid w:val="00FE23B4"/>
    <w:rsid w:val="00FE24F7"/>
    <w:rsid w:val="00FE336F"/>
    <w:rsid w:val="00FE474E"/>
    <w:rsid w:val="00FE4A3C"/>
    <w:rsid w:val="00FE4DA2"/>
    <w:rsid w:val="00FE78FE"/>
    <w:rsid w:val="00FF0876"/>
    <w:rsid w:val="00FF09C4"/>
    <w:rsid w:val="00FF0E6C"/>
    <w:rsid w:val="00FF1BD6"/>
    <w:rsid w:val="00FF2211"/>
    <w:rsid w:val="00FF280B"/>
    <w:rsid w:val="00FF3347"/>
    <w:rsid w:val="00FF3F08"/>
    <w:rsid w:val="00FF42C1"/>
    <w:rsid w:val="00FF50DA"/>
    <w:rsid w:val="00FF54A1"/>
    <w:rsid w:val="00FF55CB"/>
    <w:rsid w:val="00FF5DF1"/>
    <w:rsid w:val="00FF5FD4"/>
    <w:rsid w:val="00FF657C"/>
    <w:rsid w:val="00FF6674"/>
    <w:rsid w:val="00FF75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CCBA2"/>
  <w15:docId w15:val="{3C3121AF-751F-4023-A6D2-8F59D707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0A86"/>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qFormat/>
    <w:rsid w:val="002C7B38"/>
    <w:pPr>
      <w:keepNext/>
      <w:spacing w:before="300" w:line="280" w:lineRule="atLeast"/>
      <w:ind w:left="709" w:hanging="709"/>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51079B"/>
    <w:pPr>
      <w:outlineLvl w:val="1"/>
    </w:pPr>
    <w:rPr>
      <w:bCs w:val="0"/>
      <w:iCs/>
      <w:color w:val="56B4DF"/>
      <w:sz w:val="22"/>
      <w:szCs w:val="28"/>
    </w:rPr>
  </w:style>
  <w:style w:type="paragraph" w:styleId="Heading3">
    <w:name w:val="heading 3"/>
    <w:basedOn w:val="BodyText"/>
    <w:next w:val="BodyText"/>
    <w:link w:val="Heading3Char"/>
    <w:qFormat/>
    <w:rsid w:val="002C7B38"/>
    <w:pPr>
      <w:keepNext/>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C7B38"/>
    <w:pPr>
      <w:keepNext/>
      <w:pageBreakBefore/>
      <w:spacing w:before="300" w:line="280" w:lineRule="atLeast"/>
      <w:ind w:left="2381" w:hanging="2381"/>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spacing w:before="300" w:line="280" w:lineRule="atLeast"/>
      <w:ind w:left="709" w:hanging="709"/>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spacing w:before="300"/>
      <w:ind w:left="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51079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19"/>
    <w:rsid w:val="009F2590"/>
    <w:rPr>
      <w:rFonts w:ascii="Arial" w:eastAsia="Times New Roman" w:hAnsi="Arial"/>
      <w:color w:val="595A5B"/>
      <w:sz w:val="16"/>
    </w:rPr>
  </w:style>
  <w:style w:type="paragraph" w:styleId="Footer">
    <w:name w:val="footer"/>
    <w:basedOn w:val="Normal"/>
    <w:link w:val="FooterChar"/>
    <w:uiPriority w:val="9"/>
    <w:rsid w:val="00E35ECE"/>
    <w:pPr>
      <w:tabs>
        <w:tab w:val="right" w:pos="9680"/>
      </w:tabs>
      <w:ind w:left="0"/>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semiHidden/>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qFormat/>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spacing w:after="120"/>
      <w:ind w:left="340" w:hanging="34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ind w:left="709"/>
    </w:pPr>
  </w:style>
  <w:style w:type="paragraph" w:styleId="ListBullet4">
    <w:name w:val="List Bullet 4"/>
    <w:basedOn w:val="ListBullet3"/>
    <w:rsid w:val="00E12B1D"/>
    <w:pPr>
      <w:ind w:left="1134" w:firstLine="0"/>
    </w:pPr>
  </w:style>
  <w:style w:type="paragraph" w:styleId="ListBullet3">
    <w:name w:val="List Bullet 3"/>
    <w:basedOn w:val="ListBullet2"/>
    <w:uiPriority w:val="4"/>
    <w:qFormat/>
    <w:rsid w:val="00E2785A"/>
    <w:pPr>
      <w:ind w:left="964" w:hanging="255"/>
    </w:pPr>
  </w:style>
  <w:style w:type="paragraph" w:styleId="ListNumber">
    <w:name w:val="List Number"/>
    <w:basedOn w:val="Normal"/>
    <w:uiPriority w:val="4"/>
    <w:qFormat/>
    <w:rsid w:val="004C7203"/>
    <w:pPr>
      <w:numPr>
        <w:numId w:val="9"/>
      </w:numPr>
      <w:spacing w:after="120"/>
    </w:pPr>
  </w:style>
  <w:style w:type="paragraph" w:styleId="ListNumber2">
    <w:name w:val="List Number 2"/>
    <w:basedOn w:val="ListNumber"/>
    <w:uiPriority w:val="4"/>
    <w:qFormat/>
    <w:rsid w:val="00070749"/>
    <w:pPr>
      <w:numPr>
        <w:ilvl w:val="1"/>
      </w:numPr>
    </w:pPr>
  </w:style>
  <w:style w:type="paragraph" w:styleId="ListNumber3">
    <w:name w:val="List Number 3"/>
    <w:basedOn w:val="ListNumber2"/>
    <w:uiPriority w:val="4"/>
    <w:qFormat/>
    <w:rsid w:val="00070749"/>
    <w:pPr>
      <w:numPr>
        <w:ilvl w:val="2"/>
      </w:numPr>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ind w:left="0"/>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aliases w:val="HeaderPort"/>
    <w:basedOn w:val="Normal"/>
    <w:link w:val="HeaderChar"/>
    <w:unhideWhenUsed/>
    <w:rsid w:val="00E35ECE"/>
    <w:pPr>
      <w:spacing w:after="0" w:line="240" w:lineRule="auto"/>
      <w:ind w:left="0"/>
    </w:pPr>
  </w:style>
  <w:style w:type="character" w:customStyle="1" w:styleId="HeaderChar">
    <w:name w:val="Header Char"/>
    <w:aliases w:val="HeaderPort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10"/>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4C7203"/>
    <w:pPr>
      <w:numPr>
        <w:ilvl w:val="3"/>
        <w:numId w:val="9"/>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jc w:val="left"/>
    </w:pPr>
    <w:rPr>
      <w:color w:val="005CAF"/>
    </w:rPr>
  </w:style>
  <w:style w:type="paragraph" w:customStyle="1" w:styleId="OnePagerLink">
    <w:name w:val="OnePagerLink"/>
    <w:basedOn w:val="Normal"/>
    <w:rsid w:val="0017468E"/>
    <w:pPr>
      <w:spacing w:after="0" w:line="240" w:lineRule="auto"/>
      <w:ind w:left="114"/>
      <w:jc w:val="left"/>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character" w:styleId="FollowedHyperlink">
    <w:name w:val="FollowedHyperlink"/>
    <w:basedOn w:val="DefaultParagraphFont"/>
    <w:uiPriority w:val="19"/>
    <w:semiHidden/>
    <w:unhideWhenUsed/>
    <w:rsid w:val="00602158"/>
    <w:rPr>
      <w:color w:val="56B4E9" w:themeColor="followedHyperlink"/>
      <w:u w:val="single"/>
    </w:rPr>
  </w:style>
  <w:style w:type="character" w:styleId="CommentReference">
    <w:name w:val="annotation reference"/>
    <w:basedOn w:val="DefaultParagraphFont"/>
    <w:semiHidden/>
    <w:unhideWhenUsed/>
    <w:rsid w:val="00872182"/>
    <w:rPr>
      <w:sz w:val="16"/>
      <w:szCs w:val="16"/>
    </w:rPr>
  </w:style>
  <w:style w:type="paragraph" w:styleId="CommentText">
    <w:name w:val="annotation text"/>
    <w:basedOn w:val="Normal"/>
    <w:link w:val="CommentTextChar"/>
    <w:semiHidden/>
    <w:unhideWhenUsed/>
    <w:rsid w:val="00872182"/>
    <w:pPr>
      <w:spacing w:line="240" w:lineRule="auto"/>
    </w:pPr>
    <w:rPr>
      <w:szCs w:val="20"/>
    </w:rPr>
  </w:style>
  <w:style w:type="character" w:customStyle="1" w:styleId="CommentTextChar">
    <w:name w:val="Comment Text Char"/>
    <w:basedOn w:val="DefaultParagraphFont"/>
    <w:link w:val="CommentText"/>
    <w:semiHidden/>
    <w:rsid w:val="00872182"/>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872182"/>
    <w:rPr>
      <w:b/>
      <w:bCs/>
    </w:rPr>
  </w:style>
  <w:style w:type="character" w:customStyle="1" w:styleId="CommentSubjectChar">
    <w:name w:val="Comment Subject Char"/>
    <w:basedOn w:val="CommentTextChar"/>
    <w:link w:val="CommentSubject"/>
    <w:semiHidden/>
    <w:rsid w:val="00872182"/>
    <w:rPr>
      <w:rFonts w:ascii="Arial" w:hAnsi="Arial"/>
      <w:b/>
      <w:bCs/>
      <w:color w:val="373737"/>
      <w:sz w:val="20"/>
      <w:szCs w:val="20"/>
    </w:rPr>
  </w:style>
  <w:style w:type="table" w:styleId="TableGridLight">
    <w:name w:val="Grid Table Light"/>
    <w:basedOn w:val="TableNormal"/>
    <w:uiPriority w:val="40"/>
    <w:rsid w:val="00A255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37599"/>
    <w:pPr>
      <w:spacing w:after="0" w:line="240" w:lineRule="auto"/>
    </w:pPr>
    <w:rPr>
      <w:rFonts w:ascii="Arial" w:hAnsi="Arial"/>
      <w:color w:val="373737"/>
      <w:sz w:val="20"/>
    </w:rPr>
  </w:style>
  <w:style w:type="paragraph" w:customStyle="1" w:styleId="REQCaption">
    <w:name w:val="REQ Caption"/>
    <w:basedOn w:val="Normal"/>
    <w:next w:val="Normal"/>
    <w:link w:val="REQCaptionChar"/>
    <w:autoRedefine/>
    <w:rsid w:val="00BB2F29"/>
    <w:pPr>
      <w:keepNext/>
      <w:spacing w:before="360" w:after="0" w:line="240" w:lineRule="auto"/>
      <w:ind w:left="0"/>
      <w:jc w:val="left"/>
    </w:pPr>
    <w:rPr>
      <w:rFonts w:ascii="Calibri" w:eastAsia="MS Mincho" w:hAnsi="Calibri" w:cs="Times New Roman"/>
      <w:b/>
      <w:color w:val="auto"/>
      <w:sz w:val="24"/>
      <w:szCs w:val="24"/>
      <w:lang w:eastAsia="ja-JP"/>
    </w:rPr>
  </w:style>
  <w:style w:type="character" w:customStyle="1" w:styleId="REQCaptionChar">
    <w:name w:val="REQ Caption Char"/>
    <w:link w:val="REQCaption"/>
    <w:rsid w:val="00BB2F29"/>
    <w:rPr>
      <w:rFonts w:ascii="Calibri" w:eastAsia="MS Mincho" w:hAnsi="Calibri" w:cs="Times New Roman"/>
      <w:b/>
      <w:sz w:val="24"/>
      <w:szCs w:val="24"/>
      <w:lang w:eastAsia="ja-JP"/>
    </w:rPr>
  </w:style>
  <w:style w:type="paragraph" w:customStyle="1" w:styleId="Pa14">
    <w:name w:val="Pa14"/>
    <w:basedOn w:val="Normal"/>
    <w:next w:val="Normal"/>
    <w:uiPriority w:val="99"/>
    <w:rsid w:val="00BB2F29"/>
    <w:pPr>
      <w:autoSpaceDE w:val="0"/>
      <w:autoSpaceDN w:val="0"/>
      <w:adjustRightInd w:val="0"/>
      <w:spacing w:after="0" w:line="161" w:lineRule="atLeast"/>
      <w:ind w:left="0"/>
      <w:jc w:val="left"/>
    </w:pPr>
    <w:rPr>
      <w:rFonts w:eastAsiaTheme="minorEastAsia" w:cs="Arial"/>
      <w:color w:val="auto"/>
      <w:sz w:val="24"/>
      <w:szCs w:val="24"/>
      <w:lang w:eastAsia="ja-JP"/>
    </w:rPr>
  </w:style>
  <w:style w:type="paragraph" w:styleId="NormalWeb">
    <w:name w:val="Normal (Web)"/>
    <w:basedOn w:val="Normal"/>
    <w:uiPriority w:val="99"/>
    <w:semiHidden/>
    <w:unhideWhenUsed/>
    <w:rsid w:val="003F1C28"/>
    <w:pPr>
      <w:spacing w:before="100" w:beforeAutospacing="1" w:after="100" w:afterAutospacing="1" w:line="240" w:lineRule="auto"/>
      <w:ind w:left="0"/>
      <w:jc w:val="left"/>
    </w:pPr>
    <w:rPr>
      <w:rFonts w:ascii="Times New Roman" w:eastAsiaTheme="minorEastAsia" w:hAnsi="Times New Roman" w:cs="Times New Roman"/>
      <w:color w:val="auto"/>
      <w:sz w:val="24"/>
      <w:szCs w:val="24"/>
      <w:lang w:eastAsia="en-AU"/>
    </w:rPr>
  </w:style>
  <w:style w:type="character" w:customStyle="1" w:styleId="e24kjd">
    <w:name w:val="e24kjd"/>
    <w:basedOn w:val="DefaultParagraphFont"/>
    <w:rsid w:val="00BF0F00"/>
  </w:style>
  <w:style w:type="table" w:customStyle="1" w:styleId="TableGrid1">
    <w:name w:val="Table Grid1"/>
    <w:basedOn w:val="TableNormal"/>
    <w:next w:val="TableGrid"/>
    <w:uiPriority w:val="59"/>
    <w:rsid w:val="00A93E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19"/>
    <w:unhideWhenUsed/>
    <w:rsid w:val="0038670C"/>
    <w:pPr>
      <w:spacing w:after="0" w:line="240" w:lineRule="auto"/>
    </w:pPr>
    <w:rPr>
      <w:szCs w:val="20"/>
    </w:rPr>
  </w:style>
  <w:style w:type="character" w:customStyle="1" w:styleId="EndnoteTextChar">
    <w:name w:val="Endnote Text Char"/>
    <w:basedOn w:val="DefaultParagraphFont"/>
    <w:link w:val="EndnoteText"/>
    <w:uiPriority w:val="19"/>
    <w:rsid w:val="0038670C"/>
    <w:rPr>
      <w:rFonts w:ascii="Arial" w:hAnsi="Arial"/>
      <w:color w:val="373737"/>
      <w:sz w:val="20"/>
      <w:szCs w:val="20"/>
    </w:rPr>
  </w:style>
  <w:style w:type="character" w:styleId="EndnoteReference">
    <w:name w:val="endnote reference"/>
    <w:basedOn w:val="DefaultParagraphFont"/>
    <w:uiPriority w:val="19"/>
    <w:semiHidden/>
    <w:unhideWhenUsed/>
    <w:rsid w:val="0038670C"/>
    <w:rPr>
      <w:vertAlign w:val="superscript"/>
    </w:rPr>
  </w:style>
  <w:style w:type="paragraph" w:customStyle="1" w:styleId="Pa1">
    <w:name w:val="Pa1"/>
    <w:basedOn w:val="Normal"/>
    <w:next w:val="Normal"/>
    <w:uiPriority w:val="99"/>
    <w:rsid w:val="00493324"/>
    <w:pPr>
      <w:autoSpaceDE w:val="0"/>
      <w:autoSpaceDN w:val="0"/>
      <w:adjustRightInd w:val="0"/>
      <w:spacing w:after="0" w:line="221" w:lineRule="atLeast"/>
      <w:ind w:left="0"/>
      <w:jc w:val="left"/>
    </w:pPr>
    <w:rPr>
      <w:rFonts w:cs="Arial"/>
      <w:color w:val="auto"/>
      <w:sz w:val="24"/>
      <w:szCs w:val="24"/>
    </w:rPr>
  </w:style>
  <w:style w:type="character" w:customStyle="1" w:styleId="A2">
    <w:name w:val="A2"/>
    <w:uiPriority w:val="99"/>
    <w:rsid w:val="00493324"/>
    <w:rPr>
      <w:b/>
      <w:bCs/>
      <w:color w:val="000000"/>
      <w:sz w:val="21"/>
      <w:szCs w:val="21"/>
    </w:rPr>
  </w:style>
  <w:style w:type="paragraph" w:customStyle="1" w:styleId="Pa2">
    <w:name w:val="Pa2"/>
    <w:basedOn w:val="Normal"/>
    <w:next w:val="Normal"/>
    <w:uiPriority w:val="99"/>
    <w:rsid w:val="00493324"/>
    <w:pPr>
      <w:autoSpaceDE w:val="0"/>
      <w:autoSpaceDN w:val="0"/>
      <w:adjustRightInd w:val="0"/>
      <w:spacing w:after="0" w:line="201" w:lineRule="atLeast"/>
      <w:ind w:left="0"/>
      <w:jc w:val="left"/>
    </w:pPr>
    <w:rPr>
      <w:rFonts w:cs="Arial"/>
      <w:color w:val="auto"/>
      <w:sz w:val="24"/>
      <w:szCs w:val="24"/>
    </w:rPr>
  </w:style>
  <w:style w:type="character" w:customStyle="1" w:styleId="A3">
    <w:name w:val="A3"/>
    <w:uiPriority w:val="99"/>
    <w:rsid w:val="00493324"/>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22916">
      <w:bodyDiv w:val="1"/>
      <w:marLeft w:val="0"/>
      <w:marRight w:val="0"/>
      <w:marTop w:val="0"/>
      <w:marBottom w:val="0"/>
      <w:divBdr>
        <w:top w:val="none" w:sz="0" w:space="0" w:color="auto"/>
        <w:left w:val="none" w:sz="0" w:space="0" w:color="auto"/>
        <w:bottom w:val="none" w:sz="0" w:space="0" w:color="auto"/>
        <w:right w:val="none" w:sz="0" w:space="0" w:color="auto"/>
      </w:divBdr>
    </w:div>
    <w:div w:id="298653833">
      <w:bodyDiv w:val="1"/>
      <w:marLeft w:val="0"/>
      <w:marRight w:val="0"/>
      <w:marTop w:val="0"/>
      <w:marBottom w:val="0"/>
      <w:divBdr>
        <w:top w:val="none" w:sz="0" w:space="0" w:color="auto"/>
        <w:left w:val="none" w:sz="0" w:space="0" w:color="auto"/>
        <w:bottom w:val="none" w:sz="0" w:space="0" w:color="auto"/>
        <w:right w:val="none" w:sz="0" w:space="0" w:color="auto"/>
      </w:divBdr>
      <w:divsChild>
        <w:div w:id="840434612">
          <w:marLeft w:val="0"/>
          <w:marRight w:val="0"/>
          <w:marTop w:val="0"/>
          <w:marBottom w:val="0"/>
          <w:divBdr>
            <w:top w:val="none" w:sz="0" w:space="0" w:color="auto"/>
            <w:left w:val="none" w:sz="0" w:space="0" w:color="auto"/>
            <w:bottom w:val="none" w:sz="0" w:space="0" w:color="auto"/>
            <w:right w:val="none" w:sz="0" w:space="0" w:color="auto"/>
          </w:divBdr>
          <w:divsChild>
            <w:div w:id="1126853617">
              <w:marLeft w:val="0"/>
              <w:marRight w:val="0"/>
              <w:marTop w:val="0"/>
              <w:marBottom w:val="0"/>
              <w:divBdr>
                <w:top w:val="none" w:sz="0" w:space="0" w:color="auto"/>
                <w:left w:val="none" w:sz="0" w:space="0" w:color="auto"/>
                <w:bottom w:val="none" w:sz="0" w:space="0" w:color="auto"/>
                <w:right w:val="none" w:sz="0" w:space="0" w:color="auto"/>
              </w:divBdr>
              <w:divsChild>
                <w:div w:id="678697884">
                  <w:marLeft w:val="0"/>
                  <w:marRight w:val="0"/>
                  <w:marTop w:val="0"/>
                  <w:marBottom w:val="750"/>
                  <w:divBdr>
                    <w:top w:val="none" w:sz="0" w:space="0" w:color="auto"/>
                    <w:left w:val="none" w:sz="0" w:space="0" w:color="auto"/>
                    <w:bottom w:val="none" w:sz="0" w:space="0" w:color="auto"/>
                    <w:right w:val="none" w:sz="0" w:space="0" w:color="auto"/>
                  </w:divBdr>
                  <w:divsChild>
                    <w:div w:id="1478718953">
                      <w:marLeft w:val="0"/>
                      <w:marRight w:val="0"/>
                      <w:marTop w:val="0"/>
                      <w:marBottom w:val="0"/>
                      <w:divBdr>
                        <w:top w:val="none" w:sz="0" w:space="0" w:color="auto"/>
                        <w:left w:val="none" w:sz="0" w:space="0" w:color="auto"/>
                        <w:bottom w:val="none" w:sz="0" w:space="0" w:color="auto"/>
                        <w:right w:val="none" w:sz="0" w:space="0" w:color="auto"/>
                      </w:divBdr>
                      <w:divsChild>
                        <w:div w:id="2040619961">
                          <w:marLeft w:val="0"/>
                          <w:marRight w:val="0"/>
                          <w:marTop w:val="0"/>
                          <w:marBottom w:val="0"/>
                          <w:divBdr>
                            <w:top w:val="none" w:sz="0" w:space="0" w:color="auto"/>
                            <w:left w:val="none" w:sz="0" w:space="0" w:color="auto"/>
                            <w:bottom w:val="none" w:sz="0" w:space="0" w:color="auto"/>
                            <w:right w:val="none" w:sz="0" w:space="0" w:color="auto"/>
                          </w:divBdr>
                          <w:divsChild>
                            <w:div w:id="1120879163">
                              <w:marLeft w:val="0"/>
                              <w:marRight w:val="0"/>
                              <w:marTop w:val="0"/>
                              <w:marBottom w:val="0"/>
                              <w:divBdr>
                                <w:top w:val="none" w:sz="0" w:space="0" w:color="auto"/>
                                <w:left w:val="none" w:sz="0" w:space="0" w:color="auto"/>
                                <w:bottom w:val="none" w:sz="0" w:space="0" w:color="auto"/>
                                <w:right w:val="none" w:sz="0" w:space="0" w:color="auto"/>
                              </w:divBdr>
                              <w:divsChild>
                                <w:div w:id="876432034">
                                  <w:marLeft w:val="0"/>
                                  <w:marRight w:val="0"/>
                                  <w:marTop w:val="0"/>
                                  <w:marBottom w:val="0"/>
                                  <w:divBdr>
                                    <w:top w:val="none" w:sz="0" w:space="0" w:color="auto"/>
                                    <w:left w:val="none" w:sz="0" w:space="0" w:color="auto"/>
                                    <w:bottom w:val="none" w:sz="0" w:space="0" w:color="auto"/>
                                    <w:right w:val="none" w:sz="0" w:space="0" w:color="auto"/>
                                  </w:divBdr>
                                  <w:divsChild>
                                    <w:div w:id="1892498641">
                                      <w:marLeft w:val="0"/>
                                      <w:marRight w:val="0"/>
                                      <w:marTop w:val="0"/>
                                      <w:marBottom w:val="0"/>
                                      <w:divBdr>
                                        <w:top w:val="none" w:sz="0" w:space="0" w:color="auto"/>
                                        <w:left w:val="none" w:sz="0" w:space="0" w:color="auto"/>
                                        <w:bottom w:val="none" w:sz="0" w:space="0" w:color="auto"/>
                                        <w:right w:val="none" w:sz="0" w:space="0" w:color="auto"/>
                                      </w:divBdr>
                                      <w:divsChild>
                                        <w:div w:id="1522352672">
                                          <w:marLeft w:val="0"/>
                                          <w:marRight w:val="0"/>
                                          <w:marTop w:val="0"/>
                                          <w:marBottom w:val="0"/>
                                          <w:divBdr>
                                            <w:top w:val="none" w:sz="0" w:space="0" w:color="auto"/>
                                            <w:left w:val="none" w:sz="0" w:space="0" w:color="auto"/>
                                            <w:bottom w:val="none" w:sz="0" w:space="0" w:color="auto"/>
                                            <w:right w:val="none" w:sz="0" w:space="0" w:color="auto"/>
                                          </w:divBdr>
                                          <w:divsChild>
                                            <w:div w:id="91247717">
                                              <w:marLeft w:val="0"/>
                                              <w:marRight w:val="0"/>
                                              <w:marTop w:val="0"/>
                                              <w:marBottom w:val="0"/>
                                              <w:divBdr>
                                                <w:top w:val="none" w:sz="0" w:space="0" w:color="auto"/>
                                                <w:left w:val="none" w:sz="0" w:space="0" w:color="auto"/>
                                                <w:bottom w:val="none" w:sz="0" w:space="0" w:color="auto"/>
                                                <w:right w:val="none" w:sz="0" w:space="0" w:color="auto"/>
                                              </w:divBdr>
                                              <w:divsChild>
                                                <w:div w:id="412288060">
                                                  <w:marLeft w:val="0"/>
                                                  <w:marRight w:val="0"/>
                                                  <w:marTop w:val="0"/>
                                                  <w:marBottom w:val="0"/>
                                                  <w:divBdr>
                                                    <w:top w:val="none" w:sz="0" w:space="0" w:color="auto"/>
                                                    <w:left w:val="none" w:sz="0" w:space="0" w:color="auto"/>
                                                    <w:bottom w:val="none" w:sz="0" w:space="0" w:color="auto"/>
                                                    <w:right w:val="none" w:sz="0" w:space="0" w:color="auto"/>
                                                  </w:divBdr>
                                                  <w:divsChild>
                                                    <w:div w:id="12781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6345199">
      <w:bodyDiv w:val="1"/>
      <w:marLeft w:val="0"/>
      <w:marRight w:val="0"/>
      <w:marTop w:val="0"/>
      <w:marBottom w:val="0"/>
      <w:divBdr>
        <w:top w:val="none" w:sz="0" w:space="0" w:color="auto"/>
        <w:left w:val="none" w:sz="0" w:space="0" w:color="auto"/>
        <w:bottom w:val="none" w:sz="0" w:space="0" w:color="auto"/>
        <w:right w:val="none" w:sz="0" w:space="0" w:color="auto"/>
      </w:divBdr>
    </w:div>
    <w:div w:id="377553637">
      <w:bodyDiv w:val="1"/>
      <w:marLeft w:val="0"/>
      <w:marRight w:val="0"/>
      <w:marTop w:val="0"/>
      <w:marBottom w:val="0"/>
      <w:divBdr>
        <w:top w:val="none" w:sz="0" w:space="0" w:color="auto"/>
        <w:left w:val="none" w:sz="0" w:space="0" w:color="auto"/>
        <w:bottom w:val="none" w:sz="0" w:space="0" w:color="auto"/>
        <w:right w:val="none" w:sz="0" w:space="0" w:color="auto"/>
      </w:divBdr>
    </w:div>
    <w:div w:id="385372654">
      <w:bodyDiv w:val="1"/>
      <w:marLeft w:val="0"/>
      <w:marRight w:val="0"/>
      <w:marTop w:val="0"/>
      <w:marBottom w:val="0"/>
      <w:divBdr>
        <w:top w:val="none" w:sz="0" w:space="0" w:color="auto"/>
        <w:left w:val="none" w:sz="0" w:space="0" w:color="auto"/>
        <w:bottom w:val="none" w:sz="0" w:space="0" w:color="auto"/>
        <w:right w:val="none" w:sz="0" w:space="0" w:color="auto"/>
      </w:divBdr>
    </w:div>
    <w:div w:id="606813854">
      <w:bodyDiv w:val="1"/>
      <w:marLeft w:val="0"/>
      <w:marRight w:val="0"/>
      <w:marTop w:val="0"/>
      <w:marBottom w:val="0"/>
      <w:divBdr>
        <w:top w:val="none" w:sz="0" w:space="0" w:color="auto"/>
        <w:left w:val="none" w:sz="0" w:space="0" w:color="auto"/>
        <w:bottom w:val="none" w:sz="0" w:space="0" w:color="auto"/>
        <w:right w:val="none" w:sz="0" w:space="0" w:color="auto"/>
      </w:divBdr>
    </w:div>
    <w:div w:id="688946590">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16604138">
      <w:bodyDiv w:val="1"/>
      <w:marLeft w:val="0"/>
      <w:marRight w:val="0"/>
      <w:marTop w:val="0"/>
      <w:marBottom w:val="0"/>
      <w:divBdr>
        <w:top w:val="none" w:sz="0" w:space="0" w:color="auto"/>
        <w:left w:val="none" w:sz="0" w:space="0" w:color="auto"/>
        <w:bottom w:val="none" w:sz="0" w:space="0" w:color="auto"/>
        <w:right w:val="none" w:sz="0" w:space="0" w:color="auto"/>
      </w:divBdr>
    </w:div>
    <w:div w:id="902911068">
      <w:bodyDiv w:val="1"/>
      <w:marLeft w:val="0"/>
      <w:marRight w:val="0"/>
      <w:marTop w:val="0"/>
      <w:marBottom w:val="0"/>
      <w:divBdr>
        <w:top w:val="none" w:sz="0" w:space="0" w:color="auto"/>
        <w:left w:val="none" w:sz="0" w:space="0" w:color="auto"/>
        <w:bottom w:val="none" w:sz="0" w:space="0" w:color="auto"/>
        <w:right w:val="none" w:sz="0" w:space="0" w:color="auto"/>
      </w:divBdr>
    </w:div>
    <w:div w:id="1056005883">
      <w:bodyDiv w:val="1"/>
      <w:marLeft w:val="0"/>
      <w:marRight w:val="0"/>
      <w:marTop w:val="0"/>
      <w:marBottom w:val="0"/>
      <w:divBdr>
        <w:top w:val="none" w:sz="0" w:space="0" w:color="auto"/>
        <w:left w:val="none" w:sz="0" w:space="0" w:color="auto"/>
        <w:bottom w:val="none" w:sz="0" w:space="0" w:color="auto"/>
        <w:right w:val="none" w:sz="0" w:space="0" w:color="auto"/>
      </w:divBdr>
    </w:div>
    <w:div w:id="1202982758">
      <w:bodyDiv w:val="1"/>
      <w:marLeft w:val="0"/>
      <w:marRight w:val="0"/>
      <w:marTop w:val="0"/>
      <w:marBottom w:val="0"/>
      <w:divBdr>
        <w:top w:val="none" w:sz="0" w:space="0" w:color="auto"/>
        <w:left w:val="none" w:sz="0" w:space="0" w:color="auto"/>
        <w:bottom w:val="none" w:sz="0" w:space="0" w:color="auto"/>
        <w:right w:val="none" w:sz="0" w:space="0" w:color="auto"/>
      </w:divBdr>
    </w:div>
    <w:div w:id="1228689220">
      <w:bodyDiv w:val="1"/>
      <w:marLeft w:val="0"/>
      <w:marRight w:val="0"/>
      <w:marTop w:val="0"/>
      <w:marBottom w:val="0"/>
      <w:divBdr>
        <w:top w:val="none" w:sz="0" w:space="0" w:color="auto"/>
        <w:left w:val="none" w:sz="0" w:space="0" w:color="auto"/>
        <w:bottom w:val="none" w:sz="0" w:space="0" w:color="auto"/>
        <w:right w:val="none" w:sz="0" w:space="0" w:color="auto"/>
      </w:divBdr>
    </w:div>
    <w:div w:id="1353799824">
      <w:bodyDiv w:val="1"/>
      <w:marLeft w:val="0"/>
      <w:marRight w:val="0"/>
      <w:marTop w:val="0"/>
      <w:marBottom w:val="0"/>
      <w:divBdr>
        <w:top w:val="none" w:sz="0" w:space="0" w:color="auto"/>
        <w:left w:val="none" w:sz="0" w:space="0" w:color="auto"/>
        <w:bottom w:val="none" w:sz="0" w:space="0" w:color="auto"/>
        <w:right w:val="none" w:sz="0" w:space="0" w:color="auto"/>
      </w:divBdr>
    </w:div>
    <w:div w:id="1546991672">
      <w:bodyDiv w:val="1"/>
      <w:marLeft w:val="0"/>
      <w:marRight w:val="0"/>
      <w:marTop w:val="0"/>
      <w:marBottom w:val="0"/>
      <w:divBdr>
        <w:top w:val="none" w:sz="0" w:space="0" w:color="auto"/>
        <w:left w:val="none" w:sz="0" w:space="0" w:color="auto"/>
        <w:bottom w:val="none" w:sz="0" w:space="0" w:color="auto"/>
        <w:right w:val="none" w:sz="0" w:space="0" w:color="auto"/>
      </w:divBdr>
    </w:div>
    <w:div w:id="1590046256">
      <w:bodyDiv w:val="1"/>
      <w:marLeft w:val="0"/>
      <w:marRight w:val="0"/>
      <w:marTop w:val="0"/>
      <w:marBottom w:val="0"/>
      <w:divBdr>
        <w:top w:val="none" w:sz="0" w:space="0" w:color="auto"/>
        <w:left w:val="none" w:sz="0" w:space="0" w:color="auto"/>
        <w:bottom w:val="none" w:sz="0" w:space="0" w:color="auto"/>
        <w:right w:val="none" w:sz="0" w:space="0" w:color="auto"/>
      </w:divBdr>
      <w:divsChild>
        <w:div w:id="1258639878">
          <w:marLeft w:val="0"/>
          <w:marRight w:val="0"/>
          <w:marTop w:val="0"/>
          <w:marBottom w:val="0"/>
          <w:divBdr>
            <w:top w:val="none" w:sz="0" w:space="0" w:color="auto"/>
            <w:left w:val="none" w:sz="0" w:space="0" w:color="auto"/>
            <w:bottom w:val="none" w:sz="0" w:space="0" w:color="auto"/>
            <w:right w:val="none" w:sz="0" w:space="0" w:color="auto"/>
          </w:divBdr>
          <w:divsChild>
            <w:div w:id="1048527011">
              <w:marLeft w:val="0"/>
              <w:marRight w:val="0"/>
              <w:marTop w:val="0"/>
              <w:marBottom w:val="0"/>
              <w:divBdr>
                <w:top w:val="none" w:sz="0" w:space="0" w:color="auto"/>
                <w:left w:val="none" w:sz="0" w:space="0" w:color="auto"/>
                <w:bottom w:val="none" w:sz="0" w:space="0" w:color="auto"/>
                <w:right w:val="none" w:sz="0" w:space="0" w:color="auto"/>
              </w:divBdr>
              <w:divsChild>
                <w:div w:id="90899514">
                  <w:marLeft w:val="0"/>
                  <w:marRight w:val="0"/>
                  <w:marTop w:val="0"/>
                  <w:marBottom w:val="750"/>
                  <w:divBdr>
                    <w:top w:val="none" w:sz="0" w:space="0" w:color="auto"/>
                    <w:left w:val="none" w:sz="0" w:space="0" w:color="auto"/>
                    <w:bottom w:val="none" w:sz="0" w:space="0" w:color="auto"/>
                    <w:right w:val="none" w:sz="0" w:space="0" w:color="auto"/>
                  </w:divBdr>
                  <w:divsChild>
                    <w:div w:id="811946570">
                      <w:marLeft w:val="0"/>
                      <w:marRight w:val="0"/>
                      <w:marTop w:val="0"/>
                      <w:marBottom w:val="0"/>
                      <w:divBdr>
                        <w:top w:val="none" w:sz="0" w:space="0" w:color="auto"/>
                        <w:left w:val="none" w:sz="0" w:space="0" w:color="auto"/>
                        <w:bottom w:val="none" w:sz="0" w:space="0" w:color="auto"/>
                        <w:right w:val="none" w:sz="0" w:space="0" w:color="auto"/>
                      </w:divBdr>
                      <w:divsChild>
                        <w:div w:id="2016691459">
                          <w:marLeft w:val="0"/>
                          <w:marRight w:val="0"/>
                          <w:marTop w:val="0"/>
                          <w:marBottom w:val="0"/>
                          <w:divBdr>
                            <w:top w:val="none" w:sz="0" w:space="0" w:color="auto"/>
                            <w:left w:val="none" w:sz="0" w:space="0" w:color="auto"/>
                            <w:bottom w:val="none" w:sz="0" w:space="0" w:color="auto"/>
                            <w:right w:val="none" w:sz="0" w:space="0" w:color="auto"/>
                          </w:divBdr>
                          <w:divsChild>
                            <w:div w:id="1128357811">
                              <w:marLeft w:val="0"/>
                              <w:marRight w:val="0"/>
                              <w:marTop w:val="0"/>
                              <w:marBottom w:val="0"/>
                              <w:divBdr>
                                <w:top w:val="none" w:sz="0" w:space="0" w:color="auto"/>
                                <w:left w:val="none" w:sz="0" w:space="0" w:color="auto"/>
                                <w:bottom w:val="none" w:sz="0" w:space="0" w:color="auto"/>
                                <w:right w:val="none" w:sz="0" w:space="0" w:color="auto"/>
                              </w:divBdr>
                              <w:divsChild>
                                <w:div w:id="2139181447">
                                  <w:marLeft w:val="0"/>
                                  <w:marRight w:val="0"/>
                                  <w:marTop w:val="0"/>
                                  <w:marBottom w:val="0"/>
                                  <w:divBdr>
                                    <w:top w:val="none" w:sz="0" w:space="0" w:color="auto"/>
                                    <w:left w:val="none" w:sz="0" w:space="0" w:color="auto"/>
                                    <w:bottom w:val="none" w:sz="0" w:space="0" w:color="auto"/>
                                    <w:right w:val="none" w:sz="0" w:space="0" w:color="auto"/>
                                  </w:divBdr>
                                  <w:divsChild>
                                    <w:div w:id="1020399130">
                                      <w:marLeft w:val="0"/>
                                      <w:marRight w:val="0"/>
                                      <w:marTop w:val="0"/>
                                      <w:marBottom w:val="0"/>
                                      <w:divBdr>
                                        <w:top w:val="none" w:sz="0" w:space="0" w:color="auto"/>
                                        <w:left w:val="none" w:sz="0" w:space="0" w:color="auto"/>
                                        <w:bottom w:val="none" w:sz="0" w:space="0" w:color="auto"/>
                                        <w:right w:val="none" w:sz="0" w:space="0" w:color="auto"/>
                                      </w:divBdr>
                                      <w:divsChild>
                                        <w:div w:id="1896621614">
                                          <w:marLeft w:val="0"/>
                                          <w:marRight w:val="0"/>
                                          <w:marTop w:val="0"/>
                                          <w:marBottom w:val="0"/>
                                          <w:divBdr>
                                            <w:top w:val="none" w:sz="0" w:space="0" w:color="auto"/>
                                            <w:left w:val="none" w:sz="0" w:space="0" w:color="auto"/>
                                            <w:bottom w:val="none" w:sz="0" w:space="0" w:color="auto"/>
                                            <w:right w:val="none" w:sz="0" w:space="0" w:color="auto"/>
                                          </w:divBdr>
                                          <w:divsChild>
                                            <w:div w:id="1963684785">
                                              <w:marLeft w:val="0"/>
                                              <w:marRight w:val="0"/>
                                              <w:marTop w:val="0"/>
                                              <w:marBottom w:val="0"/>
                                              <w:divBdr>
                                                <w:top w:val="none" w:sz="0" w:space="0" w:color="auto"/>
                                                <w:left w:val="none" w:sz="0" w:space="0" w:color="auto"/>
                                                <w:bottom w:val="none" w:sz="0" w:space="0" w:color="auto"/>
                                                <w:right w:val="none" w:sz="0" w:space="0" w:color="auto"/>
                                              </w:divBdr>
                                              <w:divsChild>
                                                <w:div w:id="1268191987">
                                                  <w:marLeft w:val="0"/>
                                                  <w:marRight w:val="0"/>
                                                  <w:marTop w:val="0"/>
                                                  <w:marBottom w:val="0"/>
                                                  <w:divBdr>
                                                    <w:top w:val="none" w:sz="0" w:space="0" w:color="auto"/>
                                                    <w:left w:val="none" w:sz="0" w:space="0" w:color="auto"/>
                                                    <w:bottom w:val="none" w:sz="0" w:space="0" w:color="auto"/>
                                                    <w:right w:val="none" w:sz="0" w:space="0" w:color="auto"/>
                                                  </w:divBdr>
                                                  <w:divsChild>
                                                    <w:div w:id="21182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044569">
      <w:bodyDiv w:val="1"/>
      <w:marLeft w:val="0"/>
      <w:marRight w:val="0"/>
      <w:marTop w:val="0"/>
      <w:marBottom w:val="0"/>
      <w:divBdr>
        <w:top w:val="none" w:sz="0" w:space="0" w:color="auto"/>
        <w:left w:val="none" w:sz="0" w:space="0" w:color="auto"/>
        <w:bottom w:val="none" w:sz="0" w:space="0" w:color="auto"/>
        <w:right w:val="none" w:sz="0" w:space="0" w:color="auto"/>
      </w:divBdr>
    </w:div>
    <w:div w:id="1715422932">
      <w:bodyDiv w:val="1"/>
      <w:marLeft w:val="0"/>
      <w:marRight w:val="0"/>
      <w:marTop w:val="0"/>
      <w:marBottom w:val="0"/>
      <w:divBdr>
        <w:top w:val="none" w:sz="0" w:space="0" w:color="auto"/>
        <w:left w:val="none" w:sz="0" w:space="0" w:color="auto"/>
        <w:bottom w:val="none" w:sz="0" w:space="0" w:color="auto"/>
        <w:right w:val="none" w:sz="0" w:space="0" w:color="auto"/>
      </w:divBdr>
    </w:div>
    <w:div w:id="1720279646">
      <w:bodyDiv w:val="1"/>
      <w:marLeft w:val="0"/>
      <w:marRight w:val="0"/>
      <w:marTop w:val="0"/>
      <w:marBottom w:val="0"/>
      <w:divBdr>
        <w:top w:val="none" w:sz="0" w:space="0" w:color="auto"/>
        <w:left w:val="none" w:sz="0" w:space="0" w:color="auto"/>
        <w:bottom w:val="none" w:sz="0" w:space="0" w:color="auto"/>
        <w:right w:val="none" w:sz="0" w:space="0" w:color="auto"/>
      </w:divBdr>
    </w:div>
    <w:div w:id="1761441060">
      <w:bodyDiv w:val="1"/>
      <w:marLeft w:val="0"/>
      <w:marRight w:val="0"/>
      <w:marTop w:val="0"/>
      <w:marBottom w:val="0"/>
      <w:divBdr>
        <w:top w:val="none" w:sz="0" w:space="0" w:color="auto"/>
        <w:left w:val="none" w:sz="0" w:space="0" w:color="auto"/>
        <w:bottom w:val="none" w:sz="0" w:space="0" w:color="auto"/>
        <w:right w:val="none" w:sz="0" w:space="0" w:color="auto"/>
      </w:divBdr>
    </w:div>
    <w:div w:id="1777944603">
      <w:bodyDiv w:val="1"/>
      <w:marLeft w:val="0"/>
      <w:marRight w:val="0"/>
      <w:marTop w:val="0"/>
      <w:marBottom w:val="0"/>
      <w:divBdr>
        <w:top w:val="none" w:sz="0" w:space="0" w:color="auto"/>
        <w:left w:val="none" w:sz="0" w:space="0" w:color="auto"/>
        <w:bottom w:val="none" w:sz="0" w:space="0" w:color="auto"/>
        <w:right w:val="none" w:sz="0" w:space="0" w:color="auto"/>
      </w:divBdr>
    </w:div>
    <w:div w:id="1859419244">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27954676">
      <w:bodyDiv w:val="1"/>
      <w:marLeft w:val="0"/>
      <w:marRight w:val="0"/>
      <w:marTop w:val="0"/>
      <w:marBottom w:val="0"/>
      <w:divBdr>
        <w:top w:val="none" w:sz="0" w:space="0" w:color="auto"/>
        <w:left w:val="none" w:sz="0" w:space="0" w:color="auto"/>
        <w:bottom w:val="none" w:sz="0" w:space="0" w:color="auto"/>
        <w:right w:val="none" w:sz="0" w:space="0" w:color="auto"/>
      </w:divBdr>
    </w:div>
    <w:div w:id="1930502465">
      <w:bodyDiv w:val="1"/>
      <w:marLeft w:val="0"/>
      <w:marRight w:val="0"/>
      <w:marTop w:val="0"/>
      <w:marBottom w:val="0"/>
      <w:divBdr>
        <w:top w:val="none" w:sz="0" w:space="0" w:color="auto"/>
        <w:left w:val="none" w:sz="0" w:space="0" w:color="auto"/>
        <w:bottom w:val="none" w:sz="0" w:space="0" w:color="auto"/>
        <w:right w:val="none" w:sz="0" w:space="0" w:color="auto"/>
      </w:divBdr>
    </w:div>
    <w:div w:id="1967000425">
      <w:bodyDiv w:val="1"/>
      <w:marLeft w:val="0"/>
      <w:marRight w:val="0"/>
      <w:marTop w:val="0"/>
      <w:marBottom w:val="0"/>
      <w:divBdr>
        <w:top w:val="none" w:sz="0" w:space="0" w:color="auto"/>
        <w:left w:val="none" w:sz="0" w:space="0" w:color="auto"/>
        <w:bottom w:val="none" w:sz="0" w:space="0" w:color="auto"/>
        <w:right w:val="none" w:sz="0" w:space="0" w:color="auto"/>
      </w:divBdr>
      <w:divsChild>
        <w:div w:id="541138572">
          <w:marLeft w:val="0"/>
          <w:marRight w:val="0"/>
          <w:marTop w:val="0"/>
          <w:marBottom w:val="0"/>
          <w:divBdr>
            <w:top w:val="none" w:sz="0" w:space="0" w:color="auto"/>
            <w:left w:val="none" w:sz="0" w:space="0" w:color="auto"/>
            <w:bottom w:val="none" w:sz="0" w:space="0" w:color="auto"/>
            <w:right w:val="none" w:sz="0" w:space="0" w:color="auto"/>
          </w:divBdr>
          <w:divsChild>
            <w:div w:id="39939107">
              <w:marLeft w:val="0"/>
              <w:marRight w:val="0"/>
              <w:marTop w:val="0"/>
              <w:marBottom w:val="0"/>
              <w:divBdr>
                <w:top w:val="none" w:sz="0" w:space="0" w:color="auto"/>
                <w:left w:val="none" w:sz="0" w:space="0" w:color="auto"/>
                <w:bottom w:val="none" w:sz="0" w:space="0" w:color="auto"/>
                <w:right w:val="none" w:sz="0" w:space="0" w:color="auto"/>
              </w:divBdr>
              <w:divsChild>
                <w:div w:id="2057076575">
                  <w:marLeft w:val="-225"/>
                  <w:marRight w:val="-225"/>
                  <w:marTop w:val="0"/>
                  <w:marBottom w:val="0"/>
                  <w:divBdr>
                    <w:top w:val="none" w:sz="0" w:space="0" w:color="auto"/>
                    <w:left w:val="none" w:sz="0" w:space="0" w:color="auto"/>
                    <w:bottom w:val="none" w:sz="0" w:space="0" w:color="auto"/>
                    <w:right w:val="none" w:sz="0" w:space="0" w:color="auto"/>
                  </w:divBdr>
                  <w:divsChild>
                    <w:div w:id="456266903">
                      <w:marLeft w:val="0"/>
                      <w:marRight w:val="0"/>
                      <w:marTop w:val="0"/>
                      <w:marBottom w:val="0"/>
                      <w:divBdr>
                        <w:top w:val="none" w:sz="0" w:space="0" w:color="auto"/>
                        <w:left w:val="none" w:sz="0" w:space="0" w:color="auto"/>
                        <w:bottom w:val="none" w:sz="0" w:space="0" w:color="auto"/>
                        <w:right w:val="none" w:sz="0" w:space="0" w:color="auto"/>
                      </w:divBdr>
                      <w:divsChild>
                        <w:div w:id="375854502">
                          <w:marLeft w:val="0"/>
                          <w:marRight w:val="0"/>
                          <w:marTop w:val="0"/>
                          <w:marBottom w:val="0"/>
                          <w:divBdr>
                            <w:top w:val="none" w:sz="0" w:space="0" w:color="auto"/>
                            <w:left w:val="none" w:sz="0" w:space="0" w:color="auto"/>
                            <w:bottom w:val="none" w:sz="0" w:space="0" w:color="auto"/>
                            <w:right w:val="none" w:sz="0" w:space="0" w:color="auto"/>
                          </w:divBdr>
                          <w:divsChild>
                            <w:div w:id="74790653">
                              <w:marLeft w:val="0"/>
                              <w:marRight w:val="0"/>
                              <w:marTop w:val="0"/>
                              <w:marBottom w:val="0"/>
                              <w:divBdr>
                                <w:top w:val="none" w:sz="0" w:space="0" w:color="auto"/>
                                <w:left w:val="none" w:sz="0" w:space="0" w:color="auto"/>
                                <w:bottom w:val="none" w:sz="0" w:space="0" w:color="auto"/>
                                <w:right w:val="none" w:sz="0" w:space="0" w:color="auto"/>
                              </w:divBdr>
                              <w:divsChild>
                                <w:div w:id="1289313857">
                                  <w:marLeft w:val="-225"/>
                                  <w:marRight w:val="-225"/>
                                  <w:marTop w:val="0"/>
                                  <w:marBottom w:val="0"/>
                                  <w:divBdr>
                                    <w:top w:val="none" w:sz="0" w:space="0" w:color="auto"/>
                                    <w:left w:val="none" w:sz="0" w:space="0" w:color="auto"/>
                                    <w:bottom w:val="none" w:sz="0" w:space="0" w:color="auto"/>
                                    <w:right w:val="none" w:sz="0" w:space="0" w:color="auto"/>
                                  </w:divBdr>
                                  <w:divsChild>
                                    <w:div w:id="532380709">
                                      <w:marLeft w:val="0"/>
                                      <w:marRight w:val="0"/>
                                      <w:marTop w:val="0"/>
                                      <w:marBottom w:val="0"/>
                                      <w:divBdr>
                                        <w:top w:val="none" w:sz="0" w:space="0" w:color="auto"/>
                                        <w:left w:val="none" w:sz="0" w:space="0" w:color="auto"/>
                                        <w:bottom w:val="none" w:sz="0" w:space="0" w:color="auto"/>
                                        <w:right w:val="none" w:sz="0" w:space="0" w:color="auto"/>
                                      </w:divBdr>
                                      <w:divsChild>
                                        <w:div w:id="1071611753">
                                          <w:marLeft w:val="0"/>
                                          <w:marRight w:val="0"/>
                                          <w:marTop w:val="0"/>
                                          <w:marBottom w:val="0"/>
                                          <w:divBdr>
                                            <w:top w:val="none" w:sz="0" w:space="0" w:color="auto"/>
                                            <w:left w:val="none" w:sz="0" w:space="0" w:color="auto"/>
                                            <w:bottom w:val="none" w:sz="0" w:space="0" w:color="auto"/>
                                            <w:right w:val="none" w:sz="0" w:space="0" w:color="auto"/>
                                          </w:divBdr>
                                          <w:divsChild>
                                            <w:div w:id="1279530724">
                                              <w:marLeft w:val="0"/>
                                              <w:marRight w:val="0"/>
                                              <w:marTop w:val="0"/>
                                              <w:marBottom w:val="0"/>
                                              <w:divBdr>
                                                <w:top w:val="none" w:sz="0" w:space="0" w:color="auto"/>
                                                <w:left w:val="none" w:sz="0" w:space="0" w:color="auto"/>
                                                <w:bottom w:val="none" w:sz="0" w:space="0" w:color="auto"/>
                                                <w:right w:val="none" w:sz="0" w:space="0" w:color="auto"/>
                                              </w:divBdr>
                                              <w:divsChild>
                                                <w:div w:id="666325316">
                                                  <w:marLeft w:val="0"/>
                                                  <w:marRight w:val="0"/>
                                                  <w:marTop w:val="0"/>
                                                  <w:marBottom w:val="0"/>
                                                  <w:divBdr>
                                                    <w:top w:val="none" w:sz="0" w:space="0" w:color="auto"/>
                                                    <w:left w:val="none" w:sz="0" w:space="0" w:color="auto"/>
                                                    <w:bottom w:val="none" w:sz="0" w:space="0" w:color="auto"/>
                                                    <w:right w:val="none" w:sz="0" w:space="0" w:color="auto"/>
                                                  </w:divBdr>
                                                  <w:divsChild>
                                                    <w:div w:id="463160846">
                                                      <w:marLeft w:val="0"/>
                                                      <w:marRight w:val="0"/>
                                                      <w:marTop w:val="0"/>
                                                      <w:marBottom w:val="0"/>
                                                      <w:divBdr>
                                                        <w:top w:val="none" w:sz="0" w:space="0" w:color="auto"/>
                                                        <w:left w:val="none" w:sz="0" w:space="0" w:color="auto"/>
                                                        <w:bottom w:val="none" w:sz="0" w:space="0" w:color="auto"/>
                                                        <w:right w:val="none" w:sz="0" w:space="0" w:color="auto"/>
                                                      </w:divBdr>
                                                      <w:divsChild>
                                                        <w:div w:id="597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336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chart" Target="charts/chart13.xml"/><Relationship Id="rId21" Type="http://schemas.openxmlformats.org/officeDocument/2006/relationships/chart" Target="charts/chart2.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image" Target="media/image7.jpeg"/><Relationship Id="rId55"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image" Target="media/image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hart" Target="charts/chart4.xml"/><Relationship Id="rId28" Type="http://schemas.openxmlformats.org/officeDocument/2006/relationships/diagramColors" Target="diagrams/colors1.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29.xml"/><Relationship Id="rId61" Type="http://schemas.openxmlformats.org/officeDocument/2006/relationships/chart" Target="charts/chart3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 TargetMode="External"/><Relationship Id="rId22" Type="http://schemas.openxmlformats.org/officeDocument/2006/relationships/chart" Target="charts/chart3.xml"/><Relationship Id="rId27" Type="http://schemas.openxmlformats.org/officeDocument/2006/relationships/diagramQuickStyle" Target="diagrams/quickStyle1.xml"/><Relationship Id="rId30" Type="http://schemas.openxmlformats.org/officeDocument/2006/relationships/image" Target="media/image5.png"/><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image" Target="media/image6.png"/><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chart" Target="charts/chart1.xml"/><Relationship Id="rId41" Type="http://schemas.openxmlformats.org/officeDocument/2006/relationships/chart" Target="charts/chart15.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openknowledge.worldbank.org/bitstream/handle/10986/30923/9781464811548.pdf" TargetMode="External"/><Relationship Id="rId18" Type="http://schemas.openxmlformats.org/officeDocument/2006/relationships/hyperlink" Target="https://www.imf.org/en/Publications/WEO/Issues/2019/07/18/WEOupdateJuly2019" TargetMode="External"/><Relationship Id="rId26" Type="http://schemas.openxmlformats.org/officeDocument/2006/relationships/hyperlink" Target="https://www4.unfccc.int/sites/submissions/INDC/Published%20Documents/India/1/INDIA%20INDC%20TO%20UNFCCC.pdf" TargetMode="External"/><Relationship Id="rId39" Type="http://schemas.openxmlformats.org/officeDocument/2006/relationships/hyperlink" Target="https://www.coal.nic.in/content/functions-and-responsibilities" TargetMode="External"/><Relationship Id="rId21" Type="http://schemas.openxmlformats.org/officeDocument/2006/relationships/hyperlink" Target="http://www.cea.nic.in/reports/committee/nep/nep_jan_2018.pdf" TargetMode="External"/><Relationship Id="rId34" Type="http://schemas.openxmlformats.org/officeDocument/2006/relationships/hyperlink" Target="https://openknowledge.worldbank.org/bitstream/handle/10986/30923/9781464811548.pdf" TargetMode="External"/><Relationship Id="rId42" Type="http://schemas.openxmlformats.org/officeDocument/2006/relationships/hyperlink" Target="https://steel.gov.in/national-steel-policy-nsp-2017" TargetMode="External"/><Relationship Id="rId47" Type="http://schemas.openxmlformats.org/officeDocument/2006/relationships/hyperlink" Target="http://www.cea.nic.in/reports/committee/nep/nep_jan_2018.pdf" TargetMode="External"/><Relationship Id="rId50" Type="http://schemas.openxmlformats.org/officeDocument/2006/relationships/hyperlink" Target="https://www.iisd.org/sites/default/files/publications/india-energy-transition-stranded-coal-power-assets_0.pdf" TargetMode="External"/><Relationship Id="rId55" Type="http://schemas.openxmlformats.org/officeDocument/2006/relationships/hyperlink" Target="https://www.brookings.edu/research/the-future-of-indian-electricity-supply-scenarios-of-coal-use-by-2030/" TargetMode="External"/><Relationship Id="rId63" Type="http://schemas.openxmlformats.org/officeDocument/2006/relationships/hyperlink" Target="https://www.coalindia.in/DesktopModules/DocumentList/documents/Coal_Vision_2030_document_for_Coal_Sector_Stakeholders_Consultation_27012018.pdf" TargetMode="External"/><Relationship Id="rId68" Type="http://schemas.openxmlformats.org/officeDocument/2006/relationships/hyperlink" Target="https://www.financialexpress.com/market/cil-shuts-underground-mining-with-centre-push-to-convert-all-mines-profitable/1559373/" TargetMode="External"/><Relationship Id="rId76" Type="http://schemas.openxmlformats.org/officeDocument/2006/relationships/hyperlink" Target="https://data.gov.in/keywords/coal-washing" TargetMode="External"/><Relationship Id="rId7" Type="http://schemas.openxmlformats.org/officeDocument/2006/relationships/hyperlink" Target="https://dfat.gov.au/geo/india/ies/pdf/dfat-an-india-economic-strategy-to-2035.pdf" TargetMode="External"/><Relationship Id="rId71" Type="http://schemas.openxmlformats.org/officeDocument/2006/relationships/hyperlink" Target="https://www.sundayguardianlive.com/news/trade-unions-blocking-auction-commercial-coal-mining" TargetMode="External"/><Relationship Id="rId2" Type="http://schemas.openxmlformats.org/officeDocument/2006/relationships/hyperlink" Target="https://www.imf.org/external/pubs/ft/weo/2019/01/weodata/index.aspx" TargetMode="External"/><Relationship Id="rId16" Type="http://schemas.openxmlformats.org/officeDocument/2006/relationships/hyperlink" Target="https://openknowledge.worldbank.org/bitstream/handle/10986/30923/9781464811548.pdf" TargetMode="External"/><Relationship Id="rId29" Type="http://schemas.openxmlformats.org/officeDocument/2006/relationships/hyperlink" Target="https://cleantechnica.com/2019/01/14/india-plans-40-gigawatts-of-solar-wind-auctions-every-year-till-2028/" TargetMode="External"/><Relationship Id="rId11" Type="http://schemas.openxmlformats.org/officeDocument/2006/relationships/hyperlink" Target="http://cea.nic.in/reports/monthly/installedcapacity/2019/installed_capacity-06.pdf" TargetMode="External"/><Relationship Id="rId24" Type="http://schemas.openxmlformats.org/officeDocument/2006/relationships/hyperlink" Target="https://www4.unfccc.int/sites/submissions/INDC/Published%20Documents/India/1/INDIA%20INDC%20TO%20UNFCCC.pdf" TargetMode="External"/><Relationship Id="rId32" Type="http://schemas.openxmlformats.org/officeDocument/2006/relationships/hyperlink" Target="https://www.stateofglobalair.org/sites/default/files/soga_2019_report.pdf" TargetMode="External"/><Relationship Id="rId37" Type="http://schemas.openxmlformats.org/officeDocument/2006/relationships/hyperlink" Target="https://www.bp.com/content/dam/bp/business-sites/en/global/corporate/pdfs/energy-economics/statistical-review/bp-stats-review-2019-full-report.pdf" TargetMode="External"/><Relationship Id="rId40" Type="http://schemas.openxmlformats.org/officeDocument/2006/relationships/hyperlink" Target="http://www.coalcontroller.gov.in/pages/display/5-functionsresponsibilities" TargetMode="External"/><Relationship Id="rId45" Type="http://schemas.openxmlformats.org/officeDocument/2006/relationships/hyperlink" Target="https://www.niti.gov.in/writereaddata/files/new_initiatives/NEP-ID_27.06.2017.pdf" TargetMode="External"/><Relationship Id="rId53" Type="http://schemas.openxmlformats.org/officeDocument/2006/relationships/hyperlink" Target="http://www.dst.gov.in/sites/default/files/1.%20IC%233%20advertisement_0.pdf" TargetMode="External"/><Relationship Id="rId58" Type="http://schemas.openxmlformats.org/officeDocument/2006/relationships/hyperlink" Target="https://www.brookings.edu/wp-content/uploads/2018/10/Renewable-Energy-%E2%80%9Cversus%E2%80%9D-coal-in-India.pdf" TargetMode="External"/><Relationship Id="rId66" Type="http://schemas.openxmlformats.org/officeDocument/2006/relationships/hyperlink" Target="https://openknowledge.worldbank.org/bitstream/handle/10986/30923/9781464811548.pdf" TargetMode="External"/><Relationship Id="rId74" Type="http://schemas.openxmlformats.org/officeDocument/2006/relationships/hyperlink" Target="https://www.orfonline.org/wp-content/uploads/2017/07/ORF_PolicyBrief_Coal.pdf" TargetMode="External"/><Relationship Id="rId79" Type="http://schemas.openxmlformats.org/officeDocument/2006/relationships/hyperlink" Target="https://openknowledge.worldbank.org/bitstream/handle/10986/30923/9781464811548.pdf" TargetMode="External"/><Relationship Id="rId5" Type="http://schemas.openxmlformats.org/officeDocument/2006/relationships/hyperlink" Target="https://openknowledge.worldbank.org/bitstream/handle/10986/30923/9781464811548.pdf" TargetMode="External"/><Relationship Id="rId61" Type="http://schemas.openxmlformats.org/officeDocument/2006/relationships/hyperlink" Target="https://www.coalindia.in/DesktopModules/DocumentList/documents/Coal_Vision_2030_document_for_Coal_Sector_Stakeholders_Consultation_27012018.pdf" TargetMode="External"/><Relationship Id="rId82" Type="http://schemas.openxmlformats.org/officeDocument/2006/relationships/hyperlink" Target="https://www.worldsteel.org/en/dam/jcr:e5a8eda5-4b46-4892-856b-00908b5ab492/SSY_2018.pdf" TargetMode="External"/><Relationship Id="rId10" Type="http://schemas.openxmlformats.org/officeDocument/2006/relationships/hyperlink" Target="https://dfat.gov.au/geo/india/ies/pdf/dfat-an-india-economic-strategy-to-2035.pdf" TargetMode="External"/><Relationship Id="rId19" Type="http://schemas.openxmlformats.org/officeDocument/2006/relationships/hyperlink" Target="https://www.niti.gov.in/writereaddata/files/new_initiatives/NEP-ID_27.06.2017.pdf" TargetMode="External"/><Relationship Id="rId31" Type="http://schemas.openxmlformats.org/officeDocument/2006/relationships/hyperlink" Target="https://www.thehindubusinessline.com/opinion/editorial/solar-storm-ap-governments-bid-to-renegotiate-renewable-contracts-could-have-serious-repercussions/article28791722.ece" TargetMode="External"/><Relationship Id="rId44" Type="http://schemas.openxmlformats.org/officeDocument/2006/relationships/hyperlink" Target="https://economictimes.indiatimes.com/industry/energy/power/coal-powers-pace-slows-in-india-as-glut-leaves-plants-unused/articleshow/62332558.cms" TargetMode="External"/><Relationship Id="rId52" Type="http://schemas.openxmlformats.org/officeDocument/2006/relationships/hyperlink" Target="https://www.csis.org/analysis/tale-three-coal-markets" TargetMode="External"/><Relationship Id="rId60" Type="http://schemas.openxmlformats.org/officeDocument/2006/relationships/hyperlink" Target="https://coal.nic.in/sites/upload_files/coal/files/curentnotices/18-01-2019.pdf" TargetMode="External"/><Relationship Id="rId65" Type="http://schemas.openxmlformats.org/officeDocument/2006/relationships/hyperlink" Target="https://www.cprindia.org/news/7922" TargetMode="External"/><Relationship Id="rId73" Type="http://schemas.openxmlformats.org/officeDocument/2006/relationships/hyperlink" Target="https://www.oxfordenergy.org/wpcms/wp-content/uploads/2016/03/Indian-Steam-Coal-Imports-The-Great-Equation-CL-3.pdf?v=6cc98ba2045f" TargetMode="External"/><Relationship Id="rId78" Type="http://schemas.openxmlformats.org/officeDocument/2006/relationships/hyperlink" Target="https://www.bloombergquint.com/business/power-secretary-says-tariffs-to-rise-in-staggered-manner-over-five-years" TargetMode="External"/><Relationship Id="rId81" Type="http://schemas.openxmlformats.org/officeDocument/2006/relationships/hyperlink" Target="https://www.coalindia.in/DesktopModules/DocumentList/documents/Coal_Vision_2030_document_for_Coal_Sector_Stakeholders_Consultation_27012018.pdf" TargetMode="External"/><Relationship Id="rId4" Type="http://schemas.openxmlformats.org/officeDocument/2006/relationships/hyperlink" Target="https://www.niti.gov.in/writereaddata/files/Energising-India.pdf" TargetMode="External"/><Relationship Id="rId9" Type="http://schemas.openxmlformats.org/officeDocument/2006/relationships/hyperlink" Target="https://powermin.nic.in/" TargetMode="External"/><Relationship Id="rId14" Type="http://schemas.openxmlformats.org/officeDocument/2006/relationships/hyperlink" Target="https://assets.kpmg/content/dam/kpmg/in/pdf/2017/11/Transition-of-the-energy-sector-in-India.pdf" TargetMode="External"/><Relationship Id="rId22" Type="http://schemas.openxmlformats.org/officeDocument/2006/relationships/hyperlink" Target="https://www.indiabudget.gov.in/budgetspeech.php" TargetMode="External"/><Relationship Id="rId27" Type="http://schemas.openxmlformats.org/officeDocument/2006/relationships/hyperlink" Target="https://economictimes.indiatimes.com/industry/energy/power/india-will-add-225-gw-renewable-energy-project-capacity-by-2022-r-k-singh/articleshow/64461995.cms" TargetMode="External"/><Relationship Id="rId30" Type="http://schemas.openxmlformats.org/officeDocument/2006/relationships/hyperlink" Target="https://www.brookings.edu/research/working-to-turn-ambition-into-reality/" TargetMode="External"/><Relationship Id="rId35" Type="http://schemas.openxmlformats.org/officeDocument/2006/relationships/hyperlink" Target="https://www.iisd.org/sites/default/files/publications/stories-g20-india-en.pdf" TargetMode="External"/><Relationship Id="rId43" Type="http://schemas.openxmlformats.org/officeDocument/2006/relationships/hyperlink" Target="http://cea.nic.in/reports/monthly/installedcapacity/2019/installed_capacity-06.pdf" TargetMode="External"/><Relationship Id="rId48" Type="http://schemas.openxmlformats.org/officeDocument/2006/relationships/hyperlink" Target="https://www.indiabudget.gov.in/economicsurvey/doc/vol1chapter/echap09_vol1.pdf" TargetMode="External"/><Relationship Id="rId56" Type="http://schemas.openxmlformats.org/officeDocument/2006/relationships/hyperlink" Target="https://www.brookings.edu/research/working-to-turn-ambition-into-reality/" TargetMode="External"/><Relationship Id="rId64" Type="http://schemas.openxmlformats.org/officeDocument/2006/relationships/hyperlink" Target="https://www.eia.gov/outlooks/ieo/pdf/0484(2016).pdf" TargetMode="External"/><Relationship Id="rId69" Type="http://schemas.openxmlformats.org/officeDocument/2006/relationships/hyperlink" Target="https://economictimes.indiatimes.com/industry/indl-goods/svs/metals-mining/coal-india-to-adopt-more-transparent-pricing-system/articleshow/63456357.cms?from=mdr" TargetMode="External"/><Relationship Id="rId77" Type="http://schemas.openxmlformats.org/officeDocument/2006/relationships/hyperlink" Target="https://www.orfonline.org/wp-content/uploads/2017/07/ORF_PolicyBrief_Coal.pdf" TargetMode="External"/><Relationship Id="rId8" Type="http://schemas.openxmlformats.org/officeDocument/2006/relationships/hyperlink" Target="http://164.100.94.191/content/overview" TargetMode="External"/><Relationship Id="rId51" Type="http://schemas.openxmlformats.org/officeDocument/2006/relationships/hyperlink" Target="https://www.reuters.com/article/us-column-russell-coal-india/coal-going-from-winner-to-loser-in-indias-energy-future-russell-idUSKCN1Q90OP" TargetMode="External"/><Relationship Id="rId72" Type="http://schemas.openxmlformats.org/officeDocument/2006/relationships/hyperlink" Target="https://www.brookings.edu/blog/planetpolicy/2018/03/01/commercial-coal-mining-in-india-a-possible-but-not-irrefutable-game-changer/" TargetMode="External"/><Relationship Id="rId80" Type="http://schemas.openxmlformats.org/officeDocument/2006/relationships/hyperlink" Target="https://www.oxfordenergy.org/wpcms/wp-content/uploads/2016/03/Indian-Steam-Coal-Imports-The-Great-Equation-CL-3.pdf?v=6cc98ba2045f" TargetMode="External"/><Relationship Id="rId3" Type="http://schemas.openxmlformats.org/officeDocument/2006/relationships/hyperlink" Target="https://www.iea.org/newsroom/news/2018/june/commentary-electricity-in-every-village-in-india.html" TargetMode="External"/><Relationship Id="rId12" Type="http://schemas.openxmlformats.org/officeDocument/2006/relationships/hyperlink" Target="https://openknowledge.worldbank.org/bitstream/handle/10986/30923/9781464811548.pdf" TargetMode="External"/><Relationship Id="rId17" Type="http://schemas.openxmlformats.org/officeDocument/2006/relationships/hyperlink" Target="https://www.indiabudget.gov.in/" TargetMode="External"/><Relationship Id="rId25" Type="http://schemas.openxmlformats.org/officeDocument/2006/relationships/hyperlink" Target="http://www.cea.nic.in/reports/committee/nep/nep_jan_2018.pdf" TargetMode="External"/><Relationship Id="rId33" Type="http://schemas.openxmlformats.org/officeDocument/2006/relationships/hyperlink" Target="https://openknowledge.worldbank.org/bitstream/handle/10986/30923/9781464811548.pdf" TargetMode="External"/><Relationship Id="rId38" Type="http://schemas.openxmlformats.org/officeDocument/2006/relationships/hyperlink" Target="https://www.coal.nic.in/content/production-and-supplies" TargetMode="External"/><Relationship Id="rId46" Type="http://schemas.openxmlformats.org/officeDocument/2006/relationships/hyperlink" Target="https://www.coalindia.in/DesktopModules/DocumentList/documents/Coal_Vision_2030_document_for_Coal_Sector_Stakeholders_Consultation_27012018.pdf" TargetMode="External"/><Relationship Id="rId59" Type="http://schemas.openxmlformats.org/officeDocument/2006/relationships/hyperlink" Target="https://www.bloombergquint.com/business/government-may-revise-1-billion-tonne-coal-production-target-set-for-2020" TargetMode="External"/><Relationship Id="rId67" Type="http://schemas.openxmlformats.org/officeDocument/2006/relationships/hyperlink" Target="https://www.teriin.org/sites/default/files/2018-12/Coal-Transition-in-India.pdf" TargetMode="External"/><Relationship Id="rId20" Type="http://schemas.openxmlformats.org/officeDocument/2006/relationships/hyperlink" Target="https://www.bbc.com/news/world-asia-india-48880908" TargetMode="External"/><Relationship Id="rId41" Type="http://schemas.openxmlformats.org/officeDocument/2006/relationships/hyperlink" Target="https://www.bloomberg.com/news/articles/2019-08-01/india-world-s-no-2-coal-buyer-plans-to-cut-imports-by-a-third" TargetMode="External"/><Relationship Id="rId54" Type="http://schemas.openxmlformats.org/officeDocument/2006/relationships/hyperlink" Target="https://www.reuters.com/article/us-india-renewables-idUSKCN1TQ1R9" TargetMode="External"/><Relationship Id="rId62" Type="http://schemas.openxmlformats.org/officeDocument/2006/relationships/hyperlink" Target="https://timesofindia.indiatimes.com/india/government-opened-52-coal-mines-to-fuel-pm-narendra-modis-electrification-drive/articleshow/67646776.cms" TargetMode="External"/><Relationship Id="rId70" Type="http://schemas.openxmlformats.org/officeDocument/2006/relationships/hyperlink" Target="https://openknowledge.worldbank.org/bitstream/handle/10986/30923/9781464811548.pdf" TargetMode="External"/><Relationship Id="rId75" Type="http://schemas.openxmlformats.org/officeDocument/2006/relationships/hyperlink" Target="https://www.coal.nic.in/sites/upload_files/coal/files/coalupload/AnnualReport1819.pdf" TargetMode="External"/><Relationship Id="rId83" Type="http://schemas.openxmlformats.org/officeDocument/2006/relationships/hyperlink" Target="https://www.thehindu.com/business/Industry/coal-india-identifies-assets-in-australia-for-acquisition/article27766571.ece" TargetMode="External"/><Relationship Id="rId1" Type="http://schemas.openxmlformats.org/officeDocument/2006/relationships/hyperlink" Target="https://www.industry.gov.au/sites/g/files/net3906/f/June%202018/document/pdf/coal-in-india.pdf" TargetMode="External"/><Relationship Id="rId6" Type="http://schemas.openxmlformats.org/officeDocument/2006/relationships/hyperlink" Target="https://www.ceew.in/publications/access-clean-cooking-energy-and-electricity" TargetMode="External"/><Relationship Id="rId15" Type="http://schemas.openxmlformats.org/officeDocument/2006/relationships/hyperlink" Target="https://www.brookings.edu/wp-content/uploads/2018/10/Renewable-Energy-%E2%80%9Cversus%E2%80%9D-coal-in-India.pdf" TargetMode="External"/><Relationship Id="rId23" Type="http://schemas.openxmlformats.org/officeDocument/2006/relationships/hyperlink" Target="https://www.powergridindia.com/one-nation-one-grid" TargetMode="External"/><Relationship Id="rId28" Type="http://schemas.openxmlformats.org/officeDocument/2006/relationships/hyperlink" Target="https://cleantechnica.com/2019/01/14/india-plans-40-gigawatts-of-solar-wind-auctions-every-year-till-2028/" TargetMode="External"/><Relationship Id="rId36" Type="http://schemas.openxmlformats.org/officeDocument/2006/relationships/hyperlink" Target="https://www.coalindia.in/DesktopModules/DocumentList/documents/Coal_Vision_2030_document_for_Coal_Sector_Stakeholders_Consultation_27012018.pdf" TargetMode="External"/><Relationship Id="rId49" Type="http://schemas.openxmlformats.org/officeDocument/2006/relationships/hyperlink" Target="https://www.business-standard.com/article/economy-policy/pariwartan-a-parking-lot-for-stressed-power-assets-that-have-no-takers-118091101089_1.html" TargetMode="External"/><Relationship Id="rId57" Type="http://schemas.openxmlformats.org/officeDocument/2006/relationships/hyperlink" Target="https://www.brookings.edu/research/working-to-turn-ambition-into-real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economicanalyticalservices/templates/OCE%20Portrai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2.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'Energy demand'!$CL$2</c:f>
              <c:strCache>
                <c:ptCount val="1"/>
                <c:pt idx="0">
                  <c:v>1996</c:v>
                </c:pt>
              </c:strCache>
            </c:strRef>
          </c:tx>
          <c:spPr>
            <a:solidFill>
              <a:srgbClr val="56B4DF"/>
            </a:solidFill>
            <a:ln>
              <a:noFill/>
            </a:ln>
            <a:effectLst/>
          </c:spPr>
          <c:invertIfNegative val="0"/>
          <c:cat>
            <c:strRef>
              <c:f>'Energy demand'!$BL$3:$BL$10</c:f>
              <c:strCache>
                <c:ptCount val="8"/>
                <c:pt idx="0">
                  <c:v>China</c:v>
                </c:pt>
                <c:pt idx="1">
                  <c:v>United States</c:v>
                </c:pt>
                <c:pt idx="2">
                  <c:v>EU28</c:v>
                </c:pt>
                <c:pt idx="3">
                  <c:v>India</c:v>
                </c:pt>
                <c:pt idx="4">
                  <c:v>Russia</c:v>
                </c:pt>
                <c:pt idx="5">
                  <c:v>Japan</c:v>
                </c:pt>
                <c:pt idx="6">
                  <c:v>Germany </c:v>
                </c:pt>
                <c:pt idx="7">
                  <c:v>Australia</c:v>
                </c:pt>
              </c:strCache>
            </c:strRef>
          </c:cat>
          <c:val>
            <c:numRef>
              <c:f>'Energy demand'!$CL$3:$CL$10</c:f>
              <c:numCache>
                <c:formatCode>0</c:formatCode>
                <c:ptCount val="8"/>
                <c:pt idx="0">
                  <c:v>1073.4749999999999</c:v>
                </c:pt>
                <c:pt idx="1">
                  <c:v>2113.2809999999999</c:v>
                </c:pt>
                <c:pt idx="2">
                  <c:v>1705.5709999999999</c:v>
                </c:pt>
                <c:pt idx="3">
                  <c:v>382.59</c:v>
                </c:pt>
                <c:pt idx="4">
                  <c:v>630.36099999999999</c:v>
                </c:pt>
                <c:pt idx="5">
                  <c:v>503.76</c:v>
                </c:pt>
                <c:pt idx="6">
                  <c:v>347.91500000000002</c:v>
                </c:pt>
                <c:pt idx="7">
                  <c:v>98.959000000000003</c:v>
                </c:pt>
              </c:numCache>
            </c:numRef>
          </c:val>
        </c:ser>
        <c:ser>
          <c:idx val="1"/>
          <c:order val="1"/>
          <c:tx>
            <c:strRef>
              <c:f>'Energy demand'!$DF$2</c:f>
              <c:strCache>
                <c:ptCount val="1"/>
                <c:pt idx="0">
                  <c:v>2016</c:v>
                </c:pt>
              </c:strCache>
            </c:strRef>
          </c:tx>
          <c:spPr>
            <a:solidFill>
              <a:srgbClr val="005CAF"/>
            </a:solidFill>
            <a:ln>
              <a:noFill/>
            </a:ln>
            <a:effectLst/>
          </c:spPr>
          <c:invertIfNegative val="0"/>
          <c:cat>
            <c:strRef>
              <c:f>'Energy demand'!$BL$3:$BL$10</c:f>
              <c:strCache>
                <c:ptCount val="8"/>
                <c:pt idx="0">
                  <c:v>China</c:v>
                </c:pt>
                <c:pt idx="1">
                  <c:v>United States</c:v>
                </c:pt>
                <c:pt idx="2">
                  <c:v>EU28</c:v>
                </c:pt>
                <c:pt idx="3">
                  <c:v>India</c:v>
                </c:pt>
                <c:pt idx="4">
                  <c:v>Russia</c:v>
                </c:pt>
                <c:pt idx="5">
                  <c:v>Japan</c:v>
                </c:pt>
                <c:pt idx="6">
                  <c:v>Germany </c:v>
                </c:pt>
                <c:pt idx="7">
                  <c:v>Australia</c:v>
                </c:pt>
              </c:strCache>
            </c:strRef>
          </c:cat>
          <c:val>
            <c:numRef>
              <c:f>'Energy demand'!$DF$3:$DF$10</c:f>
              <c:numCache>
                <c:formatCode>0</c:formatCode>
                <c:ptCount val="8"/>
                <c:pt idx="0">
                  <c:v>2958.0070000000001</c:v>
                </c:pt>
                <c:pt idx="1">
                  <c:v>2166.623</c:v>
                </c:pt>
                <c:pt idx="2">
                  <c:v>1598.5930000000001</c:v>
                </c:pt>
                <c:pt idx="3">
                  <c:v>862.38800000000003</c:v>
                </c:pt>
                <c:pt idx="4">
                  <c:v>732.35599999999999</c:v>
                </c:pt>
                <c:pt idx="5">
                  <c:v>425.61500000000001</c:v>
                </c:pt>
                <c:pt idx="6">
                  <c:v>310.12099999999998</c:v>
                </c:pt>
                <c:pt idx="7">
                  <c:v>129.75200000000001</c:v>
                </c:pt>
              </c:numCache>
            </c:numRef>
          </c:val>
        </c:ser>
        <c:dLbls>
          <c:showLegendKey val="0"/>
          <c:showVal val="0"/>
          <c:showCatName val="0"/>
          <c:showSerName val="0"/>
          <c:showPercent val="0"/>
          <c:showBubbleSize val="0"/>
        </c:dLbls>
        <c:gapWidth val="219"/>
        <c:overlap val="-27"/>
        <c:axId val="679238384"/>
        <c:axId val="679237992"/>
      </c:barChart>
      <c:catAx>
        <c:axId val="679238384"/>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7992"/>
        <c:crosses val="autoZero"/>
        <c:auto val="1"/>
        <c:lblAlgn val="ctr"/>
        <c:lblOffset val="100"/>
        <c:noMultiLvlLbl val="0"/>
      </c:catAx>
      <c:valAx>
        <c:axId val="679237992"/>
        <c:scaling>
          <c:orientation val="minMax"/>
          <c:max val="30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Mtoe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838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7821522309711"/>
          <c:y val="6.4814814814814811E-2"/>
          <c:w val="0.83444400699912513"/>
          <c:h val="0.74569663167104117"/>
        </c:manualLayout>
      </c:layout>
      <c:barChart>
        <c:barDir val="col"/>
        <c:grouping val="stacked"/>
        <c:varyColors val="0"/>
        <c:ser>
          <c:idx val="0"/>
          <c:order val="0"/>
          <c:tx>
            <c:strRef>
              <c:f>'Monthly imports'!$O$6</c:f>
              <c:strCache>
                <c:ptCount val="1"/>
                <c:pt idx="0">
                  <c:v>Indonesia</c:v>
                </c:pt>
              </c:strCache>
            </c:strRef>
          </c:tx>
          <c:spPr>
            <a:solidFill>
              <a:srgbClr val="005CAF"/>
            </a:solidFill>
            <a:ln>
              <a:noFill/>
            </a:ln>
            <a:effectLst/>
          </c:spPr>
          <c:invertIfNegative val="0"/>
          <c:cat>
            <c:numRef>
              <c:f>'Monthly imports'!$N$21:$N$32</c:f>
              <c:numCache>
                <c:formatCode>yyyy</c:formatCode>
                <c:ptCount val="12"/>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numCache>
            </c:numRef>
          </c:cat>
          <c:val>
            <c:numRef>
              <c:f>'Monthly imports'!$O$21:$O$32</c:f>
              <c:numCache>
                <c:formatCode>0</c:formatCode>
                <c:ptCount val="12"/>
                <c:pt idx="0">
                  <c:v>69.23128265741245</c:v>
                </c:pt>
                <c:pt idx="1">
                  <c:v>64.76143180371804</c:v>
                </c:pt>
                <c:pt idx="2">
                  <c:v>63.289908952329498</c:v>
                </c:pt>
                <c:pt idx="3">
                  <c:v>79.77676548425147</c:v>
                </c:pt>
                <c:pt idx="4">
                  <c:v>77.759115331448115</c:v>
                </c:pt>
                <c:pt idx="5">
                  <c:v>82.606991173165184</c:v>
                </c:pt>
                <c:pt idx="6">
                  <c:v>77.228096576324887</c:v>
                </c:pt>
                <c:pt idx="7">
                  <c:v>73.080927553418434</c:v>
                </c:pt>
                <c:pt idx="8">
                  <c:v>65.443825932869672</c:v>
                </c:pt>
                <c:pt idx="9">
                  <c:v>64.540045003279715</c:v>
                </c:pt>
                <c:pt idx="10">
                  <c:v>62.38203430441348</c:v>
                </c:pt>
                <c:pt idx="11">
                  <c:v>69.957496508717369</c:v>
                </c:pt>
              </c:numCache>
            </c:numRef>
          </c:val>
        </c:ser>
        <c:ser>
          <c:idx val="1"/>
          <c:order val="1"/>
          <c:tx>
            <c:strRef>
              <c:f>'Monthly imports'!$P$6</c:f>
              <c:strCache>
                <c:ptCount val="1"/>
                <c:pt idx="0">
                  <c:v>South Africa</c:v>
                </c:pt>
              </c:strCache>
            </c:strRef>
          </c:tx>
          <c:spPr>
            <a:solidFill>
              <a:srgbClr val="56B4DF"/>
            </a:solidFill>
            <a:ln>
              <a:noFill/>
            </a:ln>
            <a:effectLst/>
          </c:spPr>
          <c:invertIfNegative val="0"/>
          <c:cat>
            <c:numRef>
              <c:f>'Monthly imports'!$N$21:$N$32</c:f>
              <c:numCache>
                <c:formatCode>yyyy</c:formatCode>
                <c:ptCount val="12"/>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numCache>
            </c:numRef>
          </c:cat>
          <c:val>
            <c:numRef>
              <c:f>'Monthly imports'!$P$21:$P$32</c:f>
              <c:numCache>
                <c:formatCode>0</c:formatCode>
                <c:ptCount val="12"/>
                <c:pt idx="0">
                  <c:v>23.106581502891782</c:v>
                </c:pt>
                <c:pt idx="1">
                  <c:v>32.413740434198516</c:v>
                </c:pt>
                <c:pt idx="2">
                  <c:v>32.753023626241088</c:v>
                </c:pt>
                <c:pt idx="3">
                  <c:v>18.193401909122159</c:v>
                </c:pt>
                <c:pt idx="4">
                  <c:v>18.603013425960192</c:v>
                </c:pt>
                <c:pt idx="5">
                  <c:v>14.476976043897555</c:v>
                </c:pt>
                <c:pt idx="6">
                  <c:v>17.248981535634442</c:v>
                </c:pt>
                <c:pt idx="7">
                  <c:v>20.707337865253589</c:v>
                </c:pt>
                <c:pt idx="8">
                  <c:v>25.831386926748124</c:v>
                </c:pt>
                <c:pt idx="9">
                  <c:v>24.535615853378324</c:v>
                </c:pt>
                <c:pt idx="10">
                  <c:v>20.399987504969882</c:v>
                </c:pt>
                <c:pt idx="11">
                  <c:v>16.62440143807526</c:v>
                </c:pt>
              </c:numCache>
            </c:numRef>
          </c:val>
        </c:ser>
        <c:ser>
          <c:idx val="2"/>
          <c:order val="2"/>
          <c:tx>
            <c:strRef>
              <c:f>'Monthly imports'!$Q$6</c:f>
              <c:strCache>
                <c:ptCount val="1"/>
                <c:pt idx="0">
                  <c:v>United States</c:v>
                </c:pt>
              </c:strCache>
            </c:strRef>
          </c:tx>
          <c:spPr>
            <a:solidFill>
              <a:srgbClr val="9ED9DF"/>
            </a:solidFill>
            <a:ln>
              <a:noFill/>
            </a:ln>
            <a:effectLst/>
          </c:spPr>
          <c:invertIfNegative val="0"/>
          <c:cat>
            <c:numRef>
              <c:f>'Monthly imports'!$N$21:$N$32</c:f>
              <c:numCache>
                <c:formatCode>yyyy</c:formatCode>
                <c:ptCount val="12"/>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numCache>
            </c:numRef>
          </c:cat>
          <c:val>
            <c:numRef>
              <c:f>'Monthly imports'!$Q$21:$Q$32</c:f>
              <c:numCache>
                <c:formatCode>0</c:formatCode>
                <c:ptCount val="12"/>
                <c:pt idx="0">
                  <c:v>0.37675765412181533</c:v>
                </c:pt>
                <c:pt idx="1">
                  <c:v>0.17772261852906102</c:v>
                </c:pt>
                <c:pt idx="2">
                  <c:v>0</c:v>
                </c:pt>
                <c:pt idx="3">
                  <c:v>0.67667496941846972</c:v>
                </c:pt>
                <c:pt idx="4">
                  <c:v>1.4796762093456228</c:v>
                </c:pt>
                <c:pt idx="5">
                  <c:v>0.55588243268678827</c:v>
                </c:pt>
                <c:pt idx="6">
                  <c:v>0.5729438401412339</c:v>
                </c:pt>
                <c:pt idx="7">
                  <c:v>1.3010861544215713</c:v>
                </c:pt>
                <c:pt idx="8">
                  <c:v>1.6774793946562954</c:v>
                </c:pt>
                <c:pt idx="9">
                  <c:v>4.6908991944484484</c:v>
                </c:pt>
                <c:pt idx="10">
                  <c:v>7.203174871881858</c:v>
                </c:pt>
                <c:pt idx="11">
                  <c:v>3.0742652432114119</c:v>
                </c:pt>
              </c:numCache>
            </c:numRef>
          </c:val>
        </c:ser>
        <c:ser>
          <c:idx val="3"/>
          <c:order val="3"/>
          <c:tx>
            <c:strRef>
              <c:f>'Monthly imports'!$R$6</c:f>
              <c:strCache>
                <c:ptCount val="1"/>
                <c:pt idx="0">
                  <c:v>Australia</c:v>
                </c:pt>
              </c:strCache>
            </c:strRef>
          </c:tx>
          <c:spPr>
            <a:solidFill>
              <a:srgbClr val="BCBFC1"/>
            </a:solidFill>
            <a:ln>
              <a:noFill/>
            </a:ln>
            <a:effectLst/>
          </c:spPr>
          <c:invertIfNegative val="0"/>
          <c:cat>
            <c:numRef>
              <c:f>'Monthly imports'!$N$21:$N$32</c:f>
              <c:numCache>
                <c:formatCode>yyyy</c:formatCode>
                <c:ptCount val="12"/>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numCache>
            </c:numRef>
          </c:cat>
          <c:val>
            <c:numRef>
              <c:f>'Monthly imports'!$R$21:$R$32</c:f>
              <c:numCache>
                <c:formatCode>0</c:formatCode>
                <c:ptCount val="12"/>
                <c:pt idx="0">
                  <c:v>0</c:v>
                </c:pt>
                <c:pt idx="1">
                  <c:v>0</c:v>
                </c:pt>
                <c:pt idx="2">
                  <c:v>0</c:v>
                </c:pt>
                <c:pt idx="3">
                  <c:v>1.3078176277409344</c:v>
                </c:pt>
                <c:pt idx="4">
                  <c:v>1.6733593137668836</c:v>
                </c:pt>
                <c:pt idx="5">
                  <c:v>1.2186587794350694</c:v>
                </c:pt>
                <c:pt idx="6">
                  <c:v>3.7721000392178219</c:v>
                </c:pt>
                <c:pt idx="7">
                  <c:v>3.1272107038699466</c:v>
                </c:pt>
                <c:pt idx="8">
                  <c:v>3.2491465239886441</c:v>
                </c:pt>
                <c:pt idx="9">
                  <c:v>2.5886597915957856</c:v>
                </c:pt>
                <c:pt idx="10">
                  <c:v>4.4874854992120303</c:v>
                </c:pt>
                <c:pt idx="11">
                  <c:v>3.5311090502166853</c:v>
                </c:pt>
              </c:numCache>
            </c:numRef>
          </c:val>
        </c:ser>
        <c:ser>
          <c:idx val="4"/>
          <c:order val="4"/>
          <c:tx>
            <c:strRef>
              <c:f>'Monthly imports'!$S$6</c:f>
              <c:strCache>
                <c:ptCount val="1"/>
                <c:pt idx="0">
                  <c:v>Rest of world</c:v>
                </c:pt>
              </c:strCache>
            </c:strRef>
          </c:tx>
          <c:spPr>
            <a:solidFill>
              <a:srgbClr val="51B7A4"/>
            </a:solidFill>
            <a:ln>
              <a:noFill/>
            </a:ln>
            <a:effectLst/>
          </c:spPr>
          <c:invertIfNegative val="0"/>
          <c:cat>
            <c:numRef>
              <c:f>'Monthly imports'!$N$21:$N$32</c:f>
              <c:numCache>
                <c:formatCode>yyyy</c:formatCode>
                <c:ptCount val="12"/>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numCache>
            </c:numRef>
          </c:cat>
          <c:val>
            <c:numRef>
              <c:f>'Monthly imports'!$S$21:$S$32</c:f>
              <c:numCache>
                <c:formatCode>0</c:formatCode>
                <c:ptCount val="12"/>
                <c:pt idx="0">
                  <c:v>7.2853781855739497</c:v>
                </c:pt>
                <c:pt idx="1">
                  <c:v>2.6471051435543917</c:v>
                </c:pt>
                <c:pt idx="2">
                  <c:v>3.9570674214294255</c:v>
                </c:pt>
                <c:pt idx="3">
                  <c:v>4.5340009466981017E-2</c:v>
                </c:pt>
                <c:pt idx="4">
                  <c:v>0.48483571947918391</c:v>
                </c:pt>
                <c:pt idx="5">
                  <c:v>1.141491570815411</c:v>
                </c:pt>
                <c:pt idx="6">
                  <c:v>1.1778780086816063</c:v>
                </c:pt>
                <c:pt idx="7">
                  <c:v>1.7834377230364513</c:v>
                </c:pt>
                <c:pt idx="8">
                  <c:v>3.7981612217372431</c:v>
                </c:pt>
                <c:pt idx="9">
                  <c:v>3.6447801572977214</c:v>
                </c:pt>
                <c:pt idx="10">
                  <c:v>5.527317819522751</c:v>
                </c:pt>
                <c:pt idx="11">
                  <c:v>6.8127277597792828</c:v>
                </c:pt>
              </c:numCache>
            </c:numRef>
          </c:val>
        </c:ser>
        <c:dLbls>
          <c:showLegendKey val="0"/>
          <c:showVal val="0"/>
          <c:showCatName val="0"/>
          <c:showSerName val="0"/>
          <c:showPercent val="0"/>
          <c:showBubbleSize val="0"/>
        </c:dLbls>
        <c:gapWidth val="150"/>
        <c:overlap val="100"/>
        <c:axId val="672858152"/>
        <c:axId val="672858936"/>
      </c:barChart>
      <c:dateAx>
        <c:axId val="672858152"/>
        <c:scaling>
          <c:orientation val="minMax"/>
        </c:scaling>
        <c:delete val="0"/>
        <c:axPos val="b"/>
        <c:numFmt formatCode="yyyy"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2858936"/>
        <c:crosses val="autoZero"/>
        <c:auto val="1"/>
        <c:lblOffset val="100"/>
        <c:baseTimeUnit val="years"/>
      </c:dateAx>
      <c:valAx>
        <c:axId val="672858936"/>
        <c:scaling>
          <c:orientation val="minMax"/>
          <c:max val="1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2858152"/>
        <c:crosses val="autoZero"/>
        <c:crossBetween val="between"/>
      </c:valAx>
      <c:spPr>
        <a:noFill/>
        <a:ln w="25400">
          <a:noFill/>
        </a:ln>
        <a:effectLst/>
      </c:spPr>
    </c:plotArea>
    <c:legend>
      <c:legendPos val="b"/>
      <c:layout>
        <c:manualLayout>
          <c:xMode val="edge"/>
          <c:yMode val="edge"/>
          <c:x val="0.10975046869141357"/>
          <c:y val="0.90713521071874748"/>
          <c:w val="0.78526096737907758"/>
          <c:h val="9.286478928125251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v>Thermal coal</c:v>
          </c:tx>
          <c:spPr>
            <a:solidFill>
              <a:srgbClr val="005CAF"/>
            </a:solidFill>
            <a:ln w="25400">
              <a:noFill/>
            </a:ln>
            <a:effectLst/>
          </c:spPr>
          <c:cat>
            <c:strRef>
              <c:f>'[Coal in India data.xlsx]IEA historical'!$B$3:$AO$3</c:f>
              <c:strCache>
                <c:ptCount val="40"/>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strCache>
            </c:strRef>
          </c:cat>
          <c:val>
            <c:numRef>
              <c:f>'[Coal in India data.xlsx]IEA historical'!$B$11:$AO$11</c:f>
              <c:numCache>
                <c:formatCode>#,##0</c:formatCode>
                <c:ptCount val="40"/>
                <c:pt idx="0">
                  <c:v>73272</c:v>
                </c:pt>
                <c:pt idx="1">
                  <c:v>81874</c:v>
                </c:pt>
                <c:pt idx="2">
                  <c:v>87296</c:v>
                </c:pt>
                <c:pt idx="3">
                  <c:v>97356</c:v>
                </c:pt>
                <c:pt idx="4">
                  <c:v>99495</c:v>
                </c:pt>
                <c:pt idx="5">
                  <c:v>107410</c:v>
                </c:pt>
                <c:pt idx="6">
                  <c:v>115349</c:v>
                </c:pt>
                <c:pt idx="7">
                  <c:v>120167</c:v>
                </c:pt>
                <c:pt idx="8">
                  <c:v>126090</c:v>
                </c:pt>
                <c:pt idx="9">
                  <c:v>135324</c:v>
                </c:pt>
                <c:pt idx="10">
                  <c:v>146454</c:v>
                </c:pt>
                <c:pt idx="11">
                  <c:v>154162</c:v>
                </c:pt>
                <c:pt idx="12">
                  <c:v>166231</c:v>
                </c:pt>
                <c:pt idx="13">
                  <c:v>182954</c:v>
                </c:pt>
                <c:pt idx="14">
                  <c:v>192624</c:v>
                </c:pt>
                <c:pt idx="15">
                  <c:v>203329</c:v>
                </c:pt>
                <c:pt idx="16">
                  <c:v>212662</c:v>
                </c:pt>
                <c:pt idx="17">
                  <c:v>233168</c:v>
                </c:pt>
                <c:pt idx="18">
                  <c:v>248737</c:v>
                </c:pt>
                <c:pt idx="19">
                  <c:v>257256</c:v>
                </c:pt>
                <c:pt idx="20">
                  <c:v>259900</c:v>
                </c:pt>
                <c:pt idx="21">
                  <c:v>283229</c:v>
                </c:pt>
                <c:pt idx="22">
                  <c:v>296333</c:v>
                </c:pt>
                <c:pt idx="23">
                  <c:v>309929</c:v>
                </c:pt>
                <c:pt idx="24">
                  <c:v>321055</c:v>
                </c:pt>
                <c:pt idx="25">
                  <c:v>331307</c:v>
                </c:pt>
                <c:pt idx="26">
                  <c:v>370941</c:v>
                </c:pt>
                <c:pt idx="27">
                  <c:v>394230</c:v>
                </c:pt>
                <c:pt idx="28">
                  <c:v>421329</c:v>
                </c:pt>
                <c:pt idx="29">
                  <c:v>456808</c:v>
                </c:pt>
                <c:pt idx="30">
                  <c:v>495987</c:v>
                </c:pt>
                <c:pt idx="31">
                  <c:v>553355</c:v>
                </c:pt>
                <c:pt idx="32">
                  <c:v>570781</c:v>
                </c:pt>
                <c:pt idx="33">
                  <c:v>591334</c:v>
                </c:pt>
                <c:pt idx="34">
                  <c:v>647361</c:v>
                </c:pt>
                <c:pt idx="35">
                  <c:v>668344</c:v>
                </c:pt>
                <c:pt idx="36">
                  <c:v>744936</c:v>
                </c:pt>
                <c:pt idx="37">
                  <c:v>745153</c:v>
                </c:pt>
                <c:pt idx="38">
                  <c:v>755004</c:v>
                </c:pt>
                <c:pt idx="39">
                  <c:v>805639</c:v>
                </c:pt>
              </c:numCache>
            </c:numRef>
          </c:val>
        </c:ser>
        <c:ser>
          <c:idx val="0"/>
          <c:order val="1"/>
          <c:tx>
            <c:v>Metallurgical coal</c:v>
          </c:tx>
          <c:spPr>
            <a:solidFill>
              <a:srgbClr val="56B4DF"/>
            </a:solidFill>
            <a:ln>
              <a:noFill/>
            </a:ln>
            <a:effectLst/>
          </c:spPr>
          <c:cat>
            <c:strRef>
              <c:f>'[Coal in India data.xlsx]IEA historical'!$B$3:$AO$3</c:f>
              <c:strCache>
                <c:ptCount val="40"/>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strCache>
            </c:strRef>
          </c:cat>
          <c:val>
            <c:numRef>
              <c:f>'[Coal in India data.xlsx]IEA historical'!$B$18:$AO$18</c:f>
              <c:numCache>
                <c:formatCode>General</c:formatCode>
                <c:ptCount val="40"/>
                <c:pt idx="0">
                  <c:v>15757</c:v>
                </c:pt>
                <c:pt idx="1">
                  <c:v>15661</c:v>
                </c:pt>
                <c:pt idx="2">
                  <c:v>15441</c:v>
                </c:pt>
                <c:pt idx="3">
                  <c:v>18096</c:v>
                </c:pt>
                <c:pt idx="4">
                  <c:v>23072</c:v>
                </c:pt>
                <c:pt idx="5">
                  <c:v>22399</c:v>
                </c:pt>
                <c:pt idx="6">
                  <c:v>25589</c:v>
                </c:pt>
                <c:pt idx="7">
                  <c:v>28149</c:v>
                </c:pt>
                <c:pt idx="8">
                  <c:v>32516</c:v>
                </c:pt>
                <c:pt idx="9">
                  <c:v>35573</c:v>
                </c:pt>
                <c:pt idx="10">
                  <c:v>35678</c:v>
                </c:pt>
                <c:pt idx="11">
                  <c:v>40238</c:v>
                </c:pt>
                <c:pt idx="12">
                  <c:v>39491</c:v>
                </c:pt>
                <c:pt idx="13">
                  <c:v>38672</c:v>
                </c:pt>
                <c:pt idx="14">
                  <c:v>42700</c:v>
                </c:pt>
                <c:pt idx="15">
                  <c:v>42104</c:v>
                </c:pt>
                <c:pt idx="16">
                  <c:v>45095</c:v>
                </c:pt>
                <c:pt idx="17">
                  <c:v>39409</c:v>
                </c:pt>
                <c:pt idx="18">
                  <c:v>38679</c:v>
                </c:pt>
                <c:pt idx="19">
                  <c:v>40925</c:v>
                </c:pt>
                <c:pt idx="20">
                  <c:v>41427</c:v>
                </c:pt>
                <c:pt idx="21">
                  <c:v>39374</c:v>
                </c:pt>
                <c:pt idx="22">
                  <c:v>35852</c:v>
                </c:pt>
                <c:pt idx="23">
                  <c:v>33878</c:v>
                </c:pt>
                <c:pt idx="24">
                  <c:v>36306</c:v>
                </c:pt>
                <c:pt idx="25">
                  <c:v>35381</c:v>
                </c:pt>
                <c:pt idx="26">
                  <c:v>38172</c:v>
                </c:pt>
                <c:pt idx="27">
                  <c:v>39041</c:v>
                </c:pt>
                <c:pt idx="28">
                  <c:v>41016</c:v>
                </c:pt>
                <c:pt idx="29">
                  <c:v>46010</c:v>
                </c:pt>
                <c:pt idx="30">
                  <c:v>52245</c:v>
                </c:pt>
                <c:pt idx="31">
                  <c:v>62385</c:v>
                </c:pt>
                <c:pt idx="32">
                  <c:v>74558</c:v>
                </c:pt>
                <c:pt idx="33">
                  <c:v>80504</c:v>
                </c:pt>
                <c:pt idx="34">
                  <c:v>81817</c:v>
                </c:pt>
                <c:pt idx="35">
                  <c:v>93979</c:v>
                </c:pt>
                <c:pt idx="36">
                  <c:v>103555</c:v>
                </c:pt>
                <c:pt idx="37">
                  <c:v>98635</c:v>
                </c:pt>
                <c:pt idx="38">
                  <c:v>101688</c:v>
                </c:pt>
                <c:pt idx="39">
                  <c:v>88515</c:v>
                </c:pt>
              </c:numCache>
            </c:numRef>
          </c:val>
        </c:ser>
        <c:ser>
          <c:idx val="2"/>
          <c:order val="2"/>
          <c:tx>
            <c:v>Lignite</c:v>
          </c:tx>
          <c:spPr>
            <a:solidFill>
              <a:srgbClr val="9ED9DF"/>
            </a:solidFill>
            <a:ln w="25400">
              <a:noFill/>
            </a:ln>
            <a:effectLst/>
          </c:spPr>
          <c:cat>
            <c:strRef>
              <c:f>'[Coal in India data.xlsx]IEA historical'!$B$3:$AO$3</c:f>
              <c:strCache>
                <c:ptCount val="40"/>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strCache>
            </c:strRef>
          </c:cat>
          <c:val>
            <c:numRef>
              <c:f>'[Coal in India data.xlsx]IEA historical'!$B$23:$AO$23</c:f>
              <c:numCache>
                <c:formatCode>General</c:formatCode>
                <c:ptCount val="40"/>
                <c:pt idx="0">
                  <c:v>3074</c:v>
                </c:pt>
                <c:pt idx="1">
                  <c:v>3317</c:v>
                </c:pt>
                <c:pt idx="2">
                  <c:v>5059</c:v>
                </c:pt>
                <c:pt idx="3">
                  <c:v>5973</c:v>
                </c:pt>
                <c:pt idx="4">
                  <c:v>6830</c:v>
                </c:pt>
                <c:pt idx="5">
                  <c:v>7625</c:v>
                </c:pt>
                <c:pt idx="6">
                  <c:v>7867</c:v>
                </c:pt>
                <c:pt idx="7">
                  <c:v>7913</c:v>
                </c:pt>
                <c:pt idx="8">
                  <c:v>9721</c:v>
                </c:pt>
                <c:pt idx="9">
                  <c:v>11128</c:v>
                </c:pt>
                <c:pt idx="10">
                  <c:v>12255</c:v>
                </c:pt>
                <c:pt idx="11">
                  <c:v>12043</c:v>
                </c:pt>
                <c:pt idx="12">
                  <c:v>14985</c:v>
                </c:pt>
                <c:pt idx="13">
                  <c:v>15880</c:v>
                </c:pt>
                <c:pt idx="14">
                  <c:v>15725</c:v>
                </c:pt>
                <c:pt idx="15">
                  <c:v>17978</c:v>
                </c:pt>
                <c:pt idx="16">
                  <c:v>20088</c:v>
                </c:pt>
                <c:pt idx="17">
                  <c:v>22298</c:v>
                </c:pt>
                <c:pt idx="18">
                  <c:v>22466</c:v>
                </c:pt>
                <c:pt idx="19">
                  <c:v>23224</c:v>
                </c:pt>
                <c:pt idx="20">
                  <c:v>23275</c:v>
                </c:pt>
                <c:pt idx="21">
                  <c:v>21504</c:v>
                </c:pt>
                <c:pt idx="22">
                  <c:v>24824</c:v>
                </c:pt>
                <c:pt idx="23">
                  <c:v>24578</c:v>
                </c:pt>
                <c:pt idx="24">
                  <c:v>26010</c:v>
                </c:pt>
                <c:pt idx="25">
                  <c:v>28486</c:v>
                </c:pt>
                <c:pt idx="26">
                  <c:v>30028</c:v>
                </c:pt>
                <c:pt idx="27">
                  <c:v>30239</c:v>
                </c:pt>
                <c:pt idx="28">
                  <c:v>30808</c:v>
                </c:pt>
                <c:pt idx="29">
                  <c:v>34654</c:v>
                </c:pt>
                <c:pt idx="30">
                  <c:v>31846</c:v>
                </c:pt>
                <c:pt idx="31">
                  <c:v>34409</c:v>
                </c:pt>
                <c:pt idx="32">
                  <c:v>37688</c:v>
                </c:pt>
                <c:pt idx="33">
                  <c:v>41891</c:v>
                </c:pt>
                <c:pt idx="34">
                  <c:v>45942</c:v>
                </c:pt>
                <c:pt idx="35">
                  <c:v>43902</c:v>
                </c:pt>
                <c:pt idx="36">
                  <c:v>46951</c:v>
                </c:pt>
                <c:pt idx="37">
                  <c:v>42208</c:v>
                </c:pt>
                <c:pt idx="38">
                  <c:v>45229</c:v>
                </c:pt>
                <c:pt idx="39">
                  <c:v>47452</c:v>
                </c:pt>
              </c:numCache>
            </c:numRef>
          </c:val>
        </c:ser>
        <c:dLbls>
          <c:showLegendKey val="0"/>
          <c:showVal val="0"/>
          <c:showCatName val="0"/>
          <c:showSerName val="0"/>
          <c:showPercent val="0"/>
          <c:showBubbleSize val="0"/>
        </c:dLbls>
        <c:axId val="672857368"/>
        <c:axId val="674264256"/>
      </c:areaChart>
      <c:catAx>
        <c:axId val="67285736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4264256"/>
        <c:crosses val="autoZero"/>
        <c:auto val="1"/>
        <c:lblAlgn val="ctr"/>
        <c:lblOffset val="100"/>
        <c:tickLblSkip val="5"/>
        <c:tickMarkSkip val="5"/>
        <c:noMultiLvlLbl val="0"/>
      </c:catAx>
      <c:valAx>
        <c:axId val="674264256"/>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Million tonnes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2857368"/>
        <c:crosses val="autoZero"/>
        <c:crossBetween val="midCat"/>
        <c:majorUnit val="200000"/>
        <c:dispUnits>
          <c:builtInUnit val="thousands"/>
        </c:dispUnits>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75747471067912E-2"/>
          <c:y val="9.8645155768572426E-2"/>
          <c:w val="0.80801692493064703"/>
          <c:h val="0.7019406881205067"/>
        </c:manualLayout>
      </c:layout>
      <c:areaChart>
        <c:grouping val="stacked"/>
        <c:varyColors val="0"/>
        <c:ser>
          <c:idx val="0"/>
          <c:order val="0"/>
          <c:tx>
            <c:v>Installed capacity</c:v>
          </c:tx>
          <c:spPr>
            <a:solidFill>
              <a:srgbClr val="005CAF"/>
            </a:solidFill>
            <a:ln>
              <a:noFill/>
            </a:ln>
            <a:effectLst/>
          </c:spPr>
          <c:cat>
            <c:numRef>
              <c:f>'Platts WEPP'!$A$24:$A$52</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'Platts WEPP'!$B$24:$B$52</c:f>
              <c:numCache>
                <c:formatCode>#,##0</c:formatCode>
                <c:ptCount val="29"/>
                <c:pt idx="0">
                  <c:v>36456.65</c:v>
                </c:pt>
                <c:pt idx="1">
                  <c:v>38750</c:v>
                </c:pt>
                <c:pt idx="2">
                  <c:v>40615</c:v>
                </c:pt>
                <c:pt idx="3">
                  <c:v>42058.5</c:v>
                </c:pt>
                <c:pt idx="4">
                  <c:v>45073.2</c:v>
                </c:pt>
                <c:pt idx="5">
                  <c:v>47104.45</c:v>
                </c:pt>
                <c:pt idx="6">
                  <c:v>48969.85</c:v>
                </c:pt>
                <c:pt idx="7">
                  <c:v>51222.25</c:v>
                </c:pt>
                <c:pt idx="8">
                  <c:v>52946.33</c:v>
                </c:pt>
                <c:pt idx="9">
                  <c:v>55790.83</c:v>
                </c:pt>
                <c:pt idx="10">
                  <c:v>57559.33</c:v>
                </c:pt>
                <c:pt idx="11">
                  <c:v>58790.83</c:v>
                </c:pt>
                <c:pt idx="12">
                  <c:v>60257.83</c:v>
                </c:pt>
                <c:pt idx="13">
                  <c:v>62703.83</c:v>
                </c:pt>
                <c:pt idx="14">
                  <c:v>63499.33</c:v>
                </c:pt>
                <c:pt idx="15">
                  <c:v>66964.33</c:v>
                </c:pt>
                <c:pt idx="16">
                  <c:v>69579.33</c:v>
                </c:pt>
                <c:pt idx="17">
                  <c:v>73117.98</c:v>
                </c:pt>
                <c:pt idx="18">
                  <c:v>80196.73</c:v>
                </c:pt>
                <c:pt idx="19">
                  <c:v>87137.93</c:v>
                </c:pt>
                <c:pt idx="20">
                  <c:v>98336.37999999999</c:v>
                </c:pt>
                <c:pt idx="21">
                  <c:v>113836.65</c:v>
                </c:pt>
                <c:pt idx="22">
                  <c:v>133871.65</c:v>
                </c:pt>
                <c:pt idx="23">
                  <c:v>152336.65</c:v>
                </c:pt>
                <c:pt idx="24">
                  <c:v>171732.65</c:v>
                </c:pt>
                <c:pt idx="25">
                  <c:v>188469.15</c:v>
                </c:pt>
                <c:pt idx="26">
                  <c:v>208438.15</c:v>
                </c:pt>
                <c:pt idx="27">
                  <c:v>219630.15</c:v>
                </c:pt>
                <c:pt idx="28">
                  <c:v>225333.75</c:v>
                </c:pt>
              </c:numCache>
            </c:numRef>
          </c:val>
        </c:ser>
        <c:dLbls>
          <c:showLegendKey val="0"/>
          <c:showVal val="0"/>
          <c:showCatName val="0"/>
          <c:showSerName val="0"/>
          <c:showPercent val="0"/>
          <c:showBubbleSize val="0"/>
        </c:dLbls>
        <c:axId val="674263080"/>
        <c:axId val="674263864"/>
      </c:areaChart>
      <c:lineChart>
        <c:grouping val="standard"/>
        <c:varyColors val="0"/>
        <c:ser>
          <c:idx val="1"/>
          <c:order val="1"/>
          <c:tx>
            <c:v>Growth in capacity (rhs)</c:v>
          </c:tx>
          <c:spPr>
            <a:ln w="28575" cap="rnd" cmpd="sng" algn="ctr">
              <a:solidFill>
                <a:srgbClr val="F36A5A"/>
              </a:solidFill>
              <a:prstDash val="solid"/>
              <a:round/>
              <a:headEnd type="none" w="med" len="med"/>
              <a:tailEnd type="none" w="med" len="med"/>
            </a:ln>
            <a:effectLst/>
          </c:spPr>
          <c:marker>
            <c:symbol val="none"/>
          </c:marker>
          <c:cat>
            <c:numRef>
              <c:f>'Platts WEPP'!$A$24:$A$52</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'Platts WEPP'!$C$24:$C$52</c:f>
              <c:numCache>
                <c:formatCode>General</c:formatCode>
                <c:ptCount val="29"/>
                <c:pt idx="0">
                  <c:v>6.619746937617621</c:v>
                </c:pt>
                <c:pt idx="1">
                  <c:v>6.2906218755700127</c:v>
                </c:pt>
                <c:pt idx="2">
                  <c:v>4.812903225806453</c:v>
                </c:pt>
                <c:pt idx="3">
                  <c:v>3.5541056260002479</c:v>
                </c:pt>
                <c:pt idx="4">
                  <c:v>7.1678733193052402</c:v>
                </c:pt>
                <c:pt idx="5">
                  <c:v>4.5065582208496435</c:v>
                </c:pt>
                <c:pt idx="6">
                  <c:v>3.9601354012200662</c:v>
                </c:pt>
                <c:pt idx="7">
                  <c:v>4.5995648342806783</c:v>
                </c:pt>
                <c:pt idx="8">
                  <c:v>3.3658810380254645</c:v>
                </c:pt>
                <c:pt idx="9">
                  <c:v>5.3724214690612282</c:v>
                </c:pt>
                <c:pt idx="10">
                  <c:v>3.1698757663221722</c:v>
                </c:pt>
                <c:pt idx="11">
                  <c:v>2.1395315060130038</c:v>
                </c:pt>
                <c:pt idx="12">
                  <c:v>2.4952871051488801</c:v>
                </c:pt>
                <c:pt idx="13">
                  <c:v>4.0592235067210325</c:v>
                </c:pt>
                <c:pt idx="14">
                  <c:v>1.2686625362438031</c:v>
                </c:pt>
                <c:pt idx="15">
                  <c:v>5.4567504885484563</c:v>
                </c:pt>
                <c:pt idx="16">
                  <c:v>3.9050640841176154</c:v>
                </c:pt>
                <c:pt idx="17">
                  <c:v>5.0857776296494794</c:v>
                </c:pt>
                <c:pt idx="18">
                  <c:v>9.6812712823849836</c:v>
                </c:pt>
                <c:pt idx="19">
                  <c:v>8.6552157425870071</c:v>
                </c:pt>
                <c:pt idx="20">
                  <c:v>12.851406959059041</c:v>
                </c:pt>
                <c:pt idx="21">
                  <c:v>15.762498070398777</c:v>
                </c:pt>
                <c:pt idx="22">
                  <c:v>17.599780035691492</c:v>
                </c:pt>
                <c:pt idx="23">
                  <c:v>13.793062235357523</c:v>
                </c:pt>
                <c:pt idx="24">
                  <c:v>12.732326725052712</c:v>
                </c:pt>
                <c:pt idx="25">
                  <c:v>9.7456715423654074</c:v>
                </c:pt>
                <c:pt idx="26">
                  <c:v>10.595367995239545</c:v>
                </c:pt>
                <c:pt idx="27">
                  <c:v>5.3694585180304122</c:v>
                </c:pt>
                <c:pt idx="28">
                  <c:v>2.5969112164245134</c:v>
                </c:pt>
              </c:numCache>
            </c:numRef>
          </c:val>
          <c:smooth val="1"/>
        </c:ser>
        <c:dLbls>
          <c:showLegendKey val="0"/>
          <c:showVal val="0"/>
          <c:showCatName val="0"/>
          <c:showSerName val="0"/>
          <c:showPercent val="0"/>
          <c:showBubbleSize val="0"/>
        </c:dLbls>
        <c:marker val="1"/>
        <c:smooth val="0"/>
        <c:axId val="409938256"/>
        <c:axId val="409937080"/>
      </c:lineChart>
      <c:catAx>
        <c:axId val="674263080"/>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4263864"/>
        <c:crosses val="autoZero"/>
        <c:auto val="1"/>
        <c:lblAlgn val="ctr"/>
        <c:lblOffset val="100"/>
        <c:tickLblSkip val="5"/>
        <c:tickMarkSkip val="5"/>
        <c:noMultiLvlLbl val="0"/>
      </c:catAx>
      <c:valAx>
        <c:axId val="67426386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GW</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4263080"/>
        <c:crosses val="autoZero"/>
        <c:crossBetween val="between"/>
        <c:dispUnits>
          <c:builtInUnit val="thousands"/>
        </c:dispUnits>
      </c:valAx>
      <c:valAx>
        <c:axId val="409937080"/>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09938256"/>
        <c:crosses val="max"/>
        <c:crossBetween val="between"/>
        <c:majorUnit val="4"/>
      </c:valAx>
      <c:catAx>
        <c:axId val="409938256"/>
        <c:scaling>
          <c:orientation val="minMax"/>
        </c:scaling>
        <c:delete val="1"/>
        <c:axPos val="b"/>
        <c:numFmt formatCode="General" sourceLinked="1"/>
        <c:majorTickMark val="out"/>
        <c:minorTickMark val="none"/>
        <c:tickLblPos val="nextTo"/>
        <c:crossAx val="409937080"/>
        <c:crosses val="autoZero"/>
        <c:auto val="1"/>
        <c:lblAlgn val="ctr"/>
        <c:lblOffset val="100"/>
        <c:noMultiLvlLbl val="0"/>
      </c:cat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5CAF"/>
              </a:solidFill>
              <a:prstDash val="solid"/>
              <a:round/>
            </a:ln>
            <a:effectLst/>
          </c:spPr>
          <c:marker>
            <c:symbol val="none"/>
          </c:marker>
          <c:cat>
            <c:numRef>
              <c:f>'Coal generation and capacity'!$F$9:$F$20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'Coal generation and capacity'!$G$9:$G$20</c:f>
              <c:numCache>
                <c:formatCode>0.0</c:formatCode>
                <c:ptCount val="12"/>
                <c:pt idx="0">
                  <c:v>77.5</c:v>
                </c:pt>
                <c:pt idx="1">
                  <c:v>78.395833333333343</c:v>
                </c:pt>
                <c:pt idx="2">
                  <c:v>75.413333333333341</c:v>
                </c:pt>
                <c:pt idx="3">
                  <c:v>74.767499999999998</c:v>
                </c:pt>
                <c:pt idx="4">
                  <c:v>71.566666666666677</c:v>
                </c:pt>
                <c:pt idx="5">
                  <c:v>67.210833333333341</c:v>
                </c:pt>
                <c:pt idx="6">
                  <c:v>65.717500000000001</c:v>
                </c:pt>
                <c:pt idx="7">
                  <c:v>62.053333333333327</c:v>
                </c:pt>
                <c:pt idx="8">
                  <c:v>60.541666666666657</c:v>
                </c:pt>
                <c:pt idx="9">
                  <c:v>59.930000000000007</c:v>
                </c:pt>
                <c:pt idx="10">
                  <c:v>61.718333333333334</c:v>
                </c:pt>
                <c:pt idx="11">
                  <c:v>62.353999999999999</c:v>
                </c:pt>
              </c:numCache>
            </c:numRef>
          </c:val>
          <c:smooth val="0"/>
        </c:ser>
        <c:dLbls>
          <c:showLegendKey val="0"/>
          <c:showVal val="0"/>
          <c:showCatName val="0"/>
          <c:showSerName val="0"/>
          <c:showPercent val="0"/>
          <c:showBubbleSize val="0"/>
        </c:dLbls>
        <c:smooth val="0"/>
        <c:axId val="409938648"/>
        <c:axId val="409937864"/>
      </c:lineChart>
      <c:catAx>
        <c:axId val="409938648"/>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09937864"/>
        <c:crosses val="autoZero"/>
        <c:auto val="1"/>
        <c:lblAlgn val="ctr"/>
        <c:lblOffset val="100"/>
        <c:tickLblSkip val="2"/>
        <c:tickMarkSkip val="2"/>
        <c:noMultiLvlLbl val="0"/>
      </c:catAx>
      <c:valAx>
        <c:axId val="409937864"/>
        <c:scaling>
          <c:orientation val="minMax"/>
          <c:min val="5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09938648"/>
        <c:crosses val="autoZero"/>
        <c:crossBetween val="midCat"/>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4729262278681"/>
          <c:y val="3.28317326307783E-2"/>
          <c:w val="0.84656584365579723"/>
          <c:h val="0.83967342910356446"/>
        </c:manualLayout>
      </c:layout>
      <c:barChart>
        <c:barDir val="col"/>
        <c:grouping val="clustered"/>
        <c:varyColors val="0"/>
        <c:ser>
          <c:idx val="0"/>
          <c:order val="0"/>
          <c:tx>
            <c:strRef>
              <c:f>IEA!$C$21</c:f>
              <c:strCache>
                <c:ptCount val="1"/>
                <c:pt idx="0">
                  <c:v>Current Policies</c:v>
                </c:pt>
              </c:strCache>
            </c:strRef>
          </c:tx>
          <c:spPr>
            <a:solidFill>
              <a:srgbClr val="005CAF"/>
            </a:solidFill>
            <a:ln>
              <a:noFill/>
            </a:ln>
            <a:effectLst/>
          </c:spPr>
          <c:invertIfNegative val="0"/>
          <c:cat>
            <c:strRef>
              <c:f>IEA!$A$22:$A$27</c:f>
              <c:strCache>
                <c:ptCount val="6"/>
                <c:pt idx="0">
                  <c:v>Coal</c:v>
                </c:pt>
                <c:pt idx="1">
                  <c:v>Oil</c:v>
                </c:pt>
                <c:pt idx="2">
                  <c:v>Gas</c:v>
                </c:pt>
                <c:pt idx="3">
                  <c:v>Nuclear</c:v>
                </c:pt>
                <c:pt idx="4">
                  <c:v>Renewables</c:v>
                </c:pt>
                <c:pt idx="5">
                  <c:v>Total</c:v>
                </c:pt>
              </c:strCache>
            </c:strRef>
          </c:cat>
          <c:val>
            <c:numRef>
              <c:f>IEA!$C$22:$C$27</c:f>
              <c:numCache>
                <c:formatCode>0</c:formatCode>
                <c:ptCount val="6"/>
                <c:pt idx="0">
                  <c:v>609</c:v>
                </c:pt>
                <c:pt idx="1">
                  <c:v>246</c:v>
                </c:pt>
                <c:pt idx="2">
                  <c:v>96</c:v>
                </c:pt>
                <c:pt idx="3">
                  <c:v>45</c:v>
                </c:pt>
                <c:pt idx="4">
                  <c:v>131</c:v>
                </c:pt>
                <c:pt idx="5">
                  <c:v>1127</c:v>
                </c:pt>
              </c:numCache>
            </c:numRef>
          </c:val>
        </c:ser>
        <c:ser>
          <c:idx val="1"/>
          <c:order val="1"/>
          <c:tx>
            <c:strRef>
              <c:f>IEA!$D$21</c:f>
              <c:strCache>
                <c:ptCount val="1"/>
                <c:pt idx="0">
                  <c:v>New Policies</c:v>
                </c:pt>
              </c:strCache>
            </c:strRef>
          </c:tx>
          <c:spPr>
            <a:solidFill>
              <a:srgbClr val="56B4DF"/>
            </a:solidFill>
            <a:ln>
              <a:noFill/>
            </a:ln>
            <a:effectLst/>
          </c:spPr>
          <c:invertIfNegative val="0"/>
          <c:cat>
            <c:strRef>
              <c:f>IEA!$A$22:$A$27</c:f>
              <c:strCache>
                <c:ptCount val="6"/>
                <c:pt idx="0">
                  <c:v>Coal</c:v>
                </c:pt>
                <c:pt idx="1">
                  <c:v>Oil</c:v>
                </c:pt>
                <c:pt idx="2">
                  <c:v>Gas</c:v>
                </c:pt>
                <c:pt idx="3">
                  <c:v>Nuclear</c:v>
                </c:pt>
                <c:pt idx="4">
                  <c:v>Renewables</c:v>
                </c:pt>
                <c:pt idx="5">
                  <c:v>Total</c:v>
                </c:pt>
              </c:strCache>
            </c:strRef>
          </c:cat>
          <c:val>
            <c:numRef>
              <c:f>IEA!$D$22:$D$27</c:f>
              <c:numCache>
                <c:formatCode>0</c:formatCode>
                <c:ptCount val="6"/>
                <c:pt idx="0">
                  <c:v>468</c:v>
                </c:pt>
                <c:pt idx="1">
                  <c:v>198</c:v>
                </c:pt>
                <c:pt idx="2">
                  <c:v>98</c:v>
                </c:pt>
                <c:pt idx="3">
                  <c:v>60</c:v>
                </c:pt>
                <c:pt idx="4">
                  <c:v>159</c:v>
                </c:pt>
                <c:pt idx="5">
                  <c:v>983</c:v>
                </c:pt>
              </c:numCache>
            </c:numRef>
          </c:val>
        </c:ser>
        <c:ser>
          <c:idx val="2"/>
          <c:order val="2"/>
          <c:tx>
            <c:strRef>
              <c:f>IEA!$E$21</c:f>
              <c:strCache>
                <c:ptCount val="1"/>
                <c:pt idx="0">
                  <c:v>Sustainable Development</c:v>
                </c:pt>
              </c:strCache>
            </c:strRef>
          </c:tx>
          <c:spPr>
            <a:solidFill>
              <a:srgbClr val="9ED9DF"/>
            </a:solidFill>
            <a:ln>
              <a:noFill/>
            </a:ln>
            <a:effectLst/>
          </c:spPr>
          <c:invertIfNegative val="0"/>
          <c:cat>
            <c:strRef>
              <c:f>IEA!$A$22:$A$27</c:f>
              <c:strCache>
                <c:ptCount val="6"/>
                <c:pt idx="0">
                  <c:v>Coal</c:v>
                </c:pt>
                <c:pt idx="1">
                  <c:v>Oil</c:v>
                </c:pt>
                <c:pt idx="2">
                  <c:v>Gas</c:v>
                </c:pt>
                <c:pt idx="3">
                  <c:v>Nuclear</c:v>
                </c:pt>
                <c:pt idx="4">
                  <c:v>Renewables</c:v>
                </c:pt>
                <c:pt idx="5">
                  <c:v>Total</c:v>
                </c:pt>
              </c:strCache>
            </c:strRef>
          </c:cat>
          <c:val>
            <c:numRef>
              <c:f>IEA!$E$22:$E$27</c:f>
              <c:numCache>
                <c:formatCode>0</c:formatCode>
                <c:ptCount val="6"/>
                <c:pt idx="0">
                  <c:v>-24</c:v>
                </c:pt>
                <c:pt idx="1">
                  <c:v>72</c:v>
                </c:pt>
                <c:pt idx="2">
                  <c:v>162</c:v>
                </c:pt>
                <c:pt idx="3">
                  <c:v>67</c:v>
                </c:pt>
                <c:pt idx="4">
                  <c:v>184</c:v>
                </c:pt>
                <c:pt idx="5">
                  <c:v>461</c:v>
                </c:pt>
              </c:numCache>
            </c:numRef>
          </c:val>
        </c:ser>
        <c:dLbls>
          <c:showLegendKey val="0"/>
          <c:showVal val="0"/>
          <c:showCatName val="0"/>
          <c:showSerName val="0"/>
          <c:showPercent val="0"/>
          <c:showBubbleSize val="0"/>
        </c:dLbls>
        <c:gapWidth val="219"/>
        <c:overlap val="-27"/>
        <c:axId val="682847504"/>
        <c:axId val="682849072"/>
      </c:barChart>
      <c:catAx>
        <c:axId val="682847504"/>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2849072"/>
        <c:crosses val="autoZero"/>
        <c:auto val="1"/>
        <c:lblAlgn val="ctr"/>
        <c:lblOffset val="100"/>
        <c:noMultiLvlLbl val="0"/>
      </c:catAx>
      <c:valAx>
        <c:axId val="682849072"/>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 of oil equivalent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2847504"/>
        <c:crosses val="autoZero"/>
        <c:crossBetween val="between"/>
      </c:valAx>
      <c:spPr>
        <a:noFill/>
        <a:ln w="25400">
          <a:noFill/>
        </a:ln>
        <a:effectLst/>
      </c:spPr>
    </c:plotArea>
    <c:legend>
      <c:legendPos val="b"/>
      <c:layout>
        <c:manualLayout>
          <c:xMode val="edge"/>
          <c:yMode val="edge"/>
          <c:x val="0.14386398317546462"/>
          <c:y val="0.90803505494016623"/>
          <c:w val="0.7724776791907354"/>
          <c:h val="5.818340271179196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970859990854"/>
          <c:y val="4.5118949958982774E-2"/>
          <c:w val="0.63019760365344346"/>
          <c:h val="0.70765148921602194"/>
        </c:manualLayout>
      </c:layout>
      <c:barChart>
        <c:barDir val="bar"/>
        <c:grouping val="stacked"/>
        <c:varyColors val="0"/>
        <c:ser>
          <c:idx val="0"/>
          <c:order val="0"/>
          <c:tx>
            <c:strRef>
              <c:f>'Shares IEA scenarios'!$A$21</c:f>
              <c:strCache>
                <c:ptCount val="1"/>
                <c:pt idx="0">
                  <c:v>Coal</c:v>
                </c:pt>
              </c:strCache>
            </c:strRef>
          </c:tx>
          <c:spPr>
            <a:solidFill>
              <a:srgbClr val="005CAF"/>
            </a:solidFill>
            <a:ln>
              <a:noFill/>
            </a:ln>
            <a:effectLst/>
          </c:spPr>
          <c:invertIfNegative val="0"/>
          <c:cat>
            <c:strRef>
              <c:f>'Shares IEA scenarios'!$B$20:$E$20</c:f>
              <c:strCache>
                <c:ptCount val="4"/>
                <c:pt idx="0">
                  <c:v>2040 - Sustainable Development</c:v>
                </c:pt>
                <c:pt idx="1">
                  <c:v>2040 - New Policies </c:v>
                </c:pt>
                <c:pt idx="2">
                  <c:v>2040 - Current Policies </c:v>
                </c:pt>
                <c:pt idx="3">
                  <c:v>2017</c:v>
                </c:pt>
              </c:strCache>
            </c:strRef>
          </c:cat>
          <c:val>
            <c:numRef>
              <c:f>'Shares IEA scenarios'!$B$21:$E$21</c:f>
              <c:numCache>
                <c:formatCode>General</c:formatCode>
                <c:ptCount val="4"/>
                <c:pt idx="0">
                  <c:v>27.68777614138439</c:v>
                </c:pt>
                <c:pt idx="1">
                  <c:v>46.170212765957444</c:v>
                </c:pt>
                <c:pt idx="2">
                  <c:v>49.851778656126484</c:v>
                </c:pt>
                <c:pt idx="3">
                  <c:v>44.543429844098</c:v>
                </c:pt>
              </c:numCache>
            </c:numRef>
          </c:val>
        </c:ser>
        <c:ser>
          <c:idx val="1"/>
          <c:order val="1"/>
          <c:tx>
            <c:strRef>
              <c:f>'Shares IEA scenarios'!$A$22</c:f>
              <c:strCache>
                <c:ptCount val="1"/>
                <c:pt idx="0">
                  <c:v>Oil</c:v>
                </c:pt>
              </c:strCache>
            </c:strRef>
          </c:tx>
          <c:spPr>
            <a:solidFill>
              <a:srgbClr val="56B4DF"/>
            </a:solidFill>
            <a:ln>
              <a:noFill/>
            </a:ln>
            <a:effectLst/>
          </c:spPr>
          <c:invertIfNegative val="0"/>
          <c:cat>
            <c:strRef>
              <c:f>'Shares IEA scenarios'!$B$20:$E$20</c:f>
              <c:strCache>
                <c:ptCount val="4"/>
                <c:pt idx="0">
                  <c:v>2040 - Sustainable Development</c:v>
                </c:pt>
                <c:pt idx="1">
                  <c:v>2040 - New Policies </c:v>
                </c:pt>
                <c:pt idx="2">
                  <c:v>2040 - Current Policies </c:v>
                </c:pt>
                <c:pt idx="3">
                  <c:v>2017</c:v>
                </c:pt>
              </c:strCache>
            </c:strRef>
          </c:cat>
          <c:val>
            <c:numRef>
              <c:f>'Shares IEA scenarios'!$B$22:$E$22</c:f>
              <c:numCache>
                <c:formatCode>General</c:formatCode>
                <c:ptCount val="4"/>
                <c:pt idx="0">
                  <c:v>21.723122238586157</c:v>
                </c:pt>
                <c:pt idx="1">
                  <c:v>22.393617021276597</c:v>
                </c:pt>
                <c:pt idx="2">
                  <c:v>23.171936758893281</c:v>
                </c:pt>
                <c:pt idx="3">
                  <c:v>24.832962138084632</c:v>
                </c:pt>
              </c:numCache>
            </c:numRef>
          </c:val>
        </c:ser>
        <c:ser>
          <c:idx val="2"/>
          <c:order val="2"/>
          <c:tx>
            <c:strRef>
              <c:f>'Shares IEA scenarios'!$A$23</c:f>
              <c:strCache>
                <c:ptCount val="1"/>
                <c:pt idx="0">
                  <c:v>Gas</c:v>
                </c:pt>
              </c:strCache>
            </c:strRef>
          </c:tx>
          <c:spPr>
            <a:solidFill>
              <a:srgbClr val="9ED9DF"/>
            </a:solidFill>
            <a:ln>
              <a:noFill/>
            </a:ln>
            <a:effectLst/>
          </c:spPr>
          <c:invertIfNegative val="0"/>
          <c:cat>
            <c:strRef>
              <c:f>'Shares IEA scenarios'!$B$20:$E$20</c:f>
              <c:strCache>
                <c:ptCount val="4"/>
                <c:pt idx="0">
                  <c:v>2040 - Sustainable Development</c:v>
                </c:pt>
                <c:pt idx="1">
                  <c:v>2040 - New Policies </c:v>
                </c:pt>
                <c:pt idx="2">
                  <c:v>2040 - Current Policies </c:v>
                </c:pt>
                <c:pt idx="3">
                  <c:v>2017</c:v>
                </c:pt>
              </c:strCache>
            </c:strRef>
          </c:cat>
          <c:val>
            <c:numRef>
              <c:f>'Shares IEA scenarios'!$B$23:$E$23</c:f>
              <c:numCache>
                <c:formatCode>General</c:formatCode>
                <c:ptCount val="4"/>
                <c:pt idx="0">
                  <c:v>15.537555228276878</c:v>
                </c:pt>
                <c:pt idx="1">
                  <c:v>7.8191489361702127</c:v>
                </c:pt>
                <c:pt idx="2">
                  <c:v>7.1640316205533603</c:v>
                </c:pt>
                <c:pt idx="3">
                  <c:v>5.4565701559020043</c:v>
                </c:pt>
              </c:numCache>
            </c:numRef>
          </c:val>
        </c:ser>
        <c:ser>
          <c:idx val="3"/>
          <c:order val="3"/>
          <c:tx>
            <c:strRef>
              <c:f>'Shares IEA scenarios'!$A$24</c:f>
              <c:strCache>
                <c:ptCount val="1"/>
                <c:pt idx="0">
                  <c:v>Nuclear</c:v>
                </c:pt>
              </c:strCache>
            </c:strRef>
          </c:tx>
          <c:spPr>
            <a:solidFill>
              <a:srgbClr val="BCBFC1"/>
            </a:solidFill>
            <a:ln>
              <a:noFill/>
            </a:ln>
            <a:effectLst/>
          </c:spPr>
          <c:invertIfNegative val="0"/>
          <c:cat>
            <c:strRef>
              <c:f>'Shares IEA scenarios'!$B$20:$E$20</c:f>
              <c:strCache>
                <c:ptCount val="4"/>
                <c:pt idx="0">
                  <c:v>2040 - Sustainable Development</c:v>
                </c:pt>
                <c:pt idx="1">
                  <c:v>2040 - New Policies </c:v>
                </c:pt>
                <c:pt idx="2">
                  <c:v>2040 - Current Policies </c:v>
                </c:pt>
                <c:pt idx="3">
                  <c:v>2017</c:v>
                </c:pt>
              </c:strCache>
            </c:strRef>
          </c:cat>
          <c:val>
            <c:numRef>
              <c:f>'Shares IEA scenarios'!$B$24:$E$24</c:f>
              <c:numCache>
                <c:formatCode>General</c:formatCode>
                <c:ptCount val="4"/>
                <c:pt idx="0">
                  <c:v>5.7437407952871871</c:v>
                </c:pt>
                <c:pt idx="1">
                  <c:v>3.7765957446808511</c:v>
                </c:pt>
                <c:pt idx="2">
                  <c:v>2.766798418972332</c:v>
                </c:pt>
                <c:pt idx="3">
                  <c:v>1.2249443207126949</c:v>
                </c:pt>
              </c:numCache>
            </c:numRef>
          </c:val>
        </c:ser>
        <c:ser>
          <c:idx val="4"/>
          <c:order val="4"/>
          <c:tx>
            <c:strRef>
              <c:f>'Shares IEA scenarios'!$A$25</c:f>
              <c:strCache>
                <c:ptCount val="1"/>
                <c:pt idx="0">
                  <c:v>Renewables</c:v>
                </c:pt>
              </c:strCache>
            </c:strRef>
          </c:tx>
          <c:spPr>
            <a:solidFill>
              <a:srgbClr val="51B7A4"/>
            </a:solidFill>
            <a:ln>
              <a:noFill/>
            </a:ln>
            <a:effectLst/>
          </c:spPr>
          <c:invertIfNegative val="0"/>
          <c:cat>
            <c:strRef>
              <c:f>'Shares IEA scenarios'!$B$20:$E$20</c:f>
              <c:strCache>
                <c:ptCount val="4"/>
                <c:pt idx="0">
                  <c:v>2040 - Sustainable Development</c:v>
                </c:pt>
                <c:pt idx="1">
                  <c:v>2040 - New Policies </c:v>
                </c:pt>
                <c:pt idx="2">
                  <c:v>2040 - Current Policies </c:v>
                </c:pt>
                <c:pt idx="3">
                  <c:v>2017</c:v>
                </c:pt>
              </c:strCache>
            </c:strRef>
          </c:cat>
          <c:val>
            <c:numRef>
              <c:f>'Shares IEA scenarios'!$B$25:$E$25</c:f>
              <c:numCache>
                <c:formatCode>General</c:formatCode>
                <c:ptCount val="4"/>
                <c:pt idx="0">
                  <c:v>29.307805596465393</c:v>
                </c:pt>
                <c:pt idx="1">
                  <c:v>19.840425531914892</c:v>
                </c:pt>
                <c:pt idx="2">
                  <c:v>17.045454545454543</c:v>
                </c:pt>
                <c:pt idx="3">
                  <c:v>23.830734966592431</c:v>
                </c:pt>
              </c:numCache>
            </c:numRef>
          </c:val>
        </c:ser>
        <c:dLbls>
          <c:showLegendKey val="0"/>
          <c:showVal val="0"/>
          <c:showCatName val="0"/>
          <c:showSerName val="0"/>
          <c:showPercent val="0"/>
          <c:showBubbleSize val="0"/>
        </c:dLbls>
        <c:gapWidth val="150"/>
        <c:overlap val="100"/>
        <c:axId val="682848680"/>
        <c:axId val="682847896"/>
      </c:barChart>
      <c:catAx>
        <c:axId val="682848680"/>
        <c:scaling>
          <c:orientation val="minMax"/>
        </c:scaling>
        <c:delete val="0"/>
        <c:axPos val="l"/>
        <c:numFmt formatCode="General" sourceLinked="1"/>
        <c:majorTickMark val="none"/>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2847896"/>
        <c:crosses val="autoZero"/>
        <c:auto val="1"/>
        <c:lblAlgn val="ctr"/>
        <c:lblOffset val="100"/>
        <c:noMultiLvlLbl val="0"/>
      </c:catAx>
      <c:valAx>
        <c:axId val="682847896"/>
        <c:scaling>
          <c:orientation val="minMax"/>
          <c:max val="100"/>
        </c:scaling>
        <c:delete val="0"/>
        <c:axPos val="b"/>
        <c:title>
          <c:tx>
            <c:rich>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manualLayout>
              <c:xMode val="edge"/>
              <c:yMode val="edge"/>
              <c:x val="0.59894328426338017"/>
              <c:y val="0.82313735012198364"/>
            </c:manualLayout>
          </c:layout>
          <c:overlay val="0"/>
          <c:spPr>
            <a:noFill/>
            <a:ln>
              <a:noFill/>
            </a:ln>
            <a:effectLst/>
          </c:spPr>
          <c:txPr>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General"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2848680"/>
        <c:crosses val="autoZero"/>
        <c:crossBetween val="between"/>
      </c:valAx>
      <c:spPr>
        <a:noFill/>
        <a:ln w="25400">
          <a:noFill/>
        </a:ln>
        <a:effectLst/>
      </c:spPr>
    </c:plotArea>
    <c:legend>
      <c:legendPos val="b"/>
      <c:layout>
        <c:manualLayout>
          <c:xMode val="edge"/>
          <c:yMode val="edge"/>
          <c:x val="0.42286094290291149"/>
          <c:y val="0.89766395586933911"/>
          <c:w val="0.46674255721431174"/>
          <c:h val="6.542053961876587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'IEA WEO energy demand'!$AA$9</c:f>
              <c:strCache>
                <c:ptCount val="1"/>
                <c:pt idx="0">
                  <c:v>New Policies</c:v>
                </c:pt>
              </c:strCache>
            </c:strRef>
          </c:tx>
          <c:spPr>
            <a:ln w="25400" cap="rnd">
              <a:solidFill>
                <a:srgbClr val="005CAF"/>
              </a:solidFill>
              <a:prstDash val="solid"/>
              <a:round/>
            </a:ln>
            <a:effectLst/>
          </c:spPr>
          <c:marker>
            <c:symbol val="none"/>
          </c:marker>
          <c:cat>
            <c:numRef>
              <c:f>'IEA WEO energy demand'!$AB$7:$AH$7</c:f>
              <c:numCache>
                <c:formatCode>General</c:formatCode>
                <c:ptCount val="7"/>
                <c:pt idx="0">
                  <c:v>2000</c:v>
                </c:pt>
                <c:pt idx="1">
                  <c:v>2016</c:v>
                </c:pt>
                <c:pt idx="2">
                  <c:v>2017</c:v>
                </c:pt>
                <c:pt idx="3">
                  <c:v>2025</c:v>
                </c:pt>
                <c:pt idx="4">
                  <c:v>2030</c:v>
                </c:pt>
                <c:pt idx="5">
                  <c:v>2035</c:v>
                </c:pt>
                <c:pt idx="6">
                  <c:v>2040</c:v>
                </c:pt>
              </c:numCache>
            </c:numRef>
          </c:cat>
          <c:val>
            <c:numRef>
              <c:f>'IEA WEO energy demand'!$AB$9:$AH$9</c:f>
              <c:numCache>
                <c:formatCode>General</c:formatCode>
                <c:ptCount val="7"/>
                <c:pt idx="2" formatCode="#\ ##0\ ;\-#\ ##0\ ;\-\ ">
                  <c:v>400</c:v>
                </c:pt>
                <c:pt idx="3" formatCode="#\ ##0\ ;\-#\ ##0\ ;\-\ ">
                  <c:v>561</c:v>
                </c:pt>
                <c:pt idx="4" formatCode="#\ ##0\ ;\-#\ ##0\ ;\-\ ">
                  <c:v>668</c:v>
                </c:pt>
                <c:pt idx="5" formatCode="#\ ##0\ ;\-#\ ##0\ ;\-\ ">
                  <c:v>773</c:v>
                </c:pt>
                <c:pt idx="6" formatCode="#\ ##0\ ;\-#\ ##0\ ;\-\ ">
                  <c:v>868</c:v>
                </c:pt>
              </c:numCache>
            </c:numRef>
          </c:val>
          <c:smooth val="1"/>
        </c:ser>
        <c:ser>
          <c:idx val="1"/>
          <c:order val="1"/>
          <c:tx>
            <c:strRef>
              <c:f>'IEA WEO energy demand'!$AA$10</c:f>
              <c:strCache>
                <c:ptCount val="1"/>
                <c:pt idx="0">
                  <c:v>Current policies</c:v>
                </c:pt>
              </c:strCache>
            </c:strRef>
          </c:tx>
          <c:spPr>
            <a:ln w="25400" cap="rnd">
              <a:solidFill>
                <a:srgbClr val="56B4DF"/>
              </a:solidFill>
              <a:prstDash val="solid"/>
              <a:round/>
            </a:ln>
            <a:effectLst/>
          </c:spPr>
          <c:marker>
            <c:symbol val="none"/>
          </c:marker>
          <c:cat>
            <c:numRef>
              <c:f>'IEA WEO energy demand'!$AB$7:$AH$7</c:f>
              <c:numCache>
                <c:formatCode>General</c:formatCode>
                <c:ptCount val="7"/>
                <c:pt idx="0">
                  <c:v>2000</c:v>
                </c:pt>
                <c:pt idx="1">
                  <c:v>2016</c:v>
                </c:pt>
                <c:pt idx="2">
                  <c:v>2017</c:v>
                </c:pt>
                <c:pt idx="3">
                  <c:v>2025</c:v>
                </c:pt>
                <c:pt idx="4">
                  <c:v>2030</c:v>
                </c:pt>
                <c:pt idx="5">
                  <c:v>2035</c:v>
                </c:pt>
                <c:pt idx="6">
                  <c:v>2040</c:v>
                </c:pt>
              </c:numCache>
            </c:numRef>
          </c:cat>
          <c:val>
            <c:numRef>
              <c:f>'IEA WEO energy demand'!$AB$10:$AH$10</c:f>
              <c:numCache>
                <c:formatCode>General</c:formatCode>
                <c:ptCount val="7"/>
                <c:pt idx="2" formatCode="#\ ##0\ ;\-#\ ##0\ ;\-\ ">
                  <c:v>400</c:v>
                </c:pt>
                <c:pt idx="3" formatCode="#\ ##0\ ;\-#\ ##0\ ;\-\ ">
                  <c:v>595</c:v>
                </c:pt>
                <c:pt idx="4" formatCode="#\ ##0\ ;\-#\ ##0\ ;\-\ ">
                  <c:v>728</c:v>
                </c:pt>
                <c:pt idx="5" formatCode="#\ ##0\ ;\-#\ ##0\ ;\-\ ">
                  <c:v>871</c:v>
                </c:pt>
                <c:pt idx="6" formatCode="#\ ##0\ ;\-#\ ##0\ ;\-\ ">
                  <c:v>1009</c:v>
                </c:pt>
              </c:numCache>
            </c:numRef>
          </c:val>
          <c:smooth val="1"/>
        </c:ser>
        <c:ser>
          <c:idx val="2"/>
          <c:order val="2"/>
          <c:tx>
            <c:strRef>
              <c:f>'IEA WEO energy demand'!$AA$11</c:f>
              <c:strCache>
                <c:ptCount val="1"/>
                <c:pt idx="0">
                  <c:v>Sustainable development</c:v>
                </c:pt>
              </c:strCache>
            </c:strRef>
          </c:tx>
          <c:spPr>
            <a:ln w="25400" cap="rnd">
              <a:solidFill>
                <a:srgbClr val="9ED9DF"/>
              </a:solidFill>
              <a:prstDash val="solid"/>
              <a:round/>
            </a:ln>
            <a:effectLst/>
          </c:spPr>
          <c:marker>
            <c:symbol val="none"/>
          </c:marker>
          <c:cat>
            <c:numRef>
              <c:f>'IEA WEO energy demand'!$AB$7:$AH$7</c:f>
              <c:numCache>
                <c:formatCode>General</c:formatCode>
                <c:ptCount val="7"/>
                <c:pt idx="0">
                  <c:v>2000</c:v>
                </c:pt>
                <c:pt idx="1">
                  <c:v>2016</c:v>
                </c:pt>
                <c:pt idx="2">
                  <c:v>2017</c:v>
                </c:pt>
                <c:pt idx="3">
                  <c:v>2025</c:v>
                </c:pt>
                <c:pt idx="4">
                  <c:v>2030</c:v>
                </c:pt>
                <c:pt idx="5">
                  <c:v>2035</c:v>
                </c:pt>
                <c:pt idx="6">
                  <c:v>2040</c:v>
                </c:pt>
              </c:numCache>
            </c:numRef>
          </c:cat>
          <c:val>
            <c:numRef>
              <c:f>'IEA WEO energy demand'!$AB$11:$AH$11</c:f>
              <c:numCache>
                <c:formatCode>General</c:formatCode>
                <c:ptCount val="7"/>
                <c:pt idx="2" formatCode="#\ ##0\ ;\-#\ ##0\ ;\-\ ">
                  <c:v>400</c:v>
                </c:pt>
                <c:pt idx="3" formatCode="#\ ##0\ ;\-#\ ##0\ ;\-\ ">
                  <c:v>454</c:v>
                </c:pt>
                <c:pt idx="4" formatCode="#\ ##0\ ;\-#\ ##0\ ;\-\ ">
                  <c:v>439</c:v>
                </c:pt>
                <c:pt idx="5" formatCode="#\ ##0\ ;\-#\ ##0\ ;\-\ ">
                  <c:v>393</c:v>
                </c:pt>
                <c:pt idx="6" formatCode="#\ ##0\ ;\-#\ ##0\ ;\-\ ">
                  <c:v>376</c:v>
                </c:pt>
              </c:numCache>
            </c:numRef>
          </c:val>
          <c:smooth val="1"/>
        </c:ser>
        <c:ser>
          <c:idx val="3"/>
          <c:order val="3"/>
          <c:spPr>
            <a:ln w="28575" cap="rnd">
              <a:solidFill>
                <a:srgbClr val="BCBFC1"/>
              </a:solidFill>
              <a:prstDash val="solid"/>
              <a:round/>
            </a:ln>
            <a:effectLst/>
          </c:spPr>
          <c:marker>
            <c:symbol val="none"/>
          </c:marker>
          <c:val>
            <c:numRef>
              <c:f>'IEA WEO energy demand'!$AB$8:$AH$8</c:f>
              <c:numCache>
                <c:formatCode>#\ ##0\ ;\-#\ ##0\ ;\-\ </c:formatCode>
                <c:ptCount val="7"/>
                <c:pt idx="0">
                  <c:v>146</c:v>
                </c:pt>
                <c:pt idx="1">
                  <c:v>380</c:v>
                </c:pt>
                <c:pt idx="2" formatCode="General">
                  <c:v>400</c:v>
                </c:pt>
              </c:numCache>
            </c:numRef>
          </c:val>
          <c:smooth val="1"/>
        </c:ser>
        <c:dLbls>
          <c:showLegendKey val="0"/>
          <c:showVal val="0"/>
          <c:showCatName val="0"/>
          <c:showSerName val="0"/>
          <c:showPercent val="0"/>
          <c:showBubbleSize val="0"/>
        </c:dLbls>
        <c:smooth val="0"/>
        <c:axId val="199010832"/>
        <c:axId val="199011616"/>
      </c:lineChart>
      <c:catAx>
        <c:axId val="199010832"/>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99011616"/>
        <c:crosses val="autoZero"/>
        <c:auto val="1"/>
        <c:lblAlgn val="ctr"/>
        <c:lblOffset val="100"/>
        <c:noMultiLvlLbl val="0"/>
      </c:catAx>
      <c:valAx>
        <c:axId val="199011616"/>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Mtoe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99010832"/>
        <c:crosses val="autoZero"/>
        <c:crossBetween val="between"/>
      </c:valAx>
      <c:spPr>
        <a:noFill/>
        <a:ln w="25400">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4927293404751E-2"/>
          <c:y val="3.8289949050486327E-2"/>
          <c:w val="0.89966680846261349"/>
          <c:h val="0.74569663167104117"/>
        </c:manualLayout>
      </c:layout>
      <c:areaChart>
        <c:grouping val="stacked"/>
        <c:varyColors val="0"/>
        <c:ser>
          <c:idx val="2"/>
          <c:order val="1"/>
          <c:tx>
            <c:strRef>
              <c:f>'[Coal in India data.xlsx]Coal outlook comparison'!$A$5:$B$5</c:f>
              <c:strCache>
                <c:ptCount val="2"/>
                <c:pt idx="0">
                  <c:v>IEA</c:v>
                </c:pt>
              </c:strCache>
            </c:strRef>
          </c:tx>
          <c:spPr>
            <a:noFill/>
            <a:ln>
              <a:noFill/>
            </a:ln>
            <a:effectLst/>
          </c:spPr>
          <c:cat>
            <c:numRef>
              <c:f>'[Coal in India data.xlsx]Coal outlook comparison'!$H$2:$AE$2</c:f>
              <c:numCache>
                <c:formatCode>General</c:formatCode>
                <c:ptCount val="5"/>
                <c:pt idx="0">
                  <c:v>2017</c:v>
                </c:pt>
                <c:pt idx="1">
                  <c:v>2025</c:v>
                </c:pt>
                <c:pt idx="2">
                  <c:v>2030</c:v>
                </c:pt>
                <c:pt idx="3">
                  <c:v>2035</c:v>
                </c:pt>
                <c:pt idx="4">
                  <c:v>2040</c:v>
                </c:pt>
              </c:numCache>
            </c:numRef>
          </c:cat>
          <c:val>
            <c:numRef>
              <c:f>'[Coal in India data.xlsx]Coal outlook comparison'!$H$7:$AE$7</c:f>
              <c:numCache>
                <c:formatCode>General</c:formatCode>
                <c:ptCount val="5"/>
                <c:pt idx="0">
                  <c:v>224</c:v>
                </c:pt>
                <c:pt idx="1">
                  <c:v>247</c:v>
                </c:pt>
                <c:pt idx="2">
                  <c:v>228</c:v>
                </c:pt>
                <c:pt idx="3">
                  <c:v>197</c:v>
                </c:pt>
                <c:pt idx="4">
                  <c:v>166</c:v>
                </c:pt>
              </c:numCache>
            </c:numRef>
          </c:val>
        </c:ser>
        <c:ser>
          <c:idx val="3"/>
          <c:order val="2"/>
          <c:tx>
            <c:strRef>
              <c:f>'[Coal in India data.xlsx]Coal outlook comparison'!$A$5</c:f>
              <c:strCache>
                <c:ptCount val="1"/>
                <c:pt idx="0">
                  <c:v>IEA</c:v>
                </c:pt>
              </c:strCache>
            </c:strRef>
          </c:tx>
          <c:spPr>
            <a:solidFill>
              <a:srgbClr val="BCBFC1"/>
            </a:solidFill>
            <a:ln>
              <a:noFill/>
            </a:ln>
            <a:effectLst/>
          </c:spPr>
          <c:cat>
            <c:numRef>
              <c:f>'[Coal in India data.xlsx]Coal outlook comparison'!$H$2:$AE$2</c:f>
              <c:numCache>
                <c:formatCode>General</c:formatCode>
                <c:ptCount val="5"/>
                <c:pt idx="0">
                  <c:v>2017</c:v>
                </c:pt>
                <c:pt idx="1">
                  <c:v>2025</c:v>
                </c:pt>
                <c:pt idx="2">
                  <c:v>2030</c:v>
                </c:pt>
                <c:pt idx="3">
                  <c:v>2035</c:v>
                </c:pt>
                <c:pt idx="4">
                  <c:v>2040</c:v>
                </c:pt>
              </c:numCache>
            </c:numRef>
          </c:cat>
          <c:val>
            <c:numRef>
              <c:f>'[Coal in India data.xlsx]Coal outlook comparison'!$H$5:$AE$5</c:f>
              <c:numCache>
                <c:formatCode>General</c:formatCode>
                <c:ptCount val="5"/>
                <c:pt idx="0">
                  <c:v>0</c:v>
                </c:pt>
                <c:pt idx="1">
                  <c:v>26</c:v>
                </c:pt>
                <c:pt idx="2">
                  <c:v>69</c:v>
                </c:pt>
                <c:pt idx="3">
                  <c:v>158</c:v>
                </c:pt>
                <c:pt idx="4">
                  <c:v>255</c:v>
                </c:pt>
              </c:numCache>
            </c:numRef>
          </c:val>
        </c:ser>
        <c:dLbls>
          <c:showLegendKey val="0"/>
          <c:showVal val="0"/>
          <c:showCatName val="0"/>
          <c:showSerName val="0"/>
          <c:showPercent val="0"/>
          <c:showBubbleSize val="0"/>
        </c:dLbls>
        <c:axId val="199012008"/>
        <c:axId val="824002192"/>
      </c:areaChart>
      <c:lineChart>
        <c:grouping val="standard"/>
        <c:varyColors val="0"/>
        <c:ser>
          <c:idx val="0"/>
          <c:order val="0"/>
          <c:tx>
            <c:strRef>
              <c:f>'[Coal in India data.xlsx]Coal outlook comparison'!$A$3</c:f>
              <c:strCache>
                <c:ptCount val="1"/>
                <c:pt idx="0">
                  <c:v>BNEF</c:v>
                </c:pt>
              </c:strCache>
            </c:strRef>
          </c:tx>
          <c:spPr>
            <a:ln w="28575" cap="rnd" cmpd="sng" algn="ctr">
              <a:solidFill>
                <a:srgbClr val="005CAF"/>
              </a:solidFill>
              <a:prstDash val="solid"/>
              <a:round/>
              <a:headEnd type="none" w="med" len="med"/>
              <a:tailEnd type="none" w="med" len="med"/>
            </a:ln>
            <a:effectLst/>
          </c:spPr>
          <c:marker>
            <c:symbol val="none"/>
          </c:marker>
          <c:cat>
            <c:numRef>
              <c:f>'[Coal in India data.xlsx]Coal outlook comparison'!$H$2:$AE$2</c:f>
              <c:numCache>
                <c:formatCode>General</c:formatCode>
                <c:ptCount val="5"/>
                <c:pt idx="0">
                  <c:v>2017</c:v>
                </c:pt>
                <c:pt idx="1">
                  <c:v>2025</c:v>
                </c:pt>
                <c:pt idx="2">
                  <c:v>2030</c:v>
                </c:pt>
                <c:pt idx="3">
                  <c:v>2035</c:v>
                </c:pt>
                <c:pt idx="4">
                  <c:v>2040</c:v>
                </c:pt>
              </c:numCache>
            </c:numRef>
          </c:cat>
          <c:val>
            <c:numRef>
              <c:f>'[Coal in India data.xlsx]Coal outlook comparison'!$H$3:$AE$3</c:f>
              <c:numCache>
                <c:formatCode>General</c:formatCode>
                <c:ptCount val="5"/>
                <c:pt idx="0">
                  <c:v>192.97149999999999</c:v>
                </c:pt>
                <c:pt idx="1">
                  <c:v>220.85170000000002</c:v>
                </c:pt>
                <c:pt idx="2">
                  <c:v>234.10712464650845</c:v>
                </c:pt>
                <c:pt idx="3">
                  <c:v>260.1378167674028</c:v>
                </c:pt>
                <c:pt idx="4">
                  <c:v>283.49532986995774</c:v>
                </c:pt>
              </c:numCache>
            </c:numRef>
          </c:val>
          <c:smooth val="0"/>
        </c:ser>
        <c:dLbls>
          <c:showLegendKey val="0"/>
          <c:showVal val="0"/>
          <c:showCatName val="0"/>
          <c:showSerName val="0"/>
          <c:showPercent val="0"/>
          <c:showBubbleSize val="0"/>
        </c:dLbls>
        <c:marker val="1"/>
        <c:smooth val="0"/>
        <c:axId val="199012008"/>
        <c:axId val="824002192"/>
      </c:lineChart>
      <c:catAx>
        <c:axId val="199012008"/>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24002192"/>
        <c:crosses val="autoZero"/>
        <c:auto val="1"/>
        <c:lblAlgn val="ctr"/>
        <c:lblOffset val="100"/>
        <c:noMultiLvlLbl val="0"/>
      </c:catAx>
      <c:valAx>
        <c:axId val="824002192"/>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GW</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199012008"/>
        <c:crosses val="autoZero"/>
        <c:crossBetween val="between"/>
      </c:valAx>
      <c:spPr>
        <a:noFill/>
        <a:ln w="25400">
          <a:noFill/>
        </a:ln>
        <a:effectLst/>
      </c:spPr>
    </c:plotArea>
    <c:legend>
      <c:legendPos val="b"/>
      <c:legendEntry>
        <c:idx val="0"/>
        <c:delete val="1"/>
      </c:legendEntry>
      <c:layout>
        <c:manualLayout>
          <c:xMode val="edge"/>
          <c:yMode val="edge"/>
          <c:x val="0.38406010806438134"/>
          <c:y val="0.88379214893220315"/>
          <c:w val="0.2318797838712372"/>
          <c:h val="0.1162078510677968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'IEA elec gen chart'!$B$5</c:f>
              <c:strCache>
                <c:ptCount val="1"/>
                <c:pt idx="0">
                  <c:v>Coal</c:v>
                </c:pt>
              </c:strCache>
            </c:strRef>
          </c:tx>
          <c:spPr>
            <a:solidFill>
              <a:srgbClr val="005CAF"/>
            </a:solidFill>
            <a:ln>
              <a:noFill/>
            </a:ln>
            <a:effectLst/>
          </c:spPr>
          <c:invertIfNegative val="0"/>
          <c:cat>
            <c:strRef>
              <c:f>'IEA elec gen chart'!$C$3:$BB$4</c:f>
              <c:strCache>
                <c:ptCount val="15"/>
                <c:pt idx="0">
                  <c:v>1970</c:v>
                </c:pt>
                <c:pt idx="1">
                  <c:v>1975</c:v>
                </c:pt>
                <c:pt idx="2">
                  <c:v>1980</c:v>
                </c:pt>
                <c:pt idx="3">
                  <c:v>1985</c:v>
                </c:pt>
                <c:pt idx="4">
                  <c:v>1990</c:v>
                </c:pt>
                <c:pt idx="5">
                  <c:v>1995</c:v>
                </c:pt>
                <c:pt idx="6">
                  <c:v>2000</c:v>
                </c:pt>
                <c:pt idx="7">
                  <c:v>2005</c:v>
                </c:pt>
                <c:pt idx="8">
                  <c:v>2010</c:v>
                </c:pt>
                <c:pt idx="9">
                  <c:v>2015</c:v>
                </c:pt>
                <c:pt idx="10">
                  <c:v>2017</c:v>
                </c:pt>
                <c:pt idx="11">
                  <c:v>2025</c:v>
                </c:pt>
                <c:pt idx="12">
                  <c:v>2030</c:v>
                </c:pt>
                <c:pt idx="13">
                  <c:v>2035</c:v>
                </c:pt>
                <c:pt idx="14">
                  <c:v>2040</c:v>
                </c:pt>
              </c:strCache>
            </c:strRef>
          </c:cat>
          <c:val>
            <c:numRef>
              <c:f>'IEA elec gen chart'!$C$5:$BB$5</c:f>
              <c:numCache>
                <c:formatCode>#,##0</c:formatCode>
                <c:ptCount val="15"/>
                <c:pt idx="0">
                  <c:v>32.588999999999999</c:v>
                </c:pt>
                <c:pt idx="1">
                  <c:v>44.11</c:v>
                </c:pt>
                <c:pt idx="2">
                  <c:v>61.462000000000003</c:v>
                </c:pt>
                <c:pt idx="3">
                  <c:v>116.039</c:v>
                </c:pt>
                <c:pt idx="4">
                  <c:v>191.63300000000001</c:v>
                </c:pt>
                <c:pt idx="5">
                  <c:v>296.29199999999997</c:v>
                </c:pt>
                <c:pt idx="6">
                  <c:v>390.233</c:v>
                </c:pt>
                <c:pt idx="7">
                  <c:v>478.48500000000001</c:v>
                </c:pt>
                <c:pt idx="8">
                  <c:v>657.95500000000004</c:v>
                </c:pt>
                <c:pt idx="9">
                  <c:v>1032.0609999999999</c:v>
                </c:pt>
                <c:pt idx="10">
                  <c:v>1194</c:v>
                </c:pt>
                <c:pt idx="11">
                  <c:v>1541</c:v>
                </c:pt>
                <c:pt idx="12">
                  <c:v>1760</c:v>
                </c:pt>
                <c:pt idx="13">
                  <c:v>1989</c:v>
                </c:pt>
                <c:pt idx="14">
                  <c:v>2194</c:v>
                </c:pt>
              </c:numCache>
            </c:numRef>
          </c:val>
        </c:ser>
        <c:ser>
          <c:idx val="1"/>
          <c:order val="1"/>
          <c:tx>
            <c:strRef>
              <c:f>'IEA elec gen chart'!$B$6</c:f>
              <c:strCache>
                <c:ptCount val="1"/>
                <c:pt idx="0">
                  <c:v>Oil</c:v>
                </c:pt>
              </c:strCache>
            </c:strRef>
          </c:tx>
          <c:spPr>
            <a:solidFill>
              <a:srgbClr val="56B4DF"/>
            </a:solidFill>
            <a:ln>
              <a:noFill/>
            </a:ln>
            <a:effectLst/>
          </c:spPr>
          <c:invertIfNegative val="0"/>
          <c:cat>
            <c:strRef>
              <c:f>'IEA elec gen chart'!$C$3:$BB$4</c:f>
              <c:strCache>
                <c:ptCount val="15"/>
                <c:pt idx="0">
                  <c:v>1970</c:v>
                </c:pt>
                <c:pt idx="1">
                  <c:v>1975</c:v>
                </c:pt>
                <c:pt idx="2">
                  <c:v>1980</c:v>
                </c:pt>
                <c:pt idx="3">
                  <c:v>1985</c:v>
                </c:pt>
                <c:pt idx="4">
                  <c:v>1990</c:v>
                </c:pt>
                <c:pt idx="5">
                  <c:v>1995</c:v>
                </c:pt>
                <c:pt idx="6">
                  <c:v>2000</c:v>
                </c:pt>
                <c:pt idx="7">
                  <c:v>2005</c:v>
                </c:pt>
                <c:pt idx="8">
                  <c:v>2010</c:v>
                </c:pt>
                <c:pt idx="9">
                  <c:v>2015</c:v>
                </c:pt>
                <c:pt idx="10">
                  <c:v>2017</c:v>
                </c:pt>
                <c:pt idx="11">
                  <c:v>2025</c:v>
                </c:pt>
                <c:pt idx="12">
                  <c:v>2030</c:v>
                </c:pt>
                <c:pt idx="13">
                  <c:v>2035</c:v>
                </c:pt>
                <c:pt idx="14">
                  <c:v>2040</c:v>
                </c:pt>
              </c:strCache>
            </c:strRef>
          </c:cat>
          <c:val>
            <c:numRef>
              <c:f>'IEA elec gen chart'!$C$6:$BB$6</c:f>
              <c:numCache>
                <c:formatCode>#,##0</c:formatCode>
                <c:ptCount val="15"/>
                <c:pt idx="0">
                  <c:v>4.1980000000000004</c:v>
                </c:pt>
                <c:pt idx="1">
                  <c:v>5.3659999999999997</c:v>
                </c:pt>
                <c:pt idx="2">
                  <c:v>8.7650000000000006</c:v>
                </c:pt>
                <c:pt idx="3">
                  <c:v>11.868</c:v>
                </c:pt>
                <c:pt idx="4">
                  <c:v>13.311999999999999</c:v>
                </c:pt>
                <c:pt idx="5">
                  <c:v>16.826000000000001</c:v>
                </c:pt>
                <c:pt idx="6">
                  <c:v>29.163</c:v>
                </c:pt>
                <c:pt idx="7">
                  <c:v>25.366</c:v>
                </c:pt>
                <c:pt idx="8">
                  <c:v>24.393000000000001</c:v>
                </c:pt>
                <c:pt idx="9">
                  <c:v>23.096</c:v>
                </c:pt>
                <c:pt idx="10">
                  <c:v>26</c:v>
                </c:pt>
                <c:pt idx="11">
                  <c:v>28</c:v>
                </c:pt>
                <c:pt idx="12">
                  <c:v>29</c:v>
                </c:pt>
                <c:pt idx="13">
                  <c:v>24</c:v>
                </c:pt>
                <c:pt idx="14">
                  <c:v>21</c:v>
                </c:pt>
              </c:numCache>
            </c:numRef>
          </c:val>
        </c:ser>
        <c:ser>
          <c:idx val="2"/>
          <c:order val="2"/>
          <c:tx>
            <c:strRef>
              <c:f>'IEA elec gen chart'!$B$7</c:f>
              <c:strCache>
                <c:ptCount val="1"/>
                <c:pt idx="0">
                  <c:v>Gas</c:v>
                </c:pt>
              </c:strCache>
            </c:strRef>
          </c:tx>
          <c:spPr>
            <a:solidFill>
              <a:srgbClr val="9ED9DF"/>
            </a:solidFill>
            <a:ln>
              <a:noFill/>
            </a:ln>
            <a:effectLst/>
          </c:spPr>
          <c:invertIfNegative val="0"/>
          <c:cat>
            <c:strRef>
              <c:f>'IEA elec gen chart'!$C$3:$BB$4</c:f>
              <c:strCache>
                <c:ptCount val="15"/>
                <c:pt idx="0">
                  <c:v>1970</c:v>
                </c:pt>
                <c:pt idx="1">
                  <c:v>1975</c:v>
                </c:pt>
                <c:pt idx="2">
                  <c:v>1980</c:v>
                </c:pt>
                <c:pt idx="3">
                  <c:v>1985</c:v>
                </c:pt>
                <c:pt idx="4">
                  <c:v>1990</c:v>
                </c:pt>
                <c:pt idx="5">
                  <c:v>1995</c:v>
                </c:pt>
                <c:pt idx="6">
                  <c:v>2000</c:v>
                </c:pt>
                <c:pt idx="7">
                  <c:v>2005</c:v>
                </c:pt>
                <c:pt idx="8">
                  <c:v>2010</c:v>
                </c:pt>
                <c:pt idx="9">
                  <c:v>2015</c:v>
                </c:pt>
                <c:pt idx="10">
                  <c:v>2017</c:v>
                </c:pt>
                <c:pt idx="11">
                  <c:v>2025</c:v>
                </c:pt>
                <c:pt idx="12">
                  <c:v>2030</c:v>
                </c:pt>
                <c:pt idx="13">
                  <c:v>2035</c:v>
                </c:pt>
                <c:pt idx="14">
                  <c:v>2040</c:v>
                </c:pt>
              </c:strCache>
            </c:strRef>
          </c:cat>
          <c:val>
            <c:numRef>
              <c:f>'IEA elec gen chart'!$C$7:$BB$7</c:f>
              <c:numCache>
                <c:formatCode>#,##0</c:formatCode>
                <c:ptCount val="15"/>
                <c:pt idx="0">
                  <c:v>0.377</c:v>
                </c:pt>
                <c:pt idx="1">
                  <c:v>0.51300000000000001</c:v>
                </c:pt>
                <c:pt idx="2">
                  <c:v>0.624</c:v>
                </c:pt>
                <c:pt idx="3">
                  <c:v>2.1579999999999999</c:v>
                </c:pt>
                <c:pt idx="4">
                  <c:v>9.9580000000000002</c:v>
                </c:pt>
                <c:pt idx="5">
                  <c:v>29.434000000000001</c:v>
                </c:pt>
                <c:pt idx="6">
                  <c:v>55.963999999999999</c:v>
                </c:pt>
                <c:pt idx="7">
                  <c:v>75.466999999999999</c:v>
                </c:pt>
                <c:pt idx="8">
                  <c:v>113.289</c:v>
                </c:pt>
                <c:pt idx="9">
                  <c:v>65.81</c:v>
                </c:pt>
                <c:pt idx="10">
                  <c:v>80</c:v>
                </c:pt>
                <c:pt idx="11">
                  <c:v>155</c:v>
                </c:pt>
                <c:pt idx="12">
                  <c:v>223</c:v>
                </c:pt>
                <c:pt idx="13">
                  <c:v>280</c:v>
                </c:pt>
                <c:pt idx="14">
                  <c:v>336</c:v>
                </c:pt>
              </c:numCache>
            </c:numRef>
          </c:val>
        </c:ser>
        <c:ser>
          <c:idx val="3"/>
          <c:order val="3"/>
          <c:tx>
            <c:strRef>
              <c:f>'IEA elec gen chart'!$B$8</c:f>
              <c:strCache>
                <c:ptCount val="1"/>
                <c:pt idx="0">
                  <c:v>Nuclear</c:v>
                </c:pt>
              </c:strCache>
            </c:strRef>
          </c:tx>
          <c:spPr>
            <a:solidFill>
              <a:srgbClr val="BCBFC1"/>
            </a:solidFill>
            <a:ln>
              <a:noFill/>
            </a:ln>
            <a:effectLst/>
          </c:spPr>
          <c:invertIfNegative val="0"/>
          <c:cat>
            <c:strRef>
              <c:f>'IEA elec gen chart'!$C$3:$BB$4</c:f>
              <c:strCache>
                <c:ptCount val="15"/>
                <c:pt idx="0">
                  <c:v>1970</c:v>
                </c:pt>
                <c:pt idx="1">
                  <c:v>1975</c:v>
                </c:pt>
                <c:pt idx="2">
                  <c:v>1980</c:v>
                </c:pt>
                <c:pt idx="3">
                  <c:v>1985</c:v>
                </c:pt>
                <c:pt idx="4">
                  <c:v>1990</c:v>
                </c:pt>
                <c:pt idx="5">
                  <c:v>1995</c:v>
                </c:pt>
                <c:pt idx="6">
                  <c:v>2000</c:v>
                </c:pt>
                <c:pt idx="7">
                  <c:v>2005</c:v>
                </c:pt>
                <c:pt idx="8">
                  <c:v>2010</c:v>
                </c:pt>
                <c:pt idx="9">
                  <c:v>2015</c:v>
                </c:pt>
                <c:pt idx="10">
                  <c:v>2017</c:v>
                </c:pt>
                <c:pt idx="11">
                  <c:v>2025</c:v>
                </c:pt>
                <c:pt idx="12">
                  <c:v>2030</c:v>
                </c:pt>
                <c:pt idx="13">
                  <c:v>2035</c:v>
                </c:pt>
                <c:pt idx="14">
                  <c:v>2040</c:v>
                </c:pt>
              </c:strCache>
            </c:strRef>
          </c:cat>
          <c:val>
            <c:numRef>
              <c:f>'IEA elec gen chart'!$C$8:$BB$8</c:f>
              <c:numCache>
                <c:formatCode>#,##0</c:formatCode>
                <c:ptCount val="15"/>
                <c:pt idx="0">
                  <c:v>1.19</c:v>
                </c:pt>
                <c:pt idx="1">
                  <c:v>2.6259999999999999</c:v>
                </c:pt>
                <c:pt idx="2">
                  <c:v>3.0009999999999999</c:v>
                </c:pt>
                <c:pt idx="3">
                  <c:v>4.9820000000000002</c:v>
                </c:pt>
                <c:pt idx="4">
                  <c:v>6.141</c:v>
                </c:pt>
                <c:pt idx="5">
                  <c:v>7.9820000000000002</c:v>
                </c:pt>
                <c:pt idx="6">
                  <c:v>16.902000000000001</c:v>
                </c:pt>
                <c:pt idx="7">
                  <c:v>17.324000000000002</c:v>
                </c:pt>
                <c:pt idx="8">
                  <c:v>26.265999999999998</c:v>
                </c:pt>
                <c:pt idx="9">
                  <c:v>37.414000000000001</c:v>
                </c:pt>
                <c:pt idx="10">
                  <c:v>41</c:v>
                </c:pt>
                <c:pt idx="11">
                  <c:v>107</c:v>
                </c:pt>
                <c:pt idx="12">
                  <c:v>167</c:v>
                </c:pt>
                <c:pt idx="13">
                  <c:v>221</c:v>
                </c:pt>
                <c:pt idx="14">
                  <c:v>273</c:v>
                </c:pt>
              </c:numCache>
            </c:numRef>
          </c:val>
        </c:ser>
        <c:ser>
          <c:idx val="4"/>
          <c:order val="4"/>
          <c:tx>
            <c:strRef>
              <c:f>'IEA elec gen chart'!$B$9</c:f>
              <c:strCache>
                <c:ptCount val="1"/>
                <c:pt idx="0">
                  <c:v>Renewables</c:v>
                </c:pt>
              </c:strCache>
            </c:strRef>
          </c:tx>
          <c:spPr>
            <a:solidFill>
              <a:srgbClr val="51B7A4"/>
            </a:solidFill>
            <a:ln>
              <a:noFill/>
            </a:ln>
            <a:effectLst/>
          </c:spPr>
          <c:invertIfNegative val="0"/>
          <c:cat>
            <c:strRef>
              <c:f>'IEA elec gen chart'!$C$3:$BB$4</c:f>
              <c:strCache>
                <c:ptCount val="15"/>
                <c:pt idx="0">
                  <c:v>1970</c:v>
                </c:pt>
                <c:pt idx="1">
                  <c:v>1975</c:v>
                </c:pt>
                <c:pt idx="2">
                  <c:v>1980</c:v>
                </c:pt>
                <c:pt idx="3">
                  <c:v>1985</c:v>
                </c:pt>
                <c:pt idx="4">
                  <c:v>1990</c:v>
                </c:pt>
                <c:pt idx="5">
                  <c:v>1995</c:v>
                </c:pt>
                <c:pt idx="6">
                  <c:v>2000</c:v>
                </c:pt>
                <c:pt idx="7">
                  <c:v>2005</c:v>
                </c:pt>
                <c:pt idx="8">
                  <c:v>2010</c:v>
                </c:pt>
                <c:pt idx="9">
                  <c:v>2015</c:v>
                </c:pt>
                <c:pt idx="10">
                  <c:v>2017</c:v>
                </c:pt>
                <c:pt idx="11">
                  <c:v>2025</c:v>
                </c:pt>
                <c:pt idx="12">
                  <c:v>2030</c:v>
                </c:pt>
                <c:pt idx="13">
                  <c:v>2035</c:v>
                </c:pt>
                <c:pt idx="14">
                  <c:v>2040</c:v>
                </c:pt>
              </c:strCache>
            </c:strRef>
          </c:cat>
          <c:val>
            <c:numRef>
              <c:f>'IEA elec gen chart'!$C$9:$BB$9</c:f>
              <c:numCache>
                <c:formatCode>#,##0</c:formatCode>
                <c:ptCount val="15"/>
                <c:pt idx="0">
                  <c:v>28.03</c:v>
                </c:pt>
                <c:pt idx="1">
                  <c:v>33.311</c:v>
                </c:pt>
                <c:pt idx="2">
                  <c:v>46.557000000000002</c:v>
                </c:pt>
                <c:pt idx="3">
                  <c:v>51.039000000000001</c:v>
                </c:pt>
                <c:pt idx="4">
                  <c:v>71.688000000000002</c:v>
                </c:pt>
                <c:pt idx="5">
                  <c:v>73.126000000000005</c:v>
                </c:pt>
                <c:pt idx="6">
                  <c:v>77.426000000000002</c:v>
                </c:pt>
                <c:pt idx="7">
                  <c:v>119.014</c:v>
                </c:pt>
                <c:pt idx="8">
                  <c:v>158.52000000000001</c:v>
                </c:pt>
                <c:pt idx="9">
                  <c:v>214.38900000000001</c:v>
                </c:pt>
                <c:pt idx="10">
                  <c:v>263</c:v>
                </c:pt>
                <c:pt idx="11">
                  <c:v>600</c:v>
                </c:pt>
                <c:pt idx="12">
                  <c:v>919</c:v>
                </c:pt>
                <c:pt idx="13">
                  <c:v>1296</c:v>
                </c:pt>
                <c:pt idx="14">
                  <c:v>1728</c:v>
                </c:pt>
              </c:numCache>
            </c:numRef>
          </c:val>
        </c:ser>
        <c:dLbls>
          <c:showLegendKey val="0"/>
          <c:showVal val="0"/>
          <c:showCatName val="0"/>
          <c:showSerName val="0"/>
          <c:showPercent val="0"/>
          <c:showBubbleSize val="0"/>
        </c:dLbls>
        <c:gapWidth val="150"/>
        <c:overlap val="100"/>
        <c:axId val="824001016"/>
        <c:axId val="824001800"/>
      </c:barChart>
      <c:lineChart>
        <c:grouping val="standard"/>
        <c:varyColors val="0"/>
        <c:ser>
          <c:idx val="5"/>
          <c:order val="5"/>
          <c:tx>
            <c:strRef>
              <c:f>'IEA elec gen chart'!$B$10</c:f>
              <c:strCache>
                <c:ptCount val="1"/>
                <c:pt idx="0">
                  <c:v>Coal share (rhs)</c:v>
                </c:pt>
              </c:strCache>
            </c:strRef>
          </c:tx>
          <c:spPr>
            <a:ln w="28575" cap="rnd">
              <a:solidFill>
                <a:srgbClr val="F36A5A"/>
              </a:solidFill>
              <a:round/>
            </a:ln>
            <a:effectLst/>
          </c:spPr>
          <c:marker>
            <c:symbol val="none"/>
          </c:marker>
          <c:cat>
            <c:strRef>
              <c:f>'IEA elec gen chart'!$C$3:$BB$4</c:f>
              <c:strCache>
                <c:ptCount val="15"/>
                <c:pt idx="0">
                  <c:v>1970</c:v>
                </c:pt>
                <c:pt idx="1">
                  <c:v>1975</c:v>
                </c:pt>
                <c:pt idx="2">
                  <c:v>1980</c:v>
                </c:pt>
                <c:pt idx="3">
                  <c:v>1985</c:v>
                </c:pt>
                <c:pt idx="4">
                  <c:v>1990</c:v>
                </c:pt>
                <c:pt idx="5">
                  <c:v>1995</c:v>
                </c:pt>
                <c:pt idx="6">
                  <c:v>2000</c:v>
                </c:pt>
                <c:pt idx="7">
                  <c:v>2005</c:v>
                </c:pt>
                <c:pt idx="8">
                  <c:v>2010</c:v>
                </c:pt>
                <c:pt idx="9">
                  <c:v>2015</c:v>
                </c:pt>
                <c:pt idx="10">
                  <c:v>2017</c:v>
                </c:pt>
                <c:pt idx="11">
                  <c:v>2025</c:v>
                </c:pt>
                <c:pt idx="12">
                  <c:v>2030</c:v>
                </c:pt>
                <c:pt idx="13">
                  <c:v>2035</c:v>
                </c:pt>
                <c:pt idx="14">
                  <c:v>2040</c:v>
                </c:pt>
              </c:strCache>
            </c:strRef>
          </c:cat>
          <c:val>
            <c:numRef>
              <c:f>'IEA elec gen chart'!$C$10:$BB$10</c:f>
              <c:numCache>
                <c:formatCode>#,##0</c:formatCode>
                <c:ptCount val="15"/>
                <c:pt idx="0">
                  <c:v>49.091648590021691</c:v>
                </c:pt>
                <c:pt idx="1">
                  <c:v>51.334869538905572</c:v>
                </c:pt>
                <c:pt idx="2">
                  <c:v>51.044357149382527</c:v>
                </c:pt>
                <c:pt idx="3">
                  <c:v>62.357727072428872</c:v>
                </c:pt>
                <c:pt idx="4">
                  <c:v>65.463632264323678</c:v>
                </c:pt>
                <c:pt idx="5">
                  <c:v>69.936269650191178</c:v>
                </c:pt>
                <c:pt idx="6">
                  <c:v>68.499424246254094</c:v>
                </c:pt>
                <c:pt idx="7">
                  <c:v>66.859636473389457</c:v>
                </c:pt>
                <c:pt idx="8">
                  <c:v>67.1092987414616</c:v>
                </c:pt>
                <c:pt idx="9">
                  <c:v>75.180911587520114</c:v>
                </c:pt>
                <c:pt idx="10">
                  <c:v>74.392523364485982</c:v>
                </c:pt>
                <c:pt idx="11">
                  <c:v>63.389551624845744</c:v>
                </c:pt>
                <c:pt idx="12">
                  <c:v>56.810845706907685</c:v>
                </c:pt>
                <c:pt idx="13">
                  <c:v>52.204724409448822</c:v>
                </c:pt>
                <c:pt idx="14">
                  <c:v>48.188007906874589</c:v>
                </c:pt>
              </c:numCache>
            </c:numRef>
          </c:val>
          <c:smooth val="1"/>
        </c:ser>
        <c:dLbls>
          <c:showLegendKey val="0"/>
          <c:showVal val="0"/>
          <c:showCatName val="0"/>
          <c:showSerName val="0"/>
          <c:showPercent val="0"/>
          <c:showBubbleSize val="0"/>
        </c:dLbls>
        <c:marker val="1"/>
        <c:smooth val="0"/>
        <c:axId val="413297840"/>
        <c:axId val="413296272"/>
      </c:lineChart>
      <c:catAx>
        <c:axId val="824001016"/>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24001800"/>
        <c:crosses val="autoZero"/>
        <c:auto val="1"/>
        <c:lblAlgn val="ctr"/>
        <c:lblOffset val="100"/>
        <c:tickLblSkip val="1"/>
        <c:noMultiLvlLbl val="0"/>
      </c:catAx>
      <c:valAx>
        <c:axId val="824001800"/>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TWh</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24001016"/>
        <c:crosses val="autoZero"/>
        <c:crossBetween val="between"/>
        <c:majorUnit val="1000"/>
      </c:valAx>
      <c:valAx>
        <c:axId val="413296272"/>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a:solidFill>
              <a:srgbClr val="BCBFC1"/>
            </a:solidFill>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13297840"/>
        <c:crosses val="max"/>
        <c:crossBetween val="between"/>
        <c:majorUnit val="20"/>
      </c:valAx>
      <c:catAx>
        <c:axId val="413297840"/>
        <c:scaling>
          <c:orientation val="minMax"/>
        </c:scaling>
        <c:delete val="1"/>
        <c:axPos val="b"/>
        <c:numFmt formatCode="General" sourceLinked="1"/>
        <c:majorTickMark val="out"/>
        <c:minorTickMark val="none"/>
        <c:tickLblPos val="nextTo"/>
        <c:crossAx val="413296272"/>
        <c:crosses val="autoZero"/>
        <c:auto val="1"/>
        <c:lblAlgn val="ctr"/>
        <c:lblOffset val="100"/>
        <c:noMultiLvlLbl val="0"/>
      </c:cat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7420117261462"/>
          <c:y val="3.2407407407407406E-2"/>
          <c:w val="0.86821413492467669"/>
          <c:h val="0.74569663167104117"/>
        </c:manualLayout>
      </c:layout>
      <c:areaChart>
        <c:grouping val="stacked"/>
        <c:varyColors val="0"/>
        <c:ser>
          <c:idx val="2"/>
          <c:order val="1"/>
          <c:tx>
            <c:strRef>
              <c:f>'Coal outlook comparison'!$A$5:$B$5</c:f>
              <c:strCache>
                <c:ptCount val="2"/>
                <c:pt idx="0">
                  <c:v>IEA</c:v>
                </c:pt>
              </c:strCache>
            </c:strRef>
          </c:tx>
          <c:spPr>
            <a:noFill/>
            <a:ln>
              <a:noFill/>
            </a:ln>
            <a:effectLst/>
          </c:spPr>
          <c:cat>
            <c:numRef>
              <c:f>'Coal outlook comparison'!$H$2:$AE$2</c:f>
              <c:numCache>
                <c:formatCode>General</c:formatCode>
                <c:ptCount val="5"/>
                <c:pt idx="0">
                  <c:v>2017</c:v>
                </c:pt>
                <c:pt idx="1">
                  <c:v>2025</c:v>
                </c:pt>
                <c:pt idx="2">
                  <c:v>2030</c:v>
                </c:pt>
                <c:pt idx="3">
                  <c:v>2035</c:v>
                </c:pt>
                <c:pt idx="4">
                  <c:v>2040</c:v>
                </c:pt>
              </c:numCache>
            </c:numRef>
          </c:cat>
          <c:val>
            <c:numRef>
              <c:f>'Coal outlook comparison'!$H$15:$AE$15</c:f>
              <c:numCache>
                <c:formatCode>#\ ##0\ ;\-#\ ##0\ ;\-\ </c:formatCode>
                <c:ptCount val="5"/>
                <c:pt idx="0">
                  <c:v>1194</c:v>
                </c:pt>
                <c:pt idx="1">
                  <c:v>1134</c:v>
                </c:pt>
                <c:pt idx="2">
                  <c:v>884</c:v>
                </c:pt>
                <c:pt idx="3">
                  <c:v>498</c:v>
                </c:pt>
                <c:pt idx="4">
                  <c:v>253</c:v>
                </c:pt>
              </c:numCache>
            </c:numRef>
          </c:val>
        </c:ser>
        <c:ser>
          <c:idx val="3"/>
          <c:order val="2"/>
          <c:tx>
            <c:strRef>
              <c:f>'Coal outlook comparison'!$A$5</c:f>
              <c:strCache>
                <c:ptCount val="1"/>
                <c:pt idx="0">
                  <c:v>IEA</c:v>
                </c:pt>
              </c:strCache>
            </c:strRef>
          </c:tx>
          <c:spPr>
            <a:solidFill>
              <a:srgbClr val="BCBFC1"/>
            </a:solidFill>
            <a:ln>
              <a:noFill/>
            </a:ln>
            <a:effectLst/>
          </c:spPr>
          <c:cat>
            <c:numRef>
              <c:f>'Coal outlook comparison'!$H$2:$AE$2</c:f>
              <c:numCache>
                <c:formatCode>General</c:formatCode>
                <c:ptCount val="5"/>
                <c:pt idx="0">
                  <c:v>2017</c:v>
                </c:pt>
                <c:pt idx="1">
                  <c:v>2025</c:v>
                </c:pt>
                <c:pt idx="2">
                  <c:v>2030</c:v>
                </c:pt>
                <c:pt idx="3">
                  <c:v>2035</c:v>
                </c:pt>
                <c:pt idx="4">
                  <c:v>2040</c:v>
                </c:pt>
              </c:numCache>
            </c:numRef>
          </c:cat>
          <c:val>
            <c:numRef>
              <c:f>'Coal outlook comparison'!$H$13:$AE$13</c:f>
              <c:numCache>
                <c:formatCode>General</c:formatCode>
                <c:ptCount val="5"/>
                <c:pt idx="0">
                  <c:v>0</c:v>
                </c:pt>
                <c:pt idx="1">
                  <c:v>407</c:v>
                </c:pt>
                <c:pt idx="2">
                  <c:v>876</c:v>
                </c:pt>
                <c:pt idx="3">
                  <c:v>1491</c:v>
                </c:pt>
                <c:pt idx="4">
                  <c:v>1941</c:v>
                </c:pt>
              </c:numCache>
            </c:numRef>
          </c:val>
        </c:ser>
        <c:dLbls>
          <c:showLegendKey val="0"/>
          <c:showVal val="0"/>
          <c:showCatName val="0"/>
          <c:showSerName val="0"/>
          <c:showPercent val="0"/>
          <c:showBubbleSize val="0"/>
        </c:dLbls>
        <c:axId val="413296664"/>
        <c:axId val="413297056"/>
      </c:areaChart>
      <c:lineChart>
        <c:grouping val="standard"/>
        <c:varyColors val="0"/>
        <c:ser>
          <c:idx val="0"/>
          <c:order val="0"/>
          <c:tx>
            <c:strRef>
              <c:f>'Coal outlook comparison'!$A$3</c:f>
              <c:strCache>
                <c:ptCount val="1"/>
                <c:pt idx="0">
                  <c:v>BNEF</c:v>
                </c:pt>
              </c:strCache>
            </c:strRef>
          </c:tx>
          <c:spPr>
            <a:ln w="28575" cap="rnd" cmpd="sng" algn="ctr">
              <a:solidFill>
                <a:srgbClr val="005CAF"/>
              </a:solidFill>
              <a:prstDash val="solid"/>
              <a:round/>
              <a:headEnd type="none" w="med" len="med"/>
              <a:tailEnd type="none" w="med" len="med"/>
            </a:ln>
            <a:effectLst/>
          </c:spPr>
          <c:marker>
            <c:symbol val="none"/>
          </c:marker>
          <c:cat>
            <c:numRef>
              <c:f>'Coal outlook comparison'!$H$2:$AE$2</c:f>
              <c:numCache>
                <c:formatCode>General</c:formatCode>
                <c:ptCount val="5"/>
                <c:pt idx="0">
                  <c:v>2017</c:v>
                </c:pt>
                <c:pt idx="1">
                  <c:v>2025</c:v>
                </c:pt>
                <c:pt idx="2">
                  <c:v>2030</c:v>
                </c:pt>
                <c:pt idx="3">
                  <c:v>2035</c:v>
                </c:pt>
                <c:pt idx="4">
                  <c:v>2040</c:v>
                </c:pt>
              </c:numCache>
            </c:numRef>
          </c:cat>
          <c:val>
            <c:numRef>
              <c:f>'Coal outlook comparison'!$H$11:$AE$11</c:f>
              <c:numCache>
                <c:formatCode>General</c:formatCode>
                <c:ptCount val="5"/>
                <c:pt idx="0">
                  <c:v>972.93898000000002</c:v>
                </c:pt>
                <c:pt idx="1">
                  <c:v>1284.4772354525514</c:v>
                </c:pt>
                <c:pt idx="2">
                  <c:v>1512.4067809836554</c:v>
                </c:pt>
                <c:pt idx="3">
                  <c:v>1716.2493500799605</c:v>
                </c:pt>
                <c:pt idx="4">
                  <c:v>1755.7232909919721</c:v>
                </c:pt>
              </c:numCache>
            </c:numRef>
          </c:val>
          <c:smooth val="0"/>
        </c:ser>
        <c:dLbls>
          <c:showLegendKey val="0"/>
          <c:showVal val="0"/>
          <c:showCatName val="0"/>
          <c:showSerName val="0"/>
          <c:showPercent val="0"/>
          <c:showBubbleSize val="0"/>
        </c:dLbls>
        <c:marker val="1"/>
        <c:smooth val="0"/>
        <c:axId val="413296664"/>
        <c:axId val="413297056"/>
      </c:lineChart>
      <c:catAx>
        <c:axId val="413296664"/>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13297056"/>
        <c:crosses val="autoZero"/>
        <c:auto val="1"/>
        <c:lblAlgn val="ctr"/>
        <c:lblOffset val="100"/>
        <c:noMultiLvlLbl val="0"/>
      </c:catAx>
      <c:valAx>
        <c:axId val="413297056"/>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TWh</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13296664"/>
        <c:crosses val="autoZero"/>
        <c:crossBetween val="between"/>
      </c:valAx>
      <c:spPr>
        <a:noFill/>
        <a:ln w="25400">
          <a:noFill/>
        </a:ln>
        <a:effectLst/>
      </c:spPr>
    </c:plotArea>
    <c:legend>
      <c:legendPos val="b"/>
      <c:legendEntry>
        <c:idx val="0"/>
        <c:delete val="1"/>
      </c:legendEntry>
      <c:layout>
        <c:manualLayout>
          <c:xMode val="edge"/>
          <c:yMode val="edge"/>
          <c:x val="9.6902190708748476E-2"/>
          <c:y val="0.907195610965296"/>
          <c:w val="0.7687167029653208"/>
          <c:h val="9.280453913849004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'Energy mix'!$A$39</c:f>
              <c:strCache>
                <c:ptCount val="1"/>
                <c:pt idx="0">
                  <c:v>Coal</c:v>
                </c:pt>
              </c:strCache>
            </c:strRef>
          </c:tx>
          <c:spPr>
            <a:solidFill>
              <a:srgbClr val="005CAF"/>
            </a:solidFill>
            <a:ln>
              <a:noFill/>
            </a:ln>
            <a:effectLst/>
          </c:spPr>
          <c:cat>
            <c:numRef>
              <c:f>'Energy mix'!$M$38:$BF$38</c:f>
              <c:numCache>
                <c:formatCode>yyyy</c:formatCode>
                <c:ptCount val="46"/>
                <c:pt idx="0">
                  <c:v>25934</c:v>
                </c:pt>
                <c:pt idx="1">
                  <c:v>26299</c:v>
                </c:pt>
                <c:pt idx="2">
                  <c:v>26665</c:v>
                </c:pt>
                <c:pt idx="3">
                  <c:v>27030</c:v>
                </c:pt>
                <c:pt idx="4">
                  <c:v>27395</c:v>
                </c:pt>
                <c:pt idx="5">
                  <c:v>27760</c:v>
                </c:pt>
                <c:pt idx="6">
                  <c:v>28126</c:v>
                </c:pt>
                <c:pt idx="7">
                  <c:v>28491</c:v>
                </c:pt>
                <c:pt idx="8">
                  <c:v>28856</c:v>
                </c:pt>
                <c:pt idx="9">
                  <c:v>29221</c:v>
                </c:pt>
                <c:pt idx="10">
                  <c:v>29587</c:v>
                </c:pt>
                <c:pt idx="11">
                  <c:v>29952</c:v>
                </c:pt>
                <c:pt idx="12">
                  <c:v>30317</c:v>
                </c:pt>
                <c:pt idx="13">
                  <c:v>30682</c:v>
                </c:pt>
                <c:pt idx="14">
                  <c:v>31048</c:v>
                </c:pt>
                <c:pt idx="15">
                  <c:v>31413</c:v>
                </c:pt>
                <c:pt idx="16">
                  <c:v>31778</c:v>
                </c:pt>
                <c:pt idx="17">
                  <c:v>32143</c:v>
                </c:pt>
                <c:pt idx="18">
                  <c:v>32509</c:v>
                </c:pt>
                <c:pt idx="19">
                  <c:v>32874</c:v>
                </c:pt>
                <c:pt idx="20">
                  <c:v>33239</c:v>
                </c:pt>
                <c:pt idx="21">
                  <c:v>33604</c:v>
                </c:pt>
                <c:pt idx="22">
                  <c:v>33970</c:v>
                </c:pt>
                <c:pt idx="23">
                  <c:v>34335</c:v>
                </c:pt>
                <c:pt idx="24">
                  <c:v>34700</c:v>
                </c:pt>
                <c:pt idx="25">
                  <c:v>35065</c:v>
                </c:pt>
                <c:pt idx="26">
                  <c:v>35431</c:v>
                </c:pt>
                <c:pt idx="27">
                  <c:v>35796</c:v>
                </c:pt>
                <c:pt idx="28">
                  <c:v>36161</c:v>
                </c:pt>
                <c:pt idx="29">
                  <c:v>36526</c:v>
                </c:pt>
                <c:pt idx="30">
                  <c:v>36892</c:v>
                </c:pt>
                <c:pt idx="31">
                  <c:v>37257</c:v>
                </c:pt>
                <c:pt idx="32">
                  <c:v>37622</c:v>
                </c:pt>
                <c:pt idx="33">
                  <c:v>37987</c:v>
                </c:pt>
                <c:pt idx="34">
                  <c:v>38353</c:v>
                </c:pt>
                <c:pt idx="35">
                  <c:v>38718</c:v>
                </c:pt>
                <c:pt idx="36">
                  <c:v>39083</c:v>
                </c:pt>
                <c:pt idx="37">
                  <c:v>39448</c:v>
                </c:pt>
                <c:pt idx="38">
                  <c:v>39814</c:v>
                </c:pt>
                <c:pt idx="39">
                  <c:v>40179</c:v>
                </c:pt>
                <c:pt idx="40">
                  <c:v>40544</c:v>
                </c:pt>
                <c:pt idx="41">
                  <c:v>40909</c:v>
                </c:pt>
                <c:pt idx="42">
                  <c:v>41275</c:v>
                </c:pt>
                <c:pt idx="43">
                  <c:v>41640</c:v>
                </c:pt>
                <c:pt idx="44">
                  <c:v>42005</c:v>
                </c:pt>
                <c:pt idx="45">
                  <c:v>42370</c:v>
                </c:pt>
              </c:numCache>
            </c:numRef>
          </c:cat>
          <c:val>
            <c:numRef>
              <c:f>'Energy mix'!$M$39:$BF$39</c:f>
              <c:numCache>
                <c:formatCode>0</c:formatCode>
                <c:ptCount val="46"/>
                <c:pt idx="0">
                  <c:v>20.346294686372136</c:v>
                </c:pt>
                <c:pt idx="1">
                  <c:v>20.473388778741921</c:v>
                </c:pt>
                <c:pt idx="2">
                  <c:v>19.723114090263305</c:v>
                </c:pt>
                <c:pt idx="3">
                  <c:v>21.337203700134904</c:v>
                </c:pt>
                <c:pt idx="4">
                  <c:v>22.326974525997443</c:v>
                </c:pt>
                <c:pt idx="5">
                  <c:v>23.190472196594815</c:v>
                </c:pt>
                <c:pt idx="6">
                  <c:v>22.538702383023136</c:v>
                </c:pt>
                <c:pt idx="7">
                  <c:v>20.501203682356536</c:v>
                </c:pt>
                <c:pt idx="8">
                  <c:v>21.483137311198384</c:v>
                </c:pt>
                <c:pt idx="9">
                  <c:v>22.149570085982802</c:v>
                </c:pt>
                <c:pt idx="10">
                  <c:v>23.778120360854174</c:v>
                </c:pt>
                <c:pt idx="11">
                  <c:v>24.641199833254696</c:v>
                </c:pt>
                <c:pt idx="12">
                  <c:v>25.187124254054172</c:v>
                </c:pt>
                <c:pt idx="13">
                  <c:v>26.290183782494225</c:v>
                </c:pt>
                <c:pt idx="14">
                  <c:v>26.439726992300404</c:v>
                </c:pt>
                <c:pt idx="15">
                  <c:v>27.614373973566902</c:v>
                </c:pt>
                <c:pt idx="16">
                  <c:v>28.782027856370533</c:v>
                </c:pt>
                <c:pt idx="17">
                  <c:v>29.094560358473913</c:v>
                </c:pt>
                <c:pt idx="18">
                  <c:v>29.710619710619714</c:v>
                </c:pt>
                <c:pt idx="19">
                  <c:v>30.330703714731644</c:v>
                </c:pt>
                <c:pt idx="20">
                  <c:v>31.552120496457466</c:v>
                </c:pt>
                <c:pt idx="21">
                  <c:v>31.937493183388067</c:v>
                </c:pt>
                <c:pt idx="22">
                  <c:v>32.722307045887632</c:v>
                </c:pt>
                <c:pt idx="23">
                  <c:v>33.23436048532789</c:v>
                </c:pt>
                <c:pt idx="24">
                  <c:v>33.226533152967683</c:v>
                </c:pt>
                <c:pt idx="25">
                  <c:v>33.516970535249712</c:v>
                </c:pt>
                <c:pt idx="26">
                  <c:v>33.592673432643657</c:v>
                </c:pt>
                <c:pt idx="27">
                  <c:v>32.396977532863311</c:v>
                </c:pt>
                <c:pt idx="28">
                  <c:v>32.978073750031925</c:v>
                </c:pt>
                <c:pt idx="29">
                  <c:v>33.103079055481075</c:v>
                </c:pt>
                <c:pt idx="30">
                  <c:v>33.265541667317791</c:v>
                </c:pt>
                <c:pt idx="31">
                  <c:v>33.355913862136134</c:v>
                </c:pt>
                <c:pt idx="32">
                  <c:v>33.203261846775931</c:v>
                </c:pt>
                <c:pt idx="33">
                  <c:v>35.081717520917884</c:v>
                </c:pt>
                <c:pt idx="34">
                  <c:v>35.814210284843348</c:v>
                </c:pt>
                <c:pt idx="35">
                  <c:v>36.849235642137543</c:v>
                </c:pt>
                <c:pt idx="36">
                  <c:v>37.641536363348024</c:v>
                </c:pt>
                <c:pt idx="37">
                  <c:v>38.434256819481035</c:v>
                </c:pt>
                <c:pt idx="38">
                  <c:v>39.595784979856894</c:v>
                </c:pt>
                <c:pt idx="39">
                  <c:v>39.884303828951488</c:v>
                </c:pt>
                <c:pt idx="40">
                  <c:v>40.253847192500785</c:v>
                </c:pt>
                <c:pt idx="41">
                  <c:v>42.618987318637188</c:v>
                </c:pt>
                <c:pt idx="42">
                  <c:v>44.331844616521543</c:v>
                </c:pt>
                <c:pt idx="43">
                  <c:v>46.722491756147072</c:v>
                </c:pt>
                <c:pt idx="44">
                  <c:v>45.386982322085203</c:v>
                </c:pt>
                <c:pt idx="45">
                  <c:v>44.007476089383793</c:v>
                </c:pt>
              </c:numCache>
            </c:numRef>
          </c:val>
        </c:ser>
        <c:ser>
          <c:idx val="1"/>
          <c:order val="1"/>
          <c:tx>
            <c:strRef>
              <c:f>'Energy mix'!$A$40</c:f>
              <c:strCache>
                <c:ptCount val="1"/>
                <c:pt idx="0">
                  <c:v>Oil</c:v>
                </c:pt>
              </c:strCache>
            </c:strRef>
          </c:tx>
          <c:spPr>
            <a:solidFill>
              <a:srgbClr val="56B4DF"/>
            </a:solidFill>
            <a:ln>
              <a:noFill/>
            </a:ln>
            <a:effectLst/>
          </c:spPr>
          <c:cat>
            <c:numRef>
              <c:f>'Energy mix'!$M$38:$BF$38</c:f>
              <c:numCache>
                <c:formatCode>yyyy</c:formatCode>
                <c:ptCount val="46"/>
                <c:pt idx="0">
                  <c:v>25934</c:v>
                </c:pt>
                <c:pt idx="1">
                  <c:v>26299</c:v>
                </c:pt>
                <c:pt idx="2">
                  <c:v>26665</c:v>
                </c:pt>
                <c:pt idx="3">
                  <c:v>27030</c:v>
                </c:pt>
                <c:pt idx="4">
                  <c:v>27395</c:v>
                </c:pt>
                <c:pt idx="5">
                  <c:v>27760</c:v>
                </c:pt>
                <c:pt idx="6">
                  <c:v>28126</c:v>
                </c:pt>
                <c:pt idx="7">
                  <c:v>28491</c:v>
                </c:pt>
                <c:pt idx="8">
                  <c:v>28856</c:v>
                </c:pt>
                <c:pt idx="9">
                  <c:v>29221</c:v>
                </c:pt>
                <c:pt idx="10">
                  <c:v>29587</c:v>
                </c:pt>
                <c:pt idx="11">
                  <c:v>29952</c:v>
                </c:pt>
                <c:pt idx="12">
                  <c:v>30317</c:v>
                </c:pt>
                <c:pt idx="13">
                  <c:v>30682</c:v>
                </c:pt>
                <c:pt idx="14">
                  <c:v>31048</c:v>
                </c:pt>
                <c:pt idx="15">
                  <c:v>31413</c:v>
                </c:pt>
                <c:pt idx="16">
                  <c:v>31778</c:v>
                </c:pt>
                <c:pt idx="17">
                  <c:v>32143</c:v>
                </c:pt>
                <c:pt idx="18">
                  <c:v>32509</c:v>
                </c:pt>
                <c:pt idx="19">
                  <c:v>32874</c:v>
                </c:pt>
                <c:pt idx="20">
                  <c:v>33239</c:v>
                </c:pt>
                <c:pt idx="21">
                  <c:v>33604</c:v>
                </c:pt>
                <c:pt idx="22">
                  <c:v>33970</c:v>
                </c:pt>
                <c:pt idx="23">
                  <c:v>34335</c:v>
                </c:pt>
                <c:pt idx="24">
                  <c:v>34700</c:v>
                </c:pt>
                <c:pt idx="25">
                  <c:v>35065</c:v>
                </c:pt>
                <c:pt idx="26">
                  <c:v>35431</c:v>
                </c:pt>
                <c:pt idx="27">
                  <c:v>35796</c:v>
                </c:pt>
                <c:pt idx="28">
                  <c:v>36161</c:v>
                </c:pt>
                <c:pt idx="29">
                  <c:v>36526</c:v>
                </c:pt>
                <c:pt idx="30">
                  <c:v>36892</c:v>
                </c:pt>
                <c:pt idx="31">
                  <c:v>37257</c:v>
                </c:pt>
                <c:pt idx="32">
                  <c:v>37622</c:v>
                </c:pt>
                <c:pt idx="33">
                  <c:v>37987</c:v>
                </c:pt>
                <c:pt idx="34">
                  <c:v>38353</c:v>
                </c:pt>
                <c:pt idx="35">
                  <c:v>38718</c:v>
                </c:pt>
                <c:pt idx="36">
                  <c:v>39083</c:v>
                </c:pt>
                <c:pt idx="37">
                  <c:v>39448</c:v>
                </c:pt>
                <c:pt idx="38">
                  <c:v>39814</c:v>
                </c:pt>
                <c:pt idx="39">
                  <c:v>40179</c:v>
                </c:pt>
                <c:pt idx="40">
                  <c:v>40544</c:v>
                </c:pt>
                <c:pt idx="41">
                  <c:v>40909</c:v>
                </c:pt>
                <c:pt idx="42">
                  <c:v>41275</c:v>
                </c:pt>
                <c:pt idx="43">
                  <c:v>41640</c:v>
                </c:pt>
                <c:pt idx="44">
                  <c:v>42005</c:v>
                </c:pt>
                <c:pt idx="45">
                  <c:v>42370</c:v>
                </c:pt>
              </c:numCache>
            </c:numRef>
          </c:cat>
          <c:val>
            <c:numRef>
              <c:f>'Energy mix'!$M$40:$BF$40</c:f>
              <c:numCache>
                <c:formatCode>0</c:formatCode>
                <c:ptCount val="46"/>
                <c:pt idx="0">
                  <c:v>14.377354514080981</c:v>
                </c:pt>
                <c:pt idx="1">
                  <c:v>14.338131163581123</c:v>
                </c:pt>
                <c:pt idx="2">
                  <c:v>15.197431420041681</c:v>
                </c:pt>
                <c:pt idx="3">
                  <c:v>14.651787434958566</c:v>
                </c:pt>
                <c:pt idx="4">
                  <c:v>14.063045248342446</c:v>
                </c:pt>
                <c:pt idx="5">
                  <c:v>14.016047415359671</c:v>
                </c:pt>
                <c:pt idx="6">
                  <c:v>15.021634197251696</c:v>
                </c:pt>
                <c:pt idx="7">
                  <c:v>15.951874152194776</c:v>
                </c:pt>
                <c:pt idx="8">
                  <c:v>16.502773704664541</c:v>
                </c:pt>
                <c:pt idx="9">
                  <c:v>16.599180163967205</c:v>
                </c:pt>
                <c:pt idx="10">
                  <c:v>16.759925393018918</c:v>
                </c:pt>
                <c:pt idx="11">
                  <c:v>17.256764866214379</c:v>
                </c:pt>
                <c:pt idx="12">
                  <c:v>17.410209197595226</c:v>
                </c:pt>
                <c:pt idx="13">
                  <c:v>17.417587567203729</c:v>
                </c:pt>
                <c:pt idx="14">
                  <c:v>19.121064179479085</c:v>
                </c:pt>
                <c:pt idx="15">
                  <c:v>18.346367404395089</c:v>
                </c:pt>
                <c:pt idx="16">
                  <c:v>18.425365346433939</c:v>
                </c:pt>
                <c:pt idx="17">
                  <c:v>19.432344838182903</c:v>
                </c:pt>
                <c:pt idx="18">
                  <c:v>19.962803712803712</c:v>
                </c:pt>
                <c:pt idx="19">
                  <c:v>19.991427290663928</c:v>
                </c:pt>
                <c:pt idx="20">
                  <c:v>19.773503844027935</c:v>
                </c:pt>
                <c:pt idx="21">
                  <c:v>20.103854869787561</c:v>
                </c:pt>
                <c:pt idx="22">
                  <c:v>20.24849388677816</c:v>
                </c:pt>
                <c:pt idx="23">
                  <c:v>20.705936661176619</c:v>
                </c:pt>
                <c:pt idx="24">
                  <c:v>22.108445747484492</c:v>
                </c:pt>
                <c:pt idx="25">
                  <c:v>22.708958131240898</c:v>
                </c:pt>
                <c:pt idx="26">
                  <c:v>23.080598275983462</c:v>
                </c:pt>
                <c:pt idx="27">
                  <c:v>24.403205170707508</c:v>
                </c:pt>
                <c:pt idx="28">
                  <c:v>25.157022413861164</c:v>
                </c:pt>
                <c:pt idx="29">
                  <c:v>25.403965818015184</c:v>
                </c:pt>
                <c:pt idx="30">
                  <c:v>25.098171410967069</c:v>
                </c:pt>
                <c:pt idx="31">
                  <c:v>25.322151282328754</c:v>
                </c:pt>
                <c:pt idx="32">
                  <c:v>25.552610363792148</c:v>
                </c:pt>
                <c:pt idx="33">
                  <c:v>24.516258329575631</c:v>
                </c:pt>
                <c:pt idx="34">
                  <c:v>24.220238419247728</c:v>
                </c:pt>
                <c:pt idx="35">
                  <c:v>24.956326428749691</c:v>
                </c:pt>
                <c:pt idx="36">
                  <c:v>24.721332388876554</c:v>
                </c:pt>
                <c:pt idx="37">
                  <c:v>24.829294227253257</c:v>
                </c:pt>
                <c:pt idx="38">
                  <c:v>23.875142805603993</c:v>
                </c:pt>
                <c:pt idx="39">
                  <c:v>23.091777910236125</c:v>
                </c:pt>
                <c:pt idx="40">
                  <c:v>22.677397752582184</c:v>
                </c:pt>
                <c:pt idx="41">
                  <c:v>23.127625632175207</c:v>
                </c:pt>
                <c:pt idx="42">
                  <c:v>22.5885679401086</c:v>
                </c:pt>
                <c:pt idx="43">
                  <c:v>22.542141993385492</c:v>
                </c:pt>
                <c:pt idx="44">
                  <c:v>24.782193935858384</c:v>
                </c:pt>
                <c:pt idx="45">
                  <c:v>25.136147611025379</c:v>
                </c:pt>
              </c:numCache>
            </c:numRef>
          </c:val>
        </c:ser>
        <c:ser>
          <c:idx val="2"/>
          <c:order val="2"/>
          <c:tx>
            <c:strRef>
              <c:f>'Energy mix'!$A$41</c:f>
              <c:strCache>
                <c:ptCount val="1"/>
                <c:pt idx="0">
                  <c:v>Natural gas</c:v>
                </c:pt>
              </c:strCache>
            </c:strRef>
          </c:tx>
          <c:spPr>
            <a:solidFill>
              <a:srgbClr val="9ED9DF"/>
            </a:solidFill>
            <a:ln>
              <a:noFill/>
            </a:ln>
            <a:effectLst/>
          </c:spPr>
          <c:cat>
            <c:numRef>
              <c:f>'Energy mix'!$M$38:$BF$38</c:f>
              <c:numCache>
                <c:formatCode>yyyy</c:formatCode>
                <c:ptCount val="46"/>
                <c:pt idx="0">
                  <c:v>25934</c:v>
                </c:pt>
                <c:pt idx="1">
                  <c:v>26299</c:v>
                </c:pt>
                <c:pt idx="2">
                  <c:v>26665</c:v>
                </c:pt>
                <c:pt idx="3">
                  <c:v>27030</c:v>
                </c:pt>
                <c:pt idx="4">
                  <c:v>27395</c:v>
                </c:pt>
                <c:pt idx="5">
                  <c:v>27760</c:v>
                </c:pt>
                <c:pt idx="6">
                  <c:v>28126</c:v>
                </c:pt>
                <c:pt idx="7">
                  <c:v>28491</c:v>
                </c:pt>
                <c:pt idx="8">
                  <c:v>28856</c:v>
                </c:pt>
                <c:pt idx="9">
                  <c:v>29221</c:v>
                </c:pt>
                <c:pt idx="10">
                  <c:v>29587</c:v>
                </c:pt>
                <c:pt idx="11">
                  <c:v>29952</c:v>
                </c:pt>
                <c:pt idx="12">
                  <c:v>30317</c:v>
                </c:pt>
                <c:pt idx="13">
                  <c:v>30682</c:v>
                </c:pt>
                <c:pt idx="14">
                  <c:v>31048</c:v>
                </c:pt>
                <c:pt idx="15">
                  <c:v>31413</c:v>
                </c:pt>
                <c:pt idx="16">
                  <c:v>31778</c:v>
                </c:pt>
                <c:pt idx="17">
                  <c:v>32143</c:v>
                </c:pt>
                <c:pt idx="18">
                  <c:v>32509</c:v>
                </c:pt>
                <c:pt idx="19">
                  <c:v>32874</c:v>
                </c:pt>
                <c:pt idx="20">
                  <c:v>33239</c:v>
                </c:pt>
                <c:pt idx="21">
                  <c:v>33604</c:v>
                </c:pt>
                <c:pt idx="22">
                  <c:v>33970</c:v>
                </c:pt>
                <c:pt idx="23">
                  <c:v>34335</c:v>
                </c:pt>
                <c:pt idx="24">
                  <c:v>34700</c:v>
                </c:pt>
                <c:pt idx="25">
                  <c:v>35065</c:v>
                </c:pt>
                <c:pt idx="26">
                  <c:v>35431</c:v>
                </c:pt>
                <c:pt idx="27">
                  <c:v>35796</c:v>
                </c:pt>
                <c:pt idx="28">
                  <c:v>36161</c:v>
                </c:pt>
                <c:pt idx="29">
                  <c:v>36526</c:v>
                </c:pt>
                <c:pt idx="30">
                  <c:v>36892</c:v>
                </c:pt>
                <c:pt idx="31">
                  <c:v>37257</c:v>
                </c:pt>
                <c:pt idx="32">
                  <c:v>37622</c:v>
                </c:pt>
                <c:pt idx="33">
                  <c:v>37987</c:v>
                </c:pt>
                <c:pt idx="34">
                  <c:v>38353</c:v>
                </c:pt>
                <c:pt idx="35">
                  <c:v>38718</c:v>
                </c:pt>
                <c:pt idx="36">
                  <c:v>39083</c:v>
                </c:pt>
                <c:pt idx="37">
                  <c:v>39448</c:v>
                </c:pt>
                <c:pt idx="38">
                  <c:v>39814</c:v>
                </c:pt>
                <c:pt idx="39">
                  <c:v>40179</c:v>
                </c:pt>
                <c:pt idx="40">
                  <c:v>40544</c:v>
                </c:pt>
                <c:pt idx="41">
                  <c:v>40909</c:v>
                </c:pt>
                <c:pt idx="42">
                  <c:v>41275</c:v>
                </c:pt>
                <c:pt idx="43">
                  <c:v>41640</c:v>
                </c:pt>
                <c:pt idx="44">
                  <c:v>42005</c:v>
                </c:pt>
                <c:pt idx="45">
                  <c:v>42370</c:v>
                </c:pt>
              </c:numCache>
            </c:numRef>
          </c:cat>
          <c:val>
            <c:numRef>
              <c:f>'Energy mix'!$M$41:$BF$41</c:f>
              <c:numCache>
                <c:formatCode>0</c:formatCode>
                <c:ptCount val="46"/>
                <c:pt idx="0">
                  <c:v>0.39187017571590393</c:v>
                </c:pt>
                <c:pt idx="1">
                  <c:v>0.41069083605839796</c:v>
                </c:pt>
                <c:pt idx="2">
                  <c:v>0.39492542731431929</c:v>
                </c:pt>
                <c:pt idx="3">
                  <c:v>0.4739593370591636</c:v>
                </c:pt>
                <c:pt idx="4">
                  <c:v>0.54146795393741998</c:v>
                </c:pt>
                <c:pt idx="5">
                  <c:v>0.63966004081746763</c:v>
                </c:pt>
                <c:pt idx="6">
                  <c:v>0.65881022786571575</c:v>
                </c:pt>
                <c:pt idx="7">
                  <c:v>0.75974071234404406</c:v>
                </c:pt>
                <c:pt idx="8">
                  <c:v>0.71162700081006536</c:v>
                </c:pt>
                <c:pt idx="9">
                  <c:v>0.62987402519496105</c:v>
                </c:pt>
                <c:pt idx="10">
                  <c:v>0.87549008412317764</c:v>
                </c:pt>
                <c:pt idx="11">
                  <c:v>1.1214079900319289</c:v>
                </c:pt>
                <c:pt idx="12">
                  <c:v>1.248530292610422</c:v>
                </c:pt>
                <c:pt idx="13">
                  <c:v>1.4608024402089173</c:v>
                </c:pt>
                <c:pt idx="14">
                  <c:v>1.6593395027244096</c:v>
                </c:pt>
                <c:pt idx="15">
                  <c:v>2.2898256041291938</c:v>
                </c:pt>
                <c:pt idx="16">
                  <c:v>2.4857496995475317</c:v>
                </c:pt>
                <c:pt idx="17">
                  <c:v>2.7367939596859783</c:v>
                </c:pt>
                <c:pt idx="18">
                  <c:v>3.1569069069069067</c:v>
                </c:pt>
                <c:pt idx="19">
                  <c:v>3.4588591752530098</c:v>
                </c:pt>
                <c:pt idx="20">
                  <c:v>3.7554645495201244</c:v>
                </c:pt>
                <c:pt idx="21">
                  <c:v>4.0430082768816877</c:v>
                </c:pt>
                <c:pt idx="22">
                  <c:v>4.0034797429251148</c:v>
                </c:pt>
                <c:pt idx="23">
                  <c:v>4.090751072839077</c:v>
                </c:pt>
                <c:pt idx="24">
                  <c:v>4.6704644056287021</c:v>
                </c:pt>
                <c:pt idx="25">
                  <c:v>4.616728155060569</c:v>
                </c:pt>
                <c:pt idx="26">
                  <c:v>5.1106931270682665</c:v>
                </c:pt>
                <c:pt idx="27">
                  <c:v>5.226942883032879</c:v>
                </c:pt>
                <c:pt idx="28">
                  <c:v>5.3391103649885876</c:v>
                </c:pt>
                <c:pt idx="29">
                  <c:v>5.2332373751466026</c:v>
                </c:pt>
                <c:pt idx="30">
                  <c:v>5.1826021730540406</c:v>
                </c:pt>
                <c:pt idx="31">
                  <c:v>5.4483281030191542</c:v>
                </c:pt>
                <c:pt idx="32">
                  <c:v>5.4613141089223838</c:v>
                </c:pt>
                <c:pt idx="33">
                  <c:v>5.6882609349165785</c:v>
                </c:pt>
                <c:pt idx="34">
                  <c:v>6.1840478393741689</c:v>
                </c:pt>
                <c:pt idx="35">
                  <c:v>6.2760469929503069</c:v>
                </c:pt>
                <c:pt idx="36">
                  <c:v>6.2850426943801301</c:v>
                </c:pt>
                <c:pt idx="37">
                  <c:v>5.9987433521830509</c:v>
                </c:pt>
                <c:pt idx="38">
                  <c:v>7.4628705429619382</c:v>
                </c:pt>
                <c:pt idx="39">
                  <c:v>7.7762578420820168</c:v>
                </c:pt>
                <c:pt idx="40">
                  <c:v>7.5024856893849812</c:v>
                </c:pt>
                <c:pt idx="41">
                  <c:v>6.389244992859064</c:v>
                </c:pt>
                <c:pt idx="42">
                  <c:v>5.7173151688461914</c:v>
                </c:pt>
                <c:pt idx="43">
                  <c:v>5.2488696572791156</c:v>
                </c:pt>
                <c:pt idx="44">
                  <c:v>5.166857137392352</c:v>
                </c:pt>
                <c:pt idx="45">
                  <c:v>5.4533248771280132</c:v>
                </c:pt>
              </c:numCache>
            </c:numRef>
          </c:val>
        </c:ser>
        <c:ser>
          <c:idx val="3"/>
          <c:order val="3"/>
          <c:tx>
            <c:strRef>
              <c:f>'Energy mix'!$A$42</c:f>
              <c:strCache>
                <c:ptCount val="1"/>
                <c:pt idx="0">
                  <c:v>Nuclear</c:v>
                </c:pt>
              </c:strCache>
            </c:strRef>
          </c:tx>
          <c:spPr>
            <a:solidFill>
              <a:srgbClr val="BCBFC1"/>
            </a:solidFill>
            <a:ln>
              <a:noFill/>
            </a:ln>
            <a:effectLst/>
          </c:spPr>
          <c:cat>
            <c:numRef>
              <c:f>'Energy mix'!$M$38:$BF$38</c:f>
              <c:numCache>
                <c:formatCode>yyyy</c:formatCode>
                <c:ptCount val="46"/>
                <c:pt idx="0">
                  <c:v>25934</c:v>
                </c:pt>
                <c:pt idx="1">
                  <c:v>26299</c:v>
                </c:pt>
                <c:pt idx="2">
                  <c:v>26665</c:v>
                </c:pt>
                <c:pt idx="3">
                  <c:v>27030</c:v>
                </c:pt>
                <c:pt idx="4">
                  <c:v>27395</c:v>
                </c:pt>
                <c:pt idx="5">
                  <c:v>27760</c:v>
                </c:pt>
                <c:pt idx="6">
                  <c:v>28126</c:v>
                </c:pt>
                <c:pt idx="7">
                  <c:v>28491</c:v>
                </c:pt>
                <c:pt idx="8">
                  <c:v>28856</c:v>
                </c:pt>
                <c:pt idx="9">
                  <c:v>29221</c:v>
                </c:pt>
                <c:pt idx="10">
                  <c:v>29587</c:v>
                </c:pt>
                <c:pt idx="11">
                  <c:v>29952</c:v>
                </c:pt>
                <c:pt idx="12">
                  <c:v>30317</c:v>
                </c:pt>
                <c:pt idx="13">
                  <c:v>30682</c:v>
                </c:pt>
                <c:pt idx="14">
                  <c:v>31048</c:v>
                </c:pt>
                <c:pt idx="15">
                  <c:v>31413</c:v>
                </c:pt>
                <c:pt idx="16">
                  <c:v>31778</c:v>
                </c:pt>
                <c:pt idx="17">
                  <c:v>32143</c:v>
                </c:pt>
                <c:pt idx="18">
                  <c:v>32509</c:v>
                </c:pt>
                <c:pt idx="19">
                  <c:v>32874</c:v>
                </c:pt>
                <c:pt idx="20">
                  <c:v>33239</c:v>
                </c:pt>
                <c:pt idx="21">
                  <c:v>33604</c:v>
                </c:pt>
                <c:pt idx="22">
                  <c:v>33970</c:v>
                </c:pt>
                <c:pt idx="23">
                  <c:v>34335</c:v>
                </c:pt>
                <c:pt idx="24">
                  <c:v>34700</c:v>
                </c:pt>
                <c:pt idx="25">
                  <c:v>35065</c:v>
                </c:pt>
                <c:pt idx="26">
                  <c:v>35431</c:v>
                </c:pt>
                <c:pt idx="27">
                  <c:v>35796</c:v>
                </c:pt>
                <c:pt idx="28">
                  <c:v>36161</c:v>
                </c:pt>
                <c:pt idx="29">
                  <c:v>36526</c:v>
                </c:pt>
                <c:pt idx="30">
                  <c:v>36892</c:v>
                </c:pt>
                <c:pt idx="31">
                  <c:v>37257</c:v>
                </c:pt>
                <c:pt idx="32">
                  <c:v>37622</c:v>
                </c:pt>
                <c:pt idx="33">
                  <c:v>37987</c:v>
                </c:pt>
                <c:pt idx="34">
                  <c:v>38353</c:v>
                </c:pt>
                <c:pt idx="35">
                  <c:v>38718</c:v>
                </c:pt>
                <c:pt idx="36">
                  <c:v>39083</c:v>
                </c:pt>
                <c:pt idx="37">
                  <c:v>39448</c:v>
                </c:pt>
                <c:pt idx="38">
                  <c:v>39814</c:v>
                </c:pt>
                <c:pt idx="39">
                  <c:v>40179</c:v>
                </c:pt>
                <c:pt idx="40">
                  <c:v>40544</c:v>
                </c:pt>
                <c:pt idx="41">
                  <c:v>40909</c:v>
                </c:pt>
                <c:pt idx="42">
                  <c:v>41275</c:v>
                </c:pt>
                <c:pt idx="43">
                  <c:v>41640</c:v>
                </c:pt>
                <c:pt idx="44">
                  <c:v>42005</c:v>
                </c:pt>
                <c:pt idx="45">
                  <c:v>42370</c:v>
                </c:pt>
              </c:numCache>
            </c:numRef>
          </c:cat>
          <c:val>
            <c:numRef>
              <c:f>'Energy mix'!$M$42:$BF$42</c:f>
              <c:numCache>
                <c:formatCode>0</c:formatCode>
                <c:ptCount val="46"/>
                <c:pt idx="0">
                  <c:v>0.20416765457467265</c:v>
                </c:pt>
                <c:pt idx="1">
                  <c:v>0.18989623297371064</c:v>
                </c:pt>
                <c:pt idx="2">
                  <c:v>0.39054432114759946</c:v>
                </c:pt>
                <c:pt idx="3">
                  <c:v>0.34628541144729236</c:v>
                </c:pt>
                <c:pt idx="4">
                  <c:v>0.39781319064790038</c:v>
                </c:pt>
                <c:pt idx="5">
                  <c:v>0.47359445329754812</c:v>
                </c:pt>
                <c:pt idx="6">
                  <c:v>0.32179509479909552</c:v>
                </c:pt>
                <c:pt idx="7">
                  <c:v>0.38710853515342258</c:v>
                </c:pt>
                <c:pt idx="8">
                  <c:v>0.38452467623022263</c:v>
                </c:pt>
                <c:pt idx="9">
                  <c:v>0.39092181563687262</c:v>
                </c:pt>
                <c:pt idx="10">
                  <c:v>0.37446233489398956</c:v>
                </c:pt>
                <c:pt idx="11">
                  <c:v>0.24141422007631805</c:v>
                </c:pt>
                <c:pt idx="12">
                  <c:v>0.40996517070789978</c:v>
                </c:pt>
                <c:pt idx="13">
                  <c:v>0.45242700247940221</c:v>
                </c:pt>
                <c:pt idx="14">
                  <c:v>0.52545076226793941</c:v>
                </c:pt>
                <c:pt idx="15">
                  <c:v>0.51184797059513565</c:v>
                </c:pt>
                <c:pt idx="16">
                  <c:v>0.49428669381727214</c:v>
                </c:pt>
                <c:pt idx="17">
                  <c:v>0.54171297073820901</c:v>
                </c:pt>
                <c:pt idx="18">
                  <c:v>0.41120666120666122</c:v>
                </c:pt>
                <c:pt idx="19">
                  <c:v>0.52352423426400674</c:v>
                </c:pt>
                <c:pt idx="20">
                  <c:v>0.45223858097583031</c:v>
                </c:pt>
                <c:pt idx="21">
                  <c:v>0.53108980961960273</c:v>
                </c:pt>
                <c:pt idx="22">
                  <c:v>0.41603048917610574</c:v>
                </c:pt>
                <c:pt idx="23">
                  <c:v>0.41944730978121486</c:v>
                </c:pt>
                <c:pt idx="24">
                  <c:v>0.56049884397113425</c:v>
                </c:pt>
                <c:pt idx="25">
                  <c:v>0.61810870241621929</c:v>
                </c:pt>
                <c:pt idx="26">
                  <c:v>0.66058801637513964</c:v>
                </c:pt>
                <c:pt idx="27">
                  <c:v>0.76273829432464746</c:v>
                </c:pt>
                <c:pt idx="28">
                  <c:v>0.80153992258591833</c:v>
                </c:pt>
                <c:pt idx="29">
                  <c:v>0.9990540292230109</c:v>
                </c:pt>
                <c:pt idx="30">
                  <c:v>1.1327384633244111</c:v>
                </c:pt>
                <c:pt idx="31">
                  <c:v>1.0933881614543881</c:v>
                </c:pt>
                <c:pt idx="32">
                  <c:v>0.97775207769678507</c:v>
                </c:pt>
                <c:pt idx="33">
                  <c:v>0.88822085274813367</c:v>
                </c:pt>
                <c:pt idx="34">
                  <c:v>0.87754768773766112</c:v>
                </c:pt>
                <c:pt idx="35">
                  <c:v>0.91925596371762952</c:v>
                </c:pt>
                <c:pt idx="36">
                  <c:v>0.77847202399202153</c:v>
                </c:pt>
                <c:pt idx="37">
                  <c:v>0.64815694431250193</c:v>
                </c:pt>
                <c:pt idx="38">
                  <c:v>0.72996211893451979</c:v>
                </c:pt>
                <c:pt idx="39">
                  <c:v>0.9782858841808999</c:v>
                </c:pt>
                <c:pt idx="40">
                  <c:v>1.1474405923646716</c:v>
                </c:pt>
                <c:pt idx="41">
                  <c:v>1.1180069085620739</c:v>
                </c:pt>
                <c:pt idx="42">
                  <c:v>1.1461620023776629</c:v>
                </c:pt>
                <c:pt idx="43">
                  <c:v>1.1421196536367653</c:v>
                </c:pt>
                <c:pt idx="44">
                  <c:v>1.16541784814303</c:v>
                </c:pt>
                <c:pt idx="45">
                  <c:v>1.1454138806214151</c:v>
                </c:pt>
              </c:numCache>
            </c:numRef>
          </c:val>
        </c:ser>
        <c:ser>
          <c:idx val="4"/>
          <c:order val="4"/>
          <c:tx>
            <c:strRef>
              <c:f>'Energy mix'!$A$43</c:f>
              <c:strCache>
                <c:ptCount val="1"/>
                <c:pt idx="0">
                  <c:v>Renewables</c:v>
                </c:pt>
              </c:strCache>
            </c:strRef>
          </c:tx>
          <c:spPr>
            <a:solidFill>
              <a:srgbClr val="51B7A4"/>
            </a:solidFill>
            <a:ln>
              <a:noFill/>
            </a:ln>
            <a:effectLst/>
          </c:spPr>
          <c:cat>
            <c:numRef>
              <c:f>'Energy mix'!$M$38:$BF$38</c:f>
              <c:numCache>
                <c:formatCode>yyyy</c:formatCode>
                <c:ptCount val="46"/>
                <c:pt idx="0">
                  <c:v>25934</c:v>
                </c:pt>
                <c:pt idx="1">
                  <c:v>26299</c:v>
                </c:pt>
                <c:pt idx="2">
                  <c:v>26665</c:v>
                </c:pt>
                <c:pt idx="3">
                  <c:v>27030</c:v>
                </c:pt>
                <c:pt idx="4">
                  <c:v>27395</c:v>
                </c:pt>
                <c:pt idx="5">
                  <c:v>27760</c:v>
                </c:pt>
                <c:pt idx="6">
                  <c:v>28126</c:v>
                </c:pt>
                <c:pt idx="7">
                  <c:v>28491</c:v>
                </c:pt>
                <c:pt idx="8">
                  <c:v>28856</c:v>
                </c:pt>
                <c:pt idx="9">
                  <c:v>29221</c:v>
                </c:pt>
                <c:pt idx="10">
                  <c:v>29587</c:v>
                </c:pt>
                <c:pt idx="11">
                  <c:v>29952</c:v>
                </c:pt>
                <c:pt idx="12">
                  <c:v>30317</c:v>
                </c:pt>
                <c:pt idx="13">
                  <c:v>30682</c:v>
                </c:pt>
                <c:pt idx="14">
                  <c:v>31048</c:v>
                </c:pt>
                <c:pt idx="15">
                  <c:v>31413</c:v>
                </c:pt>
                <c:pt idx="16">
                  <c:v>31778</c:v>
                </c:pt>
                <c:pt idx="17">
                  <c:v>32143</c:v>
                </c:pt>
                <c:pt idx="18">
                  <c:v>32509</c:v>
                </c:pt>
                <c:pt idx="19">
                  <c:v>32874</c:v>
                </c:pt>
                <c:pt idx="20">
                  <c:v>33239</c:v>
                </c:pt>
                <c:pt idx="21">
                  <c:v>33604</c:v>
                </c:pt>
                <c:pt idx="22">
                  <c:v>33970</c:v>
                </c:pt>
                <c:pt idx="23">
                  <c:v>34335</c:v>
                </c:pt>
                <c:pt idx="24">
                  <c:v>34700</c:v>
                </c:pt>
                <c:pt idx="25">
                  <c:v>35065</c:v>
                </c:pt>
                <c:pt idx="26">
                  <c:v>35431</c:v>
                </c:pt>
                <c:pt idx="27">
                  <c:v>35796</c:v>
                </c:pt>
                <c:pt idx="28">
                  <c:v>36161</c:v>
                </c:pt>
                <c:pt idx="29">
                  <c:v>36526</c:v>
                </c:pt>
                <c:pt idx="30">
                  <c:v>36892</c:v>
                </c:pt>
                <c:pt idx="31">
                  <c:v>37257</c:v>
                </c:pt>
                <c:pt idx="32">
                  <c:v>37622</c:v>
                </c:pt>
                <c:pt idx="33">
                  <c:v>37987</c:v>
                </c:pt>
                <c:pt idx="34">
                  <c:v>38353</c:v>
                </c:pt>
                <c:pt idx="35">
                  <c:v>38718</c:v>
                </c:pt>
                <c:pt idx="36">
                  <c:v>39083</c:v>
                </c:pt>
                <c:pt idx="37">
                  <c:v>39448</c:v>
                </c:pt>
                <c:pt idx="38">
                  <c:v>39814</c:v>
                </c:pt>
                <c:pt idx="39">
                  <c:v>40179</c:v>
                </c:pt>
                <c:pt idx="40">
                  <c:v>40544</c:v>
                </c:pt>
                <c:pt idx="41">
                  <c:v>40909</c:v>
                </c:pt>
                <c:pt idx="42">
                  <c:v>41275</c:v>
                </c:pt>
                <c:pt idx="43">
                  <c:v>41640</c:v>
                </c:pt>
                <c:pt idx="44">
                  <c:v>42005</c:v>
                </c:pt>
                <c:pt idx="45">
                  <c:v>42370</c:v>
                </c:pt>
              </c:numCache>
            </c:numRef>
          </c:cat>
          <c:val>
            <c:numRef>
              <c:f>'Energy mix'!$M$43:$BF$43</c:f>
              <c:numCache>
                <c:formatCode>0</c:formatCode>
                <c:ptCount val="46"/>
                <c:pt idx="0">
                  <c:v>1.5872388629837457</c:v>
                </c:pt>
                <c:pt idx="1">
                  <c:v>1.505651826866133</c:v>
                </c:pt>
                <c:pt idx="2">
                  <c:v>1.5596737953522721</c:v>
                </c:pt>
                <c:pt idx="3">
                  <c:v>1.4435584891115822</c:v>
                </c:pt>
                <c:pt idx="4">
                  <c:v>1.665697336280098</c:v>
                </c:pt>
                <c:pt idx="5">
                  <c:v>1.675193603399592</c:v>
                </c:pt>
                <c:pt idx="6">
                  <c:v>1.7769394677335189</c:v>
                </c:pt>
                <c:pt idx="7">
                  <c:v>2.1746706628563461</c:v>
                </c:pt>
                <c:pt idx="8">
                  <c:v>2.0056807112168413</c:v>
                </c:pt>
                <c:pt idx="9">
                  <c:v>2.0010997800439911</c:v>
                </c:pt>
                <c:pt idx="10">
                  <c:v>2.0283772981614709</c:v>
                </c:pt>
                <c:pt idx="11">
                  <c:v>1.9056606366555655</c:v>
                </c:pt>
                <c:pt idx="12">
                  <c:v>1.9065155178916076</c:v>
                </c:pt>
                <c:pt idx="13">
                  <c:v>1.976705547555957</c:v>
                </c:pt>
                <c:pt idx="14">
                  <c:v>1.77673605207549</c:v>
                </c:pt>
                <c:pt idx="15">
                  <c:v>1.8108234926096818</c:v>
                </c:pt>
                <c:pt idx="16">
                  <c:v>1.53748780294839</c:v>
                </c:pt>
                <c:pt idx="17">
                  <c:v>1.7787910081364144</c:v>
                </c:pt>
                <c:pt idx="18">
                  <c:v>1.8233005733005732</c:v>
                </c:pt>
                <c:pt idx="19">
                  <c:v>2.0191675310269908</c:v>
                </c:pt>
                <c:pt idx="20">
                  <c:v>1.9703783729460831</c:v>
                </c:pt>
                <c:pt idx="21">
                  <c:v>1.8271549582520388</c:v>
                </c:pt>
                <c:pt idx="22">
                  <c:v>1.8005302465409698</c:v>
                </c:pt>
                <c:pt idx="23">
                  <c:v>2.0371119684958598</c:v>
                </c:pt>
                <c:pt idx="24">
                  <c:v>1.700090003179753</c:v>
                </c:pt>
                <c:pt idx="25">
                  <c:v>1.576647832305331</c:v>
                </c:pt>
                <c:pt idx="26">
                  <c:v>1.643046097828383</c:v>
                </c:pt>
                <c:pt idx="27">
                  <c:v>1.7843066473158045</c:v>
                </c:pt>
                <c:pt idx="28">
                  <c:v>1.6523053560606589</c:v>
                </c:pt>
                <c:pt idx="29">
                  <c:v>1.4933634592132337</c:v>
                </c:pt>
                <c:pt idx="30">
                  <c:v>1.4662645303734199</c:v>
                </c:pt>
                <c:pt idx="31">
                  <c:v>1.3321069148360567</c:v>
                </c:pt>
                <c:pt idx="32">
                  <c:v>1.5422862473145056</c:v>
                </c:pt>
                <c:pt idx="33">
                  <c:v>1.6501828748935317</c:v>
                </c:pt>
                <c:pt idx="34">
                  <c:v>1.9265612728135182</c:v>
                </c:pt>
                <c:pt idx="35">
                  <c:v>2.1212877464437234</c:v>
                </c:pt>
                <c:pt idx="36">
                  <c:v>2.1459961023537413</c:v>
                </c:pt>
                <c:pt idx="37">
                  <c:v>1.9234711479327811</c:v>
                </c:pt>
                <c:pt idx="38">
                  <c:v>1.7413264385785583</c:v>
                </c:pt>
                <c:pt idx="39">
                  <c:v>1.8097717094702477</c:v>
                </c:pt>
                <c:pt idx="40">
                  <c:v>2.0066912439630822</c:v>
                </c:pt>
                <c:pt idx="41">
                  <c:v>1.8371918757816519</c:v>
                </c:pt>
                <c:pt idx="42">
                  <c:v>2.1024965459627931</c:v>
                </c:pt>
                <c:pt idx="43">
                  <c:v>2.0105773853752349</c:v>
                </c:pt>
                <c:pt idx="44">
                  <c:v>2.0090278342283066</c:v>
                </c:pt>
                <c:pt idx="45">
                  <c:v>2.0413155969450991</c:v>
                </c:pt>
              </c:numCache>
            </c:numRef>
          </c:val>
        </c:ser>
        <c:ser>
          <c:idx val="5"/>
          <c:order val="5"/>
          <c:tx>
            <c:strRef>
              <c:f>'Energy mix'!$A$44</c:f>
              <c:strCache>
                <c:ptCount val="1"/>
                <c:pt idx="0">
                  <c:v>Biofuels and waste</c:v>
                </c:pt>
              </c:strCache>
            </c:strRef>
          </c:tx>
          <c:spPr>
            <a:solidFill>
              <a:srgbClr val="0A7568"/>
            </a:solidFill>
            <a:ln>
              <a:noFill/>
            </a:ln>
            <a:effectLst/>
          </c:spPr>
          <c:cat>
            <c:numRef>
              <c:f>'Energy mix'!$M$38:$BF$38</c:f>
              <c:numCache>
                <c:formatCode>yyyy</c:formatCode>
                <c:ptCount val="46"/>
                <c:pt idx="0">
                  <c:v>25934</c:v>
                </c:pt>
                <c:pt idx="1">
                  <c:v>26299</c:v>
                </c:pt>
                <c:pt idx="2">
                  <c:v>26665</c:v>
                </c:pt>
                <c:pt idx="3">
                  <c:v>27030</c:v>
                </c:pt>
                <c:pt idx="4">
                  <c:v>27395</c:v>
                </c:pt>
                <c:pt idx="5">
                  <c:v>27760</c:v>
                </c:pt>
                <c:pt idx="6">
                  <c:v>28126</c:v>
                </c:pt>
                <c:pt idx="7">
                  <c:v>28491</c:v>
                </c:pt>
                <c:pt idx="8">
                  <c:v>28856</c:v>
                </c:pt>
                <c:pt idx="9">
                  <c:v>29221</c:v>
                </c:pt>
                <c:pt idx="10">
                  <c:v>29587</c:v>
                </c:pt>
                <c:pt idx="11">
                  <c:v>29952</c:v>
                </c:pt>
                <c:pt idx="12">
                  <c:v>30317</c:v>
                </c:pt>
                <c:pt idx="13">
                  <c:v>30682</c:v>
                </c:pt>
                <c:pt idx="14">
                  <c:v>31048</c:v>
                </c:pt>
                <c:pt idx="15">
                  <c:v>31413</c:v>
                </c:pt>
                <c:pt idx="16">
                  <c:v>31778</c:v>
                </c:pt>
                <c:pt idx="17">
                  <c:v>32143</c:v>
                </c:pt>
                <c:pt idx="18">
                  <c:v>32509</c:v>
                </c:pt>
                <c:pt idx="19">
                  <c:v>32874</c:v>
                </c:pt>
                <c:pt idx="20">
                  <c:v>33239</c:v>
                </c:pt>
                <c:pt idx="21">
                  <c:v>33604</c:v>
                </c:pt>
                <c:pt idx="22">
                  <c:v>33970</c:v>
                </c:pt>
                <c:pt idx="23">
                  <c:v>34335</c:v>
                </c:pt>
                <c:pt idx="24">
                  <c:v>34700</c:v>
                </c:pt>
                <c:pt idx="25">
                  <c:v>35065</c:v>
                </c:pt>
                <c:pt idx="26">
                  <c:v>35431</c:v>
                </c:pt>
                <c:pt idx="27">
                  <c:v>35796</c:v>
                </c:pt>
                <c:pt idx="28">
                  <c:v>36161</c:v>
                </c:pt>
                <c:pt idx="29">
                  <c:v>36526</c:v>
                </c:pt>
                <c:pt idx="30">
                  <c:v>36892</c:v>
                </c:pt>
                <c:pt idx="31">
                  <c:v>37257</c:v>
                </c:pt>
                <c:pt idx="32">
                  <c:v>37622</c:v>
                </c:pt>
                <c:pt idx="33">
                  <c:v>37987</c:v>
                </c:pt>
                <c:pt idx="34">
                  <c:v>38353</c:v>
                </c:pt>
                <c:pt idx="35">
                  <c:v>38718</c:v>
                </c:pt>
                <c:pt idx="36">
                  <c:v>39083</c:v>
                </c:pt>
                <c:pt idx="37">
                  <c:v>39448</c:v>
                </c:pt>
                <c:pt idx="38">
                  <c:v>39814</c:v>
                </c:pt>
                <c:pt idx="39">
                  <c:v>40179</c:v>
                </c:pt>
                <c:pt idx="40">
                  <c:v>40544</c:v>
                </c:pt>
                <c:pt idx="41">
                  <c:v>40909</c:v>
                </c:pt>
                <c:pt idx="42">
                  <c:v>41275</c:v>
                </c:pt>
                <c:pt idx="43">
                  <c:v>41640</c:v>
                </c:pt>
                <c:pt idx="44">
                  <c:v>42005</c:v>
                </c:pt>
                <c:pt idx="45">
                  <c:v>42370</c:v>
                </c:pt>
              </c:numCache>
            </c:numRef>
          </c:cat>
          <c:val>
            <c:numRef>
              <c:f>'Energy mix'!$M$44:$BF$44</c:f>
              <c:numCache>
                <c:formatCode>0</c:formatCode>
                <c:ptCount val="46"/>
                <c:pt idx="0">
                  <c:v>63.09307410627256</c:v>
                </c:pt>
                <c:pt idx="1">
                  <c:v>63.082241161778718</c:v>
                </c:pt>
                <c:pt idx="2">
                  <c:v>62.734310945880821</c:v>
                </c:pt>
                <c:pt idx="3">
                  <c:v>61.747205627288494</c:v>
                </c:pt>
                <c:pt idx="4">
                  <c:v>61.005001744794697</c:v>
                </c:pt>
                <c:pt idx="5">
                  <c:v>60.005032290530899</c:v>
                </c:pt>
                <c:pt idx="6">
                  <c:v>59.682118629326844</c:v>
                </c:pt>
                <c:pt idx="7">
                  <c:v>60.22540225509487</c:v>
                </c:pt>
                <c:pt idx="8">
                  <c:v>58.912256595879938</c:v>
                </c:pt>
                <c:pt idx="9">
                  <c:v>58.229354129174162</c:v>
                </c:pt>
                <c:pt idx="10">
                  <c:v>56.183624528948272</c:v>
                </c:pt>
                <c:pt idx="11">
                  <c:v>54.833552453767119</c:v>
                </c:pt>
                <c:pt idx="12">
                  <c:v>53.837655567140672</c:v>
                </c:pt>
                <c:pt idx="13">
                  <c:v>52.402293660057765</c:v>
                </c:pt>
                <c:pt idx="14">
                  <c:v>50.477682511152679</c:v>
                </c:pt>
                <c:pt idx="15">
                  <c:v>49.426761554703994</c:v>
                </c:pt>
                <c:pt idx="16">
                  <c:v>48.275082600882328</c:v>
                </c:pt>
                <c:pt idx="17">
                  <c:v>46.415796864782585</c:v>
                </c:pt>
                <c:pt idx="18">
                  <c:v>44.935162435162432</c:v>
                </c:pt>
                <c:pt idx="19">
                  <c:v>43.676318054060417</c:v>
                </c:pt>
                <c:pt idx="20">
                  <c:v>42.496294156072558</c:v>
                </c:pt>
                <c:pt idx="21">
                  <c:v>41.557398902071036</c:v>
                </c:pt>
                <c:pt idx="22">
                  <c:v>40.809158588692021</c:v>
                </c:pt>
                <c:pt idx="23">
                  <c:v>39.512392502379342</c:v>
                </c:pt>
                <c:pt idx="24">
                  <c:v>37.733967846768238</c:v>
                </c:pt>
                <c:pt idx="25">
                  <c:v>36.962586643727271</c:v>
                </c:pt>
                <c:pt idx="26">
                  <c:v>35.912401050101089</c:v>
                </c:pt>
                <c:pt idx="27">
                  <c:v>35.42582947175584</c:v>
                </c:pt>
                <c:pt idx="28">
                  <c:v>34.071948192471744</c:v>
                </c:pt>
                <c:pt idx="29">
                  <c:v>33.767300262920898</c:v>
                </c:pt>
                <c:pt idx="30">
                  <c:v>33.854681754963266</c:v>
                </c:pt>
                <c:pt idx="31">
                  <c:v>33.448111676225516</c:v>
                </c:pt>
                <c:pt idx="32">
                  <c:v>33.262775355498249</c:v>
                </c:pt>
                <c:pt idx="33">
                  <c:v>32.175359486948246</c:v>
                </c:pt>
                <c:pt idx="34">
                  <c:v>30.977394495983578</c:v>
                </c:pt>
                <c:pt idx="35">
                  <c:v>28.877847226001112</c:v>
                </c:pt>
                <c:pt idx="36">
                  <c:v>28.427620427049522</c:v>
                </c:pt>
                <c:pt idx="37">
                  <c:v>28.166077508837368</c:v>
                </c:pt>
                <c:pt idx="38">
                  <c:v>26.594913114064095</c:v>
                </c:pt>
                <c:pt idx="39">
                  <c:v>26.459602825079227</c:v>
                </c:pt>
                <c:pt idx="40">
                  <c:v>26.412137529204294</c:v>
                </c:pt>
                <c:pt idx="41">
                  <c:v>24.908943271984814</c:v>
                </c:pt>
                <c:pt idx="42">
                  <c:v>24.113613726183207</c:v>
                </c:pt>
                <c:pt idx="43">
                  <c:v>22.33379955417632</c:v>
                </c:pt>
                <c:pt idx="44">
                  <c:v>21.489520922292726</c:v>
                </c:pt>
                <c:pt idx="45">
                  <c:v>22.216321944896304</c:v>
                </c:pt>
              </c:numCache>
            </c:numRef>
          </c:val>
        </c:ser>
        <c:dLbls>
          <c:showLegendKey val="0"/>
          <c:showVal val="0"/>
          <c:showCatName val="0"/>
          <c:showSerName val="0"/>
          <c:showPercent val="0"/>
          <c:showBubbleSize val="0"/>
        </c:dLbls>
        <c:axId val="679236816"/>
        <c:axId val="679237208"/>
      </c:areaChart>
      <c:dateAx>
        <c:axId val="679236816"/>
        <c:scaling>
          <c:orientation val="minMax"/>
          <c:min val="27760"/>
        </c:scaling>
        <c:delete val="0"/>
        <c:axPos val="b"/>
        <c:numFmt formatCode="yyyy"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7208"/>
        <c:crosses val="autoZero"/>
        <c:auto val="1"/>
        <c:lblOffset val="100"/>
        <c:baseTimeUnit val="years"/>
        <c:majorUnit val="5"/>
        <c:majorTimeUnit val="years"/>
      </c:dateAx>
      <c:valAx>
        <c:axId val="679237208"/>
        <c:scaling>
          <c:orientation val="minMax"/>
          <c:max val="1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6816"/>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159798244624"/>
          <c:y val="5.0925925925925923E-2"/>
          <c:w val="0.81672486088081331"/>
          <c:h val="0.74569663167104117"/>
        </c:manualLayout>
      </c:layout>
      <c:areaChart>
        <c:grouping val="stacked"/>
        <c:varyColors val="0"/>
        <c:ser>
          <c:idx val="0"/>
          <c:order val="0"/>
          <c:tx>
            <c:strRef>
              <c:f>'BNEF capacity and generation'!$B$43</c:f>
              <c:strCache>
                <c:ptCount val="1"/>
                <c:pt idx="0">
                  <c:v>Coal</c:v>
                </c:pt>
              </c:strCache>
            </c:strRef>
          </c:tx>
          <c:spPr>
            <a:solidFill>
              <a:srgbClr val="005CAF"/>
            </a:solidFill>
            <a:ln>
              <a:noFill/>
            </a:ln>
            <a:effectLst/>
          </c:spPr>
          <c:cat>
            <c:numRef>
              <c:f>'BNEF capacity and generation'!$F$1:$AO$1</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'BNEF capacity and generation'!$F$43:$AO$43</c:f>
              <c:numCache>
                <c:formatCode>#,##0</c:formatCode>
                <c:ptCount val="36"/>
                <c:pt idx="0">
                  <c:v>871915</c:v>
                </c:pt>
                <c:pt idx="1">
                  <c:v>936233</c:v>
                </c:pt>
                <c:pt idx="2">
                  <c:v>972939</c:v>
                </c:pt>
                <c:pt idx="3">
                  <c:v>1024706</c:v>
                </c:pt>
                <c:pt idx="4">
                  <c:v>1087245</c:v>
                </c:pt>
                <c:pt idx="5">
                  <c:v>1116276</c:v>
                </c:pt>
                <c:pt idx="6">
                  <c:v>1141701</c:v>
                </c:pt>
                <c:pt idx="7">
                  <c:v>1173747</c:v>
                </c:pt>
                <c:pt idx="8">
                  <c:v>1202955</c:v>
                </c:pt>
                <c:pt idx="9">
                  <c:v>1239685</c:v>
                </c:pt>
                <c:pt idx="10">
                  <c:v>1284477</c:v>
                </c:pt>
                <c:pt idx="11">
                  <c:v>1332920</c:v>
                </c:pt>
                <c:pt idx="12">
                  <c:v>1370816</c:v>
                </c:pt>
                <c:pt idx="13">
                  <c:v>1424483</c:v>
                </c:pt>
                <c:pt idx="14">
                  <c:v>1465958</c:v>
                </c:pt>
                <c:pt idx="15">
                  <c:v>1512407</c:v>
                </c:pt>
                <c:pt idx="16">
                  <c:v>1563219</c:v>
                </c:pt>
                <c:pt idx="17">
                  <c:v>1616305</c:v>
                </c:pt>
                <c:pt idx="18">
                  <c:v>1649847</c:v>
                </c:pt>
                <c:pt idx="19">
                  <c:v>1679922</c:v>
                </c:pt>
                <c:pt idx="20">
                  <c:v>1716249</c:v>
                </c:pt>
                <c:pt idx="21">
                  <c:v>1739103</c:v>
                </c:pt>
                <c:pt idx="22">
                  <c:v>1765923</c:v>
                </c:pt>
                <c:pt idx="23">
                  <c:v>1777544</c:v>
                </c:pt>
                <c:pt idx="24">
                  <c:v>1770785</c:v>
                </c:pt>
                <c:pt idx="25">
                  <c:v>1755723</c:v>
                </c:pt>
                <c:pt idx="26">
                  <c:v>1736687</c:v>
                </c:pt>
                <c:pt idx="27">
                  <c:v>1719430</c:v>
                </c:pt>
                <c:pt idx="28">
                  <c:v>1701416</c:v>
                </c:pt>
                <c:pt idx="29">
                  <c:v>1656392</c:v>
                </c:pt>
                <c:pt idx="30">
                  <c:v>1599778</c:v>
                </c:pt>
                <c:pt idx="31">
                  <c:v>1533403</c:v>
                </c:pt>
                <c:pt idx="32">
                  <c:v>1482007</c:v>
                </c:pt>
                <c:pt idx="33">
                  <c:v>1443652</c:v>
                </c:pt>
                <c:pt idx="34">
                  <c:v>1412985</c:v>
                </c:pt>
                <c:pt idx="35">
                  <c:v>1358958</c:v>
                </c:pt>
              </c:numCache>
            </c:numRef>
          </c:val>
        </c:ser>
        <c:ser>
          <c:idx val="1"/>
          <c:order val="1"/>
          <c:tx>
            <c:strRef>
              <c:f>'BNEF capacity and generation'!$B$44</c:f>
              <c:strCache>
                <c:ptCount val="1"/>
                <c:pt idx="0">
                  <c:v>Gas</c:v>
                </c:pt>
              </c:strCache>
            </c:strRef>
          </c:tx>
          <c:spPr>
            <a:solidFill>
              <a:srgbClr val="56B4DF"/>
            </a:solidFill>
            <a:ln>
              <a:noFill/>
            </a:ln>
            <a:effectLst/>
          </c:spPr>
          <c:cat>
            <c:numRef>
              <c:f>'BNEF capacity and generation'!$F$1:$AO$1</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'BNEF capacity and generation'!$F$44:$AO$44</c:f>
              <c:numCache>
                <c:formatCode>#,##0</c:formatCode>
                <c:ptCount val="36"/>
                <c:pt idx="0">
                  <c:v>43672</c:v>
                </c:pt>
                <c:pt idx="1">
                  <c:v>50211</c:v>
                </c:pt>
                <c:pt idx="2">
                  <c:v>50256</c:v>
                </c:pt>
                <c:pt idx="3">
                  <c:v>50257</c:v>
                </c:pt>
                <c:pt idx="4">
                  <c:v>47338</c:v>
                </c:pt>
                <c:pt idx="5">
                  <c:v>44270</c:v>
                </c:pt>
                <c:pt idx="6">
                  <c:v>43534</c:v>
                </c:pt>
                <c:pt idx="7">
                  <c:v>41862</c:v>
                </c:pt>
                <c:pt idx="8">
                  <c:v>41245</c:v>
                </c:pt>
                <c:pt idx="9">
                  <c:v>39212</c:v>
                </c:pt>
                <c:pt idx="10">
                  <c:v>37794</c:v>
                </c:pt>
                <c:pt idx="11">
                  <c:v>37076</c:v>
                </c:pt>
                <c:pt idx="12">
                  <c:v>36330</c:v>
                </c:pt>
                <c:pt idx="13">
                  <c:v>35766</c:v>
                </c:pt>
                <c:pt idx="14">
                  <c:v>37326</c:v>
                </c:pt>
                <c:pt idx="15">
                  <c:v>42327</c:v>
                </c:pt>
                <c:pt idx="16">
                  <c:v>50882</c:v>
                </c:pt>
                <c:pt idx="17">
                  <c:v>57820</c:v>
                </c:pt>
                <c:pt idx="18">
                  <c:v>63092</c:v>
                </c:pt>
                <c:pt idx="19">
                  <c:v>68303</c:v>
                </c:pt>
                <c:pt idx="20">
                  <c:v>75974</c:v>
                </c:pt>
                <c:pt idx="21">
                  <c:v>78084</c:v>
                </c:pt>
                <c:pt idx="22">
                  <c:v>83592</c:v>
                </c:pt>
                <c:pt idx="23">
                  <c:v>93092</c:v>
                </c:pt>
                <c:pt idx="24">
                  <c:v>94991</c:v>
                </c:pt>
                <c:pt idx="25">
                  <c:v>105633</c:v>
                </c:pt>
                <c:pt idx="26">
                  <c:v>109189</c:v>
                </c:pt>
                <c:pt idx="27">
                  <c:v>109338</c:v>
                </c:pt>
                <c:pt idx="28">
                  <c:v>117709</c:v>
                </c:pt>
                <c:pt idx="29">
                  <c:v>145847</c:v>
                </c:pt>
                <c:pt idx="30">
                  <c:v>181185</c:v>
                </c:pt>
                <c:pt idx="31">
                  <c:v>226782</c:v>
                </c:pt>
                <c:pt idx="32">
                  <c:v>259450</c:v>
                </c:pt>
                <c:pt idx="33">
                  <c:v>288439</c:v>
                </c:pt>
                <c:pt idx="34">
                  <c:v>322024</c:v>
                </c:pt>
                <c:pt idx="35">
                  <c:v>362051</c:v>
                </c:pt>
              </c:numCache>
            </c:numRef>
          </c:val>
        </c:ser>
        <c:ser>
          <c:idx val="2"/>
          <c:order val="2"/>
          <c:tx>
            <c:strRef>
              <c:f>'BNEF capacity and generation'!$B$45</c:f>
              <c:strCache>
                <c:ptCount val="1"/>
                <c:pt idx="0">
                  <c:v>Hydro</c:v>
                </c:pt>
              </c:strCache>
            </c:strRef>
          </c:tx>
          <c:spPr>
            <a:solidFill>
              <a:srgbClr val="9ED9DF"/>
            </a:solidFill>
            <a:ln>
              <a:noFill/>
            </a:ln>
            <a:effectLst/>
          </c:spPr>
          <c:cat>
            <c:numRef>
              <c:f>'BNEF capacity and generation'!$F$1:$AO$1</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'BNEF capacity and generation'!$F$45:$AO$45</c:f>
              <c:numCache>
                <c:formatCode>#,##0</c:formatCode>
                <c:ptCount val="36"/>
                <c:pt idx="0">
                  <c:v>126601</c:v>
                </c:pt>
                <c:pt idx="1">
                  <c:v>129760</c:v>
                </c:pt>
                <c:pt idx="2">
                  <c:v>129716</c:v>
                </c:pt>
                <c:pt idx="3">
                  <c:v>136250</c:v>
                </c:pt>
                <c:pt idx="4">
                  <c:v>130080</c:v>
                </c:pt>
                <c:pt idx="5">
                  <c:v>135534</c:v>
                </c:pt>
                <c:pt idx="6">
                  <c:v>144795</c:v>
                </c:pt>
                <c:pt idx="7">
                  <c:v>152892</c:v>
                </c:pt>
                <c:pt idx="8">
                  <c:v>166876</c:v>
                </c:pt>
                <c:pt idx="9">
                  <c:v>174028</c:v>
                </c:pt>
                <c:pt idx="10">
                  <c:v>180251</c:v>
                </c:pt>
                <c:pt idx="11">
                  <c:v>188613</c:v>
                </c:pt>
                <c:pt idx="12">
                  <c:v>198042</c:v>
                </c:pt>
                <c:pt idx="13">
                  <c:v>209673</c:v>
                </c:pt>
                <c:pt idx="14">
                  <c:v>219935</c:v>
                </c:pt>
                <c:pt idx="15">
                  <c:v>229669</c:v>
                </c:pt>
                <c:pt idx="16">
                  <c:v>239486</c:v>
                </c:pt>
                <c:pt idx="17">
                  <c:v>247494</c:v>
                </c:pt>
                <c:pt idx="18">
                  <c:v>256472</c:v>
                </c:pt>
                <c:pt idx="19">
                  <c:v>263979</c:v>
                </c:pt>
                <c:pt idx="20">
                  <c:v>268507</c:v>
                </c:pt>
                <c:pt idx="21">
                  <c:v>274123</c:v>
                </c:pt>
                <c:pt idx="22">
                  <c:v>278965</c:v>
                </c:pt>
                <c:pt idx="23">
                  <c:v>282718</c:v>
                </c:pt>
                <c:pt idx="24">
                  <c:v>288748</c:v>
                </c:pt>
                <c:pt idx="25">
                  <c:v>296376</c:v>
                </c:pt>
                <c:pt idx="26">
                  <c:v>301955</c:v>
                </c:pt>
                <c:pt idx="27">
                  <c:v>309549</c:v>
                </c:pt>
                <c:pt idx="28">
                  <c:v>314512</c:v>
                </c:pt>
                <c:pt idx="29">
                  <c:v>321354</c:v>
                </c:pt>
                <c:pt idx="30">
                  <c:v>325916</c:v>
                </c:pt>
                <c:pt idx="31">
                  <c:v>333690</c:v>
                </c:pt>
                <c:pt idx="32">
                  <c:v>338355</c:v>
                </c:pt>
                <c:pt idx="33">
                  <c:v>344264</c:v>
                </c:pt>
                <c:pt idx="34">
                  <c:v>351727</c:v>
                </c:pt>
                <c:pt idx="35">
                  <c:v>356703</c:v>
                </c:pt>
              </c:numCache>
            </c:numRef>
          </c:val>
        </c:ser>
        <c:ser>
          <c:idx val="3"/>
          <c:order val="3"/>
          <c:tx>
            <c:strRef>
              <c:f>'BNEF capacity and generation'!$B$46</c:f>
              <c:strCache>
                <c:ptCount val="1"/>
                <c:pt idx="0">
                  <c:v>Nuclear</c:v>
                </c:pt>
              </c:strCache>
            </c:strRef>
          </c:tx>
          <c:spPr>
            <a:solidFill>
              <a:srgbClr val="BCBFC1"/>
            </a:solidFill>
            <a:ln>
              <a:noFill/>
            </a:ln>
            <a:effectLst/>
          </c:spPr>
          <c:cat>
            <c:numRef>
              <c:f>'BNEF capacity and generation'!$F$1:$AO$1</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'BNEF capacity and generation'!$F$46:$AO$46</c:f>
              <c:numCache>
                <c:formatCode>#,##0</c:formatCode>
                <c:ptCount val="36"/>
                <c:pt idx="0">
                  <c:v>38308</c:v>
                </c:pt>
                <c:pt idx="1">
                  <c:v>37898</c:v>
                </c:pt>
                <c:pt idx="2">
                  <c:v>37417</c:v>
                </c:pt>
                <c:pt idx="3">
                  <c:v>39051</c:v>
                </c:pt>
                <c:pt idx="4">
                  <c:v>41337</c:v>
                </c:pt>
                <c:pt idx="5">
                  <c:v>50769</c:v>
                </c:pt>
                <c:pt idx="6">
                  <c:v>62412</c:v>
                </c:pt>
                <c:pt idx="7">
                  <c:v>69990</c:v>
                </c:pt>
                <c:pt idx="8">
                  <c:v>76376</c:v>
                </c:pt>
                <c:pt idx="9">
                  <c:v>87637</c:v>
                </c:pt>
                <c:pt idx="10">
                  <c:v>94344</c:v>
                </c:pt>
                <c:pt idx="11">
                  <c:v>104814</c:v>
                </c:pt>
                <c:pt idx="12">
                  <c:v>128128</c:v>
                </c:pt>
                <c:pt idx="13">
                  <c:v>138955</c:v>
                </c:pt>
                <c:pt idx="14">
                  <c:v>164086</c:v>
                </c:pt>
                <c:pt idx="15">
                  <c:v>184871</c:v>
                </c:pt>
                <c:pt idx="16">
                  <c:v>189990</c:v>
                </c:pt>
                <c:pt idx="17">
                  <c:v>195817</c:v>
                </c:pt>
                <c:pt idx="18">
                  <c:v>215521</c:v>
                </c:pt>
                <c:pt idx="19">
                  <c:v>235663</c:v>
                </c:pt>
                <c:pt idx="20">
                  <c:v>244655</c:v>
                </c:pt>
                <c:pt idx="21">
                  <c:v>264437</c:v>
                </c:pt>
                <c:pt idx="22">
                  <c:v>264437</c:v>
                </c:pt>
                <c:pt idx="23">
                  <c:v>264365</c:v>
                </c:pt>
                <c:pt idx="24">
                  <c:v>276071</c:v>
                </c:pt>
                <c:pt idx="25">
                  <c:v>274004</c:v>
                </c:pt>
                <c:pt idx="26">
                  <c:v>270975</c:v>
                </c:pt>
                <c:pt idx="27">
                  <c:v>269099</c:v>
                </c:pt>
                <c:pt idx="28">
                  <c:v>264071</c:v>
                </c:pt>
                <c:pt idx="29">
                  <c:v>262945</c:v>
                </c:pt>
                <c:pt idx="30">
                  <c:v>259015</c:v>
                </c:pt>
                <c:pt idx="31">
                  <c:v>257733</c:v>
                </c:pt>
                <c:pt idx="32">
                  <c:v>256492</c:v>
                </c:pt>
                <c:pt idx="33">
                  <c:v>255685</c:v>
                </c:pt>
                <c:pt idx="34">
                  <c:v>253087</c:v>
                </c:pt>
                <c:pt idx="35">
                  <c:v>252840</c:v>
                </c:pt>
              </c:numCache>
            </c:numRef>
          </c:val>
        </c:ser>
        <c:ser>
          <c:idx val="4"/>
          <c:order val="4"/>
          <c:tx>
            <c:strRef>
              <c:f>'BNEF capacity and generation'!$B$47</c:f>
              <c:strCache>
                <c:ptCount val="1"/>
                <c:pt idx="0">
                  <c:v>Oil</c:v>
                </c:pt>
              </c:strCache>
            </c:strRef>
          </c:tx>
          <c:spPr>
            <a:solidFill>
              <a:srgbClr val="51B7A4"/>
            </a:solidFill>
            <a:ln>
              <a:noFill/>
            </a:ln>
            <a:effectLst/>
          </c:spPr>
          <c:cat>
            <c:numRef>
              <c:f>'BNEF capacity and generation'!$F$1:$AO$1</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'BNEF capacity and generation'!$F$47:$AO$47</c:f>
              <c:numCache>
                <c:formatCode>#,##0</c:formatCode>
                <c:ptCount val="36"/>
                <c:pt idx="0">
                  <c:v>383</c:v>
                </c:pt>
                <c:pt idx="1">
                  <c:v>315</c:v>
                </c:pt>
                <c:pt idx="2">
                  <c:v>249</c:v>
                </c:pt>
                <c:pt idx="3">
                  <c:v>170</c:v>
                </c:pt>
                <c:pt idx="4">
                  <c:v>51</c:v>
                </c:pt>
                <c:pt idx="5">
                  <c:v>44</c:v>
                </c:pt>
                <c:pt idx="6">
                  <c:v>42</c:v>
                </c:pt>
                <c:pt idx="7">
                  <c:v>37</c:v>
                </c:pt>
                <c:pt idx="8">
                  <c:v>33</c:v>
                </c:pt>
                <c:pt idx="9">
                  <c:v>28</c:v>
                </c:pt>
                <c:pt idx="10">
                  <c:v>25</c:v>
                </c:pt>
                <c:pt idx="11">
                  <c:v>27</c:v>
                </c:pt>
                <c:pt idx="12">
                  <c:v>20</c:v>
                </c:pt>
                <c:pt idx="13">
                  <c:v>11</c:v>
                </c:pt>
                <c:pt idx="14">
                  <c:v>21</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numCache>
            </c:numRef>
          </c:val>
        </c:ser>
        <c:ser>
          <c:idx val="5"/>
          <c:order val="5"/>
          <c:tx>
            <c:strRef>
              <c:f>'BNEF capacity and generation'!$B$48</c:f>
              <c:strCache>
                <c:ptCount val="1"/>
                <c:pt idx="0">
                  <c:v>Renewables</c:v>
                </c:pt>
              </c:strCache>
            </c:strRef>
          </c:tx>
          <c:spPr>
            <a:solidFill>
              <a:srgbClr val="0A7568"/>
            </a:solidFill>
            <a:ln>
              <a:noFill/>
            </a:ln>
            <a:effectLst/>
          </c:spPr>
          <c:cat>
            <c:numRef>
              <c:f>'BNEF capacity and generation'!$F$1:$AO$1</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'BNEF capacity and generation'!$F$48:$AO$48</c:f>
              <c:numCache>
                <c:formatCode>#,##0</c:formatCode>
                <c:ptCount val="36"/>
                <c:pt idx="0">
                  <c:v>34789</c:v>
                </c:pt>
                <c:pt idx="1">
                  <c:v>58088</c:v>
                </c:pt>
                <c:pt idx="2">
                  <c:v>78332</c:v>
                </c:pt>
                <c:pt idx="3">
                  <c:v>102327</c:v>
                </c:pt>
                <c:pt idx="4">
                  <c:v>128613</c:v>
                </c:pt>
                <c:pt idx="5">
                  <c:v>166425</c:v>
                </c:pt>
                <c:pt idx="6">
                  <c:v>204695</c:v>
                </c:pt>
                <c:pt idx="7">
                  <c:v>247299</c:v>
                </c:pt>
                <c:pt idx="8">
                  <c:v>292207</c:v>
                </c:pt>
                <c:pt idx="9">
                  <c:v>341625</c:v>
                </c:pt>
                <c:pt idx="10">
                  <c:v>395658</c:v>
                </c:pt>
                <c:pt idx="11">
                  <c:v>447763</c:v>
                </c:pt>
                <c:pt idx="12">
                  <c:v>506789</c:v>
                </c:pt>
                <c:pt idx="13">
                  <c:v>569835</c:v>
                </c:pt>
                <c:pt idx="14">
                  <c:v>636554</c:v>
                </c:pt>
                <c:pt idx="15">
                  <c:v>706999</c:v>
                </c:pt>
                <c:pt idx="16">
                  <c:v>779286</c:v>
                </c:pt>
                <c:pt idx="17">
                  <c:v>857368</c:v>
                </c:pt>
                <c:pt idx="18">
                  <c:v>939770</c:v>
                </c:pt>
                <c:pt idx="19">
                  <c:v>1024891</c:v>
                </c:pt>
                <c:pt idx="20">
                  <c:v>1113367</c:v>
                </c:pt>
                <c:pt idx="21">
                  <c:v>1205818</c:v>
                </c:pt>
                <c:pt idx="22">
                  <c:v>1309741</c:v>
                </c:pt>
                <c:pt idx="23">
                  <c:v>1422747</c:v>
                </c:pt>
                <c:pt idx="24">
                  <c:v>1549319</c:v>
                </c:pt>
                <c:pt idx="25">
                  <c:v>1684737</c:v>
                </c:pt>
                <c:pt idx="26">
                  <c:v>1823749</c:v>
                </c:pt>
                <c:pt idx="27">
                  <c:v>1963942</c:v>
                </c:pt>
                <c:pt idx="28">
                  <c:v>2092517</c:v>
                </c:pt>
                <c:pt idx="29">
                  <c:v>2220495</c:v>
                </c:pt>
                <c:pt idx="30">
                  <c:v>2351112</c:v>
                </c:pt>
                <c:pt idx="31">
                  <c:v>2473187</c:v>
                </c:pt>
                <c:pt idx="32">
                  <c:v>2586009</c:v>
                </c:pt>
                <c:pt idx="33">
                  <c:v>2691222</c:v>
                </c:pt>
                <c:pt idx="34">
                  <c:v>2786838</c:v>
                </c:pt>
                <c:pt idx="35">
                  <c:v>2898391</c:v>
                </c:pt>
              </c:numCache>
            </c:numRef>
          </c:val>
        </c:ser>
        <c:dLbls>
          <c:showLegendKey val="0"/>
          <c:showVal val="0"/>
          <c:showCatName val="0"/>
          <c:showSerName val="0"/>
          <c:showPercent val="0"/>
          <c:showBubbleSize val="0"/>
        </c:dLbls>
        <c:axId val="678294352"/>
        <c:axId val="678296312"/>
      </c:areaChart>
      <c:catAx>
        <c:axId val="67829435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6312"/>
        <c:crosses val="autoZero"/>
        <c:auto val="1"/>
        <c:lblAlgn val="ctr"/>
        <c:lblOffset val="100"/>
        <c:tickLblSkip val="5"/>
        <c:tickMarkSkip val="5"/>
        <c:noMultiLvlLbl val="0"/>
      </c:catAx>
      <c:valAx>
        <c:axId val="678296312"/>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TWh</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4352"/>
        <c:crosses val="autoZero"/>
        <c:crossBetween val="midCat"/>
        <c:dispUnits>
          <c:builtInUnit val="thousands"/>
        </c:dispUnits>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Costs!$C$10</c:f>
              <c:strCache>
                <c:ptCount val="1"/>
                <c:pt idx="0">
                  <c:v>Wind offshore</c:v>
                </c:pt>
              </c:strCache>
            </c:strRef>
          </c:tx>
          <c:spPr>
            <a:solidFill>
              <a:srgbClr val="005CAF"/>
            </a:solidFill>
            <a:ln>
              <a:noFill/>
            </a:ln>
            <a:effectLst/>
          </c:spPr>
          <c:invertIfNegative val="0"/>
          <c:cat>
            <c:strRef>
              <c:f>Costs!$D$9:$G$9</c:f>
              <c:strCache>
                <c:ptCount val="4"/>
                <c:pt idx="0">
                  <c:v>LCOE 2017</c:v>
                </c:pt>
                <c:pt idx="1">
                  <c:v>LCOE 2040</c:v>
                </c:pt>
                <c:pt idx="2">
                  <c:v>VALCOE 2017</c:v>
                </c:pt>
                <c:pt idx="3">
                  <c:v>VALCOE 2040</c:v>
                </c:pt>
              </c:strCache>
            </c:strRef>
          </c:cat>
          <c:val>
            <c:numRef>
              <c:f>Costs!$D$10:$G$10</c:f>
              <c:numCache>
                <c:formatCode>General</c:formatCode>
                <c:ptCount val="4"/>
                <c:pt idx="0">
                  <c:v>155</c:v>
                </c:pt>
                <c:pt idx="1">
                  <c:v>95</c:v>
                </c:pt>
                <c:pt idx="2">
                  <c:v>160</c:v>
                </c:pt>
                <c:pt idx="3">
                  <c:v>100</c:v>
                </c:pt>
              </c:numCache>
            </c:numRef>
          </c:val>
        </c:ser>
        <c:ser>
          <c:idx val="1"/>
          <c:order val="1"/>
          <c:tx>
            <c:strRef>
              <c:f>Costs!$C$11</c:f>
              <c:strCache>
                <c:ptCount val="1"/>
                <c:pt idx="0">
                  <c:v>Gas CCGT</c:v>
                </c:pt>
              </c:strCache>
            </c:strRef>
          </c:tx>
          <c:spPr>
            <a:solidFill>
              <a:srgbClr val="56B4DF"/>
            </a:solidFill>
            <a:ln>
              <a:noFill/>
            </a:ln>
            <a:effectLst/>
          </c:spPr>
          <c:invertIfNegative val="0"/>
          <c:cat>
            <c:strRef>
              <c:f>Costs!$D$9:$G$9</c:f>
              <c:strCache>
                <c:ptCount val="4"/>
                <c:pt idx="0">
                  <c:v>LCOE 2017</c:v>
                </c:pt>
                <c:pt idx="1">
                  <c:v>LCOE 2040</c:v>
                </c:pt>
                <c:pt idx="2">
                  <c:v>VALCOE 2017</c:v>
                </c:pt>
                <c:pt idx="3">
                  <c:v>VALCOE 2040</c:v>
                </c:pt>
              </c:strCache>
            </c:strRef>
          </c:cat>
          <c:val>
            <c:numRef>
              <c:f>Costs!$D$11:$G$11</c:f>
              <c:numCache>
                <c:formatCode>General</c:formatCode>
                <c:ptCount val="4"/>
                <c:pt idx="0">
                  <c:v>95</c:v>
                </c:pt>
                <c:pt idx="1">
                  <c:v>105</c:v>
                </c:pt>
                <c:pt idx="2">
                  <c:v>90</c:v>
                </c:pt>
                <c:pt idx="3">
                  <c:v>80</c:v>
                </c:pt>
              </c:numCache>
            </c:numRef>
          </c:val>
        </c:ser>
        <c:ser>
          <c:idx val="2"/>
          <c:order val="2"/>
          <c:tx>
            <c:strRef>
              <c:f>Costs!$C$12</c:f>
              <c:strCache>
                <c:ptCount val="1"/>
                <c:pt idx="0">
                  <c:v>Solar PV</c:v>
                </c:pt>
              </c:strCache>
            </c:strRef>
          </c:tx>
          <c:spPr>
            <a:solidFill>
              <a:srgbClr val="9ED9DF"/>
            </a:solidFill>
            <a:ln>
              <a:noFill/>
            </a:ln>
            <a:effectLst/>
          </c:spPr>
          <c:invertIfNegative val="0"/>
          <c:cat>
            <c:strRef>
              <c:f>Costs!$D$9:$G$9</c:f>
              <c:strCache>
                <c:ptCount val="4"/>
                <c:pt idx="0">
                  <c:v>LCOE 2017</c:v>
                </c:pt>
                <c:pt idx="1">
                  <c:v>LCOE 2040</c:v>
                </c:pt>
                <c:pt idx="2">
                  <c:v>VALCOE 2017</c:v>
                </c:pt>
                <c:pt idx="3">
                  <c:v>VALCOE 2040</c:v>
                </c:pt>
              </c:strCache>
            </c:strRef>
          </c:cat>
          <c:val>
            <c:numRef>
              <c:f>Costs!$D$12:$G$12</c:f>
              <c:numCache>
                <c:formatCode>General</c:formatCode>
                <c:ptCount val="4"/>
                <c:pt idx="0">
                  <c:v>80</c:v>
                </c:pt>
                <c:pt idx="1">
                  <c:v>40</c:v>
                </c:pt>
                <c:pt idx="2">
                  <c:v>80</c:v>
                </c:pt>
                <c:pt idx="3">
                  <c:v>65</c:v>
                </c:pt>
              </c:numCache>
            </c:numRef>
          </c:val>
        </c:ser>
        <c:ser>
          <c:idx val="3"/>
          <c:order val="3"/>
          <c:tx>
            <c:strRef>
              <c:f>Costs!$C$13</c:f>
              <c:strCache>
                <c:ptCount val="1"/>
                <c:pt idx="0">
                  <c:v>Nuclear</c:v>
                </c:pt>
              </c:strCache>
            </c:strRef>
          </c:tx>
          <c:spPr>
            <a:solidFill>
              <a:srgbClr val="BCBFC1"/>
            </a:solidFill>
            <a:ln>
              <a:noFill/>
            </a:ln>
            <a:effectLst/>
          </c:spPr>
          <c:invertIfNegative val="0"/>
          <c:cat>
            <c:strRef>
              <c:f>Costs!$D$9:$G$9</c:f>
              <c:strCache>
                <c:ptCount val="4"/>
                <c:pt idx="0">
                  <c:v>LCOE 2017</c:v>
                </c:pt>
                <c:pt idx="1">
                  <c:v>LCOE 2040</c:v>
                </c:pt>
                <c:pt idx="2">
                  <c:v>VALCOE 2017</c:v>
                </c:pt>
                <c:pt idx="3">
                  <c:v>VALCOE 2040</c:v>
                </c:pt>
              </c:strCache>
            </c:strRef>
          </c:cat>
          <c:val>
            <c:numRef>
              <c:f>Costs!$D$13:$G$13</c:f>
              <c:numCache>
                <c:formatCode>General</c:formatCode>
                <c:ptCount val="4"/>
                <c:pt idx="0">
                  <c:v>70</c:v>
                </c:pt>
                <c:pt idx="1">
                  <c:v>70</c:v>
                </c:pt>
                <c:pt idx="2">
                  <c:v>70</c:v>
                </c:pt>
                <c:pt idx="3">
                  <c:v>70</c:v>
                </c:pt>
              </c:numCache>
            </c:numRef>
          </c:val>
        </c:ser>
        <c:ser>
          <c:idx val="4"/>
          <c:order val="4"/>
          <c:tx>
            <c:strRef>
              <c:f>Costs!$C$14</c:f>
              <c:strCache>
                <c:ptCount val="1"/>
                <c:pt idx="0">
                  <c:v>Wind onshore</c:v>
                </c:pt>
              </c:strCache>
            </c:strRef>
          </c:tx>
          <c:spPr>
            <a:solidFill>
              <a:srgbClr val="51B7A4"/>
            </a:solidFill>
            <a:ln>
              <a:noFill/>
            </a:ln>
            <a:effectLst/>
          </c:spPr>
          <c:invertIfNegative val="0"/>
          <c:cat>
            <c:strRef>
              <c:f>Costs!$D$9:$G$9</c:f>
              <c:strCache>
                <c:ptCount val="4"/>
                <c:pt idx="0">
                  <c:v>LCOE 2017</c:v>
                </c:pt>
                <c:pt idx="1">
                  <c:v>LCOE 2040</c:v>
                </c:pt>
                <c:pt idx="2">
                  <c:v>VALCOE 2017</c:v>
                </c:pt>
                <c:pt idx="3">
                  <c:v>VALCOE 2040</c:v>
                </c:pt>
              </c:strCache>
            </c:strRef>
          </c:cat>
          <c:val>
            <c:numRef>
              <c:f>Costs!$D$14:$G$14</c:f>
              <c:numCache>
                <c:formatCode>General</c:formatCode>
                <c:ptCount val="4"/>
                <c:pt idx="0">
                  <c:v>60</c:v>
                </c:pt>
                <c:pt idx="1">
                  <c:v>50</c:v>
                </c:pt>
                <c:pt idx="2">
                  <c:v>65</c:v>
                </c:pt>
                <c:pt idx="3">
                  <c:v>55</c:v>
                </c:pt>
              </c:numCache>
            </c:numRef>
          </c:val>
        </c:ser>
        <c:ser>
          <c:idx val="5"/>
          <c:order val="5"/>
          <c:tx>
            <c:strRef>
              <c:f>Costs!$C$15</c:f>
              <c:strCache>
                <c:ptCount val="1"/>
                <c:pt idx="0">
                  <c:v>Coal</c:v>
                </c:pt>
              </c:strCache>
            </c:strRef>
          </c:tx>
          <c:spPr>
            <a:solidFill>
              <a:srgbClr val="0A7568"/>
            </a:solidFill>
            <a:ln>
              <a:noFill/>
            </a:ln>
            <a:effectLst/>
          </c:spPr>
          <c:invertIfNegative val="0"/>
          <c:cat>
            <c:strRef>
              <c:f>Costs!$D$9:$G$9</c:f>
              <c:strCache>
                <c:ptCount val="4"/>
                <c:pt idx="0">
                  <c:v>LCOE 2017</c:v>
                </c:pt>
                <c:pt idx="1">
                  <c:v>LCOE 2040</c:v>
                </c:pt>
                <c:pt idx="2">
                  <c:v>VALCOE 2017</c:v>
                </c:pt>
                <c:pt idx="3">
                  <c:v>VALCOE 2040</c:v>
                </c:pt>
              </c:strCache>
            </c:strRef>
          </c:cat>
          <c:val>
            <c:numRef>
              <c:f>Costs!$D$15:$G$15</c:f>
              <c:numCache>
                <c:formatCode>General</c:formatCode>
                <c:ptCount val="4"/>
                <c:pt idx="0">
                  <c:v>60</c:v>
                </c:pt>
                <c:pt idx="1">
                  <c:v>55</c:v>
                </c:pt>
                <c:pt idx="2">
                  <c:v>60</c:v>
                </c:pt>
                <c:pt idx="3">
                  <c:v>60</c:v>
                </c:pt>
              </c:numCache>
            </c:numRef>
          </c:val>
        </c:ser>
        <c:dLbls>
          <c:showLegendKey val="0"/>
          <c:showVal val="0"/>
          <c:showCatName val="0"/>
          <c:showSerName val="0"/>
          <c:showPercent val="0"/>
          <c:showBubbleSize val="0"/>
        </c:dLbls>
        <c:gapWidth val="219"/>
        <c:overlap val="-27"/>
        <c:axId val="678290824"/>
        <c:axId val="678292784"/>
      </c:barChart>
      <c:catAx>
        <c:axId val="678290824"/>
        <c:scaling>
          <c:orientation val="minMax"/>
        </c:scaling>
        <c:delete val="0"/>
        <c:axPos val="b"/>
        <c:numFmt formatCode="General" sourceLinked="1"/>
        <c:majorTickMark val="none"/>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2784"/>
        <c:crosses val="autoZero"/>
        <c:auto val="1"/>
        <c:lblAlgn val="ctr"/>
        <c:lblOffset val="100"/>
        <c:noMultiLvlLbl val="0"/>
      </c:catAx>
      <c:valAx>
        <c:axId val="678292784"/>
        <c:scaling>
          <c:orientation val="minMax"/>
          <c:max val="16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2017 $/MWh</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082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5765567892768E-2"/>
          <c:y val="9.7044552271724746E-2"/>
          <c:w val="0.87738655600795201"/>
          <c:h val="0.82646461208229005"/>
        </c:manualLayout>
      </c:layout>
      <c:barChart>
        <c:barDir val="col"/>
        <c:grouping val="clustered"/>
        <c:varyColors val="0"/>
        <c:ser>
          <c:idx val="0"/>
          <c:order val="0"/>
          <c:tx>
            <c:strRef>
              <c:f>'IEA WEO prod'!$B$128</c:f>
              <c:strCache>
                <c:ptCount val="1"/>
                <c:pt idx="0">
                  <c:v>2000 </c:v>
                </c:pt>
              </c:strCache>
            </c:strRef>
          </c:tx>
          <c:spPr>
            <a:solidFill>
              <a:srgbClr val="005CAF"/>
            </a:solidFill>
            <a:ln>
              <a:noFill/>
            </a:ln>
            <a:effectLst/>
          </c:spPr>
          <c:invertIfNegative val="0"/>
          <c:cat>
            <c:strRef>
              <c:f>'IEA WEO prod'!$A$129:$A$134</c:f>
              <c:strCache>
                <c:ptCount val="6"/>
                <c:pt idx="0">
                  <c:v>Australia</c:v>
                </c:pt>
                <c:pt idx="1">
                  <c:v>China</c:v>
                </c:pt>
                <c:pt idx="2">
                  <c:v>India</c:v>
                </c:pt>
                <c:pt idx="3">
                  <c:v>Indonesia</c:v>
                </c:pt>
                <c:pt idx="4">
                  <c:v>United States</c:v>
                </c:pt>
                <c:pt idx="5">
                  <c:v>Russia, South Africa and Colombia</c:v>
                </c:pt>
              </c:strCache>
            </c:strRef>
          </c:cat>
          <c:val>
            <c:numRef>
              <c:f>'IEA WEO prod'!$B$129:$B$134</c:f>
              <c:numCache>
                <c:formatCode>#,##0_ ;\-#,##0\ </c:formatCode>
                <c:ptCount val="6"/>
                <c:pt idx="0">
                  <c:v>235.11199999999999</c:v>
                </c:pt>
                <c:pt idx="1">
                  <c:v>1019.29</c:v>
                </c:pt>
                <c:pt idx="2">
                  <c:v>186.625</c:v>
                </c:pt>
                <c:pt idx="3">
                  <c:v>64.935000000000002</c:v>
                </c:pt>
                <c:pt idx="4">
                  <c:v>766.93600000000004</c:v>
                </c:pt>
                <c:pt idx="5">
                  <c:v>400.45500000000004</c:v>
                </c:pt>
              </c:numCache>
            </c:numRef>
          </c:val>
        </c:ser>
        <c:ser>
          <c:idx val="2"/>
          <c:order val="1"/>
          <c:tx>
            <c:strRef>
              <c:f>'IEA WEO prod'!$D$128</c:f>
              <c:strCache>
                <c:ptCount val="1"/>
                <c:pt idx="0">
                  <c:v>2017 </c:v>
                </c:pt>
              </c:strCache>
            </c:strRef>
          </c:tx>
          <c:spPr>
            <a:solidFill>
              <a:srgbClr val="56B4DF"/>
            </a:solidFill>
            <a:ln>
              <a:noFill/>
            </a:ln>
            <a:effectLst/>
          </c:spPr>
          <c:invertIfNegative val="0"/>
          <c:cat>
            <c:strRef>
              <c:f>'IEA WEO prod'!$A$129:$A$134</c:f>
              <c:strCache>
                <c:ptCount val="6"/>
                <c:pt idx="0">
                  <c:v>Australia</c:v>
                </c:pt>
                <c:pt idx="1">
                  <c:v>China</c:v>
                </c:pt>
                <c:pt idx="2">
                  <c:v>India</c:v>
                </c:pt>
                <c:pt idx="3">
                  <c:v>Indonesia</c:v>
                </c:pt>
                <c:pt idx="4">
                  <c:v>United States</c:v>
                </c:pt>
                <c:pt idx="5">
                  <c:v>Russia, South Africa and Colombia</c:v>
                </c:pt>
              </c:strCache>
            </c:strRef>
          </c:cat>
          <c:val>
            <c:numRef>
              <c:f>'IEA WEO prod'!$D$129:$D$134</c:f>
              <c:numCache>
                <c:formatCode>#,##0_ ;\-#,##0\ </c:formatCode>
                <c:ptCount val="6"/>
                <c:pt idx="0">
                  <c:v>416.21499999999997</c:v>
                </c:pt>
                <c:pt idx="1">
                  <c:v>2538.2800000000002</c:v>
                </c:pt>
                <c:pt idx="2">
                  <c:v>394.63900000000001</c:v>
                </c:pt>
                <c:pt idx="3">
                  <c:v>374.24799999999999</c:v>
                </c:pt>
                <c:pt idx="4">
                  <c:v>529.50800000000004</c:v>
                </c:pt>
                <c:pt idx="5">
                  <c:v>604.67499999999995</c:v>
                </c:pt>
              </c:numCache>
            </c:numRef>
          </c:val>
        </c:ser>
        <c:ser>
          <c:idx val="3"/>
          <c:order val="2"/>
          <c:tx>
            <c:strRef>
              <c:f>'IEA WEO prod'!$E$128</c:f>
              <c:strCache>
                <c:ptCount val="1"/>
                <c:pt idx="0">
                  <c:v>2025 </c:v>
                </c:pt>
              </c:strCache>
            </c:strRef>
          </c:tx>
          <c:spPr>
            <a:solidFill>
              <a:srgbClr val="9ED9DF"/>
            </a:solidFill>
            <a:ln>
              <a:noFill/>
            </a:ln>
            <a:effectLst/>
          </c:spPr>
          <c:invertIfNegative val="0"/>
          <c:cat>
            <c:strRef>
              <c:f>'IEA WEO prod'!$A$129:$A$134</c:f>
              <c:strCache>
                <c:ptCount val="6"/>
                <c:pt idx="0">
                  <c:v>Australia</c:v>
                </c:pt>
                <c:pt idx="1">
                  <c:v>China</c:v>
                </c:pt>
                <c:pt idx="2">
                  <c:v>India</c:v>
                </c:pt>
                <c:pt idx="3">
                  <c:v>Indonesia</c:v>
                </c:pt>
                <c:pt idx="4">
                  <c:v>United States</c:v>
                </c:pt>
                <c:pt idx="5">
                  <c:v>Russia, South Africa and Colombia</c:v>
                </c:pt>
              </c:strCache>
            </c:strRef>
          </c:cat>
          <c:val>
            <c:numRef>
              <c:f>'IEA WEO prod'!$E$129:$E$134</c:f>
              <c:numCache>
                <c:formatCode>#,##0_ ;\-#,##0\ </c:formatCode>
                <c:ptCount val="6"/>
                <c:pt idx="0">
                  <c:v>416.96899999999999</c:v>
                </c:pt>
                <c:pt idx="1">
                  <c:v>2576.33</c:v>
                </c:pt>
                <c:pt idx="2">
                  <c:v>583.31600000000003</c:v>
                </c:pt>
                <c:pt idx="3">
                  <c:v>350.44499999999999</c:v>
                </c:pt>
                <c:pt idx="4">
                  <c:v>432.11599999999999</c:v>
                </c:pt>
                <c:pt idx="5">
                  <c:v>586.04600000000005</c:v>
                </c:pt>
              </c:numCache>
            </c:numRef>
          </c:val>
        </c:ser>
        <c:ser>
          <c:idx val="4"/>
          <c:order val="3"/>
          <c:tx>
            <c:strRef>
              <c:f>'IEA WEO prod'!$F$128</c:f>
              <c:strCache>
                <c:ptCount val="1"/>
                <c:pt idx="0">
                  <c:v>2030 </c:v>
                </c:pt>
              </c:strCache>
            </c:strRef>
          </c:tx>
          <c:spPr>
            <a:solidFill>
              <a:srgbClr val="BCBFC1"/>
            </a:solidFill>
            <a:ln>
              <a:noFill/>
            </a:ln>
            <a:effectLst/>
          </c:spPr>
          <c:invertIfNegative val="0"/>
          <c:cat>
            <c:strRef>
              <c:f>'IEA WEO prod'!$A$129:$A$134</c:f>
              <c:strCache>
                <c:ptCount val="6"/>
                <c:pt idx="0">
                  <c:v>Australia</c:v>
                </c:pt>
                <c:pt idx="1">
                  <c:v>China</c:v>
                </c:pt>
                <c:pt idx="2">
                  <c:v>India</c:v>
                </c:pt>
                <c:pt idx="3">
                  <c:v>Indonesia</c:v>
                </c:pt>
                <c:pt idx="4">
                  <c:v>United States</c:v>
                </c:pt>
                <c:pt idx="5">
                  <c:v>Russia, South Africa and Colombia</c:v>
                </c:pt>
              </c:strCache>
            </c:strRef>
          </c:cat>
          <c:val>
            <c:numRef>
              <c:f>'IEA WEO prod'!$F$129:$F$134</c:f>
              <c:numCache>
                <c:formatCode>#,##0_ ;\-#,##0\ </c:formatCode>
                <c:ptCount val="6"/>
                <c:pt idx="0">
                  <c:v>425.03699999999998</c:v>
                </c:pt>
                <c:pt idx="1">
                  <c:v>2566.75</c:v>
                </c:pt>
                <c:pt idx="2">
                  <c:v>711.89400000000001</c:v>
                </c:pt>
                <c:pt idx="3">
                  <c:v>308.202</c:v>
                </c:pt>
                <c:pt idx="4">
                  <c:v>402.67700000000002</c:v>
                </c:pt>
                <c:pt idx="5">
                  <c:v>584.94100000000003</c:v>
                </c:pt>
              </c:numCache>
            </c:numRef>
          </c:val>
        </c:ser>
        <c:ser>
          <c:idx val="5"/>
          <c:order val="4"/>
          <c:tx>
            <c:strRef>
              <c:f>'IEA WEO prod'!$G$128</c:f>
              <c:strCache>
                <c:ptCount val="1"/>
                <c:pt idx="0">
                  <c:v>2035 </c:v>
                </c:pt>
              </c:strCache>
            </c:strRef>
          </c:tx>
          <c:spPr>
            <a:solidFill>
              <a:srgbClr val="51B7A4"/>
            </a:solidFill>
            <a:ln>
              <a:noFill/>
            </a:ln>
            <a:effectLst/>
          </c:spPr>
          <c:invertIfNegative val="0"/>
          <c:cat>
            <c:strRef>
              <c:f>'IEA WEO prod'!$A$129:$A$134</c:f>
              <c:strCache>
                <c:ptCount val="6"/>
                <c:pt idx="0">
                  <c:v>Australia</c:v>
                </c:pt>
                <c:pt idx="1">
                  <c:v>China</c:v>
                </c:pt>
                <c:pt idx="2">
                  <c:v>India</c:v>
                </c:pt>
                <c:pt idx="3">
                  <c:v>Indonesia</c:v>
                </c:pt>
                <c:pt idx="4">
                  <c:v>United States</c:v>
                </c:pt>
                <c:pt idx="5">
                  <c:v>Russia, South Africa and Colombia</c:v>
                </c:pt>
              </c:strCache>
            </c:strRef>
          </c:cat>
          <c:val>
            <c:numRef>
              <c:f>'IEA WEO prod'!$G$129:$G$134</c:f>
              <c:numCache>
                <c:formatCode>#,##0_ ;\-#,##0\ </c:formatCode>
                <c:ptCount val="6"/>
                <c:pt idx="0">
                  <c:v>444.51799999999997</c:v>
                </c:pt>
                <c:pt idx="1">
                  <c:v>2456.89</c:v>
                </c:pt>
                <c:pt idx="2">
                  <c:v>841.81100000000004</c:v>
                </c:pt>
                <c:pt idx="3">
                  <c:v>316.73399999999998</c:v>
                </c:pt>
                <c:pt idx="4">
                  <c:v>385.99</c:v>
                </c:pt>
                <c:pt idx="5">
                  <c:v>585.22299999999996</c:v>
                </c:pt>
              </c:numCache>
            </c:numRef>
          </c:val>
        </c:ser>
        <c:ser>
          <c:idx val="6"/>
          <c:order val="5"/>
          <c:tx>
            <c:strRef>
              <c:f>'IEA WEO prod'!$H$128</c:f>
              <c:strCache>
                <c:ptCount val="1"/>
                <c:pt idx="0">
                  <c:v>2040 </c:v>
                </c:pt>
              </c:strCache>
            </c:strRef>
          </c:tx>
          <c:spPr>
            <a:solidFill>
              <a:srgbClr val="0A7568"/>
            </a:solidFill>
            <a:ln>
              <a:noFill/>
            </a:ln>
            <a:effectLst/>
          </c:spPr>
          <c:invertIfNegative val="0"/>
          <c:cat>
            <c:strRef>
              <c:f>'IEA WEO prod'!$A$129:$A$134</c:f>
              <c:strCache>
                <c:ptCount val="6"/>
                <c:pt idx="0">
                  <c:v>Australia</c:v>
                </c:pt>
                <c:pt idx="1">
                  <c:v>China</c:v>
                </c:pt>
                <c:pt idx="2">
                  <c:v>India</c:v>
                </c:pt>
                <c:pt idx="3">
                  <c:v>Indonesia</c:v>
                </c:pt>
                <c:pt idx="4">
                  <c:v>United States</c:v>
                </c:pt>
                <c:pt idx="5">
                  <c:v>Russia, South Africa and Colombia</c:v>
                </c:pt>
              </c:strCache>
            </c:strRef>
          </c:cat>
          <c:val>
            <c:numRef>
              <c:f>'IEA WEO prod'!$H$129:$H$134</c:f>
              <c:numCache>
                <c:formatCode>#,##0_ ;\-#,##0\ </c:formatCode>
                <c:ptCount val="6"/>
                <c:pt idx="0">
                  <c:v>474.298</c:v>
                </c:pt>
                <c:pt idx="1">
                  <c:v>2313.8000000000002</c:v>
                </c:pt>
                <c:pt idx="2">
                  <c:v>955.30600000000004</c:v>
                </c:pt>
                <c:pt idx="3">
                  <c:v>337.85</c:v>
                </c:pt>
                <c:pt idx="4">
                  <c:v>374.00400000000002</c:v>
                </c:pt>
                <c:pt idx="5">
                  <c:v>588.68600000000004</c:v>
                </c:pt>
              </c:numCache>
            </c:numRef>
          </c:val>
        </c:ser>
        <c:dLbls>
          <c:showLegendKey val="0"/>
          <c:showVal val="0"/>
          <c:showCatName val="0"/>
          <c:showSerName val="0"/>
          <c:showPercent val="0"/>
          <c:showBubbleSize val="0"/>
        </c:dLbls>
        <c:gapWidth val="219"/>
        <c:overlap val="-27"/>
        <c:axId val="678295920"/>
        <c:axId val="678296704"/>
      </c:barChart>
      <c:catAx>
        <c:axId val="678295920"/>
        <c:scaling>
          <c:orientation val="minMax"/>
        </c:scaling>
        <c:delete val="1"/>
        <c:axPos val="b"/>
        <c:numFmt formatCode="General" sourceLinked="1"/>
        <c:majorTickMark val="out"/>
        <c:minorTickMark val="none"/>
        <c:tickLblPos val="nextTo"/>
        <c:crossAx val="678296704"/>
        <c:crosses val="autoZero"/>
        <c:auto val="1"/>
        <c:lblAlgn val="ctr"/>
        <c:lblOffset val="100"/>
        <c:noMultiLvlLbl val="0"/>
      </c:catAx>
      <c:valAx>
        <c:axId val="67829670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r>
                  <a:rPr lang="en-US"/>
                  <a:t>Mtce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a:ea typeface="Arial"/>
                  <a:cs typeface="Arial"/>
                </a:defRPr>
              </a:pPr>
              <a:endParaRPr lang="en-US"/>
            </a:p>
          </c:txPr>
        </c:title>
        <c:numFmt formatCode="#,##0_ ;\-#,##0\ "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5920"/>
        <c:crosses val="autoZero"/>
        <c:crossBetween val="between"/>
        <c:majorUnit val="1000"/>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48556719825685E-2"/>
          <c:y val="2.3264071157771946E-2"/>
          <c:w val="0.90251517071942633"/>
          <c:h val="0.60201443569553803"/>
        </c:manualLayout>
      </c:layout>
      <c:barChart>
        <c:barDir val="col"/>
        <c:grouping val="clustered"/>
        <c:varyColors val="0"/>
        <c:ser>
          <c:idx val="0"/>
          <c:order val="0"/>
          <c:tx>
            <c:strRef>
              <c:f>'IEA WEO prod'!$B$128</c:f>
              <c:strCache>
                <c:ptCount val="1"/>
                <c:pt idx="0">
                  <c:v>2000 </c:v>
                </c:pt>
              </c:strCache>
            </c:strRef>
          </c:tx>
          <c:spPr>
            <a:solidFill>
              <a:srgbClr val="005CAF"/>
            </a:solidFill>
            <a:ln>
              <a:noFill/>
            </a:ln>
            <a:effectLst/>
          </c:spPr>
          <c:invertIfNegative val="0"/>
          <c:cat>
            <c:strRef>
              <c:f>'IEA WEO prod'!$A$137:$A$142</c:f>
              <c:strCache>
                <c:ptCount val="6"/>
                <c:pt idx="0">
                  <c:v>Australia</c:v>
                </c:pt>
                <c:pt idx="1">
                  <c:v>China</c:v>
                </c:pt>
                <c:pt idx="2">
                  <c:v>India</c:v>
                </c:pt>
                <c:pt idx="3">
                  <c:v>Indonesia</c:v>
                </c:pt>
                <c:pt idx="4">
                  <c:v>United States</c:v>
                </c:pt>
                <c:pt idx="5">
                  <c:v>Russia, South Africa and Colombia</c:v>
                </c:pt>
              </c:strCache>
            </c:strRef>
          </c:cat>
          <c:val>
            <c:numRef>
              <c:f>'IEA WEO prod'!$B$137:$B$142</c:f>
              <c:numCache>
                <c:formatCode>#,##0_ ;\-#,##0\ </c:formatCode>
                <c:ptCount val="6"/>
                <c:pt idx="0">
                  <c:v>7.2234136030428342</c:v>
                </c:pt>
                <c:pt idx="1">
                  <c:v>31.315939856092118</c:v>
                </c:pt>
                <c:pt idx="2">
                  <c:v>5.7337335553602919</c:v>
                </c:pt>
                <c:pt idx="3">
                  <c:v>1.9950166827451872</c:v>
                </c:pt>
                <c:pt idx="4">
                  <c:v>23.562795327602416</c:v>
                </c:pt>
                <c:pt idx="5">
                  <c:v>12.3032941509005</c:v>
                </c:pt>
              </c:numCache>
            </c:numRef>
          </c:val>
        </c:ser>
        <c:ser>
          <c:idx val="2"/>
          <c:order val="1"/>
          <c:tx>
            <c:strRef>
              <c:f>'IEA WEO prod'!$D$128</c:f>
              <c:strCache>
                <c:ptCount val="1"/>
                <c:pt idx="0">
                  <c:v>2017 </c:v>
                </c:pt>
              </c:strCache>
            </c:strRef>
          </c:tx>
          <c:spPr>
            <a:solidFill>
              <a:srgbClr val="56B4DF"/>
            </a:solidFill>
            <a:ln>
              <a:noFill/>
            </a:ln>
            <a:effectLst/>
          </c:spPr>
          <c:invertIfNegative val="0"/>
          <c:cat>
            <c:strRef>
              <c:f>'IEA WEO prod'!$A$137:$A$142</c:f>
              <c:strCache>
                <c:ptCount val="6"/>
                <c:pt idx="0">
                  <c:v>Australia</c:v>
                </c:pt>
                <c:pt idx="1">
                  <c:v>China</c:v>
                </c:pt>
                <c:pt idx="2">
                  <c:v>India</c:v>
                </c:pt>
                <c:pt idx="3">
                  <c:v>Indonesia</c:v>
                </c:pt>
                <c:pt idx="4">
                  <c:v>United States</c:v>
                </c:pt>
                <c:pt idx="5">
                  <c:v>Russia, South Africa and Colombia</c:v>
                </c:pt>
              </c:strCache>
            </c:strRef>
          </c:cat>
          <c:val>
            <c:numRef>
              <c:f>'IEA WEO prod'!$D$137:$D$142</c:f>
              <c:numCache>
                <c:formatCode>#,##0_ ;\-#,##0\ </c:formatCode>
                <c:ptCount val="6"/>
                <c:pt idx="0">
                  <c:v>7.7653645877060899</c:v>
                </c:pt>
                <c:pt idx="1">
                  <c:v>47.35694202679533</c:v>
                </c:pt>
                <c:pt idx="2">
                  <c:v>7.3628190130767601</c:v>
                </c:pt>
                <c:pt idx="3">
                  <c:v>6.982382101125209</c:v>
                </c:pt>
                <c:pt idx="4">
                  <c:v>9.8790833393968907</c:v>
                </c:pt>
                <c:pt idx="5">
                  <c:v>11.281481522941702</c:v>
                </c:pt>
              </c:numCache>
            </c:numRef>
          </c:val>
        </c:ser>
        <c:ser>
          <c:idx val="3"/>
          <c:order val="2"/>
          <c:tx>
            <c:strRef>
              <c:f>'IEA WEO prod'!$E$128</c:f>
              <c:strCache>
                <c:ptCount val="1"/>
                <c:pt idx="0">
                  <c:v>2025 </c:v>
                </c:pt>
              </c:strCache>
            </c:strRef>
          </c:tx>
          <c:spPr>
            <a:solidFill>
              <a:srgbClr val="9ED9DF"/>
            </a:solidFill>
            <a:ln>
              <a:noFill/>
            </a:ln>
            <a:effectLst/>
          </c:spPr>
          <c:invertIfNegative val="0"/>
          <c:cat>
            <c:strRef>
              <c:f>'IEA WEO prod'!$A$137:$A$142</c:f>
              <c:strCache>
                <c:ptCount val="6"/>
                <c:pt idx="0">
                  <c:v>Australia</c:v>
                </c:pt>
                <c:pt idx="1">
                  <c:v>China</c:v>
                </c:pt>
                <c:pt idx="2">
                  <c:v>India</c:v>
                </c:pt>
                <c:pt idx="3">
                  <c:v>Indonesia</c:v>
                </c:pt>
                <c:pt idx="4">
                  <c:v>United States</c:v>
                </c:pt>
                <c:pt idx="5">
                  <c:v>Russia, South Africa and Colombia</c:v>
                </c:pt>
              </c:strCache>
            </c:strRef>
          </c:cat>
          <c:val>
            <c:numRef>
              <c:f>'IEA WEO prod'!$E$137:$E$142</c:f>
              <c:numCache>
                <c:formatCode>#,##0_ ;\-#,##0\ </c:formatCode>
                <c:ptCount val="6"/>
                <c:pt idx="0">
                  <c:v>7.7453287737137071</c:v>
                </c:pt>
                <c:pt idx="1">
                  <c:v>47.856130502703635</c:v>
                </c:pt>
                <c:pt idx="2">
                  <c:v>10.835276001255693</c:v>
                </c:pt>
                <c:pt idx="3">
                  <c:v>6.5096247972969215</c:v>
                </c:pt>
                <c:pt idx="4">
                  <c:v>8.0266890065738021</c:v>
                </c:pt>
                <c:pt idx="5">
                  <c:v>10.885986599770781</c:v>
                </c:pt>
              </c:numCache>
            </c:numRef>
          </c:val>
        </c:ser>
        <c:ser>
          <c:idx val="4"/>
          <c:order val="3"/>
          <c:tx>
            <c:strRef>
              <c:f>'IEA WEO prod'!$F$128</c:f>
              <c:strCache>
                <c:ptCount val="1"/>
                <c:pt idx="0">
                  <c:v>2030 </c:v>
                </c:pt>
              </c:strCache>
            </c:strRef>
          </c:tx>
          <c:spPr>
            <a:solidFill>
              <a:srgbClr val="BCBFC1"/>
            </a:solidFill>
            <a:ln>
              <a:noFill/>
            </a:ln>
            <a:effectLst/>
          </c:spPr>
          <c:invertIfNegative val="0"/>
          <c:cat>
            <c:strRef>
              <c:f>'IEA WEO prod'!$A$137:$A$142</c:f>
              <c:strCache>
                <c:ptCount val="6"/>
                <c:pt idx="0">
                  <c:v>Australia</c:v>
                </c:pt>
                <c:pt idx="1">
                  <c:v>China</c:v>
                </c:pt>
                <c:pt idx="2">
                  <c:v>India</c:v>
                </c:pt>
                <c:pt idx="3">
                  <c:v>Indonesia</c:v>
                </c:pt>
                <c:pt idx="4">
                  <c:v>United States</c:v>
                </c:pt>
                <c:pt idx="5">
                  <c:v>Russia, South Africa and Colombia</c:v>
                </c:pt>
              </c:strCache>
            </c:strRef>
          </c:cat>
          <c:val>
            <c:numRef>
              <c:f>'IEA WEO prod'!$F$137:$F$142</c:f>
              <c:numCache>
                <c:formatCode>#,##0_ ;\-#,##0\ </c:formatCode>
                <c:ptCount val="6"/>
                <c:pt idx="0">
                  <c:v>7.8636142465185728</c:v>
                </c:pt>
                <c:pt idx="1">
                  <c:v>47.487470190245901</c:v>
                </c:pt>
                <c:pt idx="2">
                  <c:v>13.170758781967434</c:v>
                </c:pt>
                <c:pt idx="3">
                  <c:v>5.7020486169569171</c:v>
                </c:pt>
                <c:pt idx="4">
                  <c:v>7.4499316387640597</c:v>
                </c:pt>
                <c:pt idx="5">
                  <c:v>10.821999922295756</c:v>
                </c:pt>
              </c:numCache>
            </c:numRef>
          </c:val>
        </c:ser>
        <c:ser>
          <c:idx val="5"/>
          <c:order val="4"/>
          <c:tx>
            <c:strRef>
              <c:f>'IEA WEO prod'!$G$128</c:f>
              <c:strCache>
                <c:ptCount val="1"/>
                <c:pt idx="0">
                  <c:v>2035 </c:v>
                </c:pt>
              </c:strCache>
            </c:strRef>
          </c:tx>
          <c:spPr>
            <a:solidFill>
              <a:srgbClr val="51B7A4"/>
            </a:solidFill>
            <a:ln>
              <a:noFill/>
            </a:ln>
            <a:effectLst/>
          </c:spPr>
          <c:invertIfNegative val="0"/>
          <c:cat>
            <c:strRef>
              <c:f>'IEA WEO prod'!$A$137:$A$142</c:f>
              <c:strCache>
                <c:ptCount val="6"/>
                <c:pt idx="0">
                  <c:v>Australia</c:v>
                </c:pt>
                <c:pt idx="1">
                  <c:v>China</c:v>
                </c:pt>
                <c:pt idx="2">
                  <c:v>India</c:v>
                </c:pt>
                <c:pt idx="3">
                  <c:v>Indonesia</c:v>
                </c:pt>
                <c:pt idx="4">
                  <c:v>United States</c:v>
                </c:pt>
                <c:pt idx="5">
                  <c:v>Russia, South Africa and Colombia</c:v>
                </c:pt>
              </c:strCache>
            </c:strRef>
          </c:cat>
          <c:val>
            <c:numRef>
              <c:f>'IEA WEO prod'!$G$137:$G$142</c:f>
              <c:numCache>
                <c:formatCode>#,##0_ ;\-#,##0\ </c:formatCode>
                <c:ptCount val="6"/>
                <c:pt idx="0">
                  <c:v>8.2024682063432319</c:v>
                </c:pt>
                <c:pt idx="1">
                  <c:v>45.335761682277479</c:v>
                </c:pt>
                <c:pt idx="2">
                  <c:v>15.533517120229106</c:v>
                </c:pt>
                <c:pt idx="3">
                  <c:v>5.8445340005757176</c:v>
                </c:pt>
                <c:pt idx="4">
                  <c:v>7.1224803111829535</c:v>
                </c:pt>
                <c:pt idx="5">
                  <c:v>10.798827159126976</c:v>
                </c:pt>
              </c:numCache>
            </c:numRef>
          </c:val>
        </c:ser>
        <c:ser>
          <c:idx val="6"/>
          <c:order val="5"/>
          <c:tx>
            <c:strRef>
              <c:f>'IEA WEO prod'!$H$128</c:f>
              <c:strCache>
                <c:ptCount val="1"/>
                <c:pt idx="0">
                  <c:v>2040 </c:v>
                </c:pt>
              </c:strCache>
            </c:strRef>
          </c:tx>
          <c:spPr>
            <a:solidFill>
              <a:srgbClr val="0A7568"/>
            </a:solidFill>
            <a:ln>
              <a:noFill/>
            </a:ln>
            <a:effectLst/>
          </c:spPr>
          <c:invertIfNegative val="0"/>
          <c:cat>
            <c:strRef>
              <c:f>'IEA WEO prod'!$A$137:$A$142</c:f>
              <c:strCache>
                <c:ptCount val="6"/>
                <c:pt idx="0">
                  <c:v>Australia</c:v>
                </c:pt>
                <c:pt idx="1">
                  <c:v>China</c:v>
                </c:pt>
                <c:pt idx="2">
                  <c:v>India</c:v>
                </c:pt>
                <c:pt idx="3">
                  <c:v>Indonesia</c:v>
                </c:pt>
                <c:pt idx="4">
                  <c:v>United States</c:v>
                </c:pt>
                <c:pt idx="5">
                  <c:v>Russia, South Africa and Colombia</c:v>
                </c:pt>
              </c:strCache>
            </c:strRef>
          </c:cat>
          <c:val>
            <c:numRef>
              <c:f>'IEA WEO prod'!$H$137:$H$142</c:f>
              <c:numCache>
                <c:formatCode>#,##0_ ;\-#,##0\ </c:formatCode>
                <c:ptCount val="6"/>
                <c:pt idx="0">
                  <c:v>8.716341877577424</c:v>
                </c:pt>
                <c:pt idx="1">
                  <c:v>42.521519880620723</c:v>
                </c:pt>
                <c:pt idx="2">
                  <c:v>17.555995795261587</c:v>
                </c:pt>
                <c:pt idx="3">
                  <c:v>6.2087887854039723</c:v>
                </c:pt>
                <c:pt idx="4">
                  <c:v>6.8732036137227377</c:v>
                </c:pt>
                <c:pt idx="5">
                  <c:v>10.818490557715917</c:v>
                </c:pt>
              </c:numCache>
            </c:numRef>
          </c:val>
        </c:ser>
        <c:dLbls>
          <c:showLegendKey val="0"/>
          <c:showVal val="0"/>
          <c:showCatName val="0"/>
          <c:showSerName val="0"/>
          <c:showPercent val="0"/>
          <c:showBubbleSize val="0"/>
        </c:dLbls>
        <c:gapWidth val="219"/>
        <c:overlap val="-27"/>
        <c:axId val="678289648"/>
        <c:axId val="678293960"/>
      </c:barChart>
      <c:catAx>
        <c:axId val="678289648"/>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3960"/>
        <c:crosses val="autoZero"/>
        <c:auto val="1"/>
        <c:lblAlgn val="ctr"/>
        <c:lblOffset val="100"/>
        <c:noMultiLvlLbl val="0"/>
      </c:catAx>
      <c:valAx>
        <c:axId val="678293960"/>
        <c:scaling>
          <c:orientation val="minMax"/>
          <c:max val="5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_ ;\-#,##0\ "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89648"/>
        <c:crosses val="autoZero"/>
        <c:crossBetween val="between"/>
        <c:majorUnit val="10"/>
      </c:valAx>
      <c:spPr>
        <a:noFill/>
        <a:ln w="25400">
          <a:noFill/>
        </a:ln>
        <a:effectLst/>
      </c:spPr>
    </c:plotArea>
    <c:legend>
      <c:legendPos val="b"/>
      <c:layout>
        <c:manualLayout>
          <c:xMode val="edge"/>
          <c:yMode val="edge"/>
          <c:x val="0.24942728906405995"/>
          <c:y val="0.85928956718963279"/>
          <c:w val="0.50114524824418993"/>
          <c:h val="0.1407104328103671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4041043469237"/>
          <c:y val="6.6828675577156743E-2"/>
          <c:w val="0.77000471316703201"/>
          <c:h val="0.65841744721156514"/>
        </c:manualLayout>
      </c:layout>
      <c:lineChart>
        <c:grouping val="standard"/>
        <c:varyColors val="0"/>
        <c:ser>
          <c:idx val="0"/>
          <c:order val="0"/>
          <c:tx>
            <c:v>Average annual output per employee</c:v>
          </c:tx>
          <c:spPr>
            <a:ln w="28575" cap="rnd" cmpd="sng" algn="ctr">
              <a:solidFill>
                <a:srgbClr val="005CAF"/>
              </a:solidFill>
              <a:prstDash val="solid"/>
              <a:round/>
              <a:headEnd type="none" w="med" len="med"/>
              <a:tailEnd type="none" w="med" len="med"/>
            </a:ln>
            <a:effectLst/>
          </c:spPr>
          <c:marker>
            <c:symbol val="none"/>
          </c:marker>
          <c:cat>
            <c:strRef>
              <c:f>'CIL operations'!$B$6:$K$6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'CIL operations'!$B$20:$K$20</c:f>
              <c:numCache>
                <c:formatCode>0</c:formatCode>
                <c:ptCount val="10"/>
                <c:pt idx="0">
                  <c:v>1085.93</c:v>
                </c:pt>
                <c:pt idx="1">
                  <c:v>1125.0999999999999</c:v>
                </c:pt>
                <c:pt idx="2">
                  <c:v>1173</c:v>
                </c:pt>
                <c:pt idx="3">
                  <c:v>1263</c:v>
                </c:pt>
                <c:pt idx="4">
                  <c:v>1334</c:v>
                </c:pt>
                <c:pt idx="5">
                  <c:v>1484</c:v>
                </c:pt>
                <c:pt idx="6">
                  <c:v>1671</c:v>
                </c:pt>
                <c:pt idx="7">
                  <c:v>1787</c:v>
                </c:pt>
                <c:pt idx="8" formatCode="0.0">
                  <c:v>1899</c:v>
                </c:pt>
                <c:pt idx="9" formatCode="0.00">
                  <c:v>2126</c:v>
                </c:pt>
              </c:numCache>
            </c:numRef>
          </c:val>
          <c:smooth val="0"/>
        </c:ser>
        <c:ser>
          <c:idx val="1"/>
          <c:order val="1"/>
          <c:tx>
            <c:v>Output</c:v>
          </c:tx>
          <c:spPr>
            <a:ln w="28575" cap="rnd" cmpd="sng" algn="ctr">
              <a:solidFill>
                <a:srgbClr val="56B4DF"/>
              </a:solidFill>
              <a:prstDash val="solid"/>
              <a:round/>
              <a:headEnd type="none" w="med" len="med"/>
              <a:tailEnd type="none" w="med" len="med"/>
            </a:ln>
            <a:effectLst/>
          </c:spPr>
          <c:marker>
            <c:symbol val="none"/>
          </c:marker>
          <c:cat>
            <c:strRef>
              <c:f>'CIL operations'!$B$6:$K$6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'CIL operations'!$B$10:$K$10</c:f>
              <c:numCache>
                <c:formatCode>0.000</c:formatCode>
                <c:ptCount val="10"/>
                <c:pt idx="0" formatCode="0.00">
                  <c:v>431.26</c:v>
                </c:pt>
                <c:pt idx="1">
                  <c:v>431.32</c:v>
                </c:pt>
                <c:pt idx="2">
                  <c:v>435.84</c:v>
                </c:pt>
                <c:pt idx="3">
                  <c:v>452.21100000000001</c:v>
                </c:pt>
                <c:pt idx="4">
                  <c:v>462.42</c:v>
                </c:pt>
                <c:pt idx="5" formatCode="0.00">
                  <c:v>494.238</c:v>
                </c:pt>
                <c:pt idx="6">
                  <c:v>538.75400000000002</c:v>
                </c:pt>
                <c:pt idx="7" formatCode="0.00">
                  <c:v>554.14</c:v>
                </c:pt>
                <c:pt idx="8" formatCode="0.00">
                  <c:v>567.36500000000001</c:v>
                </c:pt>
                <c:pt idx="9" formatCode="0.00">
                  <c:v>606.89</c:v>
                </c:pt>
              </c:numCache>
            </c:numRef>
          </c:val>
          <c:smooth val="0"/>
        </c:ser>
        <c:dLbls>
          <c:showLegendKey val="0"/>
          <c:showVal val="0"/>
          <c:showCatName val="0"/>
          <c:showSerName val="0"/>
          <c:showPercent val="0"/>
          <c:showBubbleSize val="0"/>
        </c:dLbls>
        <c:marker val="1"/>
        <c:smooth val="0"/>
        <c:axId val="678295136"/>
        <c:axId val="678290040"/>
      </c:lineChart>
      <c:lineChart>
        <c:grouping val="standard"/>
        <c:varyColors val="0"/>
        <c:ser>
          <c:idx val="2"/>
          <c:order val="2"/>
          <c:tx>
            <c:v>Employees (rhs)</c:v>
          </c:tx>
          <c:spPr>
            <a:ln w="28575" cap="rnd">
              <a:solidFill>
                <a:schemeClr val="accent3"/>
              </a:solidFill>
              <a:round/>
            </a:ln>
            <a:effectLst/>
          </c:spPr>
          <c:marker>
            <c:symbol val="none"/>
          </c:marker>
          <c:val>
            <c:numRef>
              <c:f>'CIL operations'!$B$17:$K$17</c:f>
              <c:numCache>
                <c:formatCode>0</c:formatCode>
                <c:ptCount val="10"/>
                <c:pt idx="0">
                  <c:v>404744</c:v>
                </c:pt>
                <c:pt idx="1">
                  <c:v>390243</c:v>
                </c:pt>
                <c:pt idx="2">
                  <c:v>377447</c:v>
                </c:pt>
                <c:pt idx="3">
                  <c:v>364736</c:v>
                </c:pt>
                <c:pt idx="4">
                  <c:v>352282</c:v>
                </c:pt>
                <c:pt idx="5">
                  <c:v>339867</c:v>
                </c:pt>
                <c:pt idx="6">
                  <c:v>327750</c:v>
                </c:pt>
                <c:pt idx="7">
                  <c:v>316210</c:v>
                </c:pt>
                <c:pt idx="8">
                  <c:v>304386</c:v>
                </c:pt>
                <c:pt idx="9">
                  <c:v>292118</c:v>
                </c:pt>
              </c:numCache>
            </c:numRef>
          </c:val>
          <c:smooth val="0"/>
        </c:ser>
        <c:dLbls>
          <c:showLegendKey val="0"/>
          <c:showVal val="0"/>
          <c:showCatName val="0"/>
          <c:showSerName val="0"/>
          <c:showPercent val="0"/>
          <c:showBubbleSize val="0"/>
        </c:dLbls>
        <c:marker val="1"/>
        <c:smooth val="0"/>
        <c:axId val="678290432"/>
        <c:axId val="678292000"/>
      </c:lineChart>
      <c:catAx>
        <c:axId val="678295136"/>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0040"/>
        <c:crosses val="autoZero"/>
        <c:auto val="1"/>
        <c:lblAlgn val="ctr"/>
        <c:lblOffset val="100"/>
        <c:tickLblSkip val="2"/>
        <c:noMultiLvlLbl val="0"/>
      </c:catAx>
      <c:valAx>
        <c:axId val="678290040"/>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Tonnes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5136"/>
        <c:crosses val="autoZero"/>
        <c:crossBetween val="between"/>
      </c:valAx>
      <c:valAx>
        <c:axId val="678292000"/>
        <c:scaling>
          <c:orientation val="minMax"/>
        </c:scaling>
        <c:delete val="0"/>
        <c:axPos val="r"/>
        <c:numFmt formatCode="0"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0432"/>
        <c:crosses val="max"/>
        <c:crossBetween val="between"/>
        <c:dispUnits>
          <c:builtInUnit val="thousands"/>
          <c:dispUnitsLbl>
            <c:layout>
              <c:manualLayout>
                <c:xMode val="edge"/>
                <c:yMode val="edge"/>
                <c:x val="0.95123817924736342"/>
                <c:y val="0.16479203903193088"/>
              </c:manualLayout>
            </c:layout>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dispUnitsLbl>
        </c:dispUnits>
      </c:valAx>
      <c:catAx>
        <c:axId val="678290432"/>
        <c:scaling>
          <c:orientation val="minMax"/>
        </c:scaling>
        <c:delete val="1"/>
        <c:axPos val="b"/>
        <c:majorTickMark val="out"/>
        <c:minorTickMark val="none"/>
        <c:tickLblPos val="nextTo"/>
        <c:crossAx val="678292000"/>
        <c:crosses val="autoZero"/>
        <c:auto val="1"/>
        <c:lblAlgn val="ctr"/>
        <c:lblOffset val="100"/>
        <c:noMultiLvlLbl val="0"/>
      </c:cat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4056696521183"/>
          <c:y val="8.943089430894309E-2"/>
          <c:w val="0.80958158580692874"/>
          <c:h val="0.64183239114341473"/>
        </c:manualLayout>
      </c:layout>
      <c:areaChart>
        <c:grouping val="stacked"/>
        <c:varyColors val="0"/>
        <c:ser>
          <c:idx val="0"/>
          <c:order val="0"/>
          <c:tx>
            <c:v>Underground</c:v>
          </c:tx>
          <c:spPr>
            <a:solidFill>
              <a:srgbClr val="005CAF"/>
            </a:solidFill>
            <a:ln>
              <a:noFill/>
            </a:ln>
            <a:effectLst/>
          </c:spPr>
          <c:cat>
            <c:strRef>
              <c:f>'CIL operations'!$B$6:$K$6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'CIL operations'!$B$8:$K$8</c:f>
              <c:numCache>
                <c:formatCode>0.000</c:formatCode>
                <c:ptCount val="10"/>
                <c:pt idx="0" formatCode="0.00">
                  <c:v>43.25</c:v>
                </c:pt>
                <c:pt idx="1">
                  <c:v>40.020000000000003</c:v>
                </c:pt>
                <c:pt idx="2">
                  <c:v>38.39</c:v>
                </c:pt>
                <c:pt idx="3">
                  <c:v>37.776000000000003</c:v>
                </c:pt>
                <c:pt idx="4">
                  <c:v>36.11</c:v>
                </c:pt>
                <c:pt idx="5" formatCode="0.00">
                  <c:v>35.042000000000002</c:v>
                </c:pt>
                <c:pt idx="6">
                  <c:v>33.786000000000001</c:v>
                </c:pt>
                <c:pt idx="7" formatCode="0.00">
                  <c:v>31.477</c:v>
                </c:pt>
                <c:pt idx="8" formatCode="0.00">
                  <c:v>30.542000000000002</c:v>
                </c:pt>
                <c:pt idx="9" formatCode="0.00">
                  <c:v>30.48</c:v>
                </c:pt>
              </c:numCache>
            </c:numRef>
          </c:val>
        </c:ser>
        <c:ser>
          <c:idx val="1"/>
          <c:order val="1"/>
          <c:tx>
            <c:v>Open cut</c:v>
          </c:tx>
          <c:spPr>
            <a:solidFill>
              <a:srgbClr val="56B4DF"/>
            </a:solidFill>
            <a:ln>
              <a:noFill/>
            </a:ln>
            <a:effectLst/>
          </c:spPr>
          <c:cat>
            <c:strRef>
              <c:f>'CIL operations'!$B$6:$K$6</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'CIL operations'!$B$9:$K$9</c:f>
              <c:numCache>
                <c:formatCode>0.000</c:formatCode>
                <c:ptCount val="10"/>
                <c:pt idx="0" formatCode="0.00">
                  <c:v>388.01</c:v>
                </c:pt>
                <c:pt idx="1">
                  <c:v>391.3</c:v>
                </c:pt>
                <c:pt idx="2">
                  <c:v>397.45</c:v>
                </c:pt>
                <c:pt idx="3">
                  <c:v>414.435</c:v>
                </c:pt>
                <c:pt idx="4">
                  <c:v>426.31</c:v>
                </c:pt>
                <c:pt idx="5" formatCode="0.00">
                  <c:v>459.19600000000003</c:v>
                </c:pt>
                <c:pt idx="6">
                  <c:v>504.96800000000002</c:v>
                </c:pt>
                <c:pt idx="7" formatCode="0.00">
                  <c:v>522.66300000000001</c:v>
                </c:pt>
                <c:pt idx="8" formatCode="0.00">
                  <c:v>536.82299999999998</c:v>
                </c:pt>
                <c:pt idx="9" formatCode="0.00">
                  <c:v>576.4</c:v>
                </c:pt>
              </c:numCache>
            </c:numRef>
          </c:val>
        </c:ser>
        <c:dLbls>
          <c:showLegendKey val="0"/>
          <c:showVal val="0"/>
          <c:showCatName val="0"/>
          <c:showSerName val="0"/>
          <c:showPercent val="0"/>
          <c:showBubbleSize val="0"/>
        </c:dLbls>
        <c:axId val="678291216"/>
        <c:axId val="824001408"/>
      </c:areaChart>
      <c:catAx>
        <c:axId val="678291216"/>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24001408"/>
        <c:crosses val="autoZero"/>
        <c:auto val="1"/>
        <c:lblAlgn val="ctr"/>
        <c:lblOffset val="100"/>
        <c:tickLblSkip val="2"/>
        <c:noMultiLvlLbl val="0"/>
      </c:catAx>
      <c:valAx>
        <c:axId val="824001408"/>
        <c:scaling>
          <c:orientation val="minMax"/>
          <c:max val="6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8291216"/>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Prices!$A$28</c:f>
              <c:strCache>
                <c:ptCount val="1"/>
                <c:pt idx="0">
                  <c:v>International Prices</c:v>
                </c:pt>
              </c:strCache>
            </c:strRef>
          </c:tx>
          <c:spPr>
            <a:solidFill>
              <a:srgbClr val="005CAF"/>
            </a:solidFill>
            <a:ln>
              <a:noFill/>
            </a:ln>
            <a:effectLst/>
          </c:spPr>
          <c:invertIfNegative val="0"/>
          <c:cat>
            <c:strRef>
              <c:f>Prices!$B$27:$G$27</c:f>
              <c:strCache>
                <c:ptCount val="6"/>
                <c:pt idx="0">
                  <c:v>Richards Bay
 (6,000 kcal/kg)</c:v>
                </c:pt>
                <c:pt idx="1">
                  <c:v>Richards Bay
 (5,500 kcal/kg)</c:v>
                </c:pt>
                <c:pt idx="2">
                  <c:v>Indonesia
 (5,500 kcal/kg)</c:v>
                </c:pt>
                <c:pt idx="3">
                  <c:v>Indonesia
 (4,700 kcal/kg)</c:v>
                </c:pt>
                <c:pt idx="4">
                  <c:v>Indonesia
 (4,200 kcal/kg)</c:v>
                </c:pt>
                <c:pt idx="5">
                  <c:v>Indonesia
 (3,800 kcal/kg)</c:v>
                </c:pt>
              </c:strCache>
            </c:strRef>
          </c:cat>
          <c:val>
            <c:numRef>
              <c:f>Prices!$B$28:$G$28</c:f>
              <c:numCache>
                <c:formatCode>0.0</c:formatCode>
                <c:ptCount val="6"/>
                <c:pt idx="0">
                  <c:v>76.72529999999999</c:v>
                </c:pt>
                <c:pt idx="1">
                  <c:v>59.979700000000001</c:v>
                </c:pt>
                <c:pt idx="2">
                  <c:v>68.185599999999994</c:v>
                </c:pt>
                <c:pt idx="3">
                  <c:v>53.528300000000002</c:v>
                </c:pt>
                <c:pt idx="4">
                  <c:v>36.420200000000001</c:v>
                </c:pt>
                <c:pt idx="5">
                  <c:v>28.711300000000001</c:v>
                </c:pt>
              </c:numCache>
            </c:numRef>
          </c:val>
        </c:ser>
        <c:ser>
          <c:idx val="1"/>
          <c:order val="1"/>
          <c:tx>
            <c:strRef>
              <c:f>Prices!$A$29</c:f>
              <c:strCache>
                <c:ptCount val="1"/>
                <c:pt idx="0">
                  <c:v>SSCL</c:v>
                </c:pt>
              </c:strCache>
            </c:strRef>
          </c:tx>
          <c:spPr>
            <a:solidFill>
              <a:srgbClr val="56B4DF"/>
            </a:solidFill>
            <a:ln>
              <a:noFill/>
            </a:ln>
            <a:effectLst/>
          </c:spPr>
          <c:invertIfNegative val="0"/>
          <c:cat>
            <c:strRef>
              <c:f>Prices!$B$27:$G$27</c:f>
              <c:strCache>
                <c:ptCount val="6"/>
                <c:pt idx="0">
                  <c:v>Richards Bay
 (6,000 kcal/kg)</c:v>
                </c:pt>
                <c:pt idx="1">
                  <c:v>Richards Bay
 (5,500 kcal/kg)</c:v>
                </c:pt>
                <c:pt idx="2">
                  <c:v>Indonesia
 (5,500 kcal/kg)</c:v>
                </c:pt>
                <c:pt idx="3">
                  <c:v>Indonesia
 (4,700 kcal/kg)</c:v>
                </c:pt>
                <c:pt idx="4">
                  <c:v>Indonesia
 (4,200 kcal/kg)</c:v>
                </c:pt>
                <c:pt idx="5">
                  <c:v>Indonesia
 (3,800 kcal/kg)</c:v>
                </c:pt>
              </c:strCache>
            </c:strRef>
          </c:cat>
          <c:val>
            <c:numRef>
              <c:f>Prices!$B$29:$G$29</c:f>
              <c:numCache>
                <c:formatCode>0.0</c:formatCode>
                <c:ptCount val="6"/>
                <c:pt idx="0">
                  <c:v>51.522059099979252</c:v>
                </c:pt>
                <c:pt idx="1">
                  <c:v>43.167130597279915</c:v>
                </c:pt>
                <c:pt idx="2">
                  <c:v>43.167130597279915</c:v>
                </c:pt>
                <c:pt idx="3">
                  <c:v>35.71731934903967</c:v>
                </c:pt>
                <c:pt idx="4">
                  <c:v>27.014268825394524</c:v>
                </c:pt>
                <c:pt idx="5">
                  <c:v>23.811546232693111</c:v>
                </c:pt>
              </c:numCache>
            </c:numRef>
          </c:val>
        </c:ser>
        <c:ser>
          <c:idx val="2"/>
          <c:order val="2"/>
          <c:tx>
            <c:strRef>
              <c:f>Prices!$A$30</c:f>
              <c:strCache>
                <c:ptCount val="1"/>
                <c:pt idx="0">
                  <c:v>CIL</c:v>
                </c:pt>
              </c:strCache>
            </c:strRef>
          </c:tx>
          <c:spPr>
            <a:solidFill>
              <a:srgbClr val="9ED9DF"/>
            </a:solidFill>
            <a:ln>
              <a:noFill/>
            </a:ln>
            <a:effectLst/>
          </c:spPr>
          <c:invertIfNegative val="0"/>
          <c:cat>
            <c:strRef>
              <c:f>Prices!$B$27:$G$27</c:f>
              <c:strCache>
                <c:ptCount val="6"/>
                <c:pt idx="0">
                  <c:v>Richards Bay
 (6,000 kcal/kg)</c:v>
                </c:pt>
                <c:pt idx="1">
                  <c:v>Richards Bay
 (5,500 kcal/kg)</c:v>
                </c:pt>
                <c:pt idx="2">
                  <c:v>Indonesia
 (5,500 kcal/kg)</c:v>
                </c:pt>
                <c:pt idx="3">
                  <c:v>Indonesia
 (4,700 kcal/kg)</c:v>
                </c:pt>
                <c:pt idx="4">
                  <c:v>Indonesia
 (4,200 kcal/kg)</c:v>
                </c:pt>
                <c:pt idx="5">
                  <c:v>Indonesia
 (3,800 kcal/kg)</c:v>
                </c:pt>
              </c:strCache>
            </c:strRef>
          </c:cat>
          <c:val>
            <c:numRef>
              <c:f>Prices!$B$30:$G$30</c:f>
              <c:numCache>
                <c:formatCode>0.0</c:formatCode>
                <c:ptCount val="6"/>
                <c:pt idx="0">
                  <c:v>38.112398853146814</c:v>
                </c:pt>
                <c:pt idx="1">
                  <c:v>29.499860054947579</c:v>
                </c:pt>
                <c:pt idx="2">
                  <c:v>29.499860054947579</c:v>
                </c:pt>
                <c:pt idx="3">
                  <c:v>17.461800570641614</c:v>
                </c:pt>
                <c:pt idx="4">
                  <c:v>14.62112487972384</c:v>
                </c:pt>
                <c:pt idx="5">
                  <c:v>13.569796376467508</c:v>
                </c:pt>
              </c:numCache>
            </c:numRef>
          </c:val>
        </c:ser>
        <c:ser>
          <c:idx val="3"/>
          <c:order val="3"/>
          <c:tx>
            <c:strRef>
              <c:f>Prices!$A$31</c:f>
              <c:strCache>
                <c:ptCount val="1"/>
                <c:pt idx="0">
                  <c:v>WCL</c:v>
                </c:pt>
              </c:strCache>
            </c:strRef>
          </c:tx>
          <c:spPr>
            <a:solidFill>
              <a:srgbClr val="BCBFC1"/>
            </a:solidFill>
            <a:ln>
              <a:noFill/>
            </a:ln>
            <a:effectLst/>
          </c:spPr>
          <c:invertIfNegative val="0"/>
          <c:cat>
            <c:strRef>
              <c:f>Prices!$B$27:$G$27</c:f>
              <c:strCache>
                <c:ptCount val="6"/>
                <c:pt idx="0">
                  <c:v>Richards Bay
 (6,000 kcal/kg)</c:v>
                </c:pt>
                <c:pt idx="1">
                  <c:v>Richards Bay
 (5,500 kcal/kg)</c:v>
                </c:pt>
                <c:pt idx="2">
                  <c:v>Indonesia
 (5,500 kcal/kg)</c:v>
                </c:pt>
                <c:pt idx="3">
                  <c:v>Indonesia
 (4,700 kcal/kg)</c:v>
                </c:pt>
                <c:pt idx="4">
                  <c:v>Indonesia
 (4,200 kcal/kg)</c:v>
                </c:pt>
                <c:pt idx="5">
                  <c:v>Indonesia
 (3,800 kcal/kg)</c:v>
                </c:pt>
              </c:strCache>
            </c:strRef>
          </c:cat>
          <c:val>
            <c:numRef>
              <c:f>Prices!$B$31:$G$31</c:f>
              <c:numCache>
                <c:formatCode>0.0</c:formatCode>
                <c:ptCount val="6"/>
                <c:pt idx="0">
                  <c:v>38.112398853146814</c:v>
                </c:pt>
                <c:pt idx="1">
                  <c:v>32.96019294314889</c:v>
                </c:pt>
                <c:pt idx="2">
                  <c:v>32.96019294314889</c:v>
                </c:pt>
                <c:pt idx="3">
                  <c:v>20.956945660937507</c:v>
                </c:pt>
                <c:pt idx="4">
                  <c:v>17.538387415249694</c:v>
                </c:pt>
                <c:pt idx="5">
                  <c:v>16.278185699425876</c:v>
                </c:pt>
              </c:numCache>
            </c:numRef>
          </c:val>
        </c:ser>
        <c:dLbls>
          <c:showLegendKey val="0"/>
          <c:showVal val="0"/>
          <c:showCatName val="0"/>
          <c:showSerName val="0"/>
          <c:showPercent val="0"/>
          <c:showBubbleSize val="0"/>
        </c:dLbls>
        <c:gapWidth val="219"/>
        <c:overlap val="-27"/>
        <c:axId val="670972584"/>
        <c:axId val="670971016"/>
      </c:barChart>
      <c:catAx>
        <c:axId val="670972584"/>
        <c:scaling>
          <c:orientation val="minMax"/>
        </c:scaling>
        <c:delete val="0"/>
        <c:axPos val="b"/>
        <c:numFmt formatCode="General" sourceLinked="1"/>
        <c:majorTickMark val="none"/>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1016"/>
        <c:crosses val="autoZero"/>
        <c:auto val="1"/>
        <c:lblAlgn val="ctr"/>
        <c:lblOffset val="100"/>
        <c:noMultiLvlLbl val="0"/>
      </c:catAx>
      <c:valAx>
        <c:axId val="670971016"/>
        <c:scaling>
          <c:orientation val="minMax"/>
          <c:max val="8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US$ a tonne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2584"/>
        <c:crosses val="autoZero"/>
        <c:crossBetween val="between"/>
        <c:majorUnit val="20"/>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8221184314475"/>
          <c:y val="9.7044552271724746E-2"/>
          <c:w val="0.89901778815685529"/>
          <c:h val="0.80591089545655048"/>
        </c:manualLayout>
      </c:layout>
      <c:barChart>
        <c:barDir val="col"/>
        <c:grouping val="clustered"/>
        <c:varyColors val="0"/>
        <c:ser>
          <c:idx val="0"/>
          <c:order val="0"/>
          <c:tx>
            <c:strRef>
              <c:f>'IEA WEO trade'!$C$12</c:f>
              <c:strCache>
                <c:ptCount val="1"/>
                <c:pt idx="0">
                  <c:v>2000</c:v>
                </c:pt>
              </c:strCache>
            </c:strRef>
          </c:tx>
          <c:spPr>
            <a:solidFill>
              <a:srgbClr val="005CAF"/>
            </a:solidFill>
            <a:ln>
              <a:noFill/>
            </a:ln>
            <a:effectLst/>
          </c:spPr>
          <c:invertIfNegative val="0"/>
          <c:cat>
            <c:strRef>
              <c:f>'IEA WEO trade'!$B$13:$B$17</c:f>
              <c:strCache>
                <c:ptCount val="5"/>
                <c:pt idx="0">
                  <c:v>India</c:v>
                </c:pt>
                <c:pt idx="1">
                  <c:v>Other Asia Pacific</c:v>
                </c:pt>
                <c:pt idx="2">
                  <c:v>Japan and Korea</c:v>
                </c:pt>
                <c:pt idx="3">
                  <c:v>China</c:v>
                </c:pt>
                <c:pt idx="4">
                  <c:v>European Union</c:v>
                </c:pt>
              </c:strCache>
            </c:strRef>
          </c:cat>
          <c:val>
            <c:numRef>
              <c:f>'IEA WEO trade'!$C$13:$C$17</c:f>
              <c:numCache>
                <c:formatCode>#\ ##0;\-#\ ##0;\-</c:formatCode>
                <c:ptCount val="5"/>
                <c:pt idx="0">
                  <c:v>20.309999999999999</c:v>
                </c:pt>
                <c:pt idx="1">
                  <c:v>53.14</c:v>
                </c:pt>
                <c:pt idx="2">
                  <c:v>192.07</c:v>
                </c:pt>
                <c:pt idx="4">
                  <c:v>139.75</c:v>
                </c:pt>
              </c:numCache>
            </c:numRef>
          </c:val>
        </c:ser>
        <c:ser>
          <c:idx val="1"/>
          <c:order val="1"/>
          <c:tx>
            <c:strRef>
              <c:f>'IEA WEO trade'!$D$12</c:f>
              <c:strCache>
                <c:ptCount val="1"/>
                <c:pt idx="0">
                  <c:v>2017</c:v>
                </c:pt>
              </c:strCache>
            </c:strRef>
          </c:tx>
          <c:spPr>
            <a:solidFill>
              <a:srgbClr val="56B4DF"/>
            </a:solidFill>
            <a:ln>
              <a:noFill/>
            </a:ln>
            <a:effectLst/>
          </c:spPr>
          <c:invertIfNegative val="0"/>
          <c:cat>
            <c:strRef>
              <c:f>'IEA WEO trade'!$B$13:$B$17</c:f>
              <c:strCache>
                <c:ptCount val="5"/>
                <c:pt idx="0">
                  <c:v>India</c:v>
                </c:pt>
                <c:pt idx="1">
                  <c:v>Other Asia Pacific</c:v>
                </c:pt>
                <c:pt idx="2">
                  <c:v>Japan and Korea</c:v>
                </c:pt>
                <c:pt idx="3">
                  <c:v>China</c:v>
                </c:pt>
                <c:pt idx="4">
                  <c:v>European Union</c:v>
                </c:pt>
              </c:strCache>
            </c:strRef>
          </c:cat>
          <c:val>
            <c:numRef>
              <c:f>'IEA WEO trade'!$D$13:$D$17</c:f>
              <c:numCache>
                <c:formatCode>#\ ##0;\-#\ ##0;\-</c:formatCode>
                <c:ptCount val="5"/>
                <c:pt idx="0">
                  <c:v>171.87</c:v>
                </c:pt>
                <c:pt idx="1">
                  <c:v>111.8</c:v>
                </c:pt>
                <c:pt idx="2">
                  <c:v>290.61</c:v>
                </c:pt>
                <c:pt idx="3">
                  <c:v>209.32</c:v>
                </c:pt>
                <c:pt idx="4">
                  <c:v>158.05000000000001</c:v>
                </c:pt>
              </c:numCache>
            </c:numRef>
          </c:val>
        </c:ser>
        <c:ser>
          <c:idx val="2"/>
          <c:order val="2"/>
          <c:tx>
            <c:strRef>
              <c:f>'IEA WEO trade'!$E$12</c:f>
              <c:strCache>
                <c:ptCount val="1"/>
                <c:pt idx="0">
                  <c:v>2025</c:v>
                </c:pt>
              </c:strCache>
            </c:strRef>
          </c:tx>
          <c:spPr>
            <a:solidFill>
              <a:srgbClr val="9ED9DF"/>
            </a:solidFill>
            <a:ln>
              <a:noFill/>
            </a:ln>
            <a:effectLst/>
          </c:spPr>
          <c:invertIfNegative val="0"/>
          <c:cat>
            <c:strRef>
              <c:f>'IEA WEO trade'!$B$13:$B$17</c:f>
              <c:strCache>
                <c:ptCount val="5"/>
                <c:pt idx="0">
                  <c:v>India</c:v>
                </c:pt>
                <c:pt idx="1">
                  <c:v>Other Asia Pacific</c:v>
                </c:pt>
                <c:pt idx="2">
                  <c:v>Japan and Korea</c:v>
                </c:pt>
                <c:pt idx="3">
                  <c:v>China</c:v>
                </c:pt>
                <c:pt idx="4">
                  <c:v>European Union</c:v>
                </c:pt>
              </c:strCache>
            </c:strRef>
          </c:cat>
          <c:val>
            <c:numRef>
              <c:f>'IEA WEO trade'!$E$13:$E$17</c:f>
              <c:numCache>
                <c:formatCode>#\ ##0;\-#\ ##0;\-</c:formatCode>
                <c:ptCount val="5"/>
                <c:pt idx="0">
                  <c:v>218.03</c:v>
                </c:pt>
                <c:pt idx="1">
                  <c:v>140.88</c:v>
                </c:pt>
                <c:pt idx="2">
                  <c:v>240.96</c:v>
                </c:pt>
                <c:pt idx="3">
                  <c:v>158.91999999999999</c:v>
                </c:pt>
                <c:pt idx="4">
                  <c:v>118.82</c:v>
                </c:pt>
              </c:numCache>
            </c:numRef>
          </c:val>
        </c:ser>
        <c:ser>
          <c:idx val="3"/>
          <c:order val="3"/>
          <c:tx>
            <c:strRef>
              <c:f>'IEA WEO trade'!$F$12</c:f>
              <c:strCache>
                <c:ptCount val="1"/>
                <c:pt idx="0">
                  <c:v>2040</c:v>
                </c:pt>
              </c:strCache>
            </c:strRef>
          </c:tx>
          <c:spPr>
            <a:solidFill>
              <a:srgbClr val="BCBFC1"/>
            </a:solidFill>
            <a:ln>
              <a:noFill/>
            </a:ln>
            <a:effectLst/>
          </c:spPr>
          <c:invertIfNegative val="0"/>
          <c:cat>
            <c:strRef>
              <c:f>'IEA WEO trade'!$B$13:$B$17</c:f>
              <c:strCache>
                <c:ptCount val="5"/>
                <c:pt idx="0">
                  <c:v>India</c:v>
                </c:pt>
                <c:pt idx="1">
                  <c:v>Other Asia Pacific</c:v>
                </c:pt>
                <c:pt idx="2">
                  <c:v>Japan and Korea</c:v>
                </c:pt>
                <c:pt idx="3">
                  <c:v>China</c:v>
                </c:pt>
                <c:pt idx="4">
                  <c:v>European Union</c:v>
                </c:pt>
              </c:strCache>
            </c:strRef>
          </c:cat>
          <c:val>
            <c:numRef>
              <c:f>'IEA WEO trade'!$F$13:$F$17</c:f>
              <c:numCache>
                <c:formatCode>#\ ##0;\-#\ ##0;\-</c:formatCode>
                <c:ptCount val="5"/>
                <c:pt idx="0">
                  <c:v>285.05</c:v>
                </c:pt>
                <c:pt idx="1">
                  <c:v>270.08999999999997</c:v>
                </c:pt>
                <c:pt idx="2">
                  <c:v>195.96</c:v>
                </c:pt>
                <c:pt idx="3">
                  <c:v>81.180000000000007</c:v>
                </c:pt>
                <c:pt idx="4">
                  <c:v>69.7</c:v>
                </c:pt>
              </c:numCache>
            </c:numRef>
          </c:val>
        </c:ser>
        <c:dLbls>
          <c:showLegendKey val="0"/>
          <c:showVal val="0"/>
          <c:showCatName val="0"/>
          <c:showSerName val="0"/>
          <c:showPercent val="0"/>
          <c:showBubbleSize val="0"/>
        </c:dLbls>
        <c:gapWidth val="219"/>
        <c:overlap val="-27"/>
        <c:axId val="670972976"/>
        <c:axId val="670971800"/>
      </c:barChart>
      <c:catAx>
        <c:axId val="670972976"/>
        <c:scaling>
          <c:orientation val="minMax"/>
        </c:scaling>
        <c:delete val="1"/>
        <c:axPos val="b"/>
        <c:numFmt formatCode="General" sourceLinked="1"/>
        <c:majorTickMark val="out"/>
        <c:minorTickMark val="none"/>
        <c:tickLblPos val="nextTo"/>
        <c:crossAx val="670971800"/>
        <c:crosses val="autoZero"/>
        <c:auto val="1"/>
        <c:lblAlgn val="ctr"/>
        <c:lblOffset val="100"/>
        <c:noMultiLvlLbl val="0"/>
      </c:catAx>
      <c:valAx>
        <c:axId val="670971800"/>
        <c:scaling>
          <c:orientation val="minMax"/>
          <c:max val="3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mtce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2976"/>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1236135805604E-2"/>
          <c:y val="7.7628793225123505E-2"/>
          <c:w val="0.87964897129794262"/>
          <c:h val="0.53934618440867088"/>
        </c:manualLayout>
      </c:layout>
      <c:barChart>
        <c:barDir val="col"/>
        <c:grouping val="clustered"/>
        <c:varyColors val="0"/>
        <c:ser>
          <c:idx val="0"/>
          <c:order val="0"/>
          <c:tx>
            <c:strRef>
              <c:f>'IEA WEO trade'!$C$12</c:f>
              <c:strCache>
                <c:ptCount val="1"/>
                <c:pt idx="0">
                  <c:v>2000</c:v>
                </c:pt>
              </c:strCache>
            </c:strRef>
          </c:tx>
          <c:spPr>
            <a:solidFill>
              <a:srgbClr val="005CAF"/>
            </a:solidFill>
            <a:ln>
              <a:noFill/>
            </a:ln>
            <a:effectLst/>
          </c:spPr>
          <c:invertIfNegative val="0"/>
          <c:cat>
            <c:strRef>
              <c:f>'IEA WEO trade'!$B$39:$B$43</c:f>
              <c:strCache>
                <c:ptCount val="5"/>
                <c:pt idx="0">
                  <c:v>India</c:v>
                </c:pt>
                <c:pt idx="1">
                  <c:v>Other Asia Pacific</c:v>
                </c:pt>
                <c:pt idx="2">
                  <c:v>Japan and Korea</c:v>
                </c:pt>
                <c:pt idx="3">
                  <c:v>China</c:v>
                </c:pt>
                <c:pt idx="4">
                  <c:v>European Union</c:v>
                </c:pt>
              </c:strCache>
            </c:strRef>
          </c:cat>
          <c:val>
            <c:numRef>
              <c:f>'IEA WEO trade'!$C$39:$C$43</c:f>
              <c:numCache>
                <c:formatCode>#\ ##0;\-#\ ##0;\-</c:formatCode>
                <c:ptCount val="5"/>
                <c:pt idx="0">
                  <c:v>4.3163174225358087</c:v>
                </c:pt>
                <c:pt idx="1">
                  <c:v>11.293407574276362</c:v>
                </c:pt>
                <c:pt idx="2">
                  <c:v>40.819058953542736</c:v>
                </c:pt>
                <c:pt idx="4">
                  <c:v>29.699919241722277</c:v>
                </c:pt>
              </c:numCache>
            </c:numRef>
          </c:val>
        </c:ser>
        <c:ser>
          <c:idx val="1"/>
          <c:order val="1"/>
          <c:tx>
            <c:strRef>
              <c:f>'IEA WEO trade'!$D$12</c:f>
              <c:strCache>
                <c:ptCount val="1"/>
                <c:pt idx="0">
                  <c:v>2017</c:v>
                </c:pt>
              </c:strCache>
            </c:strRef>
          </c:tx>
          <c:spPr>
            <a:solidFill>
              <a:srgbClr val="56B4DF"/>
            </a:solidFill>
            <a:ln>
              <a:noFill/>
            </a:ln>
            <a:effectLst/>
          </c:spPr>
          <c:invertIfNegative val="0"/>
          <c:cat>
            <c:strRef>
              <c:f>'IEA WEO trade'!$B$39:$B$43</c:f>
              <c:strCache>
                <c:ptCount val="5"/>
                <c:pt idx="0">
                  <c:v>India</c:v>
                </c:pt>
                <c:pt idx="1">
                  <c:v>Other Asia Pacific</c:v>
                </c:pt>
                <c:pt idx="2">
                  <c:v>Japan and Korea</c:v>
                </c:pt>
                <c:pt idx="3">
                  <c:v>China</c:v>
                </c:pt>
                <c:pt idx="4">
                  <c:v>European Union</c:v>
                </c:pt>
              </c:strCache>
            </c:strRef>
          </c:cat>
          <c:val>
            <c:numRef>
              <c:f>'IEA WEO trade'!$D$39:$D$43</c:f>
              <c:numCache>
                <c:formatCode>#\ ##0;\-#\ ##0;\-</c:formatCode>
                <c:ptCount val="5"/>
                <c:pt idx="0">
                  <c:v>15.593358737071311</c:v>
                </c:pt>
                <c:pt idx="1">
                  <c:v>10.143349664307747</c:v>
                </c:pt>
                <c:pt idx="2">
                  <c:v>26.366358192705498</c:v>
                </c:pt>
                <c:pt idx="3">
                  <c:v>18.991108691707492</c:v>
                </c:pt>
                <c:pt idx="4">
                  <c:v>14.339502812556706</c:v>
                </c:pt>
              </c:numCache>
            </c:numRef>
          </c:val>
        </c:ser>
        <c:ser>
          <c:idx val="2"/>
          <c:order val="2"/>
          <c:tx>
            <c:strRef>
              <c:f>'IEA WEO trade'!$E$12</c:f>
              <c:strCache>
                <c:ptCount val="1"/>
                <c:pt idx="0">
                  <c:v>2025</c:v>
                </c:pt>
              </c:strCache>
            </c:strRef>
          </c:tx>
          <c:spPr>
            <a:solidFill>
              <a:srgbClr val="9ED9DF"/>
            </a:solidFill>
            <a:ln>
              <a:noFill/>
            </a:ln>
            <a:effectLst/>
          </c:spPr>
          <c:invertIfNegative val="0"/>
          <c:cat>
            <c:strRef>
              <c:f>'IEA WEO trade'!$B$39:$B$43</c:f>
              <c:strCache>
                <c:ptCount val="5"/>
                <c:pt idx="0">
                  <c:v>India</c:v>
                </c:pt>
                <c:pt idx="1">
                  <c:v>Other Asia Pacific</c:v>
                </c:pt>
                <c:pt idx="2">
                  <c:v>Japan and Korea</c:v>
                </c:pt>
                <c:pt idx="3">
                  <c:v>China</c:v>
                </c:pt>
                <c:pt idx="4">
                  <c:v>European Union</c:v>
                </c:pt>
              </c:strCache>
            </c:strRef>
          </c:cat>
          <c:val>
            <c:numRef>
              <c:f>'IEA WEO trade'!$E$39:$E$43</c:f>
              <c:numCache>
                <c:formatCode>#\ ##0;\-#\ ##0;\-</c:formatCode>
                <c:ptCount val="5"/>
                <c:pt idx="0">
                  <c:v>20.886900542218306</c:v>
                </c:pt>
                <c:pt idx="1">
                  <c:v>13.496062690399096</c:v>
                </c:pt>
                <c:pt idx="2">
                  <c:v>23.083555266031848</c:v>
                </c:pt>
                <c:pt idx="3">
                  <c:v>15.22426379016343</c:v>
                </c:pt>
                <c:pt idx="4">
                  <c:v>11.382752476385722</c:v>
                </c:pt>
              </c:numCache>
            </c:numRef>
          </c:val>
        </c:ser>
        <c:ser>
          <c:idx val="3"/>
          <c:order val="3"/>
          <c:tx>
            <c:strRef>
              <c:f>'IEA WEO trade'!$F$12</c:f>
              <c:strCache>
                <c:ptCount val="1"/>
                <c:pt idx="0">
                  <c:v>2040</c:v>
                </c:pt>
              </c:strCache>
            </c:strRef>
          </c:tx>
          <c:spPr>
            <a:solidFill>
              <a:srgbClr val="BCBFC1"/>
            </a:solidFill>
            <a:ln>
              <a:noFill/>
            </a:ln>
            <a:effectLst/>
          </c:spPr>
          <c:invertIfNegative val="0"/>
          <c:cat>
            <c:strRef>
              <c:f>'IEA WEO trade'!$B$39:$B$43</c:f>
              <c:strCache>
                <c:ptCount val="5"/>
                <c:pt idx="0">
                  <c:v>India</c:v>
                </c:pt>
                <c:pt idx="1">
                  <c:v>Other Asia Pacific</c:v>
                </c:pt>
                <c:pt idx="2">
                  <c:v>Japan and Korea</c:v>
                </c:pt>
                <c:pt idx="3">
                  <c:v>China</c:v>
                </c:pt>
                <c:pt idx="4">
                  <c:v>European Union</c:v>
                </c:pt>
              </c:strCache>
            </c:strRef>
          </c:cat>
          <c:val>
            <c:numRef>
              <c:f>'IEA WEO trade'!$F$39:$F$43</c:f>
              <c:numCache>
                <c:formatCode>#\ ##0;\-#\ ##0;\-</c:formatCode>
                <c:ptCount val="5"/>
                <c:pt idx="0">
                  <c:v>26.182843601025084</c:v>
                </c:pt>
                <c:pt idx="1">
                  <c:v>24.808715061220362</c:v>
                </c:pt>
                <c:pt idx="2">
                  <c:v>17.999614215249522</c:v>
                </c:pt>
                <c:pt idx="3">
                  <c:v>7.4566681057050221</c:v>
                </c:pt>
                <c:pt idx="4">
                  <c:v>6.4021897877265337</c:v>
                </c:pt>
              </c:numCache>
            </c:numRef>
          </c:val>
        </c:ser>
        <c:dLbls>
          <c:showLegendKey val="0"/>
          <c:showVal val="0"/>
          <c:showCatName val="0"/>
          <c:showSerName val="0"/>
          <c:showPercent val="0"/>
          <c:showBubbleSize val="0"/>
        </c:dLbls>
        <c:gapWidth val="219"/>
        <c:overlap val="-27"/>
        <c:axId val="670973760"/>
        <c:axId val="670974544"/>
      </c:barChart>
      <c:catAx>
        <c:axId val="670973760"/>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4544"/>
        <c:crosses val="autoZero"/>
        <c:auto val="1"/>
        <c:lblAlgn val="ctr"/>
        <c:lblOffset val="100"/>
        <c:noMultiLvlLbl val="0"/>
      </c:catAx>
      <c:valAx>
        <c:axId val="67097454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376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'IEA WEO trade'!$B$112</c:f>
              <c:strCache>
                <c:ptCount val="1"/>
                <c:pt idx="0">
                  <c:v>Consumption</c:v>
                </c:pt>
              </c:strCache>
            </c:strRef>
          </c:tx>
          <c:spPr>
            <a:solidFill>
              <a:srgbClr val="005CAF"/>
            </a:solidFill>
            <a:ln>
              <a:noFill/>
            </a:ln>
            <a:effectLst/>
          </c:spPr>
          <c:invertIfNegative val="0"/>
          <c:cat>
            <c:numRef>
              <c:f>'IEA WEO trade'!$C$108:$J$108</c:f>
              <c:numCache>
                <c:formatCode>0</c:formatCode>
                <c:ptCount val="8"/>
                <c:pt idx="0">
                  <c:v>2016</c:v>
                </c:pt>
                <c:pt idx="1">
                  <c:v>2017</c:v>
                </c:pt>
                <c:pt idx="2">
                  <c:v>2018</c:v>
                </c:pt>
                <c:pt idx="3">
                  <c:v>2019</c:v>
                </c:pt>
                <c:pt idx="4">
                  <c:v>2020</c:v>
                </c:pt>
                <c:pt idx="5">
                  <c:v>2021</c:v>
                </c:pt>
                <c:pt idx="6">
                  <c:v>2022</c:v>
                </c:pt>
                <c:pt idx="7">
                  <c:v>2023</c:v>
                </c:pt>
              </c:numCache>
            </c:numRef>
          </c:cat>
          <c:val>
            <c:numRef>
              <c:f>'IEA WEO trade'!$C$112:$J$112</c:f>
              <c:numCache>
                <c:formatCode>#,##0</c:formatCode>
                <c:ptCount val="8"/>
                <c:pt idx="0">
                  <c:v>483</c:v>
                </c:pt>
                <c:pt idx="1">
                  <c:v>505</c:v>
                </c:pt>
                <c:pt idx="2">
                  <c:v>523</c:v>
                </c:pt>
                <c:pt idx="3">
                  <c:v>541</c:v>
                </c:pt>
                <c:pt idx="4">
                  <c:v>561</c:v>
                </c:pt>
                <c:pt idx="5">
                  <c:v>581</c:v>
                </c:pt>
                <c:pt idx="6">
                  <c:v>603</c:v>
                </c:pt>
                <c:pt idx="7">
                  <c:v>625</c:v>
                </c:pt>
              </c:numCache>
            </c:numRef>
          </c:val>
        </c:ser>
        <c:ser>
          <c:idx val="1"/>
          <c:order val="1"/>
          <c:tx>
            <c:strRef>
              <c:f>'IEA WEO trade'!$B$113</c:f>
              <c:strCache>
                <c:ptCount val="1"/>
                <c:pt idx="0">
                  <c:v>Production</c:v>
                </c:pt>
              </c:strCache>
            </c:strRef>
          </c:tx>
          <c:spPr>
            <a:solidFill>
              <a:srgbClr val="56B4DF"/>
            </a:solidFill>
            <a:ln>
              <a:noFill/>
            </a:ln>
            <a:effectLst/>
          </c:spPr>
          <c:invertIfNegative val="0"/>
          <c:cat>
            <c:numRef>
              <c:f>'IEA WEO trade'!$C$108:$J$108</c:f>
              <c:numCache>
                <c:formatCode>0</c:formatCode>
                <c:ptCount val="8"/>
                <c:pt idx="0">
                  <c:v>2016</c:v>
                </c:pt>
                <c:pt idx="1">
                  <c:v>2017</c:v>
                </c:pt>
                <c:pt idx="2">
                  <c:v>2018</c:v>
                </c:pt>
                <c:pt idx="3">
                  <c:v>2019</c:v>
                </c:pt>
                <c:pt idx="4">
                  <c:v>2020</c:v>
                </c:pt>
                <c:pt idx="5">
                  <c:v>2021</c:v>
                </c:pt>
                <c:pt idx="6">
                  <c:v>2022</c:v>
                </c:pt>
                <c:pt idx="7">
                  <c:v>2023</c:v>
                </c:pt>
              </c:numCache>
            </c:numRef>
          </c:cat>
          <c:val>
            <c:numRef>
              <c:f>'IEA WEO trade'!$C$113:$J$113</c:f>
              <c:numCache>
                <c:formatCode>#,##0</c:formatCode>
                <c:ptCount val="8"/>
                <c:pt idx="0">
                  <c:v>378</c:v>
                </c:pt>
                <c:pt idx="1">
                  <c:v>386</c:v>
                </c:pt>
                <c:pt idx="2">
                  <c:v>402</c:v>
                </c:pt>
                <c:pt idx="3">
                  <c:v>418</c:v>
                </c:pt>
                <c:pt idx="4">
                  <c:v>435.5</c:v>
                </c:pt>
                <c:pt idx="5">
                  <c:v>453</c:v>
                </c:pt>
                <c:pt idx="6">
                  <c:v>471.5</c:v>
                </c:pt>
                <c:pt idx="7">
                  <c:v>490</c:v>
                </c:pt>
              </c:numCache>
            </c:numRef>
          </c:val>
        </c:ser>
        <c:dLbls>
          <c:showLegendKey val="0"/>
          <c:showVal val="0"/>
          <c:showCatName val="0"/>
          <c:showSerName val="0"/>
          <c:showPercent val="0"/>
          <c:showBubbleSize val="0"/>
        </c:dLbls>
        <c:gapWidth val="150"/>
        <c:axId val="670976896"/>
        <c:axId val="670974936"/>
      </c:barChart>
      <c:catAx>
        <c:axId val="670976896"/>
        <c:scaling>
          <c:orientation val="minMax"/>
        </c:scaling>
        <c:delete val="0"/>
        <c:axPos val="b"/>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4936"/>
        <c:crosses val="autoZero"/>
        <c:auto val="1"/>
        <c:lblAlgn val="ctr"/>
        <c:lblOffset val="100"/>
        <c:tickLblSkip val="1"/>
        <c:noMultiLvlLbl val="0"/>
      </c:catAx>
      <c:valAx>
        <c:axId val="670974936"/>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Mtce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6896"/>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28500584381418"/>
          <c:y val="3.6172311739559357E-2"/>
          <c:w val="0.79687106823060483"/>
          <c:h val="0.82793476037461777"/>
        </c:manualLayout>
      </c:layout>
      <c:scatterChart>
        <c:scatterStyle val="lineMarker"/>
        <c:varyColors val="0"/>
        <c:ser>
          <c:idx val="0"/>
          <c:order val="0"/>
          <c:tx>
            <c:strRef>
              <c:f>Sheet1!$C$32</c:f>
              <c:strCache>
                <c:ptCount val="1"/>
                <c:pt idx="0">
                  <c:v>Electricity use per person (kWh)</c:v>
                </c:pt>
              </c:strCache>
            </c:strRef>
          </c:tx>
          <c:spPr>
            <a:ln w="28575" cap="rnd">
              <a:noFill/>
              <a:round/>
            </a:ln>
            <a:effectLst/>
          </c:spPr>
          <c:marker>
            <c:symbol val="circle"/>
            <c:size val="5"/>
            <c:spPr>
              <a:solidFill>
                <a:srgbClr val="005CAF"/>
              </a:solidFill>
              <a:ln w="9525">
                <a:noFill/>
              </a:ln>
              <a:effectLst/>
            </c:spPr>
          </c:marker>
          <c:dPt>
            <c:idx val="11"/>
            <c:marker>
              <c:symbol val="circle"/>
              <c:size val="5"/>
              <c:spPr>
                <a:solidFill>
                  <a:srgbClr val="F36A5A"/>
                </a:solidFill>
                <a:ln w="9525">
                  <a:noFill/>
                </a:ln>
                <a:effectLst/>
              </c:spPr>
            </c:marker>
            <c:bubble3D val="0"/>
          </c:dPt>
          <c:dLbls>
            <c:dLbl>
              <c:idx val="0"/>
              <c:layout/>
              <c:tx>
                <c:rich>
                  <a:bodyPr/>
                  <a:lstStyle/>
                  <a:p>
                    <a:fld id="{530987F5-3798-49C3-9ED9-E126D2EB3FB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delete val="1"/>
              <c:extLst>
                <c:ext xmlns:c15="http://schemas.microsoft.com/office/drawing/2012/chart" uri="{CE6537A1-D6FC-4f65-9D91-7224C49458BB}"/>
              </c:extLst>
            </c:dLbl>
            <c:dLbl>
              <c:idx val="2"/>
              <c:layout>
                <c:manualLayout>
                  <c:x val="5.0840345134268078E-2"/>
                  <c:y val="1.2392835966204652E-2"/>
                </c:manualLayout>
              </c:layout>
              <c:tx>
                <c:rich>
                  <a:bodyPr/>
                  <a:lstStyle/>
                  <a:p>
                    <a:fld id="{E40C610C-8D34-40C4-AC0A-B3836C90B59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3"/>
              <c:layout/>
              <c:tx>
                <c:rich>
                  <a:bodyPr/>
                  <a:lstStyle/>
                  <a:p>
                    <a:fld id="{471664FB-4336-46FB-8677-43BFFA706C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manualLayout>
                  <c:x val="0"/>
                  <c:y val="6.5767839526471557E-3"/>
                </c:manualLayout>
              </c:layout>
              <c:tx>
                <c:rich>
                  <a:bodyPr/>
                  <a:lstStyle/>
                  <a:p>
                    <a:fld id="{B2DA097D-38E8-4FA4-AABF-C4526DDA579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5.4862938111446935E-2"/>
                  <c:y val="-6.840606203409047E-2"/>
                </c:manualLayout>
              </c:layout>
              <c:tx>
                <c:rich>
                  <a:bodyPr/>
                  <a:lstStyle/>
                  <a:p>
                    <a:fld id="{2B624779-9C90-4F2E-863A-95D783F59B9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tx>
                <c:rich>
                  <a:bodyPr/>
                  <a:lstStyle/>
                  <a:p>
                    <a:fld id="{9C85F8D5-6981-4F4A-BAE4-9A003BB979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delete val="1"/>
              <c:extLst>
                <c:ext xmlns:c15="http://schemas.microsoft.com/office/drawing/2012/chart" uri="{CE6537A1-D6FC-4f65-9D91-7224C49458BB}"/>
              </c:extLst>
            </c:dLbl>
            <c:dLbl>
              <c:idx val="8"/>
              <c:layout/>
              <c:tx>
                <c:rich>
                  <a:bodyPr/>
                  <a:lstStyle/>
                  <a:p>
                    <a:fld id="{C7E05C46-6B11-4BF6-8993-E219D409E9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manualLayout>
                  <c:x val="-1.5369833905345583E-3"/>
                  <c:y val="-3.4896389322804075E-2"/>
                </c:manualLayout>
              </c:layout>
              <c:tx>
                <c:rich>
                  <a:bodyPr/>
                  <a:lstStyle/>
                  <a:p>
                    <a:fld id="{A9B5F92B-C50B-4F4B-8243-F8B18118F06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0"/>
              <c:layout>
                <c:manualLayout>
                  <c:x val="0"/>
                  <c:y val="1.1410720157842814E-2"/>
                </c:manualLayout>
              </c:layout>
              <c:tx>
                <c:rich>
                  <a:bodyPr/>
                  <a:lstStyle/>
                  <a:p>
                    <a:fld id="{F6FA9089-056C-480B-961A-D0867AE8734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1"/>
              <c:layout>
                <c:manualLayout>
                  <c:x val="-1.1827321111768185E-2"/>
                  <c:y val="-4.0331998125357642E-2"/>
                </c:manualLayout>
              </c:layout>
              <c:tx>
                <c:rich>
                  <a:bodyPr/>
                  <a:lstStyle/>
                  <a:p>
                    <a:fld id="{509EBA18-01D1-46B3-A497-CDA47D01B80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2"/>
              <c:layout/>
              <c:tx>
                <c:rich>
                  <a:bodyPr/>
                  <a:lstStyle/>
                  <a:p>
                    <a:fld id="{D5FABCFF-92D2-4014-8F09-044CEDBB4F9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DataLabelsRange val="1"/>
                <c15:showLeaderLines val="0"/>
              </c:ext>
            </c:extLst>
          </c:dLbls>
          <c:xVal>
            <c:numRef>
              <c:f>Sheet1!$B$33:$B$45</c:f>
              <c:numCache>
                <c:formatCode>_-* #,##0_-;\-* #,##0_-;_-* "-"??_-;_-@_-</c:formatCode>
                <c:ptCount val="13"/>
                <c:pt idx="0">
                  <c:v>59384</c:v>
                </c:pt>
                <c:pt idx="1">
                  <c:v>14424</c:v>
                </c:pt>
                <c:pt idx="2">
                  <c:v>15483</c:v>
                </c:pt>
                <c:pt idx="3">
                  <c:v>40961</c:v>
                </c:pt>
                <c:pt idx="4">
                  <c:v>5078</c:v>
                </c:pt>
                <c:pt idx="5">
                  <c:v>13524</c:v>
                </c:pt>
                <c:pt idx="6">
                  <c:v>25338</c:v>
                </c:pt>
                <c:pt idx="7">
                  <c:v>21989</c:v>
                </c:pt>
                <c:pt idx="8">
                  <c:v>27761</c:v>
                </c:pt>
                <c:pt idx="9">
                  <c:v>13038</c:v>
                </c:pt>
                <c:pt idx="10">
                  <c:v>16964</c:v>
                </c:pt>
                <c:pt idx="11">
                  <c:v>7063</c:v>
                </c:pt>
                <c:pt idx="12">
                  <c:v>42918</c:v>
                </c:pt>
              </c:numCache>
            </c:numRef>
          </c:xVal>
          <c:yVal>
            <c:numRef>
              <c:f>Sheet1!$C$33:$C$45</c:f>
              <c:numCache>
                <c:formatCode>_-* #,##0_-;\-* #,##0_-;_-* "-"??_-;_-@_-</c:formatCode>
                <c:ptCount val="13"/>
                <c:pt idx="0">
                  <c:v>12905.198776758411</c:v>
                </c:pt>
                <c:pt idx="1">
                  <c:v>2631.7829457364342</c:v>
                </c:pt>
                <c:pt idx="2">
                  <c:v>2803.8277511961724</c:v>
                </c:pt>
                <c:pt idx="3">
                  <c:v>6443.359375</c:v>
                </c:pt>
                <c:pt idx="4">
                  <c:v>663.21656050955414</c:v>
                </c:pt>
                <c:pt idx="5">
                  <c:v>4421.0526315789475</c:v>
                </c:pt>
                <c:pt idx="6">
                  <c:v>4666.666666666667</c:v>
                </c:pt>
                <c:pt idx="7">
                  <c:v>5836.2068965517237</c:v>
                </c:pt>
                <c:pt idx="8">
                  <c:v>7548.6111111111113</c:v>
                </c:pt>
                <c:pt idx="9">
                  <c:v>2837.2376769155685</c:v>
                </c:pt>
                <c:pt idx="10">
                  <c:v>4737.0689655172409</c:v>
                </c:pt>
                <c:pt idx="11">
                  <c:v>1198.65571321882</c:v>
                </c:pt>
                <c:pt idx="12">
                  <c:v>8547.6190476190477</c:v>
                </c:pt>
              </c:numCache>
            </c:numRef>
          </c:yVal>
          <c:smooth val="0"/>
          <c:extLst>
            <c:ext xmlns:c15="http://schemas.microsoft.com/office/drawing/2012/chart" uri="{02D57815-91ED-43cb-92C2-25804820EDAC}">
              <c15:datalabelsRange>
                <c15:f>Sheet1!$A$18:$A$30</c15:f>
                <c15:dlblRangeCache>
                  <c:ptCount val="13"/>
                  <c:pt idx="0">
                    <c:v>United States</c:v>
                  </c:pt>
                  <c:pt idx="1">
                    <c:v>Central and South America</c:v>
                  </c:pt>
                  <c:pt idx="2">
                    <c:v>Brazil</c:v>
                  </c:pt>
                  <c:pt idx="3">
                    <c:v>European Union</c:v>
                  </c:pt>
                  <c:pt idx="4">
                    <c:v>Africa</c:v>
                  </c:pt>
                  <c:pt idx="5">
                    <c:v>South Africa</c:v>
                  </c:pt>
                  <c:pt idx="6">
                    <c:v>Middle East</c:v>
                  </c:pt>
                  <c:pt idx="7">
                    <c:v>Eurasia</c:v>
                  </c:pt>
                  <c:pt idx="8">
                    <c:v>Russia</c:v>
                  </c:pt>
                  <c:pt idx="9">
                    <c:v>Asia Pacific</c:v>
                  </c:pt>
                  <c:pt idx="10">
                    <c:v>China</c:v>
                  </c:pt>
                  <c:pt idx="11">
                    <c:v>India</c:v>
                  </c:pt>
                  <c:pt idx="12">
                    <c:v>Japan</c:v>
                  </c:pt>
                </c15:dlblRangeCache>
              </c15:datalabelsRange>
            </c:ext>
          </c:extLst>
        </c:ser>
        <c:dLbls>
          <c:showLegendKey val="0"/>
          <c:showVal val="0"/>
          <c:showCatName val="0"/>
          <c:showSerName val="0"/>
          <c:showPercent val="0"/>
          <c:showBubbleSize val="0"/>
        </c:dLbls>
        <c:axId val="679237600"/>
        <c:axId val="679239168"/>
      </c:scatterChart>
      <c:valAx>
        <c:axId val="679237600"/>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GDP</a:t>
                </a:r>
                <a:r>
                  <a:rPr lang="en-AU" baseline="0"/>
                  <a:t> per person (2017 US$)</a:t>
                </a:r>
                <a:endParaRPr lang="en-AU"/>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9168"/>
        <c:crosses val="autoZero"/>
        <c:crossBetween val="midCat"/>
      </c:valAx>
      <c:valAx>
        <c:axId val="679239168"/>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Electricity</a:t>
                </a:r>
                <a:r>
                  <a:rPr lang="en-AU" baseline="0"/>
                  <a:t> use per person (kWh)</a:t>
                </a:r>
                <a:endParaRPr lang="en-AU"/>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7600"/>
        <c:crosses val="autoZero"/>
        <c:crossBetween val="midCat"/>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0768736598113"/>
          <c:y val="7.1741111111111117E-2"/>
          <c:w val="0.86418894165241478"/>
          <c:h val="0.64867277777777788"/>
        </c:manualLayout>
      </c:layout>
      <c:areaChart>
        <c:grouping val="stacked"/>
        <c:varyColors val="0"/>
        <c:ser>
          <c:idx val="0"/>
          <c:order val="0"/>
          <c:tx>
            <c:strRef>
              <c:f>'IEA WEO trade'!$B$109</c:f>
              <c:strCache>
                <c:ptCount val="1"/>
                <c:pt idx="0">
                  <c:v>Thermal coal</c:v>
                </c:pt>
              </c:strCache>
            </c:strRef>
          </c:tx>
          <c:spPr>
            <a:solidFill>
              <a:srgbClr val="005CAF"/>
            </a:solidFill>
            <a:ln>
              <a:noFill/>
            </a:ln>
            <a:effectLst/>
          </c:spPr>
          <c:cat>
            <c:numRef>
              <c:f>'IEA WEO trade'!$C$108:$J$108</c:f>
              <c:numCache>
                <c:formatCode>0</c:formatCode>
                <c:ptCount val="8"/>
                <c:pt idx="0">
                  <c:v>2016</c:v>
                </c:pt>
                <c:pt idx="1">
                  <c:v>2017</c:v>
                </c:pt>
                <c:pt idx="2">
                  <c:v>2018</c:v>
                </c:pt>
                <c:pt idx="3">
                  <c:v>2019</c:v>
                </c:pt>
                <c:pt idx="4">
                  <c:v>2020</c:v>
                </c:pt>
                <c:pt idx="5">
                  <c:v>2021</c:v>
                </c:pt>
                <c:pt idx="6">
                  <c:v>2022</c:v>
                </c:pt>
                <c:pt idx="7">
                  <c:v>2023</c:v>
                </c:pt>
              </c:numCache>
            </c:numRef>
          </c:cat>
          <c:val>
            <c:numRef>
              <c:f>'IEA WEO trade'!$C$109:$J$109</c:f>
              <c:numCache>
                <c:formatCode>0</c:formatCode>
                <c:ptCount val="8"/>
                <c:pt idx="0">
                  <c:v>105</c:v>
                </c:pt>
                <c:pt idx="1">
                  <c:v>119</c:v>
                </c:pt>
                <c:pt idx="2">
                  <c:v>121</c:v>
                </c:pt>
                <c:pt idx="3">
                  <c:v>123</c:v>
                </c:pt>
                <c:pt idx="4">
                  <c:v>126</c:v>
                </c:pt>
                <c:pt idx="5">
                  <c:v>129</c:v>
                </c:pt>
                <c:pt idx="6">
                  <c:v>132</c:v>
                </c:pt>
                <c:pt idx="7">
                  <c:v>135</c:v>
                </c:pt>
              </c:numCache>
            </c:numRef>
          </c:val>
        </c:ser>
        <c:ser>
          <c:idx val="1"/>
          <c:order val="1"/>
          <c:tx>
            <c:strRef>
              <c:f>'IEA WEO trade'!$B$110</c:f>
              <c:strCache>
                <c:ptCount val="1"/>
                <c:pt idx="0">
                  <c:v>Metallurgical coal</c:v>
                </c:pt>
              </c:strCache>
            </c:strRef>
          </c:tx>
          <c:spPr>
            <a:solidFill>
              <a:srgbClr val="56B4DF"/>
            </a:solidFill>
            <a:ln>
              <a:noFill/>
            </a:ln>
            <a:effectLst/>
          </c:spPr>
          <c:cat>
            <c:numRef>
              <c:f>'IEA WEO trade'!$C$108:$J$108</c:f>
              <c:numCache>
                <c:formatCode>0</c:formatCode>
                <c:ptCount val="8"/>
                <c:pt idx="0">
                  <c:v>2016</c:v>
                </c:pt>
                <c:pt idx="1">
                  <c:v>2017</c:v>
                </c:pt>
                <c:pt idx="2">
                  <c:v>2018</c:v>
                </c:pt>
                <c:pt idx="3">
                  <c:v>2019</c:v>
                </c:pt>
                <c:pt idx="4">
                  <c:v>2020</c:v>
                </c:pt>
                <c:pt idx="5">
                  <c:v>2021</c:v>
                </c:pt>
                <c:pt idx="6">
                  <c:v>2022</c:v>
                </c:pt>
                <c:pt idx="7">
                  <c:v>2023</c:v>
                </c:pt>
              </c:numCache>
            </c:numRef>
          </c:cat>
          <c:val>
            <c:numRef>
              <c:f>'IEA WEO trade'!$C$110:$J$110</c:f>
              <c:numCache>
                <c:formatCode>0</c:formatCode>
                <c:ptCount val="8"/>
                <c:pt idx="0">
                  <c:v>47</c:v>
                </c:pt>
                <c:pt idx="1">
                  <c:v>49</c:v>
                </c:pt>
                <c:pt idx="2">
                  <c:v>53.5</c:v>
                </c:pt>
                <c:pt idx="3">
                  <c:v>58</c:v>
                </c:pt>
                <c:pt idx="4">
                  <c:v>61.5</c:v>
                </c:pt>
                <c:pt idx="5">
                  <c:v>65</c:v>
                </c:pt>
                <c:pt idx="6">
                  <c:v>69.5</c:v>
                </c:pt>
                <c:pt idx="7">
                  <c:v>74</c:v>
                </c:pt>
              </c:numCache>
            </c:numRef>
          </c:val>
        </c:ser>
        <c:dLbls>
          <c:showLegendKey val="0"/>
          <c:showVal val="0"/>
          <c:showCatName val="0"/>
          <c:showSerName val="0"/>
          <c:showPercent val="0"/>
          <c:showBubbleSize val="0"/>
        </c:dLbls>
        <c:axId val="670975720"/>
        <c:axId val="670977680"/>
      </c:areaChart>
      <c:catAx>
        <c:axId val="670975720"/>
        <c:scaling>
          <c:orientation val="minMax"/>
        </c:scaling>
        <c:delete val="0"/>
        <c:axPos val="b"/>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7680"/>
        <c:crosses val="autoZero"/>
        <c:auto val="1"/>
        <c:lblAlgn val="ctr"/>
        <c:lblOffset val="100"/>
        <c:tickLblSkip val="1"/>
        <c:noMultiLvlLbl val="0"/>
      </c:catAx>
      <c:valAx>
        <c:axId val="670977680"/>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Mtce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5720"/>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v>Metallurgical coal</c:v>
          </c:tx>
          <c:spPr>
            <a:solidFill>
              <a:srgbClr val="005CAF"/>
            </a:solidFill>
            <a:ln>
              <a:noFill/>
            </a:ln>
            <a:effectLst/>
          </c:spPr>
          <c:cat>
            <c:numRef>
              <c:f>'Australian monthly exports'!$DG$8:$DG$36</c:f>
              <c:numCache>
                <c:formatCode>0</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'Australian monthly exports'!$DL$8:$DL$36</c:f>
              <c:numCache>
                <c:formatCode>#,##0.0</c:formatCode>
                <c:ptCount val="29"/>
                <c:pt idx="0" formatCode="#,##0">
                  <c:v>0</c:v>
                </c:pt>
                <c:pt idx="1">
                  <c:v>3.7936999999999999E-2</c:v>
                </c:pt>
                <c:pt idx="2">
                  <c:v>5.9463530000000002</c:v>
                </c:pt>
                <c:pt idx="3">
                  <c:v>6.5281480000000007</c:v>
                </c:pt>
                <c:pt idx="4">
                  <c:v>8.1044549999999997</c:v>
                </c:pt>
                <c:pt idx="5">
                  <c:v>9.2286179999999991</c:v>
                </c:pt>
                <c:pt idx="6">
                  <c:v>10.602074999999999</c:v>
                </c:pt>
                <c:pt idx="7">
                  <c:v>9.3811879999999981</c:v>
                </c:pt>
                <c:pt idx="8">
                  <c:v>9.2555890000000005</c:v>
                </c:pt>
                <c:pt idx="9">
                  <c:v>8.4232949999999995</c:v>
                </c:pt>
                <c:pt idx="10">
                  <c:v>10.605017</c:v>
                </c:pt>
                <c:pt idx="11">
                  <c:v>11.452537999999999</c:v>
                </c:pt>
                <c:pt idx="12">
                  <c:v>12.372337</c:v>
                </c:pt>
                <c:pt idx="13">
                  <c:v>14.701596</c:v>
                </c:pt>
                <c:pt idx="14">
                  <c:v>14.868077</c:v>
                </c:pt>
                <c:pt idx="15">
                  <c:v>17.557686000000004</c:v>
                </c:pt>
                <c:pt idx="16">
                  <c:v>17.798812999999996</c:v>
                </c:pt>
                <c:pt idx="17">
                  <c:v>21.856114000000002</c:v>
                </c:pt>
                <c:pt idx="18">
                  <c:v>24.851049380000003</c:v>
                </c:pt>
                <c:pt idx="19">
                  <c:v>26.799963739999999</c:v>
                </c:pt>
                <c:pt idx="20">
                  <c:v>32.416344070000008</c:v>
                </c:pt>
                <c:pt idx="21">
                  <c:v>28.976869740000005</c:v>
                </c:pt>
                <c:pt idx="22">
                  <c:v>30.032018239999999</c:v>
                </c:pt>
                <c:pt idx="23">
                  <c:v>33.155146060000007</c:v>
                </c:pt>
                <c:pt idx="24">
                  <c:v>40.101692280000002</c:v>
                </c:pt>
                <c:pt idx="25">
                  <c:v>42.907022500000004</c:v>
                </c:pt>
                <c:pt idx="26">
                  <c:v>43.296449259999996</c:v>
                </c:pt>
                <c:pt idx="27">
                  <c:v>41.191984359999992</c:v>
                </c:pt>
                <c:pt idx="28">
                  <c:v>45.293110170000006</c:v>
                </c:pt>
              </c:numCache>
            </c:numRef>
          </c:val>
        </c:ser>
        <c:ser>
          <c:idx val="1"/>
          <c:order val="1"/>
          <c:tx>
            <c:v>Thermal coal</c:v>
          </c:tx>
          <c:spPr>
            <a:solidFill>
              <a:srgbClr val="56B4DF"/>
            </a:solidFill>
            <a:ln w="25400">
              <a:noFill/>
            </a:ln>
            <a:effectLst/>
          </c:spPr>
          <c:cat>
            <c:numRef>
              <c:f>'Australian monthly exports'!$DG$8:$DG$36</c:f>
              <c:numCache>
                <c:formatCode>0</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'Australian monthly exports'!$DZ$8:$DZ$36</c:f>
              <c:numCache>
                <c:formatCode>#,##0</c:formatCode>
                <c:ptCount val="29"/>
                <c:pt idx="0">
                  <c:v>5.4640000000000001E-3</c:v>
                </c:pt>
                <c:pt idx="1">
                  <c:v>0</c:v>
                </c:pt>
                <c:pt idx="2">
                  <c:v>0.103146</c:v>
                </c:pt>
                <c:pt idx="3">
                  <c:v>0.10255</c:v>
                </c:pt>
                <c:pt idx="4">
                  <c:v>1.9227000000000001E-2</c:v>
                </c:pt>
                <c:pt idx="5">
                  <c:v>0</c:v>
                </c:pt>
                <c:pt idx="6">
                  <c:v>0.59898499999999988</c:v>
                </c:pt>
                <c:pt idx="7">
                  <c:v>0.57719900000000002</c:v>
                </c:pt>
                <c:pt idx="8">
                  <c:v>0.46950100000000006</c:v>
                </c:pt>
                <c:pt idx="9">
                  <c:v>1.2239910000000001</c:v>
                </c:pt>
                <c:pt idx="10">
                  <c:v>2.5371680000000003</c:v>
                </c:pt>
                <c:pt idx="11">
                  <c:v>1.4116709999999999</c:v>
                </c:pt>
                <c:pt idx="12">
                  <c:v>1.6435680000000001</c:v>
                </c:pt>
                <c:pt idx="13">
                  <c:v>1.512397</c:v>
                </c:pt>
                <c:pt idx="14">
                  <c:v>1.513217</c:v>
                </c:pt>
                <c:pt idx="15">
                  <c:v>1.2228959999999998</c:v>
                </c:pt>
                <c:pt idx="16">
                  <c:v>0.90218200000000004</c:v>
                </c:pt>
                <c:pt idx="17">
                  <c:v>0.49989700000000004</c:v>
                </c:pt>
                <c:pt idx="18">
                  <c:v>0.89946200000000009</c:v>
                </c:pt>
                <c:pt idx="19">
                  <c:v>0.59538900000000006</c:v>
                </c:pt>
                <c:pt idx="20">
                  <c:v>0.41131099999999998</c:v>
                </c:pt>
                <c:pt idx="21">
                  <c:v>1.2249719999999999</c:v>
                </c:pt>
                <c:pt idx="22">
                  <c:v>2.0675349999999999</c:v>
                </c:pt>
                <c:pt idx="23">
                  <c:v>1.74505</c:v>
                </c:pt>
                <c:pt idx="24">
                  <c:v>6.6599299999999992</c:v>
                </c:pt>
                <c:pt idx="25">
                  <c:v>5.2726573999999999</c:v>
                </c:pt>
                <c:pt idx="26">
                  <c:v>4.6558220000000006</c:v>
                </c:pt>
                <c:pt idx="27">
                  <c:v>3.1391506600000003</c:v>
                </c:pt>
                <c:pt idx="28">
                  <c:v>4.7882358100000006</c:v>
                </c:pt>
              </c:numCache>
            </c:numRef>
          </c:val>
        </c:ser>
        <c:dLbls>
          <c:showLegendKey val="0"/>
          <c:showVal val="0"/>
          <c:showCatName val="0"/>
          <c:showSerName val="0"/>
          <c:showPercent val="0"/>
          <c:showBubbleSize val="0"/>
        </c:dLbls>
        <c:axId val="670971408"/>
        <c:axId val="670978072"/>
      </c:areaChart>
      <c:catAx>
        <c:axId val="670971408"/>
        <c:scaling>
          <c:orientation val="minMax"/>
        </c:scaling>
        <c:delete val="0"/>
        <c:axPos val="b"/>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8072"/>
        <c:crosses val="autoZero"/>
        <c:auto val="1"/>
        <c:lblAlgn val="ctr"/>
        <c:lblOffset val="100"/>
        <c:tickLblSkip val="5"/>
        <c:tickMarkSkip val="5"/>
        <c:noMultiLvlLbl val="0"/>
      </c:catAx>
      <c:valAx>
        <c:axId val="670978072"/>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Million tonnes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1408"/>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'Steel intensity'!$C$6</c:f>
              <c:strCache>
                <c:ptCount val="1"/>
                <c:pt idx="0">
                  <c:v>India</c:v>
                </c:pt>
              </c:strCache>
            </c:strRef>
          </c:tx>
          <c:spPr>
            <a:ln w="19050" cap="rnd">
              <a:solidFill>
                <a:srgbClr val="F36A5A"/>
              </a:solidFill>
              <a:round/>
            </a:ln>
            <a:effectLst/>
          </c:spPr>
          <c:marker>
            <c:symbol val="none"/>
          </c:marker>
          <c:xVal>
            <c:numRef>
              <c:f>'Steel intensity'!$Q$7:$Q$44</c:f>
              <c:numCache>
                <c:formatCode>0.0</c:formatCode>
                <c:ptCount val="38"/>
                <c:pt idx="0">
                  <c:v>0.55889999999999995</c:v>
                </c:pt>
                <c:pt idx="1">
                  <c:v>0.63508799999999999</c:v>
                </c:pt>
                <c:pt idx="2">
                  <c:v>0.68265100000000001</c:v>
                </c:pt>
                <c:pt idx="3">
                  <c:v>0.74495400000000001</c:v>
                </c:pt>
                <c:pt idx="4">
                  <c:v>0.78416200000000003</c:v>
                </c:pt>
                <c:pt idx="5">
                  <c:v>0.83361400000000008</c:v>
                </c:pt>
                <c:pt idx="6">
                  <c:v>0.87215500000000001</c:v>
                </c:pt>
                <c:pt idx="7">
                  <c:v>0.90933399999999998</c:v>
                </c:pt>
                <c:pt idx="8">
                  <c:v>1.01047</c:v>
                </c:pt>
                <c:pt idx="9">
                  <c:v>1.0897699999999999</c:v>
                </c:pt>
                <c:pt idx="10">
                  <c:v>1.1691800000000001</c:v>
                </c:pt>
                <c:pt idx="11">
                  <c:v>1.1981700000000002</c:v>
                </c:pt>
                <c:pt idx="12">
                  <c:v>1.2662899999999999</c:v>
                </c:pt>
                <c:pt idx="13">
                  <c:v>1.3292299999999999</c:v>
                </c:pt>
                <c:pt idx="14">
                  <c:v>1.4196500000000001</c:v>
                </c:pt>
                <c:pt idx="15">
                  <c:v>1.5292600000000001</c:v>
                </c:pt>
                <c:pt idx="16">
                  <c:v>1.6432599999999999</c:v>
                </c:pt>
                <c:pt idx="17">
                  <c:v>1.70624</c:v>
                </c:pt>
                <c:pt idx="18">
                  <c:v>1.7979799999999999</c:v>
                </c:pt>
                <c:pt idx="19">
                  <c:v>1.9430499999999999</c:v>
                </c:pt>
                <c:pt idx="20">
                  <c:v>2.0263200000000001</c:v>
                </c:pt>
                <c:pt idx="21">
                  <c:v>2.1365500000000002</c:v>
                </c:pt>
                <c:pt idx="22">
                  <c:v>2.2181700000000002</c:v>
                </c:pt>
                <c:pt idx="23">
                  <c:v>2.3998200000000001</c:v>
                </c:pt>
                <c:pt idx="24">
                  <c:v>2.6162399999999999</c:v>
                </c:pt>
                <c:pt idx="25">
                  <c:v>2.9029400000000001</c:v>
                </c:pt>
                <c:pt idx="26">
                  <c:v>3.2186399999999997</c:v>
                </c:pt>
                <c:pt idx="27">
                  <c:v>3.5754600000000001</c:v>
                </c:pt>
                <c:pt idx="28">
                  <c:v>3.7320100000000003</c:v>
                </c:pt>
                <c:pt idx="29">
                  <c:v>4.0214999999999996</c:v>
                </c:pt>
                <c:pt idx="30">
                  <c:v>4.4235100000000003</c:v>
                </c:pt>
                <c:pt idx="31">
                  <c:v>4.7502899999999997</c:v>
                </c:pt>
                <c:pt idx="32">
                  <c:v>5.0377299999999998</c:v>
                </c:pt>
                <c:pt idx="33">
                  <c:v>5.3826599999999996</c:v>
                </c:pt>
                <c:pt idx="34">
                  <c:v>5.8144200000000001</c:v>
                </c:pt>
                <c:pt idx="35">
                  <c:v>6.2641099999999996</c:v>
                </c:pt>
                <c:pt idx="36">
                  <c:v>6.76098</c:v>
                </c:pt>
                <c:pt idx="37">
                  <c:v>7.2874600000000003</c:v>
                </c:pt>
              </c:numCache>
            </c:numRef>
          </c:xVal>
          <c:yVal>
            <c:numRef>
              <c:f>'Steel intensity'!$C$7:$C$44</c:f>
              <c:numCache>
                <c:formatCode>0.0</c:formatCode>
                <c:ptCount val="38"/>
                <c:pt idx="0">
                  <c:v>17.3</c:v>
                </c:pt>
                <c:pt idx="1">
                  <c:v>20.3</c:v>
                </c:pt>
                <c:pt idx="2">
                  <c:v>19.7</c:v>
                </c:pt>
                <c:pt idx="3">
                  <c:v>17</c:v>
                </c:pt>
                <c:pt idx="4">
                  <c:v>16.600000000000001</c:v>
                </c:pt>
                <c:pt idx="5">
                  <c:v>19.2</c:v>
                </c:pt>
                <c:pt idx="6">
                  <c:v>19.600000000000001</c:v>
                </c:pt>
                <c:pt idx="7">
                  <c:v>19.7</c:v>
                </c:pt>
                <c:pt idx="8">
                  <c:v>20.5</c:v>
                </c:pt>
                <c:pt idx="9">
                  <c:v>24.5</c:v>
                </c:pt>
                <c:pt idx="10">
                  <c:v>24.15</c:v>
                </c:pt>
                <c:pt idx="11">
                  <c:v>23.8</c:v>
                </c:pt>
                <c:pt idx="12">
                  <c:v>21.4</c:v>
                </c:pt>
                <c:pt idx="13">
                  <c:v>21.3</c:v>
                </c:pt>
                <c:pt idx="14">
                  <c:v>24.2</c:v>
                </c:pt>
                <c:pt idx="15">
                  <c:v>28.3</c:v>
                </c:pt>
                <c:pt idx="16">
                  <c:v>28.8</c:v>
                </c:pt>
                <c:pt idx="17">
                  <c:v>28.6</c:v>
                </c:pt>
                <c:pt idx="18">
                  <c:v>27.9</c:v>
                </c:pt>
                <c:pt idx="19">
                  <c:v>29.603960396039604</c:v>
                </c:pt>
                <c:pt idx="20">
                  <c:v>29.334628460417679</c:v>
                </c:pt>
                <c:pt idx="21">
                  <c:v>29.795727369094571</c:v>
                </c:pt>
                <c:pt idx="22">
                  <c:v>32.021717280831119</c:v>
                </c:pt>
                <c:pt idx="23">
                  <c:v>31.591352330600511</c:v>
                </c:pt>
                <c:pt idx="24">
                  <c:v>35.683091928087926</c:v>
                </c:pt>
                <c:pt idx="25">
                  <c:v>38.646910218049555</c:v>
                </c:pt>
                <c:pt idx="26">
                  <c:v>43.323656834284812</c:v>
                </c:pt>
                <c:pt idx="27">
                  <c:v>48.239620279574382</c:v>
                </c:pt>
                <c:pt idx="28">
                  <c:v>48.156715586741029</c:v>
                </c:pt>
                <c:pt idx="29">
                  <c:v>54.358108108108105</c:v>
                </c:pt>
                <c:pt idx="30">
                  <c:v>57.536688154848164</c:v>
                </c:pt>
                <c:pt idx="31">
                  <c:v>60.100230036148538</c:v>
                </c:pt>
                <c:pt idx="32">
                  <c:v>62.772882400149165</c:v>
                </c:pt>
                <c:pt idx="33">
                  <c:v>63.1</c:v>
                </c:pt>
                <c:pt idx="34">
                  <c:v>67.3</c:v>
                </c:pt>
                <c:pt idx="35">
                  <c:v>68.2</c:v>
                </c:pt>
                <c:pt idx="36">
                  <c:v>71.400000000000006</c:v>
                </c:pt>
                <c:pt idx="37">
                  <c:v>75.3</c:v>
                </c:pt>
              </c:numCache>
            </c:numRef>
          </c:yVal>
          <c:smooth val="1"/>
        </c:ser>
        <c:ser>
          <c:idx val="0"/>
          <c:order val="1"/>
          <c:tx>
            <c:strRef>
              <c:f>'Steel intensity'!$B$6</c:f>
              <c:strCache>
                <c:ptCount val="1"/>
                <c:pt idx="0">
                  <c:v>China</c:v>
                </c:pt>
              </c:strCache>
            </c:strRef>
          </c:tx>
          <c:spPr>
            <a:ln w="19050" cap="rnd">
              <a:solidFill>
                <a:srgbClr val="005CAF"/>
              </a:solidFill>
              <a:round/>
            </a:ln>
            <a:effectLst/>
          </c:spPr>
          <c:marker>
            <c:symbol val="none"/>
          </c:marker>
          <c:xVal>
            <c:numRef>
              <c:f>'Steel intensity'!$P$7:$P$44</c:f>
              <c:numCache>
                <c:formatCode>0.0</c:formatCode>
                <c:ptCount val="38"/>
                <c:pt idx="0">
                  <c:v>0.310894</c:v>
                </c:pt>
                <c:pt idx="1">
                  <c:v>0.35277700000000001</c:v>
                </c:pt>
                <c:pt idx="2">
                  <c:v>0.40193200000000001</c:v>
                </c:pt>
                <c:pt idx="3">
                  <c:v>0.45669900000000002</c:v>
                </c:pt>
                <c:pt idx="4">
                  <c:v>0.53805499999999995</c:v>
                </c:pt>
                <c:pt idx="5">
                  <c:v>0.621116</c:v>
                </c:pt>
                <c:pt idx="6">
                  <c:v>0.67938399999999999</c:v>
                </c:pt>
                <c:pt idx="7">
                  <c:v>0.76488400000000001</c:v>
                </c:pt>
                <c:pt idx="8">
                  <c:v>0.86763699999999999</c:v>
                </c:pt>
                <c:pt idx="9">
                  <c:v>0.92553599999999991</c:v>
                </c:pt>
                <c:pt idx="10">
                  <c:v>0.98340700000000003</c:v>
                </c:pt>
                <c:pt idx="11">
                  <c:v>1.09592</c:v>
                </c:pt>
                <c:pt idx="12">
                  <c:v>1.26644</c:v>
                </c:pt>
                <c:pt idx="13">
                  <c:v>1.4598900000000001</c:v>
                </c:pt>
                <c:pt idx="14">
                  <c:v>1.6676300000000002</c:v>
                </c:pt>
                <c:pt idx="15">
                  <c:v>1.87005</c:v>
                </c:pt>
                <c:pt idx="16">
                  <c:v>2.0711399999999998</c:v>
                </c:pt>
                <c:pt idx="17">
                  <c:v>2.27766</c:v>
                </c:pt>
                <c:pt idx="18">
                  <c:v>2.4603699999999997</c:v>
                </c:pt>
                <c:pt idx="19">
                  <c:v>2.6637</c:v>
                </c:pt>
                <c:pt idx="20">
                  <c:v>2.9297</c:v>
                </c:pt>
                <c:pt idx="21">
                  <c:v>3.2199899999999997</c:v>
                </c:pt>
                <c:pt idx="22">
                  <c:v>3.5456500000000002</c:v>
                </c:pt>
                <c:pt idx="23">
                  <c:v>3.9488400000000001</c:v>
                </c:pt>
                <c:pt idx="24">
                  <c:v>4.43858</c:v>
                </c:pt>
                <c:pt idx="25">
                  <c:v>5.0640900000000002</c:v>
                </c:pt>
                <c:pt idx="26">
                  <c:v>5.8490000000000002</c:v>
                </c:pt>
                <c:pt idx="27">
                  <c:v>6.8236499999999998</c:v>
                </c:pt>
                <c:pt idx="28">
                  <c:v>7.5855399999999999</c:v>
                </c:pt>
                <c:pt idx="29">
                  <c:v>8.3060299999999998</c:v>
                </c:pt>
                <c:pt idx="30">
                  <c:v>9.2496000000000009</c:v>
                </c:pt>
                <c:pt idx="31">
                  <c:v>10.290469999999999</c:v>
                </c:pt>
                <c:pt idx="32">
                  <c:v>11.260479999999999</c:v>
                </c:pt>
                <c:pt idx="33">
                  <c:v>12.291129999999999</c:v>
                </c:pt>
                <c:pt idx="34">
                  <c:v>13.368169999999999</c:v>
                </c:pt>
                <c:pt idx="35">
                  <c:v>14.37195</c:v>
                </c:pt>
                <c:pt idx="36">
                  <c:v>15.41676</c:v>
                </c:pt>
                <c:pt idx="37">
                  <c:v>338.899407</c:v>
                </c:pt>
              </c:numCache>
            </c:numRef>
          </c:xVal>
          <c:yVal>
            <c:numRef>
              <c:f>'Steel intensity'!$B$7:$B$43</c:f>
              <c:numCache>
                <c:formatCode>0.0</c:formatCode>
                <c:ptCount val="37"/>
                <c:pt idx="0">
                  <c:v>43.6</c:v>
                </c:pt>
                <c:pt idx="1">
                  <c:v>39</c:v>
                </c:pt>
                <c:pt idx="2">
                  <c:v>40.200000000000003</c:v>
                </c:pt>
                <c:pt idx="3">
                  <c:v>50.6</c:v>
                </c:pt>
                <c:pt idx="4">
                  <c:v>58.1</c:v>
                </c:pt>
                <c:pt idx="5">
                  <c:v>68.3</c:v>
                </c:pt>
                <c:pt idx="6">
                  <c:v>69.8</c:v>
                </c:pt>
                <c:pt idx="7">
                  <c:v>65.8</c:v>
                </c:pt>
                <c:pt idx="8">
                  <c:v>64.599999999999994</c:v>
                </c:pt>
                <c:pt idx="9">
                  <c:v>62.4</c:v>
                </c:pt>
                <c:pt idx="10">
                  <c:v>59.1</c:v>
                </c:pt>
                <c:pt idx="11">
                  <c:v>60</c:v>
                </c:pt>
                <c:pt idx="12">
                  <c:v>72.599999999999994</c:v>
                </c:pt>
                <c:pt idx="13">
                  <c:v>111.2</c:v>
                </c:pt>
                <c:pt idx="14">
                  <c:v>101.6</c:v>
                </c:pt>
                <c:pt idx="15">
                  <c:v>83.5</c:v>
                </c:pt>
                <c:pt idx="16">
                  <c:v>91.5</c:v>
                </c:pt>
                <c:pt idx="17">
                  <c:v>92.8</c:v>
                </c:pt>
                <c:pt idx="18">
                  <c:v>98.5</c:v>
                </c:pt>
                <c:pt idx="19">
                  <c:v>108.26403574324648</c:v>
                </c:pt>
                <c:pt idx="20">
                  <c:v>108.94960668439282</c:v>
                </c:pt>
                <c:pt idx="21">
                  <c:v>133.70838458946776</c:v>
                </c:pt>
                <c:pt idx="22">
                  <c:v>160.1519621962897</c:v>
                </c:pt>
                <c:pt idx="23">
                  <c:v>200.09750284383296</c:v>
                </c:pt>
                <c:pt idx="24">
                  <c:v>221.02963350463116</c:v>
                </c:pt>
                <c:pt idx="25">
                  <c:v>276.81330111046532</c:v>
                </c:pt>
                <c:pt idx="26">
                  <c:v>299.28184529243504</c:v>
                </c:pt>
                <c:pt idx="27">
                  <c:v>329.87459225453915</c:v>
                </c:pt>
                <c:pt idx="28">
                  <c:v>350.50676947636333</c:v>
                </c:pt>
                <c:pt idx="29">
                  <c:v>430.4383664293743</c:v>
                </c:pt>
                <c:pt idx="30">
                  <c:v>456.45345325189606</c:v>
                </c:pt>
                <c:pt idx="31">
                  <c:v>495.74423869076338</c:v>
                </c:pt>
                <c:pt idx="32">
                  <c:v>507.82030072966825</c:v>
                </c:pt>
                <c:pt idx="33">
                  <c:v>558.5</c:v>
                </c:pt>
                <c:pt idx="34">
                  <c:v>532.6</c:v>
                </c:pt>
                <c:pt idx="35">
                  <c:v>501.3</c:v>
                </c:pt>
                <c:pt idx="36">
                  <c:v>505.5</c:v>
                </c:pt>
              </c:numCache>
            </c:numRef>
          </c:yVal>
          <c:smooth val="1"/>
        </c:ser>
        <c:ser>
          <c:idx val="2"/>
          <c:order val="2"/>
          <c:tx>
            <c:strRef>
              <c:f>'Steel intensity'!$D$6</c:f>
              <c:strCache>
                <c:ptCount val="1"/>
                <c:pt idx="0">
                  <c:v>Japan</c:v>
                </c:pt>
              </c:strCache>
            </c:strRef>
          </c:tx>
          <c:spPr>
            <a:ln w="19050" cap="rnd">
              <a:solidFill>
                <a:srgbClr val="56B4DF"/>
              </a:solidFill>
              <a:round/>
            </a:ln>
            <a:effectLst/>
          </c:spPr>
          <c:marker>
            <c:symbol val="none"/>
          </c:marker>
          <c:xVal>
            <c:numRef>
              <c:f>'Steel intensity'!$R$7:$R$44</c:f>
              <c:numCache>
                <c:formatCode>0.0</c:formatCode>
                <c:ptCount val="38"/>
                <c:pt idx="0">
                  <c:v>8.9482599999999994</c:v>
                </c:pt>
                <c:pt idx="1">
                  <c:v>10.13307</c:v>
                </c:pt>
                <c:pt idx="2">
                  <c:v>11.037840000000001</c:v>
                </c:pt>
                <c:pt idx="3">
                  <c:v>11.792620000000001</c:v>
                </c:pt>
                <c:pt idx="4">
                  <c:v>12.68533</c:v>
                </c:pt>
                <c:pt idx="5">
                  <c:v>13.685879999999999</c:v>
                </c:pt>
                <c:pt idx="6">
                  <c:v>14.34919</c:v>
                </c:pt>
                <c:pt idx="7">
                  <c:v>15.32586</c:v>
                </c:pt>
                <c:pt idx="8">
                  <c:v>16.87133</c:v>
                </c:pt>
                <c:pt idx="9">
                  <c:v>18.312830000000002</c:v>
                </c:pt>
                <c:pt idx="10">
                  <c:v>19.86149</c:v>
                </c:pt>
                <c:pt idx="11">
                  <c:v>21.15099</c:v>
                </c:pt>
                <c:pt idx="12">
                  <c:v>21.739560000000001</c:v>
                </c:pt>
                <c:pt idx="13">
                  <c:v>22.067897000000002</c:v>
                </c:pt>
                <c:pt idx="14">
                  <c:v>22.69988</c:v>
                </c:pt>
                <c:pt idx="15">
                  <c:v>23.750630000000001</c:v>
                </c:pt>
                <c:pt idx="16">
                  <c:v>24.880749999999999</c:v>
                </c:pt>
                <c:pt idx="17">
                  <c:v>25.52129</c:v>
                </c:pt>
                <c:pt idx="18">
                  <c:v>25.449120000000001</c:v>
                </c:pt>
                <c:pt idx="19">
                  <c:v>25.70307</c:v>
                </c:pt>
                <c:pt idx="20">
                  <c:v>26.956</c:v>
                </c:pt>
                <c:pt idx="21">
                  <c:v>27.593640000000001</c:v>
                </c:pt>
                <c:pt idx="22">
                  <c:v>28.00423</c:v>
                </c:pt>
                <c:pt idx="23">
                  <c:v>28.907060000000001</c:v>
                </c:pt>
                <c:pt idx="24">
                  <c:v>30.316009999999999</c:v>
                </c:pt>
                <c:pt idx="25">
                  <c:v>31.77562</c:v>
                </c:pt>
                <c:pt idx="26">
                  <c:v>33.20364</c:v>
                </c:pt>
                <c:pt idx="27">
                  <c:v>34.65663</c:v>
                </c:pt>
                <c:pt idx="28">
                  <c:v>34.962139999999998</c:v>
                </c:pt>
                <c:pt idx="29">
                  <c:v>33.357589999999995</c:v>
                </c:pt>
                <c:pt idx="30">
                  <c:v>35.148789999999998</c:v>
                </c:pt>
                <c:pt idx="31">
                  <c:v>35.775296000000004</c:v>
                </c:pt>
                <c:pt idx="32">
                  <c:v>37.087620000000001</c:v>
                </c:pt>
                <c:pt idx="33">
                  <c:v>38.559410000000007</c:v>
                </c:pt>
                <c:pt idx="34">
                  <c:v>39.502339999999997</c:v>
                </c:pt>
                <c:pt idx="35">
                  <c:v>40.458239999999996</c:v>
                </c:pt>
                <c:pt idx="36">
                  <c:v>41.155250000000002</c:v>
                </c:pt>
                <c:pt idx="37">
                  <c:v>42.818690000000004</c:v>
                </c:pt>
              </c:numCache>
            </c:numRef>
          </c:xVal>
          <c:yVal>
            <c:numRef>
              <c:f>'Steel intensity'!$D$7:$D$44</c:f>
              <c:numCache>
                <c:formatCode>0.0</c:formatCode>
                <c:ptCount val="38"/>
                <c:pt idx="0">
                  <c:v>676.4</c:v>
                </c:pt>
                <c:pt idx="1">
                  <c:v>604.6</c:v>
                </c:pt>
                <c:pt idx="2">
                  <c:v>586.79999999999995</c:v>
                </c:pt>
                <c:pt idx="3">
                  <c:v>550.20000000000005</c:v>
                </c:pt>
                <c:pt idx="4">
                  <c:v>619.6</c:v>
                </c:pt>
                <c:pt idx="5">
                  <c:v>607.70000000000005</c:v>
                </c:pt>
                <c:pt idx="6">
                  <c:v>575.70000000000005</c:v>
                </c:pt>
                <c:pt idx="7">
                  <c:v>619.70000000000005</c:v>
                </c:pt>
                <c:pt idx="8">
                  <c:v>706.1</c:v>
                </c:pt>
                <c:pt idx="9">
                  <c:v>757.9</c:v>
                </c:pt>
                <c:pt idx="10">
                  <c:v>802</c:v>
                </c:pt>
                <c:pt idx="11">
                  <c:v>800.1</c:v>
                </c:pt>
                <c:pt idx="12">
                  <c:v>676</c:v>
                </c:pt>
                <c:pt idx="13">
                  <c:v>646.4</c:v>
                </c:pt>
                <c:pt idx="14">
                  <c:v>633.79999999999995</c:v>
                </c:pt>
                <c:pt idx="15">
                  <c:v>672.2</c:v>
                </c:pt>
                <c:pt idx="16">
                  <c:v>664.9</c:v>
                </c:pt>
                <c:pt idx="17">
                  <c:v>682.2</c:v>
                </c:pt>
                <c:pt idx="18">
                  <c:v>563.1</c:v>
                </c:pt>
                <c:pt idx="19">
                  <c:v>560.87907921034548</c:v>
                </c:pt>
                <c:pt idx="20">
                  <c:v>627.60681536848244</c:v>
                </c:pt>
                <c:pt idx="21">
                  <c:v>591.51118522480567</c:v>
                </c:pt>
                <c:pt idx="22">
                  <c:v>577.70800627943481</c:v>
                </c:pt>
                <c:pt idx="23">
                  <c:v>598.58658351223028</c:v>
                </c:pt>
                <c:pt idx="24">
                  <c:v>630.21591745345802</c:v>
                </c:pt>
                <c:pt idx="25">
                  <c:v>648.91351994489321</c:v>
                </c:pt>
                <c:pt idx="26">
                  <c:v>652.07521174831311</c:v>
                </c:pt>
                <c:pt idx="27">
                  <c:v>672.37020280689114</c:v>
                </c:pt>
                <c:pt idx="28">
                  <c:v>651.56783510321713</c:v>
                </c:pt>
                <c:pt idx="29">
                  <c:v>439.04007024641123</c:v>
                </c:pt>
                <c:pt idx="30">
                  <c:v>528.2380049218616</c:v>
                </c:pt>
                <c:pt idx="31">
                  <c:v>544.46886905367239</c:v>
                </c:pt>
                <c:pt idx="32">
                  <c:v>539.38785750125442</c:v>
                </c:pt>
                <c:pt idx="33">
                  <c:v>556.02239796439255</c:v>
                </c:pt>
                <c:pt idx="34">
                  <c:v>573.47388294524853</c:v>
                </c:pt>
                <c:pt idx="35">
                  <c:v>533.95076312432082</c:v>
                </c:pt>
                <c:pt idx="36">
                  <c:v>531.6635160680529</c:v>
                </c:pt>
                <c:pt idx="37">
                  <c:v>549.9</c:v>
                </c:pt>
              </c:numCache>
            </c:numRef>
          </c:yVal>
          <c:smooth val="1"/>
        </c:ser>
        <c:ser>
          <c:idx val="3"/>
          <c:order val="3"/>
          <c:tx>
            <c:strRef>
              <c:f>'Steel intensity'!$E$6</c:f>
              <c:strCache>
                <c:ptCount val="1"/>
                <c:pt idx="0">
                  <c:v>South Korea</c:v>
                </c:pt>
              </c:strCache>
            </c:strRef>
          </c:tx>
          <c:spPr>
            <a:ln w="19050" cap="rnd">
              <a:solidFill>
                <a:srgbClr val="9ED9DF"/>
              </a:solidFill>
              <a:round/>
            </a:ln>
            <a:effectLst/>
          </c:spPr>
          <c:marker>
            <c:symbol val="none"/>
          </c:marker>
          <c:xVal>
            <c:numRef>
              <c:f>'Steel intensity'!$S$7:$S$44</c:f>
              <c:numCache>
                <c:formatCode>0.0</c:formatCode>
                <c:ptCount val="38"/>
                <c:pt idx="0">
                  <c:v>2.19055</c:v>
                </c:pt>
                <c:pt idx="1">
                  <c:v>2.5301900000000002</c:v>
                </c:pt>
                <c:pt idx="2">
                  <c:v>2.8639600000000001</c:v>
                </c:pt>
                <c:pt idx="3">
                  <c:v>3.3209</c:v>
                </c:pt>
                <c:pt idx="4">
                  <c:v>3.7534399999999999</c:v>
                </c:pt>
                <c:pt idx="5">
                  <c:v>4.1313500000000003</c:v>
                </c:pt>
                <c:pt idx="6">
                  <c:v>4.6411699999999998</c:v>
                </c:pt>
                <c:pt idx="7">
                  <c:v>5.2964599999999997</c:v>
                </c:pt>
                <c:pt idx="8">
                  <c:v>6.0762200000000002</c:v>
                </c:pt>
                <c:pt idx="9">
                  <c:v>6.6918299999999995</c:v>
                </c:pt>
                <c:pt idx="10">
                  <c:v>7.5486599999999999</c:v>
                </c:pt>
                <c:pt idx="11">
                  <c:v>8.5271600000000003</c:v>
                </c:pt>
                <c:pt idx="12">
                  <c:v>9.1643700000000017</c:v>
                </c:pt>
                <c:pt idx="13">
                  <c:v>9.9225189999999994</c:v>
                </c:pt>
                <c:pt idx="14">
                  <c:v>10.956580000000001</c:v>
                </c:pt>
                <c:pt idx="15">
                  <c:v>12.134199000000001</c:v>
                </c:pt>
                <c:pt idx="16">
                  <c:v>13.16873</c:v>
                </c:pt>
                <c:pt idx="17">
                  <c:v>14.056702999999999</c:v>
                </c:pt>
                <c:pt idx="18">
                  <c:v>13.340549999999999</c:v>
                </c:pt>
                <c:pt idx="19">
                  <c:v>14.956910000000001</c:v>
                </c:pt>
                <c:pt idx="20">
                  <c:v>16.517199000000002</c:v>
                </c:pt>
                <c:pt idx="21">
                  <c:v>17.50845</c:v>
                </c:pt>
                <c:pt idx="22">
                  <c:v>18.997229999999998</c:v>
                </c:pt>
                <c:pt idx="23">
                  <c:v>19.814603999999999</c:v>
                </c:pt>
                <c:pt idx="24">
                  <c:v>21.260639999999999</c:v>
                </c:pt>
                <c:pt idx="25">
                  <c:v>22.734779999999997</c:v>
                </c:pt>
                <c:pt idx="26">
                  <c:v>24.506169999999997</c:v>
                </c:pt>
                <c:pt idx="27">
                  <c:v>26.405609999999999</c:v>
                </c:pt>
                <c:pt idx="28">
                  <c:v>27.471397</c:v>
                </c:pt>
                <c:pt idx="29">
                  <c:v>27.733580000000003</c:v>
                </c:pt>
                <c:pt idx="30">
                  <c:v>29.73104</c:v>
                </c:pt>
                <c:pt idx="31">
                  <c:v>31.22851</c:v>
                </c:pt>
                <c:pt idx="32">
                  <c:v>32.386409999999998</c:v>
                </c:pt>
                <c:pt idx="33">
                  <c:v>33.755029999999998</c:v>
                </c:pt>
                <c:pt idx="34">
                  <c:v>35.320400999999997</c:v>
                </c:pt>
                <c:pt idx="35">
                  <c:v>36.501220000000004</c:v>
                </c:pt>
                <c:pt idx="36">
                  <c:v>37.810110000000002</c:v>
                </c:pt>
                <c:pt idx="37">
                  <c:v>39.548070000000003</c:v>
                </c:pt>
              </c:numCache>
            </c:numRef>
          </c:xVal>
          <c:yVal>
            <c:numRef>
              <c:f>'Steel intensity'!$E$7:$E$44</c:f>
              <c:numCache>
                <c:formatCode>0.0</c:formatCode>
                <c:ptCount val="38"/>
                <c:pt idx="0">
                  <c:v>160</c:v>
                </c:pt>
                <c:pt idx="1">
                  <c:v>193.2</c:v>
                </c:pt>
                <c:pt idx="2">
                  <c:v>194</c:v>
                </c:pt>
                <c:pt idx="3">
                  <c:v>215.9</c:v>
                </c:pt>
                <c:pt idx="4">
                  <c:v>262.10000000000002</c:v>
                </c:pt>
                <c:pt idx="5">
                  <c:v>275.5</c:v>
                </c:pt>
                <c:pt idx="6">
                  <c:v>293.2</c:v>
                </c:pt>
                <c:pt idx="7">
                  <c:v>357.9</c:v>
                </c:pt>
                <c:pt idx="8">
                  <c:v>369</c:v>
                </c:pt>
                <c:pt idx="9">
                  <c:v>430.3</c:v>
                </c:pt>
                <c:pt idx="10">
                  <c:v>501</c:v>
                </c:pt>
                <c:pt idx="11">
                  <c:v>602.1</c:v>
                </c:pt>
                <c:pt idx="12">
                  <c:v>531.20000000000005</c:v>
                </c:pt>
                <c:pt idx="13">
                  <c:v>604.4</c:v>
                </c:pt>
                <c:pt idx="14">
                  <c:v>717.1</c:v>
                </c:pt>
                <c:pt idx="15">
                  <c:v>822.6</c:v>
                </c:pt>
                <c:pt idx="16">
                  <c:v>864.9</c:v>
                </c:pt>
                <c:pt idx="17">
                  <c:v>863</c:v>
                </c:pt>
                <c:pt idx="18">
                  <c:v>562.1</c:v>
                </c:pt>
                <c:pt idx="19">
                  <c:v>755.08934508870163</c:v>
                </c:pt>
                <c:pt idx="20">
                  <c:v>850.91899251191285</c:v>
                </c:pt>
                <c:pt idx="21">
                  <c:v>838.08317500527767</c:v>
                </c:pt>
                <c:pt idx="22">
                  <c:v>952.88068002938394</c:v>
                </c:pt>
                <c:pt idx="23">
                  <c:v>991.81491689635004</c:v>
                </c:pt>
                <c:pt idx="24">
                  <c:v>1021.1509265228875</c:v>
                </c:pt>
                <c:pt idx="25">
                  <c:v>1016.9139773788523</c:v>
                </c:pt>
                <c:pt idx="26">
                  <c:v>1077.8727445394111</c:v>
                </c:pt>
                <c:pt idx="27">
                  <c:v>1179.1142880617863</c:v>
                </c:pt>
                <c:pt idx="28">
                  <c:v>1243.7264295178882</c:v>
                </c:pt>
                <c:pt idx="29">
                  <c:v>959.33722722479115</c:v>
                </c:pt>
                <c:pt idx="30">
                  <c:v>1101.2834483593656</c:v>
                </c:pt>
                <c:pt idx="31">
                  <c:v>1176.3021406972787</c:v>
                </c:pt>
                <c:pt idx="32">
                  <c:v>1121.9521912350597</c:v>
                </c:pt>
                <c:pt idx="33">
                  <c:v>1069.2062107120903</c:v>
                </c:pt>
                <c:pt idx="34">
                  <c:v>1139.6535755808225</c:v>
                </c:pt>
                <c:pt idx="35">
                  <c:v>1139.3707733019701</c:v>
                </c:pt>
                <c:pt idx="36">
                  <c:v>1161.4565039222573</c:v>
                </c:pt>
                <c:pt idx="37">
                  <c:v>1152.4000000000001</c:v>
                </c:pt>
              </c:numCache>
            </c:numRef>
          </c:yVal>
          <c:smooth val="1"/>
        </c:ser>
        <c:ser>
          <c:idx val="5"/>
          <c:order val="5"/>
          <c:tx>
            <c:strRef>
              <c:f>'Steel intensity'!$G$6</c:f>
              <c:strCache>
                <c:ptCount val="1"/>
                <c:pt idx="0">
                  <c:v>Thailand</c:v>
                </c:pt>
              </c:strCache>
            </c:strRef>
          </c:tx>
          <c:spPr>
            <a:ln w="19050" cap="rnd">
              <a:solidFill>
                <a:srgbClr val="BCBFC1"/>
              </a:solidFill>
              <a:round/>
            </a:ln>
            <a:effectLst/>
          </c:spPr>
          <c:marker>
            <c:symbol val="none"/>
          </c:marker>
          <c:xVal>
            <c:numRef>
              <c:f>'Steel intensity'!$U$7:$U$44</c:f>
              <c:numCache>
                <c:formatCode>0.0</c:formatCode>
                <c:ptCount val="38"/>
                <c:pt idx="0">
                  <c:v>1.6097300000000001</c:v>
                </c:pt>
                <c:pt idx="1">
                  <c:v>1.8123699999999998</c:v>
                </c:pt>
                <c:pt idx="2">
                  <c:v>1.9871099999999999</c:v>
                </c:pt>
                <c:pt idx="3">
                  <c:v>2.1506799999999999</c:v>
                </c:pt>
                <c:pt idx="4">
                  <c:v>2.3072399999999997</c:v>
                </c:pt>
                <c:pt idx="5">
                  <c:v>2.43207</c:v>
                </c:pt>
                <c:pt idx="6">
                  <c:v>2.5604899999999997</c:v>
                </c:pt>
                <c:pt idx="7">
                  <c:v>2.8255700000000004</c:v>
                </c:pt>
                <c:pt idx="8">
                  <c:v>3.2481999999999998</c:v>
                </c:pt>
                <c:pt idx="9">
                  <c:v>3.7645500000000003</c:v>
                </c:pt>
                <c:pt idx="10">
                  <c:v>4.2809099999999995</c:v>
                </c:pt>
                <c:pt idx="11">
                  <c:v>4.7421800000000003</c:v>
                </c:pt>
                <c:pt idx="12">
                  <c:v>5.2887299999999993</c:v>
                </c:pt>
                <c:pt idx="13">
                  <c:v>5.8194699999999999</c:v>
                </c:pt>
                <c:pt idx="14">
                  <c:v>6.3496999999999995</c:v>
                </c:pt>
                <c:pt idx="15">
                  <c:v>6.9343599999999999</c:v>
                </c:pt>
                <c:pt idx="16">
                  <c:v>7.3791000000000002</c:v>
                </c:pt>
                <c:pt idx="17">
                  <c:v>7.2208999999999994</c:v>
                </c:pt>
                <c:pt idx="18">
                  <c:v>6.6727600000000002</c:v>
                </c:pt>
                <c:pt idx="19">
                  <c:v>7.0015900000000002</c:v>
                </c:pt>
                <c:pt idx="20">
                  <c:v>7.3965500000000004</c:v>
                </c:pt>
                <c:pt idx="21">
                  <c:v>7.7741400000000001</c:v>
                </c:pt>
                <c:pt idx="22">
                  <c:v>8.3347900000000017</c:v>
                </c:pt>
                <c:pt idx="23">
                  <c:v>9.0481700000000007</c:v>
                </c:pt>
                <c:pt idx="24">
                  <c:v>9.8187700000000007</c:v>
                </c:pt>
                <c:pt idx="25">
                  <c:v>10.48931</c:v>
                </c:pt>
                <c:pt idx="26">
                  <c:v>11.27848</c:v>
                </c:pt>
                <c:pt idx="27">
                  <c:v>12.141200000000001</c:v>
                </c:pt>
                <c:pt idx="28">
                  <c:v>12.51751</c:v>
                </c:pt>
                <c:pt idx="29">
                  <c:v>12.455110000000001</c:v>
                </c:pt>
                <c:pt idx="30">
                  <c:v>13.468879999999999</c:v>
                </c:pt>
                <c:pt idx="31">
                  <c:v>13.805</c:v>
                </c:pt>
                <c:pt idx="32">
                  <c:v>15.0253</c:v>
                </c:pt>
                <c:pt idx="33">
                  <c:v>15.636290000000001</c:v>
                </c:pt>
                <c:pt idx="34">
                  <c:v>16.03135</c:v>
                </c:pt>
                <c:pt idx="35">
                  <c:v>16.650929999999999</c:v>
                </c:pt>
                <c:pt idx="36">
                  <c:v>17.341200000000001</c:v>
                </c:pt>
                <c:pt idx="37">
                  <c:v>18.33033</c:v>
                </c:pt>
              </c:numCache>
            </c:numRef>
          </c:xVal>
          <c:yVal>
            <c:numRef>
              <c:f>'Steel intensity'!$G$7:$G$44</c:f>
              <c:numCache>
                <c:formatCode>0.0</c:formatCode>
                <c:ptCount val="38"/>
                <c:pt idx="0">
                  <c:v>42.8</c:v>
                </c:pt>
                <c:pt idx="1">
                  <c:v>38.799999999999997</c:v>
                </c:pt>
                <c:pt idx="2">
                  <c:v>50.4</c:v>
                </c:pt>
                <c:pt idx="3">
                  <c:v>62.2</c:v>
                </c:pt>
                <c:pt idx="4">
                  <c:v>45.9</c:v>
                </c:pt>
                <c:pt idx="5">
                  <c:v>53.6</c:v>
                </c:pt>
                <c:pt idx="6">
                  <c:v>44.2</c:v>
                </c:pt>
                <c:pt idx="7">
                  <c:v>50.4</c:v>
                </c:pt>
                <c:pt idx="8">
                  <c:v>58.3</c:v>
                </c:pt>
                <c:pt idx="9">
                  <c:v>92.1</c:v>
                </c:pt>
                <c:pt idx="10">
                  <c:v>121.5</c:v>
                </c:pt>
                <c:pt idx="11">
                  <c:v>125.6</c:v>
                </c:pt>
                <c:pt idx="12">
                  <c:v>149.6</c:v>
                </c:pt>
                <c:pt idx="13">
                  <c:v>138.80000000000001</c:v>
                </c:pt>
                <c:pt idx="14">
                  <c:v>193.6</c:v>
                </c:pt>
                <c:pt idx="15">
                  <c:v>201.1</c:v>
                </c:pt>
                <c:pt idx="16">
                  <c:v>199.7</c:v>
                </c:pt>
                <c:pt idx="17">
                  <c:v>166.1</c:v>
                </c:pt>
                <c:pt idx="18">
                  <c:v>61.3</c:v>
                </c:pt>
                <c:pt idx="19">
                  <c:v>115.78690920903037</c:v>
                </c:pt>
                <c:pt idx="20">
                  <c:v>119.34447300771208</c:v>
                </c:pt>
                <c:pt idx="21">
                  <c:v>134.2332268370607</c:v>
                </c:pt>
                <c:pt idx="22">
                  <c:v>177.01715374841169</c:v>
                </c:pt>
                <c:pt idx="23">
                  <c:v>187.87113076437146</c:v>
                </c:pt>
                <c:pt idx="24">
                  <c:v>222.62521588946461</c:v>
                </c:pt>
                <c:pt idx="25">
                  <c:v>266.13583138173306</c:v>
                </c:pt>
                <c:pt idx="26">
                  <c:v>238.43526855013971</c:v>
                </c:pt>
                <c:pt idx="27">
                  <c:v>218.55224571693159</c:v>
                </c:pt>
                <c:pt idx="28">
                  <c:v>240.21789166794537</c:v>
                </c:pt>
                <c:pt idx="29">
                  <c:v>190.73848031736341</c:v>
                </c:pt>
                <c:pt idx="30">
                  <c:v>248.45266990291262</c:v>
                </c:pt>
                <c:pt idx="31">
                  <c:v>254.96148618033533</c:v>
                </c:pt>
                <c:pt idx="32">
                  <c:v>286.46412994435258</c:v>
                </c:pt>
                <c:pt idx="33">
                  <c:v>310.54523666866385</c:v>
                </c:pt>
                <c:pt idx="34">
                  <c:v>306.62686567164178</c:v>
                </c:pt>
                <c:pt idx="35">
                  <c:v>288.56335514574658</c:v>
                </c:pt>
                <c:pt idx="36">
                  <c:v>331.15920545508453</c:v>
                </c:pt>
                <c:pt idx="37">
                  <c:v>277.8</c:v>
                </c:pt>
              </c:numCache>
            </c:numRef>
          </c:yVal>
          <c:smooth val="1"/>
        </c:ser>
        <c:dLbls>
          <c:showLegendKey val="0"/>
          <c:showVal val="0"/>
          <c:showCatName val="0"/>
          <c:showSerName val="0"/>
          <c:showPercent val="0"/>
          <c:showBubbleSize val="0"/>
        </c:dLbls>
        <c:axId val="670978464"/>
        <c:axId val="681567816"/>
        <c:extLst>
          <c:ext xmlns:c15="http://schemas.microsoft.com/office/drawing/2012/chart" uri="{02D57815-91ED-43cb-92C2-25804820EDAC}">
            <c15:filteredScatterSeries>
              <c15:ser>
                <c:idx val="4"/>
                <c:order val="4"/>
                <c:tx>
                  <c:strRef>
                    <c:extLst>
                      <c:ext uri="{02D57815-91ED-43cb-92C2-25804820EDAC}">
                        <c15:formulaRef>
                          <c15:sqref>'Steel intensity'!$L$6</c15:sqref>
                        </c15:formulaRef>
                      </c:ext>
                    </c:extLst>
                    <c:strCache>
                      <c:ptCount val="1"/>
                      <c:pt idx="0">
                        <c:v>Australia</c:v>
                      </c:pt>
                    </c:strCache>
                  </c:strRef>
                </c:tx>
                <c:spPr>
                  <a:ln w="19050" cap="rnd">
                    <a:solidFill>
                      <a:schemeClr val="accent5"/>
                    </a:solidFill>
                    <a:round/>
                  </a:ln>
                  <a:effectLst/>
                </c:spPr>
                <c:marker>
                  <c:symbol val="none"/>
                </c:marker>
                <c:xVal>
                  <c:numRef>
                    <c:extLst>
                      <c:ext uri="{02D57815-91ED-43cb-92C2-25804820EDAC}">
                        <c15:formulaRef>
                          <c15:sqref>'Steel intensity'!$AA$7:$AA$44</c15:sqref>
                        </c15:formulaRef>
                      </c:ext>
                    </c:extLst>
                    <c:numCache>
                      <c:formatCode>General</c:formatCode>
                      <c:ptCount val="38"/>
                    </c:numCache>
                  </c:numRef>
                </c:xVal>
                <c:yVal>
                  <c:numRef>
                    <c:extLst>
                      <c:ext uri="{02D57815-91ED-43cb-92C2-25804820EDAC}">
                        <c15:formulaRef>
                          <c15:sqref>'Steel intensity'!$L$7:$L$44</c15:sqref>
                        </c15:formulaRef>
                      </c:ext>
                    </c:extLst>
                    <c:numCache>
                      <c:formatCode>0.0</c:formatCode>
                      <c:ptCount val="38"/>
                      <c:pt idx="0">
                        <c:v>426.7</c:v>
                      </c:pt>
                      <c:pt idx="1">
                        <c:v>447.8</c:v>
                      </c:pt>
                      <c:pt idx="2">
                        <c:v>384.4</c:v>
                      </c:pt>
                      <c:pt idx="3">
                        <c:v>313</c:v>
                      </c:pt>
                      <c:pt idx="4">
                        <c:v>388.6</c:v>
                      </c:pt>
                      <c:pt idx="5">
                        <c:v>363.6</c:v>
                      </c:pt>
                      <c:pt idx="6">
                        <c:v>369.9</c:v>
                      </c:pt>
                      <c:pt idx="7">
                        <c:v>359.9</c:v>
                      </c:pt>
                      <c:pt idx="8">
                        <c:v>389.8</c:v>
                      </c:pt>
                      <c:pt idx="9">
                        <c:v>379.6</c:v>
                      </c:pt>
                      <c:pt idx="10">
                        <c:v>284.7</c:v>
                      </c:pt>
                      <c:pt idx="11">
                        <c:v>269.5</c:v>
                      </c:pt>
                      <c:pt idx="12">
                        <c:v>259.2</c:v>
                      </c:pt>
                      <c:pt idx="13">
                        <c:v>293.60000000000002</c:v>
                      </c:pt>
                      <c:pt idx="14">
                        <c:v>320</c:v>
                      </c:pt>
                      <c:pt idx="15">
                        <c:v>312.60000000000002</c:v>
                      </c:pt>
                      <c:pt idx="16">
                        <c:v>301</c:v>
                      </c:pt>
                      <c:pt idx="17">
                        <c:v>323.39999999999998</c:v>
                      </c:pt>
                      <c:pt idx="18">
                        <c:v>315.3</c:v>
                      </c:pt>
                      <c:pt idx="19">
                        <c:v>348.8556477615096</c:v>
                      </c:pt>
                      <c:pt idx="20">
                        <c:v>318.68763387492817</c:v>
                      </c:pt>
                      <c:pt idx="21">
                        <c:v>309.50170225936245</c:v>
                      </c:pt>
                      <c:pt idx="22">
                        <c:v>346.8502932925274</c:v>
                      </c:pt>
                      <c:pt idx="23">
                        <c:v>353.05391637665815</c:v>
                      </c:pt>
                      <c:pt idx="24">
                        <c:v>374.13947919784499</c:v>
                      </c:pt>
                      <c:pt idx="25">
                        <c:v>365.25206774320594</c:v>
                      </c:pt>
                      <c:pt idx="26">
                        <c:v>359.70525499321309</c:v>
                      </c:pt>
                      <c:pt idx="27">
                        <c:v>386.65778454510854</c:v>
                      </c:pt>
                      <c:pt idx="28">
                        <c:v>382.93909480350158</c:v>
                      </c:pt>
                      <c:pt idx="29">
                        <c:v>270.55702917771885</c:v>
                      </c:pt>
                      <c:pt idx="30">
                        <c:v>348.00649467797223</c:v>
                      </c:pt>
                      <c:pt idx="31">
                        <c:v>296.24367285321023</c:v>
                      </c:pt>
                      <c:pt idx="32">
                        <c:v>311.93300767620377</c:v>
                      </c:pt>
                      <c:pt idx="33">
                        <c:v>273.67155979053996</c:v>
                      </c:pt>
                      <c:pt idx="34">
                        <c:v>302.11505922165821</c:v>
                      </c:pt>
                      <c:pt idx="35">
                        <c:v>290.47321242443195</c:v>
                      </c:pt>
                      <c:pt idx="36">
                        <c:v>265.55965559655596</c:v>
                      </c:pt>
                      <c:pt idx="37">
                        <c:v>246.4</c:v>
                      </c:pt>
                    </c:numCache>
                  </c:numRef>
                </c:yVal>
                <c:smooth val="1"/>
              </c15:ser>
            </c15:filteredScatterSeries>
          </c:ext>
        </c:extLst>
      </c:scatterChart>
      <c:valAx>
        <c:axId val="670978464"/>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GDP per capita (PPP, US$ '000)</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7816"/>
        <c:crosses val="autoZero"/>
        <c:crossBetween val="midCat"/>
      </c:valAx>
      <c:valAx>
        <c:axId val="681567816"/>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Kilgrams per capita</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0978464"/>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Freight!$G$11</c:f>
              <c:strCache>
                <c:ptCount val="1"/>
                <c:pt idx="0">
                  <c:v>Average freight rate in 2018</c:v>
                </c:pt>
              </c:strCache>
            </c:strRef>
          </c:tx>
          <c:spPr>
            <a:solidFill>
              <a:srgbClr val="005CAF"/>
            </a:solidFill>
            <a:ln>
              <a:noFill/>
            </a:ln>
            <a:effectLst/>
          </c:spPr>
          <c:invertIfNegative val="0"/>
          <c:cat>
            <c:multiLvlStrRef>
              <c:f>Freight!$D$24:$F$28</c:f>
              <c:multiLvlStrCache>
                <c:ptCount val="5"/>
                <c:lvl>
                  <c:pt idx="0">
                    <c:v>East Coast India</c:v>
                  </c:pt>
                  <c:pt idx="1">
                    <c:v>West Coast India</c:v>
                  </c:pt>
                  <c:pt idx="2">
                    <c:v>East Coast India</c:v>
                  </c:pt>
                  <c:pt idx="3">
                    <c:v>West Coast India</c:v>
                  </c:pt>
                  <c:pt idx="4">
                    <c:v>East Coast India</c:v>
                  </c:pt>
                </c:lvl>
                <c:lvl>
                  <c:pt idx="0">
                    <c:v>Indonesia</c:v>
                  </c:pt>
                  <c:pt idx="1">
                    <c:v>Indonesia</c:v>
                  </c:pt>
                  <c:pt idx="2">
                    <c:v>South Africa </c:v>
                  </c:pt>
                  <c:pt idx="3">
                    <c:v>South Africa </c:v>
                  </c:pt>
                  <c:pt idx="4">
                    <c:v>Australia</c:v>
                  </c:pt>
                </c:lvl>
              </c:multiLvlStrCache>
            </c:multiLvlStrRef>
          </c:cat>
          <c:val>
            <c:numRef>
              <c:f>Freight!$G$24:$G$28</c:f>
              <c:numCache>
                <c:formatCode>0.00</c:formatCode>
                <c:ptCount val="5"/>
                <c:pt idx="0">
                  <c:v>7.3134615384615387</c:v>
                </c:pt>
                <c:pt idx="1">
                  <c:v>9.398076923076923</c:v>
                </c:pt>
                <c:pt idx="2">
                  <c:v>9.6017238697187786</c:v>
                </c:pt>
                <c:pt idx="3">
                  <c:v>13.54326923076923</c:v>
                </c:pt>
                <c:pt idx="4">
                  <c:v>14.07</c:v>
                </c:pt>
              </c:numCache>
            </c:numRef>
          </c:val>
        </c:ser>
        <c:dLbls>
          <c:showLegendKey val="0"/>
          <c:showVal val="0"/>
          <c:showCatName val="0"/>
          <c:showSerName val="0"/>
          <c:showPercent val="0"/>
          <c:showBubbleSize val="0"/>
        </c:dLbls>
        <c:gapWidth val="219"/>
        <c:overlap val="-27"/>
        <c:axId val="681570168"/>
        <c:axId val="681570560"/>
      </c:barChart>
      <c:catAx>
        <c:axId val="681570168"/>
        <c:scaling>
          <c:orientation val="minMax"/>
        </c:scaling>
        <c:delete val="0"/>
        <c:axPos val="b"/>
        <c:numFmt formatCode="General" sourceLinked="1"/>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70560"/>
        <c:crosses val="autoZero"/>
        <c:auto val="1"/>
        <c:lblAlgn val="ctr"/>
        <c:lblOffset val="100"/>
        <c:noMultiLvlLbl val="0"/>
      </c:catAx>
      <c:valAx>
        <c:axId val="681570560"/>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US$ a tonne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70168"/>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'IHS quality'!$B$4</c:f>
              <c:strCache>
                <c:ptCount val="1"/>
                <c:pt idx="0">
                  <c:v>&gt;6,200</c:v>
                </c:pt>
              </c:strCache>
            </c:strRef>
          </c:tx>
          <c:spPr>
            <a:solidFill>
              <a:srgbClr val="005CAF"/>
            </a:solidFill>
            <a:ln>
              <a:noFill/>
            </a:ln>
            <a:effectLst/>
          </c:spPr>
          <c:invertIfNegative val="0"/>
          <c:cat>
            <c:strRef>
              <c:f>'IHS quality'!$C$3:$E$3</c:f>
              <c:strCache>
                <c:ptCount val="3"/>
                <c:pt idx="0">
                  <c:v>India's thermal coal imports</c:v>
                </c:pt>
                <c:pt idx="1">
                  <c:v>Indonesia's thermal coal exports</c:v>
                </c:pt>
                <c:pt idx="2">
                  <c:v>Australia's thermal coal exports</c:v>
                </c:pt>
              </c:strCache>
            </c:strRef>
          </c:cat>
          <c:val>
            <c:numRef>
              <c:f>'IHS quality'!$C$4:$E$4</c:f>
              <c:numCache>
                <c:formatCode>0</c:formatCode>
                <c:ptCount val="3"/>
                <c:pt idx="0">
                  <c:v>7.5237770249999993</c:v>
                </c:pt>
                <c:pt idx="1">
                  <c:v>0</c:v>
                </c:pt>
                <c:pt idx="2">
                  <c:v>10.38496152346505</c:v>
                </c:pt>
              </c:numCache>
            </c:numRef>
          </c:val>
        </c:ser>
        <c:ser>
          <c:idx val="1"/>
          <c:order val="1"/>
          <c:tx>
            <c:strRef>
              <c:f>'IHS quality'!$B$5</c:f>
              <c:strCache>
                <c:ptCount val="1"/>
                <c:pt idx="0">
                  <c:v>5,600–6,200</c:v>
                </c:pt>
              </c:strCache>
            </c:strRef>
          </c:tx>
          <c:spPr>
            <a:solidFill>
              <a:srgbClr val="56B4DF"/>
            </a:solidFill>
            <a:ln>
              <a:noFill/>
            </a:ln>
            <a:effectLst/>
          </c:spPr>
          <c:invertIfNegative val="0"/>
          <c:cat>
            <c:strRef>
              <c:f>'IHS quality'!$C$3:$E$3</c:f>
              <c:strCache>
                <c:ptCount val="3"/>
                <c:pt idx="0">
                  <c:v>India's thermal coal imports</c:v>
                </c:pt>
                <c:pt idx="1">
                  <c:v>Indonesia's thermal coal exports</c:v>
                </c:pt>
                <c:pt idx="2">
                  <c:v>Australia's thermal coal exports</c:v>
                </c:pt>
              </c:strCache>
            </c:strRef>
          </c:cat>
          <c:val>
            <c:numRef>
              <c:f>'IHS quality'!$C$5:$E$5</c:f>
              <c:numCache>
                <c:formatCode>0</c:formatCode>
                <c:ptCount val="3"/>
                <c:pt idx="0">
                  <c:v>11.703653150000001</c:v>
                </c:pt>
                <c:pt idx="1">
                  <c:v>26.601806862</c:v>
                </c:pt>
                <c:pt idx="2">
                  <c:v>163.24495440983591</c:v>
                </c:pt>
              </c:numCache>
            </c:numRef>
          </c:val>
        </c:ser>
        <c:ser>
          <c:idx val="2"/>
          <c:order val="2"/>
          <c:tx>
            <c:strRef>
              <c:f>'IHS quality'!$B$6</c:f>
              <c:strCache>
                <c:ptCount val="1"/>
                <c:pt idx="0">
                  <c:v>5,000–5,600 </c:v>
                </c:pt>
              </c:strCache>
            </c:strRef>
          </c:tx>
          <c:spPr>
            <a:solidFill>
              <a:srgbClr val="9ED9DF"/>
            </a:solidFill>
            <a:ln>
              <a:noFill/>
            </a:ln>
            <a:effectLst/>
          </c:spPr>
          <c:invertIfNegative val="0"/>
          <c:cat>
            <c:strRef>
              <c:f>'IHS quality'!$C$3:$E$3</c:f>
              <c:strCache>
                <c:ptCount val="3"/>
                <c:pt idx="0">
                  <c:v>India's thermal coal imports</c:v>
                </c:pt>
                <c:pt idx="1">
                  <c:v>Indonesia's thermal coal exports</c:v>
                </c:pt>
                <c:pt idx="2">
                  <c:v>Australia's thermal coal exports</c:v>
                </c:pt>
              </c:strCache>
            </c:strRef>
          </c:cat>
          <c:val>
            <c:numRef>
              <c:f>'IHS quality'!$C$6:$E$6</c:f>
              <c:numCache>
                <c:formatCode>0</c:formatCode>
                <c:ptCount val="3"/>
                <c:pt idx="0">
                  <c:v>24.243281524999986</c:v>
                </c:pt>
                <c:pt idx="1">
                  <c:v>51.487368120000006</c:v>
                </c:pt>
                <c:pt idx="2">
                  <c:v>34.069314536</c:v>
                </c:pt>
              </c:numCache>
            </c:numRef>
          </c:val>
        </c:ser>
        <c:ser>
          <c:idx val="3"/>
          <c:order val="3"/>
          <c:tx>
            <c:strRef>
              <c:f>'IHS quality'!$B$7</c:f>
              <c:strCache>
                <c:ptCount val="1"/>
                <c:pt idx="0">
                  <c:v>4,200–5,000</c:v>
                </c:pt>
              </c:strCache>
            </c:strRef>
          </c:tx>
          <c:spPr>
            <a:solidFill>
              <a:srgbClr val="BCBFC1"/>
            </a:solidFill>
            <a:ln>
              <a:noFill/>
            </a:ln>
            <a:effectLst/>
          </c:spPr>
          <c:invertIfNegative val="0"/>
          <c:cat>
            <c:strRef>
              <c:f>'IHS quality'!$C$3:$E$3</c:f>
              <c:strCache>
                <c:ptCount val="3"/>
                <c:pt idx="0">
                  <c:v>India's thermal coal imports</c:v>
                </c:pt>
                <c:pt idx="1">
                  <c:v>Indonesia's thermal coal exports</c:v>
                </c:pt>
                <c:pt idx="2">
                  <c:v>Australia's thermal coal exports</c:v>
                </c:pt>
              </c:strCache>
            </c:strRef>
          </c:cat>
          <c:val>
            <c:numRef>
              <c:f>'IHS quality'!$C$7:$E$7</c:f>
              <c:numCache>
                <c:formatCode>0</c:formatCode>
                <c:ptCount val="3"/>
                <c:pt idx="0">
                  <c:v>46.814612600000004</c:v>
                </c:pt>
                <c:pt idx="1">
                  <c:v>181.06391122199997</c:v>
                </c:pt>
                <c:pt idx="2">
                  <c:v>0</c:v>
                </c:pt>
              </c:numCache>
            </c:numRef>
          </c:val>
        </c:ser>
        <c:ser>
          <c:idx val="4"/>
          <c:order val="4"/>
          <c:tx>
            <c:strRef>
              <c:f>'IHS quality'!$B$8</c:f>
              <c:strCache>
                <c:ptCount val="1"/>
                <c:pt idx="0">
                  <c:v>&lt;4,200</c:v>
                </c:pt>
              </c:strCache>
            </c:strRef>
          </c:tx>
          <c:spPr>
            <a:solidFill>
              <a:srgbClr val="51B7A4"/>
            </a:solidFill>
            <a:ln>
              <a:noFill/>
            </a:ln>
            <a:effectLst/>
          </c:spPr>
          <c:invertIfNegative val="0"/>
          <c:cat>
            <c:strRef>
              <c:f>'IHS quality'!$C$3:$E$3</c:f>
              <c:strCache>
                <c:ptCount val="3"/>
                <c:pt idx="0">
                  <c:v>India's thermal coal imports</c:v>
                </c:pt>
                <c:pt idx="1">
                  <c:v>Indonesia's thermal coal exports</c:v>
                </c:pt>
                <c:pt idx="2">
                  <c:v>Australia's thermal coal exports</c:v>
                </c:pt>
              </c:strCache>
            </c:strRef>
          </c:cat>
          <c:val>
            <c:numRef>
              <c:f>'IHS quality'!$C$8:$E$8</c:f>
              <c:numCache>
                <c:formatCode>0</c:formatCode>
                <c:ptCount val="3"/>
                <c:pt idx="0">
                  <c:v>76.909720699999994</c:v>
                </c:pt>
                <c:pt idx="1">
                  <c:v>162.18520957800001</c:v>
                </c:pt>
                <c:pt idx="2">
                  <c:v>0</c:v>
                </c:pt>
              </c:numCache>
            </c:numRef>
          </c:val>
        </c:ser>
        <c:dLbls>
          <c:showLegendKey val="0"/>
          <c:showVal val="0"/>
          <c:showCatName val="0"/>
          <c:showSerName val="0"/>
          <c:showPercent val="0"/>
          <c:showBubbleSize val="0"/>
        </c:dLbls>
        <c:gapWidth val="150"/>
        <c:overlap val="100"/>
        <c:axId val="681565856"/>
        <c:axId val="681568600"/>
      </c:barChart>
      <c:catAx>
        <c:axId val="681565856"/>
        <c:scaling>
          <c:orientation val="minMax"/>
        </c:scaling>
        <c:delete val="0"/>
        <c:axPos val="l"/>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8600"/>
        <c:crosses val="autoZero"/>
        <c:auto val="1"/>
        <c:lblAlgn val="ctr"/>
        <c:lblOffset val="100"/>
        <c:noMultiLvlLbl val="0"/>
      </c:catAx>
      <c:valAx>
        <c:axId val="681568600"/>
        <c:scaling>
          <c:orientation val="minMax"/>
        </c:scaling>
        <c:delete val="0"/>
        <c:axPos val="b"/>
        <c:title>
          <c:tx>
            <c:rich>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a:t>
                </a:r>
              </a:p>
            </c:rich>
          </c:tx>
          <c:layout/>
          <c:overlay val="0"/>
          <c:spPr>
            <a:noFill/>
            <a:ln>
              <a:noFill/>
            </a:ln>
            <a:effectLst/>
          </c:spPr>
          <c:txPr>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5856"/>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33444165675544"/>
          <c:y val="7.7628793225123505E-2"/>
          <c:w val="0.63280452126505138"/>
          <c:h val="0.47583227290660651"/>
        </c:manualLayout>
      </c:layout>
      <c:barChart>
        <c:barDir val="bar"/>
        <c:grouping val="stacked"/>
        <c:varyColors val="0"/>
        <c:ser>
          <c:idx val="0"/>
          <c:order val="0"/>
          <c:tx>
            <c:strRef>
              <c:f>'IHS quality'!$B$4</c:f>
              <c:strCache>
                <c:ptCount val="1"/>
                <c:pt idx="0">
                  <c:v>&gt;6,200</c:v>
                </c:pt>
              </c:strCache>
            </c:strRef>
          </c:tx>
          <c:spPr>
            <a:solidFill>
              <a:srgbClr val="005CAF"/>
            </a:solidFill>
            <a:ln>
              <a:noFill/>
            </a:ln>
            <a:effectLst/>
          </c:spPr>
          <c:invertIfNegative val="0"/>
          <c:cat>
            <c:strRef>
              <c:f>'IHS quality'!$F$3:$H$3</c:f>
              <c:strCache>
                <c:ptCount val="3"/>
                <c:pt idx="0">
                  <c:v>India's thermal coal imports</c:v>
                </c:pt>
                <c:pt idx="1">
                  <c:v>Indonesia's thermal coal exports</c:v>
                </c:pt>
                <c:pt idx="2">
                  <c:v>Australia's thermal coal exports</c:v>
                </c:pt>
              </c:strCache>
            </c:strRef>
          </c:cat>
          <c:val>
            <c:numRef>
              <c:f>'IHS quality'!$F$4:$H$4</c:f>
              <c:numCache>
                <c:formatCode>0</c:formatCode>
                <c:ptCount val="3"/>
                <c:pt idx="0">
                  <c:v>4.5</c:v>
                </c:pt>
                <c:pt idx="1">
                  <c:v>0</c:v>
                </c:pt>
                <c:pt idx="2">
                  <c:v>5</c:v>
                </c:pt>
              </c:numCache>
            </c:numRef>
          </c:val>
        </c:ser>
        <c:ser>
          <c:idx val="1"/>
          <c:order val="1"/>
          <c:tx>
            <c:strRef>
              <c:f>'IHS quality'!$B$5</c:f>
              <c:strCache>
                <c:ptCount val="1"/>
                <c:pt idx="0">
                  <c:v>5,600–6,200</c:v>
                </c:pt>
              </c:strCache>
            </c:strRef>
          </c:tx>
          <c:spPr>
            <a:solidFill>
              <a:srgbClr val="56B4DF"/>
            </a:solidFill>
            <a:ln>
              <a:noFill/>
            </a:ln>
            <a:effectLst/>
          </c:spPr>
          <c:invertIfNegative val="0"/>
          <c:cat>
            <c:strRef>
              <c:f>'IHS quality'!$F$3:$H$3</c:f>
              <c:strCache>
                <c:ptCount val="3"/>
                <c:pt idx="0">
                  <c:v>India's thermal coal imports</c:v>
                </c:pt>
                <c:pt idx="1">
                  <c:v>Indonesia's thermal coal exports</c:v>
                </c:pt>
                <c:pt idx="2">
                  <c:v>Australia's thermal coal exports</c:v>
                </c:pt>
              </c:strCache>
            </c:strRef>
          </c:cat>
          <c:val>
            <c:numRef>
              <c:f>'IHS quality'!$F$5:$H$5</c:f>
              <c:numCache>
                <c:formatCode>0</c:formatCode>
                <c:ptCount val="3"/>
                <c:pt idx="0">
                  <c:v>7.0000000000000009</c:v>
                </c:pt>
                <c:pt idx="1">
                  <c:v>6.3136456211812648</c:v>
                </c:pt>
                <c:pt idx="2">
                  <c:v>78.596802713703056</c:v>
                </c:pt>
              </c:numCache>
            </c:numRef>
          </c:val>
        </c:ser>
        <c:ser>
          <c:idx val="2"/>
          <c:order val="2"/>
          <c:tx>
            <c:strRef>
              <c:f>'IHS quality'!$B$6</c:f>
              <c:strCache>
                <c:ptCount val="1"/>
                <c:pt idx="0">
                  <c:v>5,000–5,600 </c:v>
                </c:pt>
              </c:strCache>
            </c:strRef>
          </c:tx>
          <c:spPr>
            <a:solidFill>
              <a:srgbClr val="9ED9DF"/>
            </a:solidFill>
            <a:ln>
              <a:noFill/>
            </a:ln>
            <a:effectLst/>
          </c:spPr>
          <c:invertIfNegative val="0"/>
          <c:cat>
            <c:strRef>
              <c:f>'IHS quality'!$F$3:$H$3</c:f>
              <c:strCache>
                <c:ptCount val="3"/>
                <c:pt idx="0">
                  <c:v>India's thermal coal imports</c:v>
                </c:pt>
                <c:pt idx="1">
                  <c:v>Indonesia's thermal coal exports</c:v>
                </c:pt>
                <c:pt idx="2">
                  <c:v>Australia's thermal coal exports</c:v>
                </c:pt>
              </c:strCache>
            </c:strRef>
          </c:cat>
          <c:val>
            <c:numRef>
              <c:f>'IHS quality'!$F$6:$H$6</c:f>
              <c:numCache>
                <c:formatCode>0</c:formatCode>
                <c:ptCount val="3"/>
                <c:pt idx="0">
                  <c:v>14.499999999999993</c:v>
                </c:pt>
                <c:pt idx="1">
                  <c:v>12.219959266802448</c:v>
                </c:pt>
                <c:pt idx="2">
                  <c:v>16.40319728629694</c:v>
                </c:pt>
              </c:numCache>
            </c:numRef>
          </c:val>
        </c:ser>
        <c:ser>
          <c:idx val="3"/>
          <c:order val="3"/>
          <c:tx>
            <c:strRef>
              <c:f>'IHS quality'!$B$7</c:f>
              <c:strCache>
                <c:ptCount val="1"/>
                <c:pt idx="0">
                  <c:v>4,200–5,000</c:v>
                </c:pt>
              </c:strCache>
            </c:strRef>
          </c:tx>
          <c:spPr>
            <a:solidFill>
              <a:srgbClr val="BCBFC1"/>
            </a:solidFill>
            <a:ln>
              <a:noFill/>
            </a:ln>
            <a:effectLst/>
          </c:spPr>
          <c:invertIfNegative val="0"/>
          <c:cat>
            <c:strRef>
              <c:f>'IHS quality'!$F$3:$H$3</c:f>
              <c:strCache>
                <c:ptCount val="3"/>
                <c:pt idx="0">
                  <c:v>India's thermal coal imports</c:v>
                </c:pt>
                <c:pt idx="1">
                  <c:v>Indonesia's thermal coal exports</c:v>
                </c:pt>
                <c:pt idx="2">
                  <c:v>Australia's thermal coal exports</c:v>
                </c:pt>
              </c:strCache>
            </c:strRef>
          </c:cat>
          <c:val>
            <c:numRef>
              <c:f>'IHS quality'!$F$7:$H$7</c:f>
              <c:numCache>
                <c:formatCode>0</c:formatCode>
                <c:ptCount val="3"/>
                <c:pt idx="0">
                  <c:v>28</c:v>
                </c:pt>
                <c:pt idx="1">
                  <c:v>42.973523421588595</c:v>
                </c:pt>
                <c:pt idx="2">
                  <c:v>0</c:v>
                </c:pt>
              </c:numCache>
            </c:numRef>
          </c:val>
        </c:ser>
        <c:ser>
          <c:idx val="4"/>
          <c:order val="4"/>
          <c:tx>
            <c:strRef>
              <c:f>'IHS quality'!$B$8</c:f>
              <c:strCache>
                <c:ptCount val="1"/>
                <c:pt idx="0">
                  <c:v>&lt;4,200</c:v>
                </c:pt>
              </c:strCache>
            </c:strRef>
          </c:tx>
          <c:spPr>
            <a:solidFill>
              <a:srgbClr val="51B7A4"/>
            </a:solidFill>
            <a:ln>
              <a:noFill/>
            </a:ln>
            <a:effectLst/>
          </c:spPr>
          <c:invertIfNegative val="0"/>
          <c:cat>
            <c:strRef>
              <c:f>'IHS quality'!$F$3:$H$3</c:f>
              <c:strCache>
                <c:ptCount val="3"/>
                <c:pt idx="0">
                  <c:v>India's thermal coal imports</c:v>
                </c:pt>
                <c:pt idx="1">
                  <c:v>Indonesia's thermal coal exports</c:v>
                </c:pt>
                <c:pt idx="2">
                  <c:v>Australia's thermal coal exports</c:v>
                </c:pt>
              </c:strCache>
            </c:strRef>
          </c:cat>
          <c:val>
            <c:numRef>
              <c:f>'IHS quality'!$F$8:$H$8</c:f>
              <c:numCache>
                <c:formatCode>0</c:formatCode>
                <c:ptCount val="3"/>
                <c:pt idx="0">
                  <c:v>46</c:v>
                </c:pt>
                <c:pt idx="1">
                  <c:v>38.492871690427712</c:v>
                </c:pt>
                <c:pt idx="2">
                  <c:v>0</c:v>
                </c:pt>
              </c:numCache>
            </c:numRef>
          </c:val>
        </c:ser>
        <c:dLbls>
          <c:showLegendKey val="0"/>
          <c:showVal val="0"/>
          <c:showCatName val="0"/>
          <c:showSerName val="0"/>
          <c:showPercent val="0"/>
          <c:showBubbleSize val="0"/>
        </c:dLbls>
        <c:gapWidth val="150"/>
        <c:overlap val="100"/>
        <c:axId val="681565072"/>
        <c:axId val="681572128"/>
      </c:barChart>
      <c:catAx>
        <c:axId val="681565072"/>
        <c:scaling>
          <c:orientation val="minMax"/>
        </c:scaling>
        <c:delete val="0"/>
        <c:axPos val="l"/>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72128"/>
        <c:crosses val="autoZero"/>
        <c:auto val="1"/>
        <c:lblAlgn val="ctr"/>
        <c:lblOffset val="100"/>
        <c:noMultiLvlLbl val="0"/>
      </c:catAx>
      <c:valAx>
        <c:axId val="681572128"/>
        <c:scaling>
          <c:orientation val="minMax"/>
          <c:max val="100"/>
        </c:scaling>
        <c:delete val="0"/>
        <c:axPos val="b"/>
        <c:title>
          <c:tx>
            <c:rich>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5072"/>
        <c:crosses val="autoZero"/>
        <c:crossBetween val="between"/>
        <c:majorUnit val="20"/>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Charts!$N$5</c:f>
              <c:strCache>
                <c:ptCount val="1"/>
                <c:pt idx="0">
                  <c:v>Indonesia</c:v>
                </c:pt>
              </c:strCache>
            </c:strRef>
          </c:tx>
          <c:spPr>
            <a:solidFill>
              <a:srgbClr val="005CAF"/>
            </a:solidFill>
            <a:ln w="3175">
              <a:solidFill>
                <a:schemeClr val="bg1"/>
              </a:solidFill>
            </a:ln>
            <a:effectLst/>
          </c:spPr>
          <c:cat>
            <c:numRef>
              <c:f>Charts!$S$7:$S$716</c:f>
              <c:numCache>
                <c:formatCode>General</c:formatCode>
                <c:ptCount val="710"/>
                <c:pt idx="0">
                  <c:v>0</c:v>
                </c:pt>
                <c:pt idx="1">
                  <c:v>0</c:v>
                </c:pt>
                <c:pt idx="2">
                  <c:v>1.075</c:v>
                </c:pt>
                <c:pt idx="3">
                  <c:v>2.15</c:v>
                </c:pt>
                <c:pt idx="4">
                  <c:v>2.15</c:v>
                </c:pt>
                <c:pt idx="5">
                  <c:v>2.15</c:v>
                </c:pt>
                <c:pt idx="6">
                  <c:v>4.6549999999999994</c:v>
                </c:pt>
                <c:pt idx="7">
                  <c:v>7.16</c:v>
                </c:pt>
                <c:pt idx="8">
                  <c:v>7.16</c:v>
                </c:pt>
                <c:pt idx="9">
                  <c:v>7.16</c:v>
                </c:pt>
                <c:pt idx="10">
                  <c:v>14.254999999999999</c:v>
                </c:pt>
                <c:pt idx="11">
                  <c:v>21.35</c:v>
                </c:pt>
                <c:pt idx="12">
                  <c:v>21.35</c:v>
                </c:pt>
                <c:pt idx="13">
                  <c:v>21.35</c:v>
                </c:pt>
                <c:pt idx="14">
                  <c:v>23.040000000000003</c:v>
                </c:pt>
                <c:pt idx="15">
                  <c:v>24.73</c:v>
                </c:pt>
                <c:pt idx="16">
                  <c:v>24.73</c:v>
                </c:pt>
                <c:pt idx="17">
                  <c:v>24.73</c:v>
                </c:pt>
                <c:pt idx="18">
                  <c:v>33.53</c:v>
                </c:pt>
                <c:pt idx="19">
                  <c:v>42.33</c:v>
                </c:pt>
                <c:pt idx="20">
                  <c:v>42.33</c:v>
                </c:pt>
                <c:pt idx="21">
                  <c:v>42.33</c:v>
                </c:pt>
                <c:pt idx="22">
                  <c:v>42.48</c:v>
                </c:pt>
                <c:pt idx="23">
                  <c:v>42.629999999999995</c:v>
                </c:pt>
                <c:pt idx="24">
                  <c:v>42.629999999999995</c:v>
                </c:pt>
                <c:pt idx="25">
                  <c:v>42.629999999999995</c:v>
                </c:pt>
                <c:pt idx="26">
                  <c:v>44.464999999999996</c:v>
                </c:pt>
                <c:pt idx="27">
                  <c:v>46.3</c:v>
                </c:pt>
                <c:pt idx="28">
                  <c:v>46.3</c:v>
                </c:pt>
                <c:pt idx="29">
                  <c:v>46.3</c:v>
                </c:pt>
                <c:pt idx="30">
                  <c:v>46.849999999999994</c:v>
                </c:pt>
                <c:pt idx="31">
                  <c:v>47.4</c:v>
                </c:pt>
                <c:pt idx="32">
                  <c:v>47.4</c:v>
                </c:pt>
                <c:pt idx="33">
                  <c:v>47.4</c:v>
                </c:pt>
                <c:pt idx="34">
                  <c:v>50.614999999999995</c:v>
                </c:pt>
                <c:pt idx="35">
                  <c:v>53.83</c:v>
                </c:pt>
                <c:pt idx="36">
                  <c:v>53.83</c:v>
                </c:pt>
                <c:pt idx="37">
                  <c:v>53.83</c:v>
                </c:pt>
                <c:pt idx="38">
                  <c:v>54.489999999999995</c:v>
                </c:pt>
                <c:pt idx="39">
                  <c:v>55.15</c:v>
                </c:pt>
                <c:pt idx="40">
                  <c:v>55.15</c:v>
                </c:pt>
                <c:pt idx="41">
                  <c:v>55.15</c:v>
                </c:pt>
                <c:pt idx="42">
                  <c:v>55.55</c:v>
                </c:pt>
                <c:pt idx="43">
                  <c:v>55.949999999999996</c:v>
                </c:pt>
                <c:pt idx="44">
                  <c:v>55.949999999999996</c:v>
                </c:pt>
                <c:pt idx="45">
                  <c:v>55.949999999999996</c:v>
                </c:pt>
                <c:pt idx="46">
                  <c:v>56.124999999999993</c:v>
                </c:pt>
                <c:pt idx="47">
                  <c:v>56.3</c:v>
                </c:pt>
                <c:pt idx="48">
                  <c:v>56.3</c:v>
                </c:pt>
                <c:pt idx="49">
                  <c:v>56.3</c:v>
                </c:pt>
                <c:pt idx="50">
                  <c:v>56.474999999999994</c:v>
                </c:pt>
                <c:pt idx="51">
                  <c:v>56.65</c:v>
                </c:pt>
                <c:pt idx="52">
                  <c:v>56.65</c:v>
                </c:pt>
                <c:pt idx="53">
                  <c:v>56.65</c:v>
                </c:pt>
                <c:pt idx="54">
                  <c:v>59.64</c:v>
                </c:pt>
                <c:pt idx="55">
                  <c:v>62.629999999999995</c:v>
                </c:pt>
                <c:pt idx="56">
                  <c:v>62.629999999999995</c:v>
                </c:pt>
                <c:pt idx="57">
                  <c:v>62.629999999999995</c:v>
                </c:pt>
                <c:pt idx="58">
                  <c:v>63.414999999999992</c:v>
                </c:pt>
                <c:pt idx="59">
                  <c:v>64.199999999999989</c:v>
                </c:pt>
                <c:pt idx="60">
                  <c:v>64.199999999999989</c:v>
                </c:pt>
                <c:pt idx="61">
                  <c:v>64.199999999999989</c:v>
                </c:pt>
                <c:pt idx="62">
                  <c:v>69.834999999999994</c:v>
                </c:pt>
                <c:pt idx="63">
                  <c:v>75.469999999999985</c:v>
                </c:pt>
                <c:pt idx="64">
                  <c:v>75.469999999999985</c:v>
                </c:pt>
                <c:pt idx="65">
                  <c:v>75.469999999999985</c:v>
                </c:pt>
                <c:pt idx="66">
                  <c:v>80.899999999999977</c:v>
                </c:pt>
                <c:pt idx="67">
                  <c:v>86.329999999999984</c:v>
                </c:pt>
                <c:pt idx="68">
                  <c:v>86.329999999999984</c:v>
                </c:pt>
                <c:pt idx="69">
                  <c:v>86.329999999999984</c:v>
                </c:pt>
                <c:pt idx="70">
                  <c:v>98.194999999999979</c:v>
                </c:pt>
                <c:pt idx="71">
                  <c:v>110.05999999999999</c:v>
                </c:pt>
                <c:pt idx="72">
                  <c:v>110.05999999999999</c:v>
                </c:pt>
                <c:pt idx="73">
                  <c:v>110.05999999999999</c:v>
                </c:pt>
                <c:pt idx="74">
                  <c:v>112.68499999999999</c:v>
                </c:pt>
                <c:pt idx="75">
                  <c:v>115.30999999999999</c:v>
                </c:pt>
                <c:pt idx="76">
                  <c:v>115.30999999999999</c:v>
                </c:pt>
                <c:pt idx="77">
                  <c:v>115.30999999999999</c:v>
                </c:pt>
                <c:pt idx="78">
                  <c:v>133.72499999999999</c:v>
                </c:pt>
                <c:pt idx="79">
                  <c:v>152.13999999999999</c:v>
                </c:pt>
                <c:pt idx="80">
                  <c:v>152.13999999999999</c:v>
                </c:pt>
                <c:pt idx="81">
                  <c:v>152.13999999999999</c:v>
                </c:pt>
                <c:pt idx="82">
                  <c:v>153.39999999999998</c:v>
                </c:pt>
                <c:pt idx="83">
                  <c:v>154.66</c:v>
                </c:pt>
                <c:pt idx="84">
                  <c:v>154.66</c:v>
                </c:pt>
                <c:pt idx="85">
                  <c:v>154.66</c:v>
                </c:pt>
                <c:pt idx="86">
                  <c:v>154.72</c:v>
                </c:pt>
                <c:pt idx="87">
                  <c:v>154.78</c:v>
                </c:pt>
                <c:pt idx="88">
                  <c:v>154.78</c:v>
                </c:pt>
                <c:pt idx="89">
                  <c:v>154.78</c:v>
                </c:pt>
                <c:pt idx="90">
                  <c:v>158.69999999999999</c:v>
                </c:pt>
                <c:pt idx="91">
                  <c:v>162.62</c:v>
                </c:pt>
                <c:pt idx="92">
                  <c:v>162.62</c:v>
                </c:pt>
                <c:pt idx="93">
                  <c:v>162.62</c:v>
                </c:pt>
                <c:pt idx="94">
                  <c:v>164.23500000000001</c:v>
                </c:pt>
                <c:pt idx="95">
                  <c:v>165.85</c:v>
                </c:pt>
                <c:pt idx="96">
                  <c:v>165.85</c:v>
                </c:pt>
                <c:pt idx="97">
                  <c:v>165.85</c:v>
                </c:pt>
                <c:pt idx="98">
                  <c:v>166.34</c:v>
                </c:pt>
                <c:pt idx="99">
                  <c:v>166.82999999999998</c:v>
                </c:pt>
                <c:pt idx="100">
                  <c:v>166.82999999999998</c:v>
                </c:pt>
                <c:pt idx="101">
                  <c:v>166.82999999999998</c:v>
                </c:pt>
                <c:pt idx="102">
                  <c:v>166.94499999999999</c:v>
                </c:pt>
                <c:pt idx="103">
                  <c:v>167.05999999999997</c:v>
                </c:pt>
                <c:pt idx="104">
                  <c:v>167.05999999999997</c:v>
                </c:pt>
                <c:pt idx="105">
                  <c:v>167.05999999999997</c:v>
                </c:pt>
                <c:pt idx="106">
                  <c:v>169.93499999999997</c:v>
                </c:pt>
                <c:pt idx="107">
                  <c:v>172.80999999999997</c:v>
                </c:pt>
                <c:pt idx="108">
                  <c:v>172.80999999999997</c:v>
                </c:pt>
                <c:pt idx="109">
                  <c:v>172.80999999999997</c:v>
                </c:pt>
                <c:pt idx="110">
                  <c:v>172.82999999999998</c:v>
                </c:pt>
                <c:pt idx="111">
                  <c:v>172.84999999999997</c:v>
                </c:pt>
                <c:pt idx="112">
                  <c:v>172.84999999999997</c:v>
                </c:pt>
                <c:pt idx="113">
                  <c:v>172.84999999999997</c:v>
                </c:pt>
                <c:pt idx="114">
                  <c:v>173.34999999999997</c:v>
                </c:pt>
                <c:pt idx="115">
                  <c:v>173.84999999999997</c:v>
                </c:pt>
                <c:pt idx="116">
                  <c:v>173.84999999999997</c:v>
                </c:pt>
                <c:pt idx="117">
                  <c:v>173.84999999999997</c:v>
                </c:pt>
                <c:pt idx="118">
                  <c:v>182.09499999999997</c:v>
                </c:pt>
                <c:pt idx="119">
                  <c:v>190.33999999999997</c:v>
                </c:pt>
                <c:pt idx="120">
                  <c:v>190.33999999999997</c:v>
                </c:pt>
                <c:pt idx="121">
                  <c:v>190.33999999999997</c:v>
                </c:pt>
                <c:pt idx="122">
                  <c:v>191.75999999999996</c:v>
                </c:pt>
                <c:pt idx="123">
                  <c:v>193.17999999999998</c:v>
                </c:pt>
                <c:pt idx="124">
                  <c:v>193.17999999999998</c:v>
                </c:pt>
                <c:pt idx="125">
                  <c:v>193.17999999999998</c:v>
                </c:pt>
                <c:pt idx="126">
                  <c:v>193.34499999999997</c:v>
                </c:pt>
                <c:pt idx="127">
                  <c:v>193.51</c:v>
                </c:pt>
                <c:pt idx="128">
                  <c:v>193.51</c:v>
                </c:pt>
                <c:pt idx="129">
                  <c:v>193.51</c:v>
                </c:pt>
                <c:pt idx="130">
                  <c:v>193.63499999999999</c:v>
                </c:pt>
                <c:pt idx="131">
                  <c:v>193.76</c:v>
                </c:pt>
                <c:pt idx="132">
                  <c:v>193.76</c:v>
                </c:pt>
                <c:pt idx="133">
                  <c:v>193.76</c:v>
                </c:pt>
                <c:pt idx="134">
                  <c:v>195.565</c:v>
                </c:pt>
                <c:pt idx="135">
                  <c:v>197.37</c:v>
                </c:pt>
                <c:pt idx="136">
                  <c:v>197.37</c:v>
                </c:pt>
                <c:pt idx="137">
                  <c:v>197.37</c:v>
                </c:pt>
                <c:pt idx="138">
                  <c:v>200.64500000000001</c:v>
                </c:pt>
                <c:pt idx="139">
                  <c:v>203.92000000000002</c:v>
                </c:pt>
                <c:pt idx="140">
                  <c:v>203.92000000000002</c:v>
                </c:pt>
                <c:pt idx="141">
                  <c:v>203.92000000000002</c:v>
                </c:pt>
                <c:pt idx="142">
                  <c:v>217.99</c:v>
                </c:pt>
                <c:pt idx="143">
                  <c:v>232.06</c:v>
                </c:pt>
                <c:pt idx="144">
                  <c:v>232.06</c:v>
                </c:pt>
                <c:pt idx="145">
                  <c:v>232.06</c:v>
                </c:pt>
                <c:pt idx="146">
                  <c:v>233.785</c:v>
                </c:pt>
                <c:pt idx="147">
                  <c:v>235.51</c:v>
                </c:pt>
                <c:pt idx="148">
                  <c:v>235.51</c:v>
                </c:pt>
                <c:pt idx="149">
                  <c:v>235.51</c:v>
                </c:pt>
                <c:pt idx="150">
                  <c:v>256.88499999999999</c:v>
                </c:pt>
                <c:pt idx="151">
                  <c:v>278.26</c:v>
                </c:pt>
                <c:pt idx="152">
                  <c:v>278.26</c:v>
                </c:pt>
                <c:pt idx="153">
                  <c:v>278.26</c:v>
                </c:pt>
                <c:pt idx="154">
                  <c:v>280.815</c:v>
                </c:pt>
                <c:pt idx="155">
                  <c:v>283.37</c:v>
                </c:pt>
                <c:pt idx="156">
                  <c:v>283.37</c:v>
                </c:pt>
                <c:pt idx="157">
                  <c:v>283.37</c:v>
                </c:pt>
                <c:pt idx="158">
                  <c:v>287.14</c:v>
                </c:pt>
                <c:pt idx="159">
                  <c:v>290.91000000000003</c:v>
                </c:pt>
                <c:pt idx="160">
                  <c:v>290.91000000000003</c:v>
                </c:pt>
                <c:pt idx="161">
                  <c:v>290.91000000000003</c:v>
                </c:pt>
                <c:pt idx="162">
                  <c:v>291.31</c:v>
                </c:pt>
                <c:pt idx="163">
                  <c:v>291.71000000000004</c:v>
                </c:pt>
                <c:pt idx="164">
                  <c:v>291.71000000000004</c:v>
                </c:pt>
                <c:pt idx="165">
                  <c:v>291.71000000000004</c:v>
                </c:pt>
                <c:pt idx="166">
                  <c:v>295.18000000000006</c:v>
                </c:pt>
                <c:pt idx="167">
                  <c:v>298.65000000000003</c:v>
                </c:pt>
                <c:pt idx="168">
                  <c:v>298.65000000000003</c:v>
                </c:pt>
                <c:pt idx="169">
                  <c:v>298.65000000000003</c:v>
                </c:pt>
                <c:pt idx="170">
                  <c:v>302.46000000000004</c:v>
                </c:pt>
                <c:pt idx="171">
                  <c:v>306.27000000000004</c:v>
                </c:pt>
                <c:pt idx="172">
                  <c:v>306.27000000000004</c:v>
                </c:pt>
                <c:pt idx="173">
                  <c:v>306.27000000000004</c:v>
                </c:pt>
                <c:pt idx="174">
                  <c:v>307.86500000000007</c:v>
                </c:pt>
                <c:pt idx="175">
                  <c:v>309.46000000000004</c:v>
                </c:pt>
                <c:pt idx="176">
                  <c:v>309.46000000000004</c:v>
                </c:pt>
                <c:pt idx="177">
                  <c:v>309.46000000000004</c:v>
                </c:pt>
                <c:pt idx="178">
                  <c:v>312.48</c:v>
                </c:pt>
                <c:pt idx="179">
                  <c:v>315.50000000000006</c:v>
                </c:pt>
                <c:pt idx="180">
                  <c:v>315.50000000000006</c:v>
                </c:pt>
                <c:pt idx="181">
                  <c:v>315.50000000000006</c:v>
                </c:pt>
                <c:pt idx="182">
                  <c:v>319.94000000000005</c:v>
                </c:pt>
                <c:pt idx="183">
                  <c:v>324.38000000000005</c:v>
                </c:pt>
                <c:pt idx="184">
                  <c:v>324.38000000000005</c:v>
                </c:pt>
                <c:pt idx="185">
                  <c:v>324.38000000000005</c:v>
                </c:pt>
                <c:pt idx="186">
                  <c:v>326.21000000000004</c:v>
                </c:pt>
                <c:pt idx="187">
                  <c:v>328.04000000000008</c:v>
                </c:pt>
                <c:pt idx="188">
                  <c:v>328.04000000000008</c:v>
                </c:pt>
                <c:pt idx="189">
                  <c:v>328.04000000000008</c:v>
                </c:pt>
                <c:pt idx="190">
                  <c:v>328.55000000000007</c:v>
                </c:pt>
                <c:pt idx="191">
                  <c:v>329.06000000000006</c:v>
                </c:pt>
                <c:pt idx="192">
                  <c:v>329.06000000000006</c:v>
                </c:pt>
                <c:pt idx="193">
                  <c:v>329.06000000000006</c:v>
                </c:pt>
                <c:pt idx="194">
                  <c:v>332.15000000000003</c:v>
                </c:pt>
                <c:pt idx="195">
                  <c:v>335.24000000000007</c:v>
                </c:pt>
                <c:pt idx="196">
                  <c:v>335.24000000000007</c:v>
                </c:pt>
                <c:pt idx="197">
                  <c:v>335.24000000000007</c:v>
                </c:pt>
                <c:pt idx="198">
                  <c:v>335.76000000000005</c:v>
                </c:pt>
                <c:pt idx="199">
                  <c:v>336.28000000000009</c:v>
                </c:pt>
                <c:pt idx="200">
                  <c:v>336.28000000000009</c:v>
                </c:pt>
                <c:pt idx="201">
                  <c:v>336.28000000000009</c:v>
                </c:pt>
                <c:pt idx="202">
                  <c:v>336.30000000000007</c:v>
                </c:pt>
                <c:pt idx="203">
                  <c:v>336.32000000000011</c:v>
                </c:pt>
                <c:pt idx="204">
                  <c:v>336.32000000000011</c:v>
                </c:pt>
                <c:pt idx="205">
                  <c:v>336.32000000000011</c:v>
                </c:pt>
                <c:pt idx="206">
                  <c:v>337.12000000000012</c:v>
                </c:pt>
                <c:pt idx="207">
                  <c:v>337.92000000000013</c:v>
                </c:pt>
                <c:pt idx="208">
                  <c:v>337.92000000000013</c:v>
                </c:pt>
                <c:pt idx="209">
                  <c:v>337.92000000000013</c:v>
                </c:pt>
                <c:pt idx="210">
                  <c:v>339.68000000000012</c:v>
                </c:pt>
                <c:pt idx="211">
                  <c:v>341.44000000000011</c:v>
                </c:pt>
                <c:pt idx="212">
                  <c:v>341.44000000000011</c:v>
                </c:pt>
                <c:pt idx="213">
                  <c:v>341.44000000000011</c:v>
                </c:pt>
                <c:pt idx="214">
                  <c:v>343.79500000000013</c:v>
                </c:pt>
                <c:pt idx="215">
                  <c:v>346.15000000000009</c:v>
                </c:pt>
                <c:pt idx="216">
                  <c:v>346.15000000000009</c:v>
                </c:pt>
                <c:pt idx="217">
                  <c:v>346.15000000000009</c:v>
                </c:pt>
                <c:pt idx="218">
                  <c:v>346.49500000000012</c:v>
                </c:pt>
                <c:pt idx="219">
                  <c:v>346.84000000000009</c:v>
                </c:pt>
                <c:pt idx="220">
                  <c:v>346.84000000000009</c:v>
                </c:pt>
                <c:pt idx="221">
                  <c:v>346.84000000000009</c:v>
                </c:pt>
                <c:pt idx="222">
                  <c:v>352.71500000000009</c:v>
                </c:pt>
                <c:pt idx="223">
                  <c:v>358.59000000000009</c:v>
                </c:pt>
                <c:pt idx="224">
                  <c:v>358.59000000000009</c:v>
                </c:pt>
                <c:pt idx="225">
                  <c:v>358.59000000000009</c:v>
                </c:pt>
                <c:pt idx="226">
                  <c:v>361.31000000000012</c:v>
                </c:pt>
                <c:pt idx="227">
                  <c:v>364.03000000000009</c:v>
                </c:pt>
                <c:pt idx="228">
                  <c:v>364.03000000000009</c:v>
                </c:pt>
                <c:pt idx="229">
                  <c:v>364.03000000000009</c:v>
                </c:pt>
                <c:pt idx="230">
                  <c:v>364.98000000000008</c:v>
                </c:pt>
                <c:pt idx="231">
                  <c:v>365.93000000000006</c:v>
                </c:pt>
                <c:pt idx="232">
                  <c:v>365.93000000000006</c:v>
                </c:pt>
                <c:pt idx="233">
                  <c:v>365.93000000000006</c:v>
                </c:pt>
                <c:pt idx="234">
                  <c:v>368.15500000000009</c:v>
                </c:pt>
                <c:pt idx="235">
                  <c:v>370.38000000000005</c:v>
                </c:pt>
                <c:pt idx="236">
                  <c:v>370.38000000000005</c:v>
                </c:pt>
                <c:pt idx="237">
                  <c:v>370.38000000000005</c:v>
                </c:pt>
                <c:pt idx="238">
                  <c:v>370.82000000000005</c:v>
                </c:pt>
                <c:pt idx="239">
                  <c:v>371.26000000000005</c:v>
                </c:pt>
                <c:pt idx="240">
                  <c:v>371.26000000000005</c:v>
                </c:pt>
                <c:pt idx="241">
                  <c:v>371.26000000000005</c:v>
                </c:pt>
                <c:pt idx="242">
                  <c:v>371.91500000000002</c:v>
                </c:pt>
                <c:pt idx="243">
                  <c:v>372.57000000000005</c:v>
                </c:pt>
                <c:pt idx="244">
                  <c:v>372.57000000000005</c:v>
                </c:pt>
                <c:pt idx="245">
                  <c:v>372.57000000000005</c:v>
                </c:pt>
                <c:pt idx="246">
                  <c:v>373.05000000000007</c:v>
                </c:pt>
                <c:pt idx="247">
                  <c:v>373.53000000000003</c:v>
                </c:pt>
                <c:pt idx="248">
                  <c:v>373.53000000000003</c:v>
                </c:pt>
                <c:pt idx="249">
                  <c:v>373.53000000000003</c:v>
                </c:pt>
                <c:pt idx="250">
                  <c:v>374.08000000000004</c:v>
                </c:pt>
                <c:pt idx="251">
                  <c:v>374.63000000000005</c:v>
                </c:pt>
                <c:pt idx="252">
                  <c:v>374.63000000000005</c:v>
                </c:pt>
                <c:pt idx="253">
                  <c:v>374.63000000000005</c:v>
                </c:pt>
                <c:pt idx="254">
                  <c:v>380.36500000000007</c:v>
                </c:pt>
                <c:pt idx="255">
                  <c:v>386.10000000000008</c:v>
                </c:pt>
                <c:pt idx="256">
                  <c:v>386.10000000000008</c:v>
                </c:pt>
                <c:pt idx="257">
                  <c:v>386.10000000000008</c:v>
                </c:pt>
                <c:pt idx="258">
                  <c:v>386.50000000000006</c:v>
                </c:pt>
                <c:pt idx="259">
                  <c:v>386.90000000000009</c:v>
                </c:pt>
                <c:pt idx="260">
                  <c:v>386.90000000000009</c:v>
                </c:pt>
                <c:pt idx="261">
                  <c:v>386.90000000000009</c:v>
                </c:pt>
                <c:pt idx="262">
                  <c:v>390.00000000000011</c:v>
                </c:pt>
                <c:pt idx="263">
                  <c:v>393.10000000000008</c:v>
                </c:pt>
                <c:pt idx="264">
                  <c:v>393.10000000000008</c:v>
                </c:pt>
                <c:pt idx="265">
                  <c:v>393.10000000000008</c:v>
                </c:pt>
                <c:pt idx="266">
                  <c:v>395.5150000000001</c:v>
                </c:pt>
                <c:pt idx="267">
                  <c:v>397.93000000000006</c:v>
                </c:pt>
                <c:pt idx="268">
                  <c:v>397.93000000000006</c:v>
                </c:pt>
                <c:pt idx="269">
                  <c:v>397.93000000000006</c:v>
                </c:pt>
                <c:pt idx="270">
                  <c:v>398.69000000000005</c:v>
                </c:pt>
                <c:pt idx="271">
                  <c:v>399.45000000000005</c:v>
                </c:pt>
                <c:pt idx="272">
                  <c:v>399.45000000000005</c:v>
                </c:pt>
                <c:pt idx="273">
                  <c:v>399.45000000000005</c:v>
                </c:pt>
                <c:pt idx="274">
                  <c:v>400.54500000000007</c:v>
                </c:pt>
                <c:pt idx="275">
                  <c:v>401.64000000000004</c:v>
                </c:pt>
                <c:pt idx="276">
                  <c:v>401.64000000000004</c:v>
                </c:pt>
                <c:pt idx="277">
                  <c:v>401.64000000000004</c:v>
                </c:pt>
                <c:pt idx="278">
                  <c:v>416.88000000000005</c:v>
                </c:pt>
                <c:pt idx="279">
                  <c:v>432.12000000000006</c:v>
                </c:pt>
                <c:pt idx="280">
                  <c:v>432.12000000000006</c:v>
                </c:pt>
                <c:pt idx="281">
                  <c:v>432.12000000000006</c:v>
                </c:pt>
                <c:pt idx="282">
                  <c:v>432.34500000000008</c:v>
                </c:pt>
                <c:pt idx="283">
                  <c:v>432.57000000000005</c:v>
                </c:pt>
                <c:pt idx="284">
                  <c:v>432.57000000000005</c:v>
                </c:pt>
                <c:pt idx="285">
                  <c:v>432.57000000000005</c:v>
                </c:pt>
                <c:pt idx="286">
                  <c:v>433.55000000000007</c:v>
                </c:pt>
                <c:pt idx="287">
                  <c:v>434.53000000000003</c:v>
                </c:pt>
                <c:pt idx="288">
                  <c:v>434.53000000000003</c:v>
                </c:pt>
                <c:pt idx="289">
                  <c:v>434.53000000000003</c:v>
                </c:pt>
                <c:pt idx="290">
                  <c:v>435.34000000000003</c:v>
                </c:pt>
                <c:pt idx="291">
                  <c:v>436.15000000000003</c:v>
                </c:pt>
                <c:pt idx="292">
                  <c:v>436.15000000000003</c:v>
                </c:pt>
                <c:pt idx="293">
                  <c:v>436.15000000000003</c:v>
                </c:pt>
                <c:pt idx="294">
                  <c:v>436.38000000000005</c:v>
                </c:pt>
                <c:pt idx="295">
                  <c:v>436.61</c:v>
                </c:pt>
                <c:pt idx="296">
                  <c:v>436.61</c:v>
                </c:pt>
                <c:pt idx="297">
                  <c:v>436.61</c:v>
                </c:pt>
                <c:pt idx="298">
                  <c:v>437.63</c:v>
                </c:pt>
                <c:pt idx="299">
                  <c:v>438.65000000000003</c:v>
                </c:pt>
                <c:pt idx="300">
                  <c:v>438.65000000000003</c:v>
                </c:pt>
                <c:pt idx="301">
                  <c:v>438.65000000000003</c:v>
                </c:pt>
                <c:pt idx="302">
                  <c:v>438.82500000000005</c:v>
                </c:pt>
                <c:pt idx="303">
                  <c:v>439.00000000000006</c:v>
                </c:pt>
                <c:pt idx="304">
                  <c:v>439.00000000000006</c:v>
                </c:pt>
                <c:pt idx="305">
                  <c:v>439.00000000000006</c:v>
                </c:pt>
                <c:pt idx="306">
                  <c:v>439.13500000000005</c:v>
                </c:pt>
                <c:pt idx="307">
                  <c:v>439.27000000000004</c:v>
                </c:pt>
                <c:pt idx="308">
                  <c:v>439.27000000000004</c:v>
                </c:pt>
                <c:pt idx="309">
                  <c:v>439.27000000000004</c:v>
                </c:pt>
                <c:pt idx="310">
                  <c:v>439.45000000000005</c:v>
                </c:pt>
                <c:pt idx="311">
                  <c:v>439.63000000000005</c:v>
                </c:pt>
                <c:pt idx="312">
                  <c:v>439.63000000000005</c:v>
                </c:pt>
                <c:pt idx="313">
                  <c:v>439.63000000000005</c:v>
                </c:pt>
                <c:pt idx="314">
                  <c:v>443.42000000000007</c:v>
                </c:pt>
                <c:pt idx="315">
                  <c:v>447.21000000000004</c:v>
                </c:pt>
                <c:pt idx="316">
                  <c:v>447.21000000000004</c:v>
                </c:pt>
                <c:pt idx="317">
                  <c:v>447.21000000000004</c:v>
                </c:pt>
                <c:pt idx="318">
                  <c:v>447.44000000000005</c:v>
                </c:pt>
                <c:pt idx="319">
                  <c:v>447.67</c:v>
                </c:pt>
                <c:pt idx="320">
                  <c:v>447.67</c:v>
                </c:pt>
                <c:pt idx="321">
                  <c:v>447.67</c:v>
                </c:pt>
                <c:pt idx="322">
                  <c:v>452.07499999999999</c:v>
                </c:pt>
                <c:pt idx="323">
                  <c:v>456.48</c:v>
                </c:pt>
                <c:pt idx="324">
                  <c:v>456.48</c:v>
                </c:pt>
                <c:pt idx="325">
                  <c:v>456.48</c:v>
                </c:pt>
                <c:pt idx="326">
                  <c:v>458.13</c:v>
                </c:pt>
                <c:pt idx="327">
                  <c:v>459.78000000000003</c:v>
                </c:pt>
                <c:pt idx="328">
                  <c:v>459.78000000000003</c:v>
                </c:pt>
                <c:pt idx="329">
                  <c:v>459.78000000000003</c:v>
                </c:pt>
                <c:pt idx="330">
                  <c:v>461.53000000000003</c:v>
                </c:pt>
                <c:pt idx="331">
                  <c:v>463.28000000000003</c:v>
                </c:pt>
                <c:pt idx="332">
                  <c:v>463.28000000000003</c:v>
                </c:pt>
                <c:pt idx="333">
                  <c:v>463.28000000000003</c:v>
                </c:pt>
                <c:pt idx="334">
                  <c:v>465.33500000000004</c:v>
                </c:pt>
                <c:pt idx="335">
                  <c:v>467.39000000000004</c:v>
                </c:pt>
                <c:pt idx="336">
                  <c:v>467.39000000000004</c:v>
                </c:pt>
                <c:pt idx="337">
                  <c:v>467.39000000000004</c:v>
                </c:pt>
                <c:pt idx="338">
                  <c:v>470.47</c:v>
                </c:pt>
                <c:pt idx="339">
                  <c:v>473.55000000000007</c:v>
                </c:pt>
                <c:pt idx="340">
                  <c:v>473.55000000000007</c:v>
                </c:pt>
                <c:pt idx="341">
                  <c:v>473.55000000000007</c:v>
                </c:pt>
                <c:pt idx="342">
                  <c:v>473.65000000000009</c:v>
                </c:pt>
                <c:pt idx="343">
                  <c:v>473.75000000000006</c:v>
                </c:pt>
                <c:pt idx="344">
                  <c:v>473.75000000000006</c:v>
                </c:pt>
                <c:pt idx="345">
                  <c:v>473.75000000000006</c:v>
                </c:pt>
                <c:pt idx="346">
                  <c:v>475.46500000000003</c:v>
                </c:pt>
                <c:pt idx="347">
                  <c:v>477.18000000000006</c:v>
                </c:pt>
                <c:pt idx="348">
                  <c:v>477.18000000000006</c:v>
                </c:pt>
                <c:pt idx="349">
                  <c:v>477.18000000000006</c:v>
                </c:pt>
                <c:pt idx="350">
                  <c:v>477.30500000000006</c:v>
                </c:pt>
                <c:pt idx="351">
                  <c:v>477.43000000000006</c:v>
                </c:pt>
                <c:pt idx="352">
                  <c:v>477.43000000000006</c:v>
                </c:pt>
                <c:pt idx="353">
                  <c:v>477.43000000000006</c:v>
                </c:pt>
                <c:pt idx="354">
                  <c:v>479.99000000000007</c:v>
                </c:pt>
                <c:pt idx="355">
                  <c:v>482.55000000000007</c:v>
                </c:pt>
                <c:pt idx="356">
                  <c:v>482.55000000000007</c:v>
                </c:pt>
                <c:pt idx="357">
                  <c:v>482.55000000000007</c:v>
                </c:pt>
                <c:pt idx="358">
                  <c:v>484.30000000000007</c:v>
                </c:pt>
                <c:pt idx="359">
                  <c:v>486.05000000000007</c:v>
                </c:pt>
                <c:pt idx="360">
                  <c:v>486.05000000000007</c:v>
                </c:pt>
                <c:pt idx="361">
                  <c:v>486.05000000000007</c:v>
                </c:pt>
                <c:pt idx="362">
                  <c:v>491.67500000000007</c:v>
                </c:pt>
                <c:pt idx="363">
                  <c:v>497.30000000000007</c:v>
                </c:pt>
                <c:pt idx="364">
                  <c:v>497.30000000000007</c:v>
                </c:pt>
                <c:pt idx="365">
                  <c:v>497.30000000000007</c:v>
                </c:pt>
                <c:pt idx="366">
                  <c:v>498.16000000000008</c:v>
                </c:pt>
                <c:pt idx="367">
                  <c:v>499.0200000000001</c:v>
                </c:pt>
                <c:pt idx="368">
                  <c:v>499.0200000000001</c:v>
                </c:pt>
                <c:pt idx="369">
                  <c:v>499.0200000000001</c:v>
                </c:pt>
                <c:pt idx="370">
                  <c:v>501.21000000000009</c:v>
                </c:pt>
                <c:pt idx="371">
                  <c:v>503.40000000000009</c:v>
                </c:pt>
                <c:pt idx="372">
                  <c:v>503.40000000000009</c:v>
                </c:pt>
                <c:pt idx="373">
                  <c:v>503.40000000000009</c:v>
                </c:pt>
                <c:pt idx="374">
                  <c:v>514.20000000000005</c:v>
                </c:pt>
                <c:pt idx="375">
                  <c:v>525.00000000000011</c:v>
                </c:pt>
                <c:pt idx="376">
                  <c:v>525.00000000000011</c:v>
                </c:pt>
                <c:pt idx="377">
                  <c:v>525.00000000000011</c:v>
                </c:pt>
                <c:pt idx="378">
                  <c:v>526.00000000000011</c:v>
                </c:pt>
                <c:pt idx="379">
                  <c:v>527.00000000000011</c:v>
                </c:pt>
                <c:pt idx="380">
                  <c:v>527.00000000000011</c:v>
                </c:pt>
                <c:pt idx="381">
                  <c:v>527.00000000000011</c:v>
                </c:pt>
                <c:pt idx="382">
                  <c:v>527.57500000000016</c:v>
                </c:pt>
                <c:pt idx="383">
                  <c:v>528.15000000000009</c:v>
                </c:pt>
                <c:pt idx="384">
                  <c:v>528.15000000000009</c:v>
                </c:pt>
                <c:pt idx="385">
                  <c:v>528.15000000000009</c:v>
                </c:pt>
                <c:pt idx="386">
                  <c:v>536.67000000000007</c:v>
                </c:pt>
                <c:pt idx="387">
                  <c:v>545.19000000000005</c:v>
                </c:pt>
                <c:pt idx="388">
                  <c:v>545.19000000000005</c:v>
                </c:pt>
                <c:pt idx="389">
                  <c:v>545.19000000000005</c:v>
                </c:pt>
                <c:pt idx="390">
                  <c:v>545.90000000000009</c:v>
                </c:pt>
                <c:pt idx="391">
                  <c:v>546.61</c:v>
                </c:pt>
                <c:pt idx="392">
                  <c:v>546.61</c:v>
                </c:pt>
                <c:pt idx="393">
                  <c:v>546.61</c:v>
                </c:pt>
                <c:pt idx="394">
                  <c:v>546.96500000000003</c:v>
                </c:pt>
                <c:pt idx="395">
                  <c:v>547.32000000000005</c:v>
                </c:pt>
                <c:pt idx="396">
                  <c:v>547.32000000000005</c:v>
                </c:pt>
                <c:pt idx="397">
                  <c:v>547.32000000000005</c:v>
                </c:pt>
                <c:pt idx="398">
                  <c:v>548.38</c:v>
                </c:pt>
                <c:pt idx="399">
                  <c:v>549.44000000000005</c:v>
                </c:pt>
                <c:pt idx="400">
                  <c:v>549.44000000000005</c:v>
                </c:pt>
                <c:pt idx="401">
                  <c:v>549.44000000000005</c:v>
                </c:pt>
                <c:pt idx="402">
                  <c:v>549.83000000000004</c:v>
                </c:pt>
                <c:pt idx="403">
                  <c:v>550.22</c:v>
                </c:pt>
                <c:pt idx="404">
                  <c:v>550.22</c:v>
                </c:pt>
                <c:pt idx="405">
                  <c:v>550.22</c:v>
                </c:pt>
                <c:pt idx="406">
                  <c:v>551.03500000000008</c:v>
                </c:pt>
                <c:pt idx="407">
                  <c:v>551.85</c:v>
                </c:pt>
                <c:pt idx="408">
                  <c:v>551.85</c:v>
                </c:pt>
                <c:pt idx="409">
                  <c:v>551.85</c:v>
                </c:pt>
                <c:pt idx="410">
                  <c:v>552.20500000000004</c:v>
                </c:pt>
                <c:pt idx="411">
                  <c:v>552.56000000000006</c:v>
                </c:pt>
                <c:pt idx="412">
                  <c:v>552.56000000000006</c:v>
                </c:pt>
                <c:pt idx="413">
                  <c:v>552.56000000000006</c:v>
                </c:pt>
                <c:pt idx="414">
                  <c:v>552.72</c:v>
                </c:pt>
                <c:pt idx="415">
                  <c:v>552.88000000000011</c:v>
                </c:pt>
                <c:pt idx="416">
                  <c:v>552.88000000000011</c:v>
                </c:pt>
                <c:pt idx="417">
                  <c:v>552.88000000000011</c:v>
                </c:pt>
                <c:pt idx="418">
                  <c:v>558.12000000000012</c:v>
                </c:pt>
                <c:pt idx="419">
                  <c:v>563.36000000000013</c:v>
                </c:pt>
                <c:pt idx="420">
                  <c:v>563.36000000000013</c:v>
                </c:pt>
                <c:pt idx="421">
                  <c:v>563.36000000000013</c:v>
                </c:pt>
                <c:pt idx="422">
                  <c:v>564.20000000000016</c:v>
                </c:pt>
                <c:pt idx="423">
                  <c:v>565.04000000000008</c:v>
                </c:pt>
                <c:pt idx="424">
                  <c:v>565.04000000000008</c:v>
                </c:pt>
                <c:pt idx="425">
                  <c:v>565.04000000000008</c:v>
                </c:pt>
                <c:pt idx="426">
                  <c:v>567.11500000000012</c:v>
                </c:pt>
                <c:pt idx="427">
                  <c:v>569.19000000000005</c:v>
                </c:pt>
                <c:pt idx="428">
                  <c:v>569.19000000000005</c:v>
                </c:pt>
                <c:pt idx="429">
                  <c:v>569.19000000000005</c:v>
                </c:pt>
                <c:pt idx="430">
                  <c:v>570.06500000000005</c:v>
                </c:pt>
                <c:pt idx="431">
                  <c:v>570.94000000000005</c:v>
                </c:pt>
                <c:pt idx="432">
                  <c:v>570.94000000000005</c:v>
                </c:pt>
                <c:pt idx="433">
                  <c:v>570.94000000000005</c:v>
                </c:pt>
                <c:pt idx="434">
                  <c:v>572.48</c:v>
                </c:pt>
                <c:pt idx="435">
                  <c:v>574.0200000000001</c:v>
                </c:pt>
                <c:pt idx="436">
                  <c:v>574.0200000000001</c:v>
                </c:pt>
                <c:pt idx="437">
                  <c:v>574.0200000000001</c:v>
                </c:pt>
                <c:pt idx="438">
                  <c:v>574.09500000000014</c:v>
                </c:pt>
                <c:pt idx="439">
                  <c:v>574.17000000000007</c:v>
                </c:pt>
                <c:pt idx="440">
                  <c:v>574.17000000000007</c:v>
                </c:pt>
                <c:pt idx="441">
                  <c:v>574.17000000000007</c:v>
                </c:pt>
                <c:pt idx="442">
                  <c:v>574.17500000000007</c:v>
                </c:pt>
                <c:pt idx="443">
                  <c:v>574.18000000000006</c:v>
                </c:pt>
                <c:pt idx="444">
                  <c:v>574.18000000000006</c:v>
                </c:pt>
                <c:pt idx="445">
                  <c:v>574.18000000000006</c:v>
                </c:pt>
                <c:pt idx="446">
                  <c:v>574.50000000000011</c:v>
                </c:pt>
                <c:pt idx="447">
                  <c:v>574.82000000000005</c:v>
                </c:pt>
                <c:pt idx="448">
                  <c:v>574.82000000000005</c:v>
                </c:pt>
                <c:pt idx="449">
                  <c:v>574.82000000000005</c:v>
                </c:pt>
                <c:pt idx="450">
                  <c:v>577.43500000000006</c:v>
                </c:pt>
                <c:pt idx="451">
                  <c:v>580.05000000000007</c:v>
                </c:pt>
                <c:pt idx="452">
                  <c:v>580.05000000000007</c:v>
                </c:pt>
                <c:pt idx="453">
                  <c:v>580.05000000000007</c:v>
                </c:pt>
                <c:pt idx="454">
                  <c:v>580.72500000000002</c:v>
                </c:pt>
                <c:pt idx="455">
                  <c:v>581.40000000000009</c:v>
                </c:pt>
                <c:pt idx="456">
                  <c:v>581.40000000000009</c:v>
                </c:pt>
                <c:pt idx="457">
                  <c:v>581.40000000000009</c:v>
                </c:pt>
                <c:pt idx="458">
                  <c:v>583.52500000000009</c:v>
                </c:pt>
                <c:pt idx="459">
                  <c:v>585.65000000000009</c:v>
                </c:pt>
                <c:pt idx="460">
                  <c:v>585.65000000000009</c:v>
                </c:pt>
                <c:pt idx="461">
                  <c:v>585.65000000000009</c:v>
                </c:pt>
                <c:pt idx="462">
                  <c:v>588.6350000000001</c:v>
                </c:pt>
                <c:pt idx="463">
                  <c:v>591.62000000000012</c:v>
                </c:pt>
                <c:pt idx="464">
                  <c:v>591.62000000000012</c:v>
                </c:pt>
                <c:pt idx="465">
                  <c:v>591.62000000000012</c:v>
                </c:pt>
                <c:pt idx="466">
                  <c:v>592.19000000000017</c:v>
                </c:pt>
                <c:pt idx="467">
                  <c:v>592.7600000000001</c:v>
                </c:pt>
                <c:pt idx="468">
                  <c:v>592.7600000000001</c:v>
                </c:pt>
                <c:pt idx="469">
                  <c:v>592.7600000000001</c:v>
                </c:pt>
                <c:pt idx="470">
                  <c:v>594.17500000000007</c:v>
                </c:pt>
                <c:pt idx="471">
                  <c:v>595.59000000000015</c:v>
                </c:pt>
                <c:pt idx="472">
                  <c:v>595.59000000000015</c:v>
                </c:pt>
                <c:pt idx="473">
                  <c:v>595.59000000000015</c:v>
                </c:pt>
                <c:pt idx="474">
                  <c:v>595.9100000000002</c:v>
                </c:pt>
                <c:pt idx="475">
                  <c:v>596.23000000000013</c:v>
                </c:pt>
                <c:pt idx="476">
                  <c:v>596.23000000000013</c:v>
                </c:pt>
                <c:pt idx="477">
                  <c:v>596.23000000000013</c:v>
                </c:pt>
                <c:pt idx="478">
                  <c:v>597.48000000000013</c:v>
                </c:pt>
                <c:pt idx="479">
                  <c:v>598.73000000000013</c:v>
                </c:pt>
                <c:pt idx="480">
                  <c:v>598.73000000000013</c:v>
                </c:pt>
                <c:pt idx="481">
                  <c:v>598.73000000000013</c:v>
                </c:pt>
                <c:pt idx="482">
                  <c:v>599.29000000000008</c:v>
                </c:pt>
                <c:pt idx="483">
                  <c:v>599.85000000000014</c:v>
                </c:pt>
                <c:pt idx="484">
                  <c:v>599.85000000000014</c:v>
                </c:pt>
                <c:pt idx="485">
                  <c:v>599.85000000000014</c:v>
                </c:pt>
                <c:pt idx="486">
                  <c:v>602.60500000000013</c:v>
                </c:pt>
                <c:pt idx="487">
                  <c:v>605.36000000000013</c:v>
                </c:pt>
                <c:pt idx="488">
                  <c:v>605.36000000000013</c:v>
                </c:pt>
                <c:pt idx="489">
                  <c:v>605.36000000000013</c:v>
                </c:pt>
                <c:pt idx="490">
                  <c:v>606.83500000000015</c:v>
                </c:pt>
                <c:pt idx="491">
                  <c:v>608.31000000000017</c:v>
                </c:pt>
                <c:pt idx="492">
                  <c:v>608.31000000000017</c:v>
                </c:pt>
                <c:pt idx="493">
                  <c:v>608.31000000000017</c:v>
                </c:pt>
                <c:pt idx="494">
                  <c:v>609.41500000000019</c:v>
                </c:pt>
                <c:pt idx="495">
                  <c:v>610.52000000000021</c:v>
                </c:pt>
                <c:pt idx="496">
                  <c:v>610.52000000000021</c:v>
                </c:pt>
                <c:pt idx="497">
                  <c:v>610.52000000000021</c:v>
                </c:pt>
                <c:pt idx="498">
                  <c:v>610.93000000000018</c:v>
                </c:pt>
                <c:pt idx="499">
                  <c:v>611.34000000000026</c:v>
                </c:pt>
                <c:pt idx="500">
                  <c:v>611.34000000000026</c:v>
                </c:pt>
                <c:pt idx="501">
                  <c:v>611.34000000000026</c:v>
                </c:pt>
                <c:pt idx="502">
                  <c:v>612.11500000000024</c:v>
                </c:pt>
                <c:pt idx="503">
                  <c:v>612.89000000000021</c:v>
                </c:pt>
                <c:pt idx="504">
                  <c:v>612.89000000000021</c:v>
                </c:pt>
                <c:pt idx="505">
                  <c:v>612.89000000000021</c:v>
                </c:pt>
                <c:pt idx="506">
                  <c:v>614.77000000000021</c:v>
                </c:pt>
                <c:pt idx="507">
                  <c:v>616.6500000000002</c:v>
                </c:pt>
                <c:pt idx="508">
                  <c:v>616.6500000000002</c:v>
                </c:pt>
                <c:pt idx="509">
                  <c:v>616.6500000000002</c:v>
                </c:pt>
                <c:pt idx="510">
                  <c:v>617.45000000000016</c:v>
                </c:pt>
                <c:pt idx="511">
                  <c:v>618.25000000000023</c:v>
                </c:pt>
                <c:pt idx="512">
                  <c:v>618.25000000000023</c:v>
                </c:pt>
                <c:pt idx="513">
                  <c:v>618.25000000000023</c:v>
                </c:pt>
                <c:pt idx="514">
                  <c:v>618.69500000000028</c:v>
                </c:pt>
                <c:pt idx="515">
                  <c:v>619.14000000000021</c:v>
                </c:pt>
                <c:pt idx="516">
                  <c:v>619.14000000000021</c:v>
                </c:pt>
                <c:pt idx="517">
                  <c:v>619.14000000000021</c:v>
                </c:pt>
                <c:pt idx="518">
                  <c:v>619.50000000000023</c:v>
                </c:pt>
                <c:pt idx="519">
                  <c:v>619.86000000000024</c:v>
                </c:pt>
                <c:pt idx="520">
                  <c:v>619.86000000000024</c:v>
                </c:pt>
                <c:pt idx="521">
                  <c:v>619.86000000000024</c:v>
                </c:pt>
                <c:pt idx="522">
                  <c:v>621.71500000000026</c:v>
                </c:pt>
                <c:pt idx="523">
                  <c:v>623.57000000000028</c:v>
                </c:pt>
                <c:pt idx="524">
                  <c:v>623.57000000000028</c:v>
                </c:pt>
                <c:pt idx="525">
                  <c:v>623.57000000000028</c:v>
                </c:pt>
                <c:pt idx="526">
                  <c:v>624.60500000000025</c:v>
                </c:pt>
                <c:pt idx="527">
                  <c:v>625.64000000000033</c:v>
                </c:pt>
                <c:pt idx="528">
                  <c:v>625.64000000000033</c:v>
                </c:pt>
                <c:pt idx="529">
                  <c:v>625.64000000000033</c:v>
                </c:pt>
                <c:pt idx="530">
                  <c:v>627.72500000000036</c:v>
                </c:pt>
                <c:pt idx="531">
                  <c:v>629.81000000000029</c:v>
                </c:pt>
                <c:pt idx="532">
                  <c:v>629.81000000000029</c:v>
                </c:pt>
                <c:pt idx="533">
                  <c:v>629.81000000000029</c:v>
                </c:pt>
                <c:pt idx="534">
                  <c:v>632.13500000000033</c:v>
                </c:pt>
                <c:pt idx="535">
                  <c:v>634.46000000000026</c:v>
                </c:pt>
                <c:pt idx="536">
                  <c:v>634.46000000000026</c:v>
                </c:pt>
                <c:pt idx="537">
                  <c:v>634.46000000000026</c:v>
                </c:pt>
                <c:pt idx="538">
                  <c:v>635.61000000000024</c:v>
                </c:pt>
                <c:pt idx="539">
                  <c:v>636.76000000000022</c:v>
                </c:pt>
                <c:pt idx="540">
                  <c:v>636.76000000000022</c:v>
                </c:pt>
                <c:pt idx="541">
                  <c:v>636.76000000000022</c:v>
                </c:pt>
                <c:pt idx="542">
                  <c:v>637.63500000000022</c:v>
                </c:pt>
                <c:pt idx="543">
                  <c:v>638.51000000000022</c:v>
                </c:pt>
                <c:pt idx="544">
                  <c:v>638.51000000000022</c:v>
                </c:pt>
                <c:pt idx="545">
                  <c:v>638.51000000000022</c:v>
                </c:pt>
                <c:pt idx="546">
                  <c:v>639.16500000000019</c:v>
                </c:pt>
                <c:pt idx="547">
                  <c:v>639.82000000000016</c:v>
                </c:pt>
                <c:pt idx="548">
                  <c:v>639.82000000000016</c:v>
                </c:pt>
                <c:pt idx="549">
                  <c:v>639.82000000000016</c:v>
                </c:pt>
                <c:pt idx="550">
                  <c:v>639.97000000000014</c:v>
                </c:pt>
                <c:pt idx="551">
                  <c:v>640.12000000000012</c:v>
                </c:pt>
                <c:pt idx="552">
                  <c:v>640.12000000000012</c:v>
                </c:pt>
                <c:pt idx="553">
                  <c:v>640.12000000000012</c:v>
                </c:pt>
                <c:pt idx="554">
                  <c:v>640.20000000000016</c:v>
                </c:pt>
                <c:pt idx="555">
                  <c:v>640.28000000000009</c:v>
                </c:pt>
                <c:pt idx="556">
                  <c:v>640.28000000000009</c:v>
                </c:pt>
                <c:pt idx="557">
                  <c:v>640.28000000000009</c:v>
                </c:pt>
                <c:pt idx="558">
                  <c:v>640.48500000000013</c:v>
                </c:pt>
                <c:pt idx="559">
                  <c:v>640.69000000000005</c:v>
                </c:pt>
                <c:pt idx="560">
                  <c:v>640.69000000000005</c:v>
                </c:pt>
                <c:pt idx="561">
                  <c:v>640.69000000000005</c:v>
                </c:pt>
                <c:pt idx="562">
                  <c:v>641.66000000000008</c:v>
                </c:pt>
                <c:pt idx="563">
                  <c:v>642.63000000000011</c:v>
                </c:pt>
                <c:pt idx="564">
                  <c:v>642.63000000000011</c:v>
                </c:pt>
                <c:pt idx="565">
                  <c:v>642.63000000000011</c:v>
                </c:pt>
                <c:pt idx="566">
                  <c:v>642.92000000000007</c:v>
                </c:pt>
                <c:pt idx="567">
                  <c:v>643.21000000000015</c:v>
                </c:pt>
                <c:pt idx="568">
                  <c:v>643.21000000000015</c:v>
                </c:pt>
                <c:pt idx="569">
                  <c:v>643.21000000000015</c:v>
                </c:pt>
                <c:pt idx="570">
                  <c:v>643.93500000000017</c:v>
                </c:pt>
                <c:pt idx="571">
                  <c:v>644.6600000000002</c:v>
                </c:pt>
                <c:pt idx="572">
                  <c:v>644.6600000000002</c:v>
                </c:pt>
                <c:pt idx="573">
                  <c:v>644.6600000000002</c:v>
                </c:pt>
                <c:pt idx="574">
                  <c:v>644.72500000000025</c:v>
                </c:pt>
                <c:pt idx="575">
                  <c:v>644.79000000000019</c:v>
                </c:pt>
                <c:pt idx="576">
                  <c:v>644.79000000000019</c:v>
                </c:pt>
                <c:pt idx="577">
                  <c:v>644.79000000000019</c:v>
                </c:pt>
                <c:pt idx="578">
                  <c:v>645.24500000000023</c:v>
                </c:pt>
                <c:pt idx="579">
                  <c:v>645.70000000000016</c:v>
                </c:pt>
                <c:pt idx="580">
                  <c:v>645.70000000000016</c:v>
                </c:pt>
                <c:pt idx="581">
                  <c:v>645.70000000000016</c:v>
                </c:pt>
                <c:pt idx="582">
                  <c:v>648.09500000000014</c:v>
                </c:pt>
                <c:pt idx="583">
                  <c:v>650.49000000000012</c:v>
                </c:pt>
                <c:pt idx="584">
                  <c:v>650.49000000000012</c:v>
                </c:pt>
                <c:pt idx="585">
                  <c:v>650.49000000000012</c:v>
                </c:pt>
                <c:pt idx="586">
                  <c:v>653.85500000000013</c:v>
                </c:pt>
                <c:pt idx="587">
                  <c:v>657.22000000000014</c:v>
                </c:pt>
                <c:pt idx="588">
                  <c:v>657.22000000000014</c:v>
                </c:pt>
                <c:pt idx="589">
                  <c:v>657.22000000000014</c:v>
                </c:pt>
                <c:pt idx="590">
                  <c:v>657.8900000000001</c:v>
                </c:pt>
                <c:pt idx="591">
                  <c:v>658.56000000000017</c:v>
                </c:pt>
                <c:pt idx="592">
                  <c:v>658.56000000000017</c:v>
                </c:pt>
                <c:pt idx="593">
                  <c:v>658.56000000000017</c:v>
                </c:pt>
                <c:pt idx="594">
                  <c:v>658.64000000000021</c:v>
                </c:pt>
                <c:pt idx="595">
                  <c:v>658.72000000000014</c:v>
                </c:pt>
                <c:pt idx="596">
                  <c:v>658.72000000000014</c:v>
                </c:pt>
                <c:pt idx="597">
                  <c:v>658.72000000000014</c:v>
                </c:pt>
                <c:pt idx="598">
                  <c:v>658.88000000000011</c:v>
                </c:pt>
                <c:pt idx="599">
                  <c:v>659.04000000000019</c:v>
                </c:pt>
                <c:pt idx="600">
                  <c:v>659.04000000000019</c:v>
                </c:pt>
                <c:pt idx="601">
                  <c:v>659.04000000000019</c:v>
                </c:pt>
                <c:pt idx="602">
                  <c:v>660.31000000000017</c:v>
                </c:pt>
                <c:pt idx="603">
                  <c:v>661.58000000000015</c:v>
                </c:pt>
                <c:pt idx="604">
                  <c:v>661.58000000000015</c:v>
                </c:pt>
                <c:pt idx="605">
                  <c:v>661.58000000000015</c:v>
                </c:pt>
                <c:pt idx="606">
                  <c:v>665.08000000000015</c:v>
                </c:pt>
                <c:pt idx="607">
                  <c:v>668.58000000000015</c:v>
                </c:pt>
                <c:pt idx="608">
                  <c:v>668.58000000000015</c:v>
                </c:pt>
                <c:pt idx="609">
                  <c:v>668.58000000000015</c:v>
                </c:pt>
                <c:pt idx="610">
                  <c:v>668.88000000000011</c:v>
                </c:pt>
                <c:pt idx="611">
                  <c:v>669.18000000000018</c:v>
                </c:pt>
                <c:pt idx="612">
                  <c:v>669.18000000000018</c:v>
                </c:pt>
                <c:pt idx="613">
                  <c:v>669.18000000000018</c:v>
                </c:pt>
                <c:pt idx="614">
                  <c:v>669.37500000000023</c:v>
                </c:pt>
                <c:pt idx="615">
                  <c:v>669.57000000000016</c:v>
                </c:pt>
                <c:pt idx="616">
                  <c:v>669.57000000000016</c:v>
                </c:pt>
                <c:pt idx="617">
                  <c:v>669.57000000000016</c:v>
                </c:pt>
                <c:pt idx="618">
                  <c:v>669.81000000000017</c:v>
                </c:pt>
                <c:pt idx="619">
                  <c:v>670.05000000000018</c:v>
                </c:pt>
                <c:pt idx="620">
                  <c:v>670.05000000000018</c:v>
                </c:pt>
                <c:pt idx="621">
                  <c:v>670.05000000000018</c:v>
                </c:pt>
                <c:pt idx="622">
                  <c:v>670.21500000000015</c:v>
                </c:pt>
                <c:pt idx="623">
                  <c:v>670.38000000000022</c:v>
                </c:pt>
                <c:pt idx="624">
                  <c:v>670.38000000000022</c:v>
                </c:pt>
                <c:pt idx="625">
                  <c:v>670.38000000000022</c:v>
                </c:pt>
                <c:pt idx="626">
                  <c:v>671.69000000000017</c:v>
                </c:pt>
                <c:pt idx="627">
                  <c:v>673.00000000000023</c:v>
                </c:pt>
                <c:pt idx="628">
                  <c:v>673.00000000000023</c:v>
                </c:pt>
                <c:pt idx="629">
                  <c:v>673.00000000000023</c:v>
                </c:pt>
                <c:pt idx="630">
                  <c:v>673.14500000000021</c:v>
                </c:pt>
                <c:pt idx="631">
                  <c:v>673.29000000000019</c:v>
                </c:pt>
                <c:pt idx="632">
                  <c:v>673.29000000000019</c:v>
                </c:pt>
                <c:pt idx="633">
                  <c:v>673.29000000000019</c:v>
                </c:pt>
                <c:pt idx="634">
                  <c:v>673.37000000000023</c:v>
                </c:pt>
                <c:pt idx="635">
                  <c:v>673.45000000000016</c:v>
                </c:pt>
                <c:pt idx="636">
                  <c:v>673.45000000000016</c:v>
                </c:pt>
                <c:pt idx="637">
                  <c:v>673.45000000000016</c:v>
                </c:pt>
                <c:pt idx="638">
                  <c:v>673.54500000000019</c:v>
                </c:pt>
                <c:pt idx="639">
                  <c:v>673.64000000000021</c:v>
                </c:pt>
                <c:pt idx="640">
                  <c:v>673.64000000000021</c:v>
                </c:pt>
                <c:pt idx="641">
                  <c:v>673.64000000000021</c:v>
                </c:pt>
                <c:pt idx="642">
                  <c:v>673.85000000000025</c:v>
                </c:pt>
                <c:pt idx="643">
                  <c:v>674.06000000000017</c:v>
                </c:pt>
                <c:pt idx="644">
                  <c:v>674.06000000000017</c:v>
                </c:pt>
                <c:pt idx="645">
                  <c:v>674.06000000000017</c:v>
                </c:pt>
                <c:pt idx="646">
                  <c:v>674.10500000000013</c:v>
                </c:pt>
                <c:pt idx="647">
                  <c:v>674.1500000000002</c:v>
                </c:pt>
                <c:pt idx="648">
                  <c:v>674.1500000000002</c:v>
                </c:pt>
                <c:pt idx="649">
                  <c:v>674.1500000000002</c:v>
                </c:pt>
                <c:pt idx="650">
                  <c:v>674.25000000000023</c:v>
                </c:pt>
                <c:pt idx="651">
                  <c:v>674.35000000000025</c:v>
                </c:pt>
                <c:pt idx="652">
                  <c:v>674.35000000000025</c:v>
                </c:pt>
                <c:pt idx="653">
                  <c:v>674.35000000000025</c:v>
                </c:pt>
                <c:pt idx="654">
                  <c:v>674.7800000000002</c:v>
                </c:pt>
                <c:pt idx="655">
                  <c:v>675.21000000000026</c:v>
                </c:pt>
                <c:pt idx="656">
                  <c:v>675.21000000000026</c:v>
                </c:pt>
                <c:pt idx="657">
                  <c:v>675.21000000000026</c:v>
                </c:pt>
                <c:pt idx="658">
                  <c:v>675.33500000000026</c:v>
                </c:pt>
                <c:pt idx="659">
                  <c:v>675.46000000000026</c:v>
                </c:pt>
                <c:pt idx="660">
                  <c:v>675.46000000000026</c:v>
                </c:pt>
                <c:pt idx="661">
                  <c:v>675.46000000000026</c:v>
                </c:pt>
                <c:pt idx="662">
                  <c:v>675.52000000000021</c:v>
                </c:pt>
                <c:pt idx="663">
                  <c:v>675.58000000000027</c:v>
                </c:pt>
                <c:pt idx="664">
                  <c:v>675.58000000000027</c:v>
                </c:pt>
                <c:pt idx="665">
                  <c:v>675.58000000000027</c:v>
                </c:pt>
                <c:pt idx="666">
                  <c:v>675.66000000000031</c:v>
                </c:pt>
                <c:pt idx="667">
                  <c:v>675.74000000000024</c:v>
                </c:pt>
                <c:pt idx="668">
                  <c:v>675.74000000000024</c:v>
                </c:pt>
                <c:pt idx="669">
                  <c:v>675.74000000000024</c:v>
                </c:pt>
                <c:pt idx="670">
                  <c:v>675.89000000000021</c:v>
                </c:pt>
                <c:pt idx="671">
                  <c:v>676.04000000000019</c:v>
                </c:pt>
                <c:pt idx="672">
                  <c:v>676.04000000000019</c:v>
                </c:pt>
                <c:pt idx="673">
                  <c:v>676.04000000000019</c:v>
                </c:pt>
                <c:pt idx="674">
                  <c:v>676.59500000000014</c:v>
                </c:pt>
                <c:pt idx="675">
                  <c:v>677.1500000000002</c:v>
                </c:pt>
                <c:pt idx="676">
                  <c:v>677.1500000000002</c:v>
                </c:pt>
                <c:pt idx="677">
                  <c:v>677.1500000000002</c:v>
                </c:pt>
                <c:pt idx="678">
                  <c:v>677.25000000000023</c:v>
                </c:pt>
                <c:pt idx="679">
                  <c:v>677.35000000000025</c:v>
                </c:pt>
                <c:pt idx="680">
                  <c:v>677.35000000000025</c:v>
                </c:pt>
                <c:pt idx="681">
                  <c:v>677.35000000000025</c:v>
                </c:pt>
                <c:pt idx="682">
                  <c:v>677.56500000000028</c:v>
                </c:pt>
                <c:pt idx="683">
                  <c:v>677.7800000000002</c:v>
                </c:pt>
                <c:pt idx="684">
                  <c:v>677.7800000000002</c:v>
                </c:pt>
                <c:pt idx="685">
                  <c:v>677.7800000000002</c:v>
                </c:pt>
                <c:pt idx="686">
                  <c:v>677.85000000000025</c:v>
                </c:pt>
                <c:pt idx="687">
                  <c:v>677.92000000000019</c:v>
                </c:pt>
                <c:pt idx="688">
                  <c:v>677.92000000000019</c:v>
                </c:pt>
                <c:pt idx="689">
                  <c:v>677.92000000000019</c:v>
                </c:pt>
                <c:pt idx="690">
                  <c:v>677.93000000000018</c:v>
                </c:pt>
                <c:pt idx="691">
                  <c:v>677.94000000000017</c:v>
                </c:pt>
                <c:pt idx="692">
                  <c:v>677.94000000000017</c:v>
                </c:pt>
                <c:pt idx="693">
                  <c:v>677.94000000000017</c:v>
                </c:pt>
                <c:pt idx="694">
                  <c:v>678.00000000000011</c:v>
                </c:pt>
                <c:pt idx="695">
                  <c:v>678.06000000000017</c:v>
                </c:pt>
                <c:pt idx="696">
                  <c:v>678.06000000000017</c:v>
                </c:pt>
                <c:pt idx="697">
                  <c:v>678.06000000000017</c:v>
                </c:pt>
                <c:pt idx="698">
                  <c:v>678.20000000000016</c:v>
                </c:pt>
                <c:pt idx="699">
                  <c:v>678.34000000000015</c:v>
                </c:pt>
                <c:pt idx="700">
                  <c:v>678.34000000000015</c:v>
                </c:pt>
                <c:pt idx="701">
                  <c:v>678.34000000000015</c:v>
                </c:pt>
                <c:pt idx="702">
                  <c:v>678.49000000000012</c:v>
                </c:pt>
                <c:pt idx="703">
                  <c:v>678.6400000000001</c:v>
                </c:pt>
                <c:pt idx="704">
                  <c:v>678.6400000000001</c:v>
                </c:pt>
                <c:pt idx="705">
                  <c:v>678.6400000000001</c:v>
                </c:pt>
                <c:pt idx="706">
                  <c:v>678.67000000000007</c:v>
                </c:pt>
                <c:pt idx="707">
                  <c:v>678.7</c:v>
                </c:pt>
                <c:pt idx="708">
                  <c:v>678.7</c:v>
                </c:pt>
                <c:pt idx="709">
                  <c:v>678.7</c:v>
                </c:pt>
              </c:numCache>
            </c:numRef>
          </c:cat>
          <c:val>
            <c:numRef>
              <c:f>Charts!$N$7:$N$716</c:f>
              <c:numCache>
                <c:formatCode>General</c:formatCode>
                <c:ptCount val="710"/>
                <c:pt idx="0">
                  <c:v>0</c:v>
                </c:pt>
                <c:pt idx="1">
                  <c:v>21.85576923076923</c:v>
                </c:pt>
                <c:pt idx="2">
                  <c:v>21.85576923076923</c:v>
                </c:pt>
                <c:pt idx="3">
                  <c:v>21.85576923076923</c:v>
                </c:pt>
                <c:pt idx="4">
                  <c:v>0</c:v>
                </c:pt>
                <c:pt idx="5">
                  <c:v>25.915769230769229</c:v>
                </c:pt>
                <c:pt idx="6">
                  <c:v>25.915769230769229</c:v>
                </c:pt>
                <c:pt idx="7">
                  <c:v>25.915769230769229</c:v>
                </c:pt>
                <c:pt idx="8">
                  <c:v>0</c:v>
                </c:pt>
                <c:pt idx="9">
                  <c:v>30.60576923076923</c:v>
                </c:pt>
                <c:pt idx="10">
                  <c:v>30.60576923076923</c:v>
                </c:pt>
                <c:pt idx="11">
                  <c:v>30.60576923076923</c:v>
                </c:pt>
                <c:pt idx="12">
                  <c:v>0</c:v>
                </c:pt>
                <c:pt idx="13">
                  <c:v>32.395769230769233</c:v>
                </c:pt>
                <c:pt idx="14">
                  <c:v>32.395769230769233</c:v>
                </c:pt>
                <c:pt idx="15">
                  <c:v>32.395769230769233</c:v>
                </c:pt>
                <c:pt idx="16">
                  <c:v>0</c:v>
                </c:pt>
                <c:pt idx="17">
                  <c:v>35.165769230769229</c:v>
                </c:pt>
                <c:pt idx="18">
                  <c:v>35.165769230769229</c:v>
                </c:pt>
                <c:pt idx="19">
                  <c:v>35.165769230769229</c:v>
                </c:pt>
                <c:pt idx="20">
                  <c:v>0</c:v>
                </c:pt>
                <c:pt idx="21">
                  <c:v>36.885769230769228</c:v>
                </c:pt>
                <c:pt idx="22">
                  <c:v>36.885769230769228</c:v>
                </c:pt>
                <c:pt idx="23">
                  <c:v>36.885769230769228</c:v>
                </c:pt>
                <c:pt idx="24">
                  <c:v>0</c:v>
                </c:pt>
                <c:pt idx="25">
                  <c:v>36.94576923076923</c:v>
                </c:pt>
                <c:pt idx="26">
                  <c:v>36.94576923076923</c:v>
                </c:pt>
                <c:pt idx="27">
                  <c:v>36.94576923076923</c:v>
                </c:pt>
                <c:pt idx="28">
                  <c:v>0</c:v>
                </c:pt>
                <c:pt idx="29">
                  <c:v>38.095769230769228</c:v>
                </c:pt>
                <c:pt idx="30">
                  <c:v>38.095769230769228</c:v>
                </c:pt>
                <c:pt idx="31">
                  <c:v>38.095769230769228</c:v>
                </c:pt>
                <c:pt idx="32">
                  <c:v>0</c:v>
                </c:pt>
                <c:pt idx="33">
                  <c:v>39.065769230769234</c:v>
                </c:pt>
                <c:pt idx="34">
                  <c:v>39.065769230769234</c:v>
                </c:pt>
                <c:pt idx="35">
                  <c:v>39.065769230769234</c:v>
                </c:pt>
                <c:pt idx="36">
                  <c:v>0</c:v>
                </c:pt>
                <c:pt idx="37">
                  <c:v>40.665769230769229</c:v>
                </c:pt>
                <c:pt idx="38">
                  <c:v>40.665769230769229</c:v>
                </c:pt>
                <c:pt idx="39">
                  <c:v>40.665769230769229</c:v>
                </c:pt>
                <c:pt idx="40">
                  <c:v>0</c:v>
                </c:pt>
                <c:pt idx="41">
                  <c:v>0</c:v>
                </c:pt>
                <c:pt idx="42">
                  <c:v>0</c:v>
                </c:pt>
                <c:pt idx="43">
                  <c:v>0</c:v>
                </c:pt>
                <c:pt idx="44">
                  <c:v>0</c:v>
                </c:pt>
                <c:pt idx="45">
                  <c:v>0</c:v>
                </c:pt>
                <c:pt idx="46">
                  <c:v>0</c:v>
                </c:pt>
                <c:pt idx="47">
                  <c:v>0</c:v>
                </c:pt>
                <c:pt idx="48">
                  <c:v>0</c:v>
                </c:pt>
                <c:pt idx="49">
                  <c:v>0</c:v>
                </c:pt>
                <c:pt idx="50">
                  <c:v>0</c:v>
                </c:pt>
                <c:pt idx="51">
                  <c:v>0</c:v>
                </c:pt>
                <c:pt idx="52">
                  <c:v>0</c:v>
                </c:pt>
                <c:pt idx="53">
                  <c:v>43.645769230769233</c:v>
                </c:pt>
                <c:pt idx="54">
                  <c:v>43.645769230769233</c:v>
                </c:pt>
                <c:pt idx="55">
                  <c:v>43.645769230769233</c:v>
                </c:pt>
                <c:pt idx="56">
                  <c:v>0</c:v>
                </c:pt>
                <c:pt idx="57">
                  <c:v>44.94576923076923</c:v>
                </c:pt>
                <c:pt idx="58">
                  <c:v>44.94576923076923</c:v>
                </c:pt>
                <c:pt idx="59">
                  <c:v>44.94576923076923</c:v>
                </c:pt>
                <c:pt idx="60">
                  <c:v>0</c:v>
                </c:pt>
                <c:pt idx="61">
                  <c:v>45.245769230769227</c:v>
                </c:pt>
                <c:pt idx="62">
                  <c:v>45.245769230769227</c:v>
                </c:pt>
                <c:pt idx="63">
                  <c:v>45.245769230769227</c:v>
                </c:pt>
                <c:pt idx="64">
                  <c:v>0</c:v>
                </c:pt>
                <c:pt idx="65">
                  <c:v>45.545769230769224</c:v>
                </c:pt>
                <c:pt idx="66">
                  <c:v>45.545769230769224</c:v>
                </c:pt>
                <c:pt idx="67">
                  <c:v>45.545769230769224</c:v>
                </c:pt>
                <c:pt idx="68">
                  <c:v>0</c:v>
                </c:pt>
                <c:pt idx="69">
                  <c:v>46.185769230769225</c:v>
                </c:pt>
                <c:pt idx="70">
                  <c:v>46.185769230769225</c:v>
                </c:pt>
                <c:pt idx="71">
                  <c:v>46.185769230769225</c:v>
                </c:pt>
                <c:pt idx="72">
                  <c:v>0</c:v>
                </c:pt>
                <c:pt idx="73">
                  <c:v>0</c:v>
                </c:pt>
                <c:pt idx="74">
                  <c:v>0</c:v>
                </c:pt>
                <c:pt idx="75">
                  <c:v>0</c:v>
                </c:pt>
                <c:pt idx="76">
                  <c:v>0</c:v>
                </c:pt>
                <c:pt idx="77">
                  <c:v>46.905769230769224</c:v>
                </c:pt>
                <c:pt idx="78">
                  <c:v>46.905769230769224</c:v>
                </c:pt>
                <c:pt idx="79">
                  <c:v>46.905769230769224</c:v>
                </c:pt>
                <c:pt idx="80">
                  <c:v>0</c:v>
                </c:pt>
                <c:pt idx="81">
                  <c:v>0</c:v>
                </c:pt>
                <c:pt idx="82">
                  <c:v>0</c:v>
                </c:pt>
                <c:pt idx="83">
                  <c:v>0</c:v>
                </c:pt>
                <c:pt idx="84">
                  <c:v>0</c:v>
                </c:pt>
                <c:pt idx="85">
                  <c:v>0</c:v>
                </c:pt>
                <c:pt idx="86">
                  <c:v>0</c:v>
                </c:pt>
                <c:pt idx="87">
                  <c:v>0</c:v>
                </c:pt>
                <c:pt idx="88">
                  <c:v>0</c:v>
                </c:pt>
                <c:pt idx="89">
                  <c:v>0</c:v>
                </c:pt>
                <c:pt idx="90">
                  <c:v>0</c:v>
                </c:pt>
                <c:pt idx="91">
                  <c:v>0</c:v>
                </c:pt>
                <c:pt idx="92">
                  <c:v>0</c:v>
                </c:pt>
                <c:pt idx="93">
                  <c:v>51.665769230769229</c:v>
                </c:pt>
                <c:pt idx="94">
                  <c:v>51.665769230769229</c:v>
                </c:pt>
                <c:pt idx="95">
                  <c:v>51.665769230769229</c:v>
                </c:pt>
                <c:pt idx="96">
                  <c:v>0</c:v>
                </c:pt>
                <c:pt idx="97">
                  <c:v>52.875769230769237</c:v>
                </c:pt>
                <c:pt idx="98">
                  <c:v>52.875769230769237</c:v>
                </c:pt>
                <c:pt idx="99">
                  <c:v>52.875769230769237</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53.415769230769229</c:v>
                </c:pt>
                <c:pt idx="114">
                  <c:v>53.415769230769229</c:v>
                </c:pt>
                <c:pt idx="115">
                  <c:v>53.415769230769229</c:v>
                </c:pt>
                <c:pt idx="116">
                  <c:v>0</c:v>
                </c:pt>
                <c:pt idx="117">
                  <c:v>0</c:v>
                </c:pt>
                <c:pt idx="118">
                  <c:v>0</c:v>
                </c:pt>
                <c:pt idx="119">
                  <c:v>0</c:v>
                </c:pt>
                <c:pt idx="120">
                  <c:v>0</c:v>
                </c:pt>
                <c:pt idx="121">
                  <c:v>53.495769230769227</c:v>
                </c:pt>
                <c:pt idx="122">
                  <c:v>53.495769230769227</c:v>
                </c:pt>
                <c:pt idx="123">
                  <c:v>53.495769230769227</c:v>
                </c:pt>
                <c:pt idx="124">
                  <c:v>0</c:v>
                </c:pt>
                <c:pt idx="125">
                  <c:v>53.545769230769224</c:v>
                </c:pt>
                <c:pt idx="126">
                  <c:v>53.545769230769224</c:v>
                </c:pt>
                <c:pt idx="127">
                  <c:v>53.545769230769224</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54.775769230769228</c:v>
                </c:pt>
                <c:pt idx="142">
                  <c:v>54.775769230769228</c:v>
                </c:pt>
                <c:pt idx="143">
                  <c:v>54.775769230769228</c:v>
                </c:pt>
                <c:pt idx="144">
                  <c:v>0</c:v>
                </c:pt>
                <c:pt idx="145">
                  <c:v>54.905769230769224</c:v>
                </c:pt>
                <c:pt idx="146">
                  <c:v>54.905769230769224</c:v>
                </c:pt>
                <c:pt idx="147">
                  <c:v>54.905769230769224</c:v>
                </c:pt>
                <c:pt idx="148">
                  <c:v>0</c:v>
                </c:pt>
                <c:pt idx="149">
                  <c:v>55.505769230769232</c:v>
                </c:pt>
                <c:pt idx="150">
                  <c:v>55.505769230769232</c:v>
                </c:pt>
                <c:pt idx="151">
                  <c:v>55.505769230769232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57.455769230769235</c:v>
                </c:pt>
                <c:pt idx="178">
                  <c:v>57.455769230769235</c:v>
                </c:pt>
                <c:pt idx="179">
                  <c:v>57.455769230769235</c:v>
                </c:pt>
                <c:pt idx="180">
                  <c:v>0</c:v>
                </c:pt>
                <c:pt idx="181">
                  <c:v>0</c:v>
                </c:pt>
                <c:pt idx="182">
                  <c:v>0</c:v>
                </c:pt>
                <c:pt idx="183">
                  <c:v>0</c:v>
                </c:pt>
                <c:pt idx="184">
                  <c:v>0</c:v>
                </c:pt>
                <c:pt idx="185">
                  <c:v>58.58576923076923</c:v>
                </c:pt>
                <c:pt idx="186">
                  <c:v>58.58576923076923</c:v>
                </c:pt>
                <c:pt idx="187">
                  <c:v>58.58576923076923</c:v>
                </c:pt>
                <c:pt idx="188">
                  <c:v>0</c:v>
                </c:pt>
                <c:pt idx="189">
                  <c:v>58.715769230769226</c:v>
                </c:pt>
                <c:pt idx="190">
                  <c:v>58.715769230769226</c:v>
                </c:pt>
                <c:pt idx="191">
                  <c:v>58.715769230769226</c:v>
                </c:pt>
                <c:pt idx="192">
                  <c:v>0</c:v>
                </c:pt>
                <c:pt idx="193">
                  <c:v>59.115769230769232</c:v>
                </c:pt>
                <c:pt idx="194">
                  <c:v>59.115769230769232</c:v>
                </c:pt>
                <c:pt idx="195">
                  <c:v>59.115769230769232</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59.965769230769226</c:v>
                </c:pt>
                <c:pt idx="210">
                  <c:v>59.965769230769226</c:v>
                </c:pt>
                <c:pt idx="211">
                  <c:v>59.965769230769226</c:v>
                </c:pt>
                <c:pt idx="212">
                  <c:v>0</c:v>
                </c:pt>
                <c:pt idx="213">
                  <c:v>0</c:v>
                </c:pt>
                <c:pt idx="214">
                  <c:v>0</c:v>
                </c:pt>
                <c:pt idx="215">
                  <c:v>0</c:v>
                </c:pt>
                <c:pt idx="216">
                  <c:v>0</c:v>
                </c:pt>
                <c:pt idx="217">
                  <c:v>60.575769230769225</c:v>
                </c:pt>
                <c:pt idx="218">
                  <c:v>60.575769230769225</c:v>
                </c:pt>
                <c:pt idx="219">
                  <c:v>60.575769230769225</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63.075769230769225</c:v>
                </c:pt>
                <c:pt idx="250">
                  <c:v>63.075769230769225</c:v>
                </c:pt>
                <c:pt idx="251">
                  <c:v>63.075769230769225</c:v>
                </c:pt>
                <c:pt idx="252">
                  <c:v>0</c:v>
                </c:pt>
                <c:pt idx="253">
                  <c:v>63.095769230769235</c:v>
                </c:pt>
                <c:pt idx="254">
                  <c:v>63.095769230769235</c:v>
                </c:pt>
                <c:pt idx="255">
                  <c:v>63.095769230769235</c:v>
                </c:pt>
                <c:pt idx="256">
                  <c:v>0</c:v>
                </c:pt>
                <c:pt idx="257">
                  <c:v>63.245769230769227</c:v>
                </c:pt>
                <c:pt idx="258">
                  <c:v>63.245769230769227</c:v>
                </c:pt>
                <c:pt idx="259">
                  <c:v>63.245769230769227</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65.005769230769232</c:v>
                </c:pt>
                <c:pt idx="282">
                  <c:v>65.005769230769232</c:v>
                </c:pt>
                <c:pt idx="283">
                  <c:v>65.005769230769232</c:v>
                </c:pt>
                <c:pt idx="284">
                  <c:v>0</c:v>
                </c:pt>
                <c:pt idx="285">
                  <c:v>0</c:v>
                </c:pt>
                <c:pt idx="286">
                  <c:v>0</c:v>
                </c:pt>
                <c:pt idx="287">
                  <c:v>0</c:v>
                </c:pt>
                <c:pt idx="288">
                  <c:v>0</c:v>
                </c:pt>
                <c:pt idx="289">
                  <c:v>0</c:v>
                </c:pt>
                <c:pt idx="290">
                  <c:v>0</c:v>
                </c:pt>
                <c:pt idx="291">
                  <c:v>0</c:v>
                </c:pt>
                <c:pt idx="292">
                  <c:v>0</c:v>
                </c:pt>
                <c:pt idx="293">
                  <c:v>65.685769230769225</c:v>
                </c:pt>
                <c:pt idx="294">
                  <c:v>65.685769230769225</c:v>
                </c:pt>
                <c:pt idx="295">
                  <c:v>65.685769230769225</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67.985769230769236</c:v>
                </c:pt>
                <c:pt idx="326">
                  <c:v>67.985769230769236</c:v>
                </c:pt>
                <c:pt idx="327">
                  <c:v>67.985769230769236</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69.515769230769223</c:v>
                </c:pt>
                <c:pt idx="358">
                  <c:v>69.515769230769223</c:v>
                </c:pt>
                <c:pt idx="359">
                  <c:v>69.515769230769223</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73.285769230769233</c:v>
                </c:pt>
                <c:pt idx="398">
                  <c:v>73.285769230769233</c:v>
                </c:pt>
                <c:pt idx="399">
                  <c:v>73.285769230769233</c:v>
                </c:pt>
                <c:pt idx="400">
                  <c:v>0</c:v>
                </c:pt>
                <c:pt idx="401">
                  <c:v>73.33576923076923</c:v>
                </c:pt>
                <c:pt idx="402">
                  <c:v>73.33576923076923</c:v>
                </c:pt>
                <c:pt idx="403">
                  <c:v>73.33576923076923</c:v>
                </c:pt>
                <c:pt idx="404">
                  <c:v>0</c:v>
                </c:pt>
                <c:pt idx="405">
                  <c:v>0</c:v>
                </c:pt>
                <c:pt idx="406">
                  <c:v>0</c:v>
                </c:pt>
                <c:pt idx="407">
                  <c:v>0</c:v>
                </c:pt>
                <c:pt idx="408">
                  <c:v>0</c:v>
                </c:pt>
                <c:pt idx="409">
                  <c:v>0</c:v>
                </c:pt>
                <c:pt idx="410">
                  <c:v>0</c:v>
                </c:pt>
                <c:pt idx="411">
                  <c:v>0</c:v>
                </c:pt>
                <c:pt idx="412">
                  <c:v>0</c:v>
                </c:pt>
                <c:pt idx="413">
                  <c:v>76.295769230769224</c:v>
                </c:pt>
                <c:pt idx="414">
                  <c:v>76.295769230769224</c:v>
                </c:pt>
                <c:pt idx="415">
                  <c:v>76.295769230769224</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80.56576923076922</c:v>
                </c:pt>
                <c:pt idx="458">
                  <c:v>80.56576923076922</c:v>
                </c:pt>
                <c:pt idx="459">
                  <c:v>80.56576923076922</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numCache>
            </c:numRef>
          </c:val>
        </c:ser>
        <c:ser>
          <c:idx val="1"/>
          <c:order val="1"/>
          <c:tx>
            <c:strRef>
              <c:f>Charts!$O$5</c:f>
              <c:strCache>
                <c:ptCount val="1"/>
                <c:pt idx="0">
                  <c:v>South Africa</c:v>
                </c:pt>
              </c:strCache>
            </c:strRef>
          </c:tx>
          <c:spPr>
            <a:solidFill>
              <a:srgbClr val="56B4DF"/>
            </a:solidFill>
            <a:ln w="3175">
              <a:solidFill>
                <a:schemeClr val="bg1"/>
              </a:solidFill>
            </a:ln>
            <a:effectLst/>
          </c:spPr>
          <c:cat>
            <c:numRef>
              <c:f>Charts!$S$7:$S$716</c:f>
              <c:numCache>
                <c:formatCode>General</c:formatCode>
                <c:ptCount val="710"/>
                <c:pt idx="0">
                  <c:v>0</c:v>
                </c:pt>
                <c:pt idx="1">
                  <c:v>0</c:v>
                </c:pt>
                <c:pt idx="2">
                  <c:v>1.075</c:v>
                </c:pt>
                <c:pt idx="3">
                  <c:v>2.15</c:v>
                </c:pt>
                <c:pt idx="4">
                  <c:v>2.15</c:v>
                </c:pt>
                <c:pt idx="5">
                  <c:v>2.15</c:v>
                </c:pt>
                <c:pt idx="6">
                  <c:v>4.6549999999999994</c:v>
                </c:pt>
                <c:pt idx="7">
                  <c:v>7.16</c:v>
                </c:pt>
                <c:pt idx="8">
                  <c:v>7.16</c:v>
                </c:pt>
                <c:pt idx="9">
                  <c:v>7.16</c:v>
                </c:pt>
                <c:pt idx="10">
                  <c:v>14.254999999999999</c:v>
                </c:pt>
                <c:pt idx="11">
                  <c:v>21.35</c:v>
                </c:pt>
                <c:pt idx="12">
                  <c:v>21.35</c:v>
                </c:pt>
                <c:pt idx="13">
                  <c:v>21.35</c:v>
                </c:pt>
                <c:pt idx="14">
                  <c:v>23.040000000000003</c:v>
                </c:pt>
                <c:pt idx="15">
                  <c:v>24.73</c:v>
                </c:pt>
                <c:pt idx="16">
                  <c:v>24.73</c:v>
                </c:pt>
                <c:pt idx="17">
                  <c:v>24.73</c:v>
                </c:pt>
                <c:pt idx="18">
                  <c:v>33.53</c:v>
                </c:pt>
                <c:pt idx="19">
                  <c:v>42.33</c:v>
                </c:pt>
                <c:pt idx="20">
                  <c:v>42.33</c:v>
                </c:pt>
                <c:pt idx="21">
                  <c:v>42.33</c:v>
                </c:pt>
                <c:pt idx="22">
                  <c:v>42.48</c:v>
                </c:pt>
                <c:pt idx="23">
                  <c:v>42.629999999999995</c:v>
                </c:pt>
                <c:pt idx="24">
                  <c:v>42.629999999999995</c:v>
                </c:pt>
                <c:pt idx="25">
                  <c:v>42.629999999999995</c:v>
                </c:pt>
                <c:pt idx="26">
                  <c:v>44.464999999999996</c:v>
                </c:pt>
                <c:pt idx="27">
                  <c:v>46.3</c:v>
                </c:pt>
                <c:pt idx="28">
                  <c:v>46.3</c:v>
                </c:pt>
                <c:pt idx="29">
                  <c:v>46.3</c:v>
                </c:pt>
                <c:pt idx="30">
                  <c:v>46.849999999999994</c:v>
                </c:pt>
                <c:pt idx="31">
                  <c:v>47.4</c:v>
                </c:pt>
                <c:pt idx="32">
                  <c:v>47.4</c:v>
                </c:pt>
                <c:pt idx="33">
                  <c:v>47.4</c:v>
                </c:pt>
                <c:pt idx="34">
                  <c:v>50.614999999999995</c:v>
                </c:pt>
                <c:pt idx="35">
                  <c:v>53.83</c:v>
                </c:pt>
                <c:pt idx="36">
                  <c:v>53.83</c:v>
                </c:pt>
                <c:pt idx="37">
                  <c:v>53.83</c:v>
                </c:pt>
                <c:pt idx="38">
                  <c:v>54.489999999999995</c:v>
                </c:pt>
                <c:pt idx="39">
                  <c:v>55.15</c:v>
                </c:pt>
                <c:pt idx="40">
                  <c:v>55.15</c:v>
                </c:pt>
                <c:pt idx="41">
                  <c:v>55.15</c:v>
                </c:pt>
                <c:pt idx="42">
                  <c:v>55.55</c:v>
                </c:pt>
                <c:pt idx="43">
                  <c:v>55.949999999999996</c:v>
                </c:pt>
                <c:pt idx="44">
                  <c:v>55.949999999999996</c:v>
                </c:pt>
                <c:pt idx="45">
                  <c:v>55.949999999999996</c:v>
                </c:pt>
                <c:pt idx="46">
                  <c:v>56.124999999999993</c:v>
                </c:pt>
                <c:pt idx="47">
                  <c:v>56.3</c:v>
                </c:pt>
                <c:pt idx="48">
                  <c:v>56.3</c:v>
                </c:pt>
                <c:pt idx="49">
                  <c:v>56.3</c:v>
                </c:pt>
                <c:pt idx="50">
                  <c:v>56.474999999999994</c:v>
                </c:pt>
                <c:pt idx="51">
                  <c:v>56.65</c:v>
                </c:pt>
                <c:pt idx="52">
                  <c:v>56.65</c:v>
                </c:pt>
                <c:pt idx="53">
                  <c:v>56.65</c:v>
                </c:pt>
                <c:pt idx="54">
                  <c:v>59.64</c:v>
                </c:pt>
                <c:pt idx="55">
                  <c:v>62.629999999999995</c:v>
                </c:pt>
                <c:pt idx="56">
                  <c:v>62.629999999999995</c:v>
                </c:pt>
                <c:pt idx="57">
                  <c:v>62.629999999999995</c:v>
                </c:pt>
                <c:pt idx="58">
                  <c:v>63.414999999999992</c:v>
                </c:pt>
                <c:pt idx="59">
                  <c:v>64.199999999999989</c:v>
                </c:pt>
                <c:pt idx="60">
                  <c:v>64.199999999999989</c:v>
                </c:pt>
                <c:pt idx="61">
                  <c:v>64.199999999999989</c:v>
                </c:pt>
                <c:pt idx="62">
                  <c:v>69.834999999999994</c:v>
                </c:pt>
                <c:pt idx="63">
                  <c:v>75.469999999999985</c:v>
                </c:pt>
                <c:pt idx="64">
                  <c:v>75.469999999999985</c:v>
                </c:pt>
                <c:pt idx="65">
                  <c:v>75.469999999999985</c:v>
                </c:pt>
                <c:pt idx="66">
                  <c:v>80.899999999999977</c:v>
                </c:pt>
                <c:pt idx="67">
                  <c:v>86.329999999999984</c:v>
                </c:pt>
                <c:pt idx="68">
                  <c:v>86.329999999999984</c:v>
                </c:pt>
                <c:pt idx="69">
                  <c:v>86.329999999999984</c:v>
                </c:pt>
                <c:pt idx="70">
                  <c:v>98.194999999999979</c:v>
                </c:pt>
                <c:pt idx="71">
                  <c:v>110.05999999999999</c:v>
                </c:pt>
                <c:pt idx="72">
                  <c:v>110.05999999999999</c:v>
                </c:pt>
                <c:pt idx="73">
                  <c:v>110.05999999999999</c:v>
                </c:pt>
                <c:pt idx="74">
                  <c:v>112.68499999999999</c:v>
                </c:pt>
                <c:pt idx="75">
                  <c:v>115.30999999999999</c:v>
                </c:pt>
                <c:pt idx="76">
                  <c:v>115.30999999999999</c:v>
                </c:pt>
                <c:pt idx="77">
                  <c:v>115.30999999999999</c:v>
                </c:pt>
                <c:pt idx="78">
                  <c:v>133.72499999999999</c:v>
                </c:pt>
                <c:pt idx="79">
                  <c:v>152.13999999999999</c:v>
                </c:pt>
                <c:pt idx="80">
                  <c:v>152.13999999999999</c:v>
                </c:pt>
                <c:pt idx="81">
                  <c:v>152.13999999999999</c:v>
                </c:pt>
                <c:pt idx="82">
                  <c:v>153.39999999999998</c:v>
                </c:pt>
                <c:pt idx="83">
                  <c:v>154.66</c:v>
                </c:pt>
                <c:pt idx="84">
                  <c:v>154.66</c:v>
                </c:pt>
                <c:pt idx="85">
                  <c:v>154.66</c:v>
                </c:pt>
                <c:pt idx="86">
                  <c:v>154.72</c:v>
                </c:pt>
                <c:pt idx="87">
                  <c:v>154.78</c:v>
                </c:pt>
                <c:pt idx="88">
                  <c:v>154.78</c:v>
                </c:pt>
                <c:pt idx="89">
                  <c:v>154.78</c:v>
                </c:pt>
                <c:pt idx="90">
                  <c:v>158.69999999999999</c:v>
                </c:pt>
                <c:pt idx="91">
                  <c:v>162.62</c:v>
                </c:pt>
                <c:pt idx="92">
                  <c:v>162.62</c:v>
                </c:pt>
                <c:pt idx="93">
                  <c:v>162.62</c:v>
                </c:pt>
                <c:pt idx="94">
                  <c:v>164.23500000000001</c:v>
                </c:pt>
                <c:pt idx="95">
                  <c:v>165.85</c:v>
                </c:pt>
                <c:pt idx="96">
                  <c:v>165.85</c:v>
                </c:pt>
                <c:pt idx="97">
                  <c:v>165.85</c:v>
                </c:pt>
                <c:pt idx="98">
                  <c:v>166.34</c:v>
                </c:pt>
                <c:pt idx="99">
                  <c:v>166.82999999999998</c:v>
                </c:pt>
                <c:pt idx="100">
                  <c:v>166.82999999999998</c:v>
                </c:pt>
                <c:pt idx="101">
                  <c:v>166.82999999999998</c:v>
                </c:pt>
                <c:pt idx="102">
                  <c:v>166.94499999999999</c:v>
                </c:pt>
                <c:pt idx="103">
                  <c:v>167.05999999999997</c:v>
                </c:pt>
                <c:pt idx="104">
                  <c:v>167.05999999999997</c:v>
                </c:pt>
                <c:pt idx="105">
                  <c:v>167.05999999999997</c:v>
                </c:pt>
                <c:pt idx="106">
                  <c:v>169.93499999999997</c:v>
                </c:pt>
                <c:pt idx="107">
                  <c:v>172.80999999999997</c:v>
                </c:pt>
                <c:pt idx="108">
                  <c:v>172.80999999999997</c:v>
                </c:pt>
                <c:pt idx="109">
                  <c:v>172.80999999999997</c:v>
                </c:pt>
                <c:pt idx="110">
                  <c:v>172.82999999999998</c:v>
                </c:pt>
                <c:pt idx="111">
                  <c:v>172.84999999999997</c:v>
                </c:pt>
                <c:pt idx="112">
                  <c:v>172.84999999999997</c:v>
                </c:pt>
                <c:pt idx="113">
                  <c:v>172.84999999999997</c:v>
                </c:pt>
                <c:pt idx="114">
                  <c:v>173.34999999999997</c:v>
                </c:pt>
                <c:pt idx="115">
                  <c:v>173.84999999999997</c:v>
                </c:pt>
                <c:pt idx="116">
                  <c:v>173.84999999999997</c:v>
                </c:pt>
                <c:pt idx="117">
                  <c:v>173.84999999999997</c:v>
                </c:pt>
                <c:pt idx="118">
                  <c:v>182.09499999999997</c:v>
                </c:pt>
                <c:pt idx="119">
                  <c:v>190.33999999999997</c:v>
                </c:pt>
                <c:pt idx="120">
                  <c:v>190.33999999999997</c:v>
                </c:pt>
                <c:pt idx="121">
                  <c:v>190.33999999999997</c:v>
                </c:pt>
                <c:pt idx="122">
                  <c:v>191.75999999999996</c:v>
                </c:pt>
                <c:pt idx="123">
                  <c:v>193.17999999999998</c:v>
                </c:pt>
                <c:pt idx="124">
                  <c:v>193.17999999999998</c:v>
                </c:pt>
                <c:pt idx="125">
                  <c:v>193.17999999999998</c:v>
                </c:pt>
                <c:pt idx="126">
                  <c:v>193.34499999999997</c:v>
                </c:pt>
                <c:pt idx="127">
                  <c:v>193.51</c:v>
                </c:pt>
                <c:pt idx="128">
                  <c:v>193.51</c:v>
                </c:pt>
                <c:pt idx="129">
                  <c:v>193.51</c:v>
                </c:pt>
                <c:pt idx="130">
                  <c:v>193.63499999999999</c:v>
                </c:pt>
                <c:pt idx="131">
                  <c:v>193.76</c:v>
                </c:pt>
                <c:pt idx="132">
                  <c:v>193.76</c:v>
                </c:pt>
                <c:pt idx="133">
                  <c:v>193.76</c:v>
                </c:pt>
                <c:pt idx="134">
                  <c:v>195.565</c:v>
                </c:pt>
                <c:pt idx="135">
                  <c:v>197.37</c:v>
                </c:pt>
                <c:pt idx="136">
                  <c:v>197.37</c:v>
                </c:pt>
                <c:pt idx="137">
                  <c:v>197.37</c:v>
                </c:pt>
                <c:pt idx="138">
                  <c:v>200.64500000000001</c:v>
                </c:pt>
                <c:pt idx="139">
                  <c:v>203.92000000000002</c:v>
                </c:pt>
                <c:pt idx="140">
                  <c:v>203.92000000000002</c:v>
                </c:pt>
                <c:pt idx="141">
                  <c:v>203.92000000000002</c:v>
                </c:pt>
                <c:pt idx="142">
                  <c:v>217.99</c:v>
                </c:pt>
                <c:pt idx="143">
                  <c:v>232.06</c:v>
                </c:pt>
                <c:pt idx="144">
                  <c:v>232.06</c:v>
                </c:pt>
                <c:pt idx="145">
                  <c:v>232.06</c:v>
                </c:pt>
                <c:pt idx="146">
                  <c:v>233.785</c:v>
                </c:pt>
                <c:pt idx="147">
                  <c:v>235.51</c:v>
                </c:pt>
                <c:pt idx="148">
                  <c:v>235.51</c:v>
                </c:pt>
                <c:pt idx="149">
                  <c:v>235.51</c:v>
                </c:pt>
                <c:pt idx="150">
                  <c:v>256.88499999999999</c:v>
                </c:pt>
                <c:pt idx="151">
                  <c:v>278.26</c:v>
                </c:pt>
                <c:pt idx="152">
                  <c:v>278.26</c:v>
                </c:pt>
                <c:pt idx="153">
                  <c:v>278.26</c:v>
                </c:pt>
                <c:pt idx="154">
                  <c:v>280.815</c:v>
                </c:pt>
                <c:pt idx="155">
                  <c:v>283.37</c:v>
                </c:pt>
                <c:pt idx="156">
                  <c:v>283.37</c:v>
                </c:pt>
                <c:pt idx="157">
                  <c:v>283.37</c:v>
                </c:pt>
                <c:pt idx="158">
                  <c:v>287.14</c:v>
                </c:pt>
                <c:pt idx="159">
                  <c:v>290.91000000000003</c:v>
                </c:pt>
                <c:pt idx="160">
                  <c:v>290.91000000000003</c:v>
                </c:pt>
                <c:pt idx="161">
                  <c:v>290.91000000000003</c:v>
                </c:pt>
                <c:pt idx="162">
                  <c:v>291.31</c:v>
                </c:pt>
                <c:pt idx="163">
                  <c:v>291.71000000000004</c:v>
                </c:pt>
                <c:pt idx="164">
                  <c:v>291.71000000000004</c:v>
                </c:pt>
                <c:pt idx="165">
                  <c:v>291.71000000000004</c:v>
                </c:pt>
                <c:pt idx="166">
                  <c:v>295.18000000000006</c:v>
                </c:pt>
                <c:pt idx="167">
                  <c:v>298.65000000000003</c:v>
                </c:pt>
                <c:pt idx="168">
                  <c:v>298.65000000000003</c:v>
                </c:pt>
                <c:pt idx="169">
                  <c:v>298.65000000000003</c:v>
                </c:pt>
                <c:pt idx="170">
                  <c:v>302.46000000000004</c:v>
                </c:pt>
                <c:pt idx="171">
                  <c:v>306.27000000000004</c:v>
                </c:pt>
                <c:pt idx="172">
                  <c:v>306.27000000000004</c:v>
                </c:pt>
                <c:pt idx="173">
                  <c:v>306.27000000000004</c:v>
                </c:pt>
                <c:pt idx="174">
                  <c:v>307.86500000000007</c:v>
                </c:pt>
                <c:pt idx="175">
                  <c:v>309.46000000000004</c:v>
                </c:pt>
                <c:pt idx="176">
                  <c:v>309.46000000000004</c:v>
                </c:pt>
                <c:pt idx="177">
                  <c:v>309.46000000000004</c:v>
                </c:pt>
                <c:pt idx="178">
                  <c:v>312.48</c:v>
                </c:pt>
                <c:pt idx="179">
                  <c:v>315.50000000000006</c:v>
                </c:pt>
                <c:pt idx="180">
                  <c:v>315.50000000000006</c:v>
                </c:pt>
                <c:pt idx="181">
                  <c:v>315.50000000000006</c:v>
                </c:pt>
                <c:pt idx="182">
                  <c:v>319.94000000000005</c:v>
                </c:pt>
                <c:pt idx="183">
                  <c:v>324.38000000000005</c:v>
                </c:pt>
                <c:pt idx="184">
                  <c:v>324.38000000000005</c:v>
                </c:pt>
                <c:pt idx="185">
                  <c:v>324.38000000000005</c:v>
                </c:pt>
                <c:pt idx="186">
                  <c:v>326.21000000000004</c:v>
                </c:pt>
                <c:pt idx="187">
                  <c:v>328.04000000000008</c:v>
                </c:pt>
                <c:pt idx="188">
                  <c:v>328.04000000000008</c:v>
                </c:pt>
                <c:pt idx="189">
                  <c:v>328.04000000000008</c:v>
                </c:pt>
                <c:pt idx="190">
                  <c:v>328.55000000000007</c:v>
                </c:pt>
                <c:pt idx="191">
                  <c:v>329.06000000000006</c:v>
                </c:pt>
                <c:pt idx="192">
                  <c:v>329.06000000000006</c:v>
                </c:pt>
                <c:pt idx="193">
                  <c:v>329.06000000000006</c:v>
                </c:pt>
                <c:pt idx="194">
                  <c:v>332.15000000000003</c:v>
                </c:pt>
                <c:pt idx="195">
                  <c:v>335.24000000000007</c:v>
                </c:pt>
                <c:pt idx="196">
                  <c:v>335.24000000000007</c:v>
                </c:pt>
                <c:pt idx="197">
                  <c:v>335.24000000000007</c:v>
                </c:pt>
                <c:pt idx="198">
                  <c:v>335.76000000000005</c:v>
                </c:pt>
                <c:pt idx="199">
                  <c:v>336.28000000000009</c:v>
                </c:pt>
                <c:pt idx="200">
                  <c:v>336.28000000000009</c:v>
                </c:pt>
                <c:pt idx="201">
                  <c:v>336.28000000000009</c:v>
                </c:pt>
                <c:pt idx="202">
                  <c:v>336.30000000000007</c:v>
                </c:pt>
                <c:pt idx="203">
                  <c:v>336.32000000000011</c:v>
                </c:pt>
                <c:pt idx="204">
                  <c:v>336.32000000000011</c:v>
                </c:pt>
                <c:pt idx="205">
                  <c:v>336.32000000000011</c:v>
                </c:pt>
                <c:pt idx="206">
                  <c:v>337.12000000000012</c:v>
                </c:pt>
                <c:pt idx="207">
                  <c:v>337.92000000000013</c:v>
                </c:pt>
                <c:pt idx="208">
                  <c:v>337.92000000000013</c:v>
                </c:pt>
                <c:pt idx="209">
                  <c:v>337.92000000000013</c:v>
                </c:pt>
                <c:pt idx="210">
                  <c:v>339.68000000000012</c:v>
                </c:pt>
                <c:pt idx="211">
                  <c:v>341.44000000000011</c:v>
                </c:pt>
                <c:pt idx="212">
                  <c:v>341.44000000000011</c:v>
                </c:pt>
                <c:pt idx="213">
                  <c:v>341.44000000000011</c:v>
                </c:pt>
                <c:pt idx="214">
                  <c:v>343.79500000000013</c:v>
                </c:pt>
                <c:pt idx="215">
                  <c:v>346.15000000000009</c:v>
                </c:pt>
                <c:pt idx="216">
                  <c:v>346.15000000000009</c:v>
                </c:pt>
                <c:pt idx="217">
                  <c:v>346.15000000000009</c:v>
                </c:pt>
                <c:pt idx="218">
                  <c:v>346.49500000000012</c:v>
                </c:pt>
                <c:pt idx="219">
                  <c:v>346.84000000000009</c:v>
                </c:pt>
                <c:pt idx="220">
                  <c:v>346.84000000000009</c:v>
                </c:pt>
                <c:pt idx="221">
                  <c:v>346.84000000000009</c:v>
                </c:pt>
                <c:pt idx="222">
                  <c:v>352.71500000000009</c:v>
                </c:pt>
                <c:pt idx="223">
                  <c:v>358.59000000000009</c:v>
                </c:pt>
                <c:pt idx="224">
                  <c:v>358.59000000000009</c:v>
                </c:pt>
                <c:pt idx="225">
                  <c:v>358.59000000000009</c:v>
                </c:pt>
                <c:pt idx="226">
                  <c:v>361.31000000000012</c:v>
                </c:pt>
                <c:pt idx="227">
                  <c:v>364.03000000000009</c:v>
                </c:pt>
                <c:pt idx="228">
                  <c:v>364.03000000000009</c:v>
                </c:pt>
                <c:pt idx="229">
                  <c:v>364.03000000000009</c:v>
                </c:pt>
                <c:pt idx="230">
                  <c:v>364.98000000000008</c:v>
                </c:pt>
                <c:pt idx="231">
                  <c:v>365.93000000000006</c:v>
                </c:pt>
                <c:pt idx="232">
                  <c:v>365.93000000000006</c:v>
                </c:pt>
                <c:pt idx="233">
                  <c:v>365.93000000000006</c:v>
                </c:pt>
                <c:pt idx="234">
                  <c:v>368.15500000000009</c:v>
                </c:pt>
                <c:pt idx="235">
                  <c:v>370.38000000000005</c:v>
                </c:pt>
                <c:pt idx="236">
                  <c:v>370.38000000000005</c:v>
                </c:pt>
                <c:pt idx="237">
                  <c:v>370.38000000000005</c:v>
                </c:pt>
                <c:pt idx="238">
                  <c:v>370.82000000000005</c:v>
                </c:pt>
                <c:pt idx="239">
                  <c:v>371.26000000000005</c:v>
                </c:pt>
                <c:pt idx="240">
                  <c:v>371.26000000000005</c:v>
                </c:pt>
                <c:pt idx="241">
                  <c:v>371.26000000000005</c:v>
                </c:pt>
                <c:pt idx="242">
                  <c:v>371.91500000000002</c:v>
                </c:pt>
                <c:pt idx="243">
                  <c:v>372.57000000000005</c:v>
                </c:pt>
                <c:pt idx="244">
                  <c:v>372.57000000000005</c:v>
                </c:pt>
                <c:pt idx="245">
                  <c:v>372.57000000000005</c:v>
                </c:pt>
                <c:pt idx="246">
                  <c:v>373.05000000000007</c:v>
                </c:pt>
                <c:pt idx="247">
                  <c:v>373.53000000000003</c:v>
                </c:pt>
                <c:pt idx="248">
                  <c:v>373.53000000000003</c:v>
                </c:pt>
                <c:pt idx="249">
                  <c:v>373.53000000000003</c:v>
                </c:pt>
                <c:pt idx="250">
                  <c:v>374.08000000000004</c:v>
                </c:pt>
                <c:pt idx="251">
                  <c:v>374.63000000000005</c:v>
                </c:pt>
                <c:pt idx="252">
                  <c:v>374.63000000000005</c:v>
                </c:pt>
                <c:pt idx="253">
                  <c:v>374.63000000000005</c:v>
                </c:pt>
                <c:pt idx="254">
                  <c:v>380.36500000000007</c:v>
                </c:pt>
                <c:pt idx="255">
                  <c:v>386.10000000000008</c:v>
                </c:pt>
                <c:pt idx="256">
                  <c:v>386.10000000000008</c:v>
                </c:pt>
                <c:pt idx="257">
                  <c:v>386.10000000000008</c:v>
                </c:pt>
                <c:pt idx="258">
                  <c:v>386.50000000000006</c:v>
                </c:pt>
                <c:pt idx="259">
                  <c:v>386.90000000000009</c:v>
                </c:pt>
                <c:pt idx="260">
                  <c:v>386.90000000000009</c:v>
                </c:pt>
                <c:pt idx="261">
                  <c:v>386.90000000000009</c:v>
                </c:pt>
                <c:pt idx="262">
                  <c:v>390.00000000000011</c:v>
                </c:pt>
                <c:pt idx="263">
                  <c:v>393.10000000000008</c:v>
                </c:pt>
                <c:pt idx="264">
                  <c:v>393.10000000000008</c:v>
                </c:pt>
                <c:pt idx="265">
                  <c:v>393.10000000000008</c:v>
                </c:pt>
                <c:pt idx="266">
                  <c:v>395.5150000000001</c:v>
                </c:pt>
                <c:pt idx="267">
                  <c:v>397.93000000000006</c:v>
                </c:pt>
                <c:pt idx="268">
                  <c:v>397.93000000000006</c:v>
                </c:pt>
                <c:pt idx="269">
                  <c:v>397.93000000000006</c:v>
                </c:pt>
                <c:pt idx="270">
                  <c:v>398.69000000000005</c:v>
                </c:pt>
                <c:pt idx="271">
                  <c:v>399.45000000000005</c:v>
                </c:pt>
                <c:pt idx="272">
                  <c:v>399.45000000000005</c:v>
                </c:pt>
                <c:pt idx="273">
                  <c:v>399.45000000000005</c:v>
                </c:pt>
                <c:pt idx="274">
                  <c:v>400.54500000000007</c:v>
                </c:pt>
                <c:pt idx="275">
                  <c:v>401.64000000000004</c:v>
                </c:pt>
                <c:pt idx="276">
                  <c:v>401.64000000000004</c:v>
                </c:pt>
                <c:pt idx="277">
                  <c:v>401.64000000000004</c:v>
                </c:pt>
                <c:pt idx="278">
                  <c:v>416.88000000000005</c:v>
                </c:pt>
                <c:pt idx="279">
                  <c:v>432.12000000000006</c:v>
                </c:pt>
                <c:pt idx="280">
                  <c:v>432.12000000000006</c:v>
                </c:pt>
                <c:pt idx="281">
                  <c:v>432.12000000000006</c:v>
                </c:pt>
                <c:pt idx="282">
                  <c:v>432.34500000000008</c:v>
                </c:pt>
                <c:pt idx="283">
                  <c:v>432.57000000000005</c:v>
                </c:pt>
                <c:pt idx="284">
                  <c:v>432.57000000000005</c:v>
                </c:pt>
                <c:pt idx="285">
                  <c:v>432.57000000000005</c:v>
                </c:pt>
                <c:pt idx="286">
                  <c:v>433.55000000000007</c:v>
                </c:pt>
                <c:pt idx="287">
                  <c:v>434.53000000000003</c:v>
                </c:pt>
                <c:pt idx="288">
                  <c:v>434.53000000000003</c:v>
                </c:pt>
                <c:pt idx="289">
                  <c:v>434.53000000000003</c:v>
                </c:pt>
                <c:pt idx="290">
                  <c:v>435.34000000000003</c:v>
                </c:pt>
                <c:pt idx="291">
                  <c:v>436.15000000000003</c:v>
                </c:pt>
                <c:pt idx="292">
                  <c:v>436.15000000000003</c:v>
                </c:pt>
                <c:pt idx="293">
                  <c:v>436.15000000000003</c:v>
                </c:pt>
                <c:pt idx="294">
                  <c:v>436.38000000000005</c:v>
                </c:pt>
                <c:pt idx="295">
                  <c:v>436.61</c:v>
                </c:pt>
                <c:pt idx="296">
                  <c:v>436.61</c:v>
                </c:pt>
                <c:pt idx="297">
                  <c:v>436.61</c:v>
                </c:pt>
                <c:pt idx="298">
                  <c:v>437.63</c:v>
                </c:pt>
                <c:pt idx="299">
                  <c:v>438.65000000000003</c:v>
                </c:pt>
                <c:pt idx="300">
                  <c:v>438.65000000000003</c:v>
                </c:pt>
                <c:pt idx="301">
                  <c:v>438.65000000000003</c:v>
                </c:pt>
                <c:pt idx="302">
                  <c:v>438.82500000000005</c:v>
                </c:pt>
                <c:pt idx="303">
                  <c:v>439.00000000000006</c:v>
                </c:pt>
                <c:pt idx="304">
                  <c:v>439.00000000000006</c:v>
                </c:pt>
                <c:pt idx="305">
                  <c:v>439.00000000000006</c:v>
                </c:pt>
                <c:pt idx="306">
                  <c:v>439.13500000000005</c:v>
                </c:pt>
                <c:pt idx="307">
                  <c:v>439.27000000000004</c:v>
                </c:pt>
                <c:pt idx="308">
                  <c:v>439.27000000000004</c:v>
                </c:pt>
                <c:pt idx="309">
                  <c:v>439.27000000000004</c:v>
                </c:pt>
                <c:pt idx="310">
                  <c:v>439.45000000000005</c:v>
                </c:pt>
                <c:pt idx="311">
                  <c:v>439.63000000000005</c:v>
                </c:pt>
                <c:pt idx="312">
                  <c:v>439.63000000000005</c:v>
                </c:pt>
                <c:pt idx="313">
                  <c:v>439.63000000000005</c:v>
                </c:pt>
                <c:pt idx="314">
                  <c:v>443.42000000000007</c:v>
                </c:pt>
                <c:pt idx="315">
                  <c:v>447.21000000000004</c:v>
                </c:pt>
                <c:pt idx="316">
                  <c:v>447.21000000000004</c:v>
                </c:pt>
                <c:pt idx="317">
                  <c:v>447.21000000000004</c:v>
                </c:pt>
                <c:pt idx="318">
                  <c:v>447.44000000000005</c:v>
                </c:pt>
                <c:pt idx="319">
                  <c:v>447.67</c:v>
                </c:pt>
                <c:pt idx="320">
                  <c:v>447.67</c:v>
                </c:pt>
                <c:pt idx="321">
                  <c:v>447.67</c:v>
                </c:pt>
                <c:pt idx="322">
                  <c:v>452.07499999999999</c:v>
                </c:pt>
                <c:pt idx="323">
                  <c:v>456.48</c:v>
                </c:pt>
                <c:pt idx="324">
                  <c:v>456.48</c:v>
                </c:pt>
                <c:pt idx="325">
                  <c:v>456.48</c:v>
                </c:pt>
                <c:pt idx="326">
                  <c:v>458.13</c:v>
                </c:pt>
                <c:pt idx="327">
                  <c:v>459.78000000000003</c:v>
                </c:pt>
                <c:pt idx="328">
                  <c:v>459.78000000000003</c:v>
                </c:pt>
                <c:pt idx="329">
                  <c:v>459.78000000000003</c:v>
                </c:pt>
                <c:pt idx="330">
                  <c:v>461.53000000000003</c:v>
                </c:pt>
                <c:pt idx="331">
                  <c:v>463.28000000000003</c:v>
                </c:pt>
                <c:pt idx="332">
                  <c:v>463.28000000000003</c:v>
                </c:pt>
                <c:pt idx="333">
                  <c:v>463.28000000000003</c:v>
                </c:pt>
                <c:pt idx="334">
                  <c:v>465.33500000000004</c:v>
                </c:pt>
                <c:pt idx="335">
                  <c:v>467.39000000000004</c:v>
                </c:pt>
                <c:pt idx="336">
                  <c:v>467.39000000000004</c:v>
                </c:pt>
                <c:pt idx="337">
                  <c:v>467.39000000000004</c:v>
                </c:pt>
                <c:pt idx="338">
                  <c:v>470.47</c:v>
                </c:pt>
                <c:pt idx="339">
                  <c:v>473.55000000000007</c:v>
                </c:pt>
                <c:pt idx="340">
                  <c:v>473.55000000000007</c:v>
                </c:pt>
                <c:pt idx="341">
                  <c:v>473.55000000000007</c:v>
                </c:pt>
                <c:pt idx="342">
                  <c:v>473.65000000000009</c:v>
                </c:pt>
                <c:pt idx="343">
                  <c:v>473.75000000000006</c:v>
                </c:pt>
                <c:pt idx="344">
                  <c:v>473.75000000000006</c:v>
                </c:pt>
                <c:pt idx="345">
                  <c:v>473.75000000000006</c:v>
                </c:pt>
                <c:pt idx="346">
                  <c:v>475.46500000000003</c:v>
                </c:pt>
                <c:pt idx="347">
                  <c:v>477.18000000000006</c:v>
                </c:pt>
                <c:pt idx="348">
                  <c:v>477.18000000000006</c:v>
                </c:pt>
                <c:pt idx="349">
                  <c:v>477.18000000000006</c:v>
                </c:pt>
                <c:pt idx="350">
                  <c:v>477.30500000000006</c:v>
                </c:pt>
                <c:pt idx="351">
                  <c:v>477.43000000000006</c:v>
                </c:pt>
                <c:pt idx="352">
                  <c:v>477.43000000000006</c:v>
                </c:pt>
                <c:pt idx="353">
                  <c:v>477.43000000000006</c:v>
                </c:pt>
                <c:pt idx="354">
                  <c:v>479.99000000000007</c:v>
                </c:pt>
                <c:pt idx="355">
                  <c:v>482.55000000000007</c:v>
                </c:pt>
                <c:pt idx="356">
                  <c:v>482.55000000000007</c:v>
                </c:pt>
                <c:pt idx="357">
                  <c:v>482.55000000000007</c:v>
                </c:pt>
                <c:pt idx="358">
                  <c:v>484.30000000000007</c:v>
                </c:pt>
                <c:pt idx="359">
                  <c:v>486.05000000000007</c:v>
                </c:pt>
                <c:pt idx="360">
                  <c:v>486.05000000000007</c:v>
                </c:pt>
                <c:pt idx="361">
                  <c:v>486.05000000000007</c:v>
                </c:pt>
                <c:pt idx="362">
                  <c:v>491.67500000000007</c:v>
                </c:pt>
                <c:pt idx="363">
                  <c:v>497.30000000000007</c:v>
                </c:pt>
                <c:pt idx="364">
                  <c:v>497.30000000000007</c:v>
                </c:pt>
                <c:pt idx="365">
                  <c:v>497.30000000000007</c:v>
                </c:pt>
                <c:pt idx="366">
                  <c:v>498.16000000000008</c:v>
                </c:pt>
                <c:pt idx="367">
                  <c:v>499.0200000000001</c:v>
                </c:pt>
                <c:pt idx="368">
                  <c:v>499.0200000000001</c:v>
                </c:pt>
                <c:pt idx="369">
                  <c:v>499.0200000000001</c:v>
                </c:pt>
                <c:pt idx="370">
                  <c:v>501.21000000000009</c:v>
                </c:pt>
                <c:pt idx="371">
                  <c:v>503.40000000000009</c:v>
                </c:pt>
                <c:pt idx="372">
                  <c:v>503.40000000000009</c:v>
                </c:pt>
                <c:pt idx="373">
                  <c:v>503.40000000000009</c:v>
                </c:pt>
                <c:pt idx="374">
                  <c:v>514.20000000000005</c:v>
                </c:pt>
                <c:pt idx="375">
                  <c:v>525.00000000000011</c:v>
                </c:pt>
                <c:pt idx="376">
                  <c:v>525.00000000000011</c:v>
                </c:pt>
                <c:pt idx="377">
                  <c:v>525.00000000000011</c:v>
                </c:pt>
                <c:pt idx="378">
                  <c:v>526.00000000000011</c:v>
                </c:pt>
                <c:pt idx="379">
                  <c:v>527.00000000000011</c:v>
                </c:pt>
                <c:pt idx="380">
                  <c:v>527.00000000000011</c:v>
                </c:pt>
                <c:pt idx="381">
                  <c:v>527.00000000000011</c:v>
                </c:pt>
                <c:pt idx="382">
                  <c:v>527.57500000000016</c:v>
                </c:pt>
                <c:pt idx="383">
                  <c:v>528.15000000000009</c:v>
                </c:pt>
                <c:pt idx="384">
                  <c:v>528.15000000000009</c:v>
                </c:pt>
                <c:pt idx="385">
                  <c:v>528.15000000000009</c:v>
                </c:pt>
                <c:pt idx="386">
                  <c:v>536.67000000000007</c:v>
                </c:pt>
                <c:pt idx="387">
                  <c:v>545.19000000000005</c:v>
                </c:pt>
                <c:pt idx="388">
                  <c:v>545.19000000000005</c:v>
                </c:pt>
                <c:pt idx="389">
                  <c:v>545.19000000000005</c:v>
                </c:pt>
                <c:pt idx="390">
                  <c:v>545.90000000000009</c:v>
                </c:pt>
                <c:pt idx="391">
                  <c:v>546.61</c:v>
                </c:pt>
                <c:pt idx="392">
                  <c:v>546.61</c:v>
                </c:pt>
                <c:pt idx="393">
                  <c:v>546.61</c:v>
                </c:pt>
                <c:pt idx="394">
                  <c:v>546.96500000000003</c:v>
                </c:pt>
                <c:pt idx="395">
                  <c:v>547.32000000000005</c:v>
                </c:pt>
                <c:pt idx="396">
                  <c:v>547.32000000000005</c:v>
                </c:pt>
                <c:pt idx="397">
                  <c:v>547.32000000000005</c:v>
                </c:pt>
                <c:pt idx="398">
                  <c:v>548.38</c:v>
                </c:pt>
                <c:pt idx="399">
                  <c:v>549.44000000000005</c:v>
                </c:pt>
                <c:pt idx="400">
                  <c:v>549.44000000000005</c:v>
                </c:pt>
                <c:pt idx="401">
                  <c:v>549.44000000000005</c:v>
                </c:pt>
                <c:pt idx="402">
                  <c:v>549.83000000000004</c:v>
                </c:pt>
                <c:pt idx="403">
                  <c:v>550.22</c:v>
                </c:pt>
                <c:pt idx="404">
                  <c:v>550.22</c:v>
                </c:pt>
                <c:pt idx="405">
                  <c:v>550.22</c:v>
                </c:pt>
                <c:pt idx="406">
                  <c:v>551.03500000000008</c:v>
                </c:pt>
                <c:pt idx="407">
                  <c:v>551.85</c:v>
                </c:pt>
                <c:pt idx="408">
                  <c:v>551.85</c:v>
                </c:pt>
                <c:pt idx="409">
                  <c:v>551.85</c:v>
                </c:pt>
                <c:pt idx="410">
                  <c:v>552.20500000000004</c:v>
                </c:pt>
                <c:pt idx="411">
                  <c:v>552.56000000000006</c:v>
                </c:pt>
                <c:pt idx="412">
                  <c:v>552.56000000000006</c:v>
                </c:pt>
                <c:pt idx="413">
                  <c:v>552.56000000000006</c:v>
                </c:pt>
                <c:pt idx="414">
                  <c:v>552.72</c:v>
                </c:pt>
                <c:pt idx="415">
                  <c:v>552.88000000000011</c:v>
                </c:pt>
                <c:pt idx="416">
                  <c:v>552.88000000000011</c:v>
                </c:pt>
                <c:pt idx="417">
                  <c:v>552.88000000000011</c:v>
                </c:pt>
                <c:pt idx="418">
                  <c:v>558.12000000000012</c:v>
                </c:pt>
                <c:pt idx="419">
                  <c:v>563.36000000000013</c:v>
                </c:pt>
                <c:pt idx="420">
                  <c:v>563.36000000000013</c:v>
                </c:pt>
                <c:pt idx="421">
                  <c:v>563.36000000000013</c:v>
                </c:pt>
                <c:pt idx="422">
                  <c:v>564.20000000000016</c:v>
                </c:pt>
                <c:pt idx="423">
                  <c:v>565.04000000000008</c:v>
                </c:pt>
                <c:pt idx="424">
                  <c:v>565.04000000000008</c:v>
                </c:pt>
                <c:pt idx="425">
                  <c:v>565.04000000000008</c:v>
                </c:pt>
                <c:pt idx="426">
                  <c:v>567.11500000000012</c:v>
                </c:pt>
                <c:pt idx="427">
                  <c:v>569.19000000000005</c:v>
                </c:pt>
                <c:pt idx="428">
                  <c:v>569.19000000000005</c:v>
                </c:pt>
                <c:pt idx="429">
                  <c:v>569.19000000000005</c:v>
                </c:pt>
                <c:pt idx="430">
                  <c:v>570.06500000000005</c:v>
                </c:pt>
                <c:pt idx="431">
                  <c:v>570.94000000000005</c:v>
                </c:pt>
                <c:pt idx="432">
                  <c:v>570.94000000000005</c:v>
                </c:pt>
                <c:pt idx="433">
                  <c:v>570.94000000000005</c:v>
                </c:pt>
                <c:pt idx="434">
                  <c:v>572.48</c:v>
                </c:pt>
                <c:pt idx="435">
                  <c:v>574.0200000000001</c:v>
                </c:pt>
                <c:pt idx="436">
                  <c:v>574.0200000000001</c:v>
                </c:pt>
                <c:pt idx="437">
                  <c:v>574.0200000000001</c:v>
                </c:pt>
                <c:pt idx="438">
                  <c:v>574.09500000000014</c:v>
                </c:pt>
                <c:pt idx="439">
                  <c:v>574.17000000000007</c:v>
                </c:pt>
                <c:pt idx="440">
                  <c:v>574.17000000000007</c:v>
                </c:pt>
                <c:pt idx="441">
                  <c:v>574.17000000000007</c:v>
                </c:pt>
                <c:pt idx="442">
                  <c:v>574.17500000000007</c:v>
                </c:pt>
                <c:pt idx="443">
                  <c:v>574.18000000000006</c:v>
                </c:pt>
                <c:pt idx="444">
                  <c:v>574.18000000000006</c:v>
                </c:pt>
                <c:pt idx="445">
                  <c:v>574.18000000000006</c:v>
                </c:pt>
                <c:pt idx="446">
                  <c:v>574.50000000000011</c:v>
                </c:pt>
                <c:pt idx="447">
                  <c:v>574.82000000000005</c:v>
                </c:pt>
                <c:pt idx="448">
                  <c:v>574.82000000000005</c:v>
                </c:pt>
                <c:pt idx="449">
                  <c:v>574.82000000000005</c:v>
                </c:pt>
                <c:pt idx="450">
                  <c:v>577.43500000000006</c:v>
                </c:pt>
                <c:pt idx="451">
                  <c:v>580.05000000000007</c:v>
                </c:pt>
                <c:pt idx="452">
                  <c:v>580.05000000000007</c:v>
                </c:pt>
                <c:pt idx="453">
                  <c:v>580.05000000000007</c:v>
                </c:pt>
                <c:pt idx="454">
                  <c:v>580.72500000000002</c:v>
                </c:pt>
                <c:pt idx="455">
                  <c:v>581.40000000000009</c:v>
                </c:pt>
                <c:pt idx="456">
                  <c:v>581.40000000000009</c:v>
                </c:pt>
                <c:pt idx="457">
                  <c:v>581.40000000000009</c:v>
                </c:pt>
                <c:pt idx="458">
                  <c:v>583.52500000000009</c:v>
                </c:pt>
                <c:pt idx="459">
                  <c:v>585.65000000000009</c:v>
                </c:pt>
                <c:pt idx="460">
                  <c:v>585.65000000000009</c:v>
                </c:pt>
                <c:pt idx="461">
                  <c:v>585.65000000000009</c:v>
                </c:pt>
                <c:pt idx="462">
                  <c:v>588.6350000000001</c:v>
                </c:pt>
                <c:pt idx="463">
                  <c:v>591.62000000000012</c:v>
                </c:pt>
                <c:pt idx="464">
                  <c:v>591.62000000000012</c:v>
                </c:pt>
                <c:pt idx="465">
                  <c:v>591.62000000000012</c:v>
                </c:pt>
                <c:pt idx="466">
                  <c:v>592.19000000000017</c:v>
                </c:pt>
                <c:pt idx="467">
                  <c:v>592.7600000000001</c:v>
                </c:pt>
                <c:pt idx="468">
                  <c:v>592.7600000000001</c:v>
                </c:pt>
                <c:pt idx="469">
                  <c:v>592.7600000000001</c:v>
                </c:pt>
                <c:pt idx="470">
                  <c:v>594.17500000000007</c:v>
                </c:pt>
                <c:pt idx="471">
                  <c:v>595.59000000000015</c:v>
                </c:pt>
                <c:pt idx="472">
                  <c:v>595.59000000000015</c:v>
                </c:pt>
                <c:pt idx="473">
                  <c:v>595.59000000000015</c:v>
                </c:pt>
                <c:pt idx="474">
                  <c:v>595.9100000000002</c:v>
                </c:pt>
                <c:pt idx="475">
                  <c:v>596.23000000000013</c:v>
                </c:pt>
                <c:pt idx="476">
                  <c:v>596.23000000000013</c:v>
                </c:pt>
                <c:pt idx="477">
                  <c:v>596.23000000000013</c:v>
                </c:pt>
                <c:pt idx="478">
                  <c:v>597.48000000000013</c:v>
                </c:pt>
                <c:pt idx="479">
                  <c:v>598.73000000000013</c:v>
                </c:pt>
                <c:pt idx="480">
                  <c:v>598.73000000000013</c:v>
                </c:pt>
                <c:pt idx="481">
                  <c:v>598.73000000000013</c:v>
                </c:pt>
                <c:pt idx="482">
                  <c:v>599.29000000000008</c:v>
                </c:pt>
                <c:pt idx="483">
                  <c:v>599.85000000000014</c:v>
                </c:pt>
                <c:pt idx="484">
                  <c:v>599.85000000000014</c:v>
                </c:pt>
                <c:pt idx="485">
                  <c:v>599.85000000000014</c:v>
                </c:pt>
                <c:pt idx="486">
                  <c:v>602.60500000000013</c:v>
                </c:pt>
                <c:pt idx="487">
                  <c:v>605.36000000000013</c:v>
                </c:pt>
                <c:pt idx="488">
                  <c:v>605.36000000000013</c:v>
                </c:pt>
                <c:pt idx="489">
                  <c:v>605.36000000000013</c:v>
                </c:pt>
                <c:pt idx="490">
                  <c:v>606.83500000000015</c:v>
                </c:pt>
                <c:pt idx="491">
                  <c:v>608.31000000000017</c:v>
                </c:pt>
                <c:pt idx="492">
                  <c:v>608.31000000000017</c:v>
                </c:pt>
                <c:pt idx="493">
                  <c:v>608.31000000000017</c:v>
                </c:pt>
                <c:pt idx="494">
                  <c:v>609.41500000000019</c:v>
                </c:pt>
                <c:pt idx="495">
                  <c:v>610.52000000000021</c:v>
                </c:pt>
                <c:pt idx="496">
                  <c:v>610.52000000000021</c:v>
                </c:pt>
                <c:pt idx="497">
                  <c:v>610.52000000000021</c:v>
                </c:pt>
                <c:pt idx="498">
                  <c:v>610.93000000000018</c:v>
                </c:pt>
                <c:pt idx="499">
                  <c:v>611.34000000000026</c:v>
                </c:pt>
                <c:pt idx="500">
                  <c:v>611.34000000000026</c:v>
                </c:pt>
                <c:pt idx="501">
                  <c:v>611.34000000000026</c:v>
                </c:pt>
                <c:pt idx="502">
                  <c:v>612.11500000000024</c:v>
                </c:pt>
                <c:pt idx="503">
                  <c:v>612.89000000000021</c:v>
                </c:pt>
                <c:pt idx="504">
                  <c:v>612.89000000000021</c:v>
                </c:pt>
                <c:pt idx="505">
                  <c:v>612.89000000000021</c:v>
                </c:pt>
                <c:pt idx="506">
                  <c:v>614.77000000000021</c:v>
                </c:pt>
                <c:pt idx="507">
                  <c:v>616.6500000000002</c:v>
                </c:pt>
                <c:pt idx="508">
                  <c:v>616.6500000000002</c:v>
                </c:pt>
                <c:pt idx="509">
                  <c:v>616.6500000000002</c:v>
                </c:pt>
                <c:pt idx="510">
                  <c:v>617.45000000000016</c:v>
                </c:pt>
                <c:pt idx="511">
                  <c:v>618.25000000000023</c:v>
                </c:pt>
                <c:pt idx="512">
                  <c:v>618.25000000000023</c:v>
                </c:pt>
                <c:pt idx="513">
                  <c:v>618.25000000000023</c:v>
                </c:pt>
                <c:pt idx="514">
                  <c:v>618.69500000000028</c:v>
                </c:pt>
                <c:pt idx="515">
                  <c:v>619.14000000000021</c:v>
                </c:pt>
                <c:pt idx="516">
                  <c:v>619.14000000000021</c:v>
                </c:pt>
                <c:pt idx="517">
                  <c:v>619.14000000000021</c:v>
                </c:pt>
                <c:pt idx="518">
                  <c:v>619.50000000000023</c:v>
                </c:pt>
                <c:pt idx="519">
                  <c:v>619.86000000000024</c:v>
                </c:pt>
                <c:pt idx="520">
                  <c:v>619.86000000000024</c:v>
                </c:pt>
                <c:pt idx="521">
                  <c:v>619.86000000000024</c:v>
                </c:pt>
                <c:pt idx="522">
                  <c:v>621.71500000000026</c:v>
                </c:pt>
                <c:pt idx="523">
                  <c:v>623.57000000000028</c:v>
                </c:pt>
                <c:pt idx="524">
                  <c:v>623.57000000000028</c:v>
                </c:pt>
                <c:pt idx="525">
                  <c:v>623.57000000000028</c:v>
                </c:pt>
                <c:pt idx="526">
                  <c:v>624.60500000000025</c:v>
                </c:pt>
                <c:pt idx="527">
                  <c:v>625.64000000000033</c:v>
                </c:pt>
                <c:pt idx="528">
                  <c:v>625.64000000000033</c:v>
                </c:pt>
                <c:pt idx="529">
                  <c:v>625.64000000000033</c:v>
                </c:pt>
                <c:pt idx="530">
                  <c:v>627.72500000000036</c:v>
                </c:pt>
                <c:pt idx="531">
                  <c:v>629.81000000000029</c:v>
                </c:pt>
                <c:pt idx="532">
                  <c:v>629.81000000000029</c:v>
                </c:pt>
                <c:pt idx="533">
                  <c:v>629.81000000000029</c:v>
                </c:pt>
                <c:pt idx="534">
                  <c:v>632.13500000000033</c:v>
                </c:pt>
                <c:pt idx="535">
                  <c:v>634.46000000000026</c:v>
                </c:pt>
                <c:pt idx="536">
                  <c:v>634.46000000000026</c:v>
                </c:pt>
                <c:pt idx="537">
                  <c:v>634.46000000000026</c:v>
                </c:pt>
                <c:pt idx="538">
                  <c:v>635.61000000000024</c:v>
                </c:pt>
                <c:pt idx="539">
                  <c:v>636.76000000000022</c:v>
                </c:pt>
                <c:pt idx="540">
                  <c:v>636.76000000000022</c:v>
                </c:pt>
                <c:pt idx="541">
                  <c:v>636.76000000000022</c:v>
                </c:pt>
                <c:pt idx="542">
                  <c:v>637.63500000000022</c:v>
                </c:pt>
                <c:pt idx="543">
                  <c:v>638.51000000000022</c:v>
                </c:pt>
                <c:pt idx="544">
                  <c:v>638.51000000000022</c:v>
                </c:pt>
                <c:pt idx="545">
                  <c:v>638.51000000000022</c:v>
                </c:pt>
                <c:pt idx="546">
                  <c:v>639.16500000000019</c:v>
                </c:pt>
                <c:pt idx="547">
                  <c:v>639.82000000000016</c:v>
                </c:pt>
                <c:pt idx="548">
                  <c:v>639.82000000000016</c:v>
                </c:pt>
                <c:pt idx="549">
                  <c:v>639.82000000000016</c:v>
                </c:pt>
                <c:pt idx="550">
                  <c:v>639.97000000000014</c:v>
                </c:pt>
                <c:pt idx="551">
                  <c:v>640.12000000000012</c:v>
                </c:pt>
                <c:pt idx="552">
                  <c:v>640.12000000000012</c:v>
                </c:pt>
                <c:pt idx="553">
                  <c:v>640.12000000000012</c:v>
                </c:pt>
                <c:pt idx="554">
                  <c:v>640.20000000000016</c:v>
                </c:pt>
                <c:pt idx="555">
                  <c:v>640.28000000000009</c:v>
                </c:pt>
                <c:pt idx="556">
                  <c:v>640.28000000000009</c:v>
                </c:pt>
                <c:pt idx="557">
                  <c:v>640.28000000000009</c:v>
                </c:pt>
                <c:pt idx="558">
                  <c:v>640.48500000000013</c:v>
                </c:pt>
                <c:pt idx="559">
                  <c:v>640.69000000000005</c:v>
                </c:pt>
                <c:pt idx="560">
                  <c:v>640.69000000000005</c:v>
                </c:pt>
                <c:pt idx="561">
                  <c:v>640.69000000000005</c:v>
                </c:pt>
                <c:pt idx="562">
                  <c:v>641.66000000000008</c:v>
                </c:pt>
                <c:pt idx="563">
                  <c:v>642.63000000000011</c:v>
                </c:pt>
                <c:pt idx="564">
                  <c:v>642.63000000000011</c:v>
                </c:pt>
                <c:pt idx="565">
                  <c:v>642.63000000000011</c:v>
                </c:pt>
                <c:pt idx="566">
                  <c:v>642.92000000000007</c:v>
                </c:pt>
                <c:pt idx="567">
                  <c:v>643.21000000000015</c:v>
                </c:pt>
                <c:pt idx="568">
                  <c:v>643.21000000000015</c:v>
                </c:pt>
                <c:pt idx="569">
                  <c:v>643.21000000000015</c:v>
                </c:pt>
                <c:pt idx="570">
                  <c:v>643.93500000000017</c:v>
                </c:pt>
                <c:pt idx="571">
                  <c:v>644.6600000000002</c:v>
                </c:pt>
                <c:pt idx="572">
                  <c:v>644.6600000000002</c:v>
                </c:pt>
                <c:pt idx="573">
                  <c:v>644.6600000000002</c:v>
                </c:pt>
                <c:pt idx="574">
                  <c:v>644.72500000000025</c:v>
                </c:pt>
                <c:pt idx="575">
                  <c:v>644.79000000000019</c:v>
                </c:pt>
                <c:pt idx="576">
                  <c:v>644.79000000000019</c:v>
                </c:pt>
                <c:pt idx="577">
                  <c:v>644.79000000000019</c:v>
                </c:pt>
                <c:pt idx="578">
                  <c:v>645.24500000000023</c:v>
                </c:pt>
                <c:pt idx="579">
                  <c:v>645.70000000000016</c:v>
                </c:pt>
                <c:pt idx="580">
                  <c:v>645.70000000000016</c:v>
                </c:pt>
                <c:pt idx="581">
                  <c:v>645.70000000000016</c:v>
                </c:pt>
                <c:pt idx="582">
                  <c:v>648.09500000000014</c:v>
                </c:pt>
                <c:pt idx="583">
                  <c:v>650.49000000000012</c:v>
                </c:pt>
                <c:pt idx="584">
                  <c:v>650.49000000000012</c:v>
                </c:pt>
                <c:pt idx="585">
                  <c:v>650.49000000000012</c:v>
                </c:pt>
                <c:pt idx="586">
                  <c:v>653.85500000000013</c:v>
                </c:pt>
                <c:pt idx="587">
                  <c:v>657.22000000000014</c:v>
                </c:pt>
                <c:pt idx="588">
                  <c:v>657.22000000000014</c:v>
                </c:pt>
                <c:pt idx="589">
                  <c:v>657.22000000000014</c:v>
                </c:pt>
                <c:pt idx="590">
                  <c:v>657.8900000000001</c:v>
                </c:pt>
                <c:pt idx="591">
                  <c:v>658.56000000000017</c:v>
                </c:pt>
                <c:pt idx="592">
                  <c:v>658.56000000000017</c:v>
                </c:pt>
                <c:pt idx="593">
                  <c:v>658.56000000000017</c:v>
                </c:pt>
                <c:pt idx="594">
                  <c:v>658.64000000000021</c:v>
                </c:pt>
                <c:pt idx="595">
                  <c:v>658.72000000000014</c:v>
                </c:pt>
                <c:pt idx="596">
                  <c:v>658.72000000000014</c:v>
                </c:pt>
                <c:pt idx="597">
                  <c:v>658.72000000000014</c:v>
                </c:pt>
                <c:pt idx="598">
                  <c:v>658.88000000000011</c:v>
                </c:pt>
                <c:pt idx="599">
                  <c:v>659.04000000000019</c:v>
                </c:pt>
                <c:pt idx="600">
                  <c:v>659.04000000000019</c:v>
                </c:pt>
                <c:pt idx="601">
                  <c:v>659.04000000000019</c:v>
                </c:pt>
                <c:pt idx="602">
                  <c:v>660.31000000000017</c:v>
                </c:pt>
                <c:pt idx="603">
                  <c:v>661.58000000000015</c:v>
                </c:pt>
                <c:pt idx="604">
                  <c:v>661.58000000000015</c:v>
                </c:pt>
                <c:pt idx="605">
                  <c:v>661.58000000000015</c:v>
                </c:pt>
                <c:pt idx="606">
                  <c:v>665.08000000000015</c:v>
                </c:pt>
                <c:pt idx="607">
                  <c:v>668.58000000000015</c:v>
                </c:pt>
                <c:pt idx="608">
                  <c:v>668.58000000000015</c:v>
                </c:pt>
                <c:pt idx="609">
                  <c:v>668.58000000000015</c:v>
                </c:pt>
                <c:pt idx="610">
                  <c:v>668.88000000000011</c:v>
                </c:pt>
                <c:pt idx="611">
                  <c:v>669.18000000000018</c:v>
                </c:pt>
                <c:pt idx="612">
                  <c:v>669.18000000000018</c:v>
                </c:pt>
                <c:pt idx="613">
                  <c:v>669.18000000000018</c:v>
                </c:pt>
                <c:pt idx="614">
                  <c:v>669.37500000000023</c:v>
                </c:pt>
                <c:pt idx="615">
                  <c:v>669.57000000000016</c:v>
                </c:pt>
                <c:pt idx="616">
                  <c:v>669.57000000000016</c:v>
                </c:pt>
                <c:pt idx="617">
                  <c:v>669.57000000000016</c:v>
                </c:pt>
                <c:pt idx="618">
                  <c:v>669.81000000000017</c:v>
                </c:pt>
                <c:pt idx="619">
                  <c:v>670.05000000000018</c:v>
                </c:pt>
                <c:pt idx="620">
                  <c:v>670.05000000000018</c:v>
                </c:pt>
                <c:pt idx="621">
                  <c:v>670.05000000000018</c:v>
                </c:pt>
                <c:pt idx="622">
                  <c:v>670.21500000000015</c:v>
                </c:pt>
                <c:pt idx="623">
                  <c:v>670.38000000000022</c:v>
                </c:pt>
                <c:pt idx="624">
                  <c:v>670.38000000000022</c:v>
                </c:pt>
                <c:pt idx="625">
                  <c:v>670.38000000000022</c:v>
                </c:pt>
                <c:pt idx="626">
                  <c:v>671.69000000000017</c:v>
                </c:pt>
                <c:pt idx="627">
                  <c:v>673.00000000000023</c:v>
                </c:pt>
                <c:pt idx="628">
                  <c:v>673.00000000000023</c:v>
                </c:pt>
                <c:pt idx="629">
                  <c:v>673.00000000000023</c:v>
                </c:pt>
                <c:pt idx="630">
                  <c:v>673.14500000000021</c:v>
                </c:pt>
                <c:pt idx="631">
                  <c:v>673.29000000000019</c:v>
                </c:pt>
                <c:pt idx="632">
                  <c:v>673.29000000000019</c:v>
                </c:pt>
                <c:pt idx="633">
                  <c:v>673.29000000000019</c:v>
                </c:pt>
                <c:pt idx="634">
                  <c:v>673.37000000000023</c:v>
                </c:pt>
                <c:pt idx="635">
                  <c:v>673.45000000000016</c:v>
                </c:pt>
                <c:pt idx="636">
                  <c:v>673.45000000000016</c:v>
                </c:pt>
                <c:pt idx="637">
                  <c:v>673.45000000000016</c:v>
                </c:pt>
                <c:pt idx="638">
                  <c:v>673.54500000000019</c:v>
                </c:pt>
                <c:pt idx="639">
                  <c:v>673.64000000000021</c:v>
                </c:pt>
                <c:pt idx="640">
                  <c:v>673.64000000000021</c:v>
                </c:pt>
                <c:pt idx="641">
                  <c:v>673.64000000000021</c:v>
                </c:pt>
                <c:pt idx="642">
                  <c:v>673.85000000000025</c:v>
                </c:pt>
                <c:pt idx="643">
                  <c:v>674.06000000000017</c:v>
                </c:pt>
                <c:pt idx="644">
                  <c:v>674.06000000000017</c:v>
                </c:pt>
                <c:pt idx="645">
                  <c:v>674.06000000000017</c:v>
                </c:pt>
                <c:pt idx="646">
                  <c:v>674.10500000000013</c:v>
                </c:pt>
                <c:pt idx="647">
                  <c:v>674.1500000000002</c:v>
                </c:pt>
                <c:pt idx="648">
                  <c:v>674.1500000000002</c:v>
                </c:pt>
                <c:pt idx="649">
                  <c:v>674.1500000000002</c:v>
                </c:pt>
                <c:pt idx="650">
                  <c:v>674.25000000000023</c:v>
                </c:pt>
                <c:pt idx="651">
                  <c:v>674.35000000000025</c:v>
                </c:pt>
                <c:pt idx="652">
                  <c:v>674.35000000000025</c:v>
                </c:pt>
                <c:pt idx="653">
                  <c:v>674.35000000000025</c:v>
                </c:pt>
                <c:pt idx="654">
                  <c:v>674.7800000000002</c:v>
                </c:pt>
                <c:pt idx="655">
                  <c:v>675.21000000000026</c:v>
                </c:pt>
                <c:pt idx="656">
                  <c:v>675.21000000000026</c:v>
                </c:pt>
                <c:pt idx="657">
                  <c:v>675.21000000000026</c:v>
                </c:pt>
                <c:pt idx="658">
                  <c:v>675.33500000000026</c:v>
                </c:pt>
                <c:pt idx="659">
                  <c:v>675.46000000000026</c:v>
                </c:pt>
                <c:pt idx="660">
                  <c:v>675.46000000000026</c:v>
                </c:pt>
                <c:pt idx="661">
                  <c:v>675.46000000000026</c:v>
                </c:pt>
                <c:pt idx="662">
                  <c:v>675.52000000000021</c:v>
                </c:pt>
                <c:pt idx="663">
                  <c:v>675.58000000000027</c:v>
                </c:pt>
                <c:pt idx="664">
                  <c:v>675.58000000000027</c:v>
                </c:pt>
                <c:pt idx="665">
                  <c:v>675.58000000000027</c:v>
                </c:pt>
                <c:pt idx="666">
                  <c:v>675.66000000000031</c:v>
                </c:pt>
                <c:pt idx="667">
                  <c:v>675.74000000000024</c:v>
                </c:pt>
                <c:pt idx="668">
                  <c:v>675.74000000000024</c:v>
                </c:pt>
                <c:pt idx="669">
                  <c:v>675.74000000000024</c:v>
                </c:pt>
                <c:pt idx="670">
                  <c:v>675.89000000000021</c:v>
                </c:pt>
                <c:pt idx="671">
                  <c:v>676.04000000000019</c:v>
                </c:pt>
                <c:pt idx="672">
                  <c:v>676.04000000000019</c:v>
                </c:pt>
                <c:pt idx="673">
                  <c:v>676.04000000000019</c:v>
                </c:pt>
                <c:pt idx="674">
                  <c:v>676.59500000000014</c:v>
                </c:pt>
                <c:pt idx="675">
                  <c:v>677.1500000000002</c:v>
                </c:pt>
                <c:pt idx="676">
                  <c:v>677.1500000000002</c:v>
                </c:pt>
                <c:pt idx="677">
                  <c:v>677.1500000000002</c:v>
                </c:pt>
                <c:pt idx="678">
                  <c:v>677.25000000000023</c:v>
                </c:pt>
                <c:pt idx="679">
                  <c:v>677.35000000000025</c:v>
                </c:pt>
                <c:pt idx="680">
                  <c:v>677.35000000000025</c:v>
                </c:pt>
                <c:pt idx="681">
                  <c:v>677.35000000000025</c:v>
                </c:pt>
                <c:pt idx="682">
                  <c:v>677.56500000000028</c:v>
                </c:pt>
                <c:pt idx="683">
                  <c:v>677.7800000000002</c:v>
                </c:pt>
                <c:pt idx="684">
                  <c:v>677.7800000000002</c:v>
                </c:pt>
                <c:pt idx="685">
                  <c:v>677.7800000000002</c:v>
                </c:pt>
                <c:pt idx="686">
                  <c:v>677.85000000000025</c:v>
                </c:pt>
                <c:pt idx="687">
                  <c:v>677.92000000000019</c:v>
                </c:pt>
                <c:pt idx="688">
                  <c:v>677.92000000000019</c:v>
                </c:pt>
                <c:pt idx="689">
                  <c:v>677.92000000000019</c:v>
                </c:pt>
                <c:pt idx="690">
                  <c:v>677.93000000000018</c:v>
                </c:pt>
                <c:pt idx="691">
                  <c:v>677.94000000000017</c:v>
                </c:pt>
                <c:pt idx="692">
                  <c:v>677.94000000000017</c:v>
                </c:pt>
                <c:pt idx="693">
                  <c:v>677.94000000000017</c:v>
                </c:pt>
                <c:pt idx="694">
                  <c:v>678.00000000000011</c:v>
                </c:pt>
                <c:pt idx="695">
                  <c:v>678.06000000000017</c:v>
                </c:pt>
                <c:pt idx="696">
                  <c:v>678.06000000000017</c:v>
                </c:pt>
                <c:pt idx="697">
                  <c:v>678.06000000000017</c:v>
                </c:pt>
                <c:pt idx="698">
                  <c:v>678.20000000000016</c:v>
                </c:pt>
                <c:pt idx="699">
                  <c:v>678.34000000000015</c:v>
                </c:pt>
                <c:pt idx="700">
                  <c:v>678.34000000000015</c:v>
                </c:pt>
                <c:pt idx="701">
                  <c:v>678.34000000000015</c:v>
                </c:pt>
                <c:pt idx="702">
                  <c:v>678.49000000000012</c:v>
                </c:pt>
                <c:pt idx="703">
                  <c:v>678.6400000000001</c:v>
                </c:pt>
                <c:pt idx="704">
                  <c:v>678.6400000000001</c:v>
                </c:pt>
                <c:pt idx="705">
                  <c:v>678.6400000000001</c:v>
                </c:pt>
                <c:pt idx="706">
                  <c:v>678.67000000000007</c:v>
                </c:pt>
                <c:pt idx="707">
                  <c:v>678.7</c:v>
                </c:pt>
                <c:pt idx="708">
                  <c:v>678.7</c:v>
                </c:pt>
                <c:pt idx="709">
                  <c:v>678.7</c:v>
                </c:pt>
              </c:numCache>
            </c:numRef>
          </c:cat>
          <c:val>
            <c:numRef>
              <c:f>Charts!$O$7:$O$716</c:f>
              <c:numCache>
                <c:formatCode>General</c:formatCode>
                <c:ptCount val="71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48.812496550244006</c:v>
                </c:pt>
                <c:pt idx="86">
                  <c:v>48.812496550244006</c:v>
                </c:pt>
                <c:pt idx="87">
                  <c:v>48.812496550244006</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52.902496550244003</c:v>
                </c:pt>
                <c:pt idx="102">
                  <c:v>52.902496550244003</c:v>
                </c:pt>
                <c:pt idx="103">
                  <c:v>52.902496550244003</c:v>
                </c:pt>
                <c:pt idx="104">
                  <c:v>0</c:v>
                </c:pt>
                <c:pt idx="105">
                  <c:v>53.232496550244001</c:v>
                </c:pt>
                <c:pt idx="106">
                  <c:v>53.232496550244001</c:v>
                </c:pt>
                <c:pt idx="107">
                  <c:v>53.232496550244001</c:v>
                </c:pt>
                <c:pt idx="108">
                  <c:v>0</c:v>
                </c:pt>
                <c:pt idx="109">
                  <c:v>53.242496550244006</c:v>
                </c:pt>
                <c:pt idx="110">
                  <c:v>53.242496550244006</c:v>
                </c:pt>
                <c:pt idx="111">
                  <c:v>53.242496550244006</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53.832496550244002</c:v>
                </c:pt>
                <c:pt idx="130">
                  <c:v>53.832496550244002</c:v>
                </c:pt>
                <c:pt idx="131">
                  <c:v>53.832496550244002</c:v>
                </c:pt>
                <c:pt idx="132">
                  <c:v>0</c:v>
                </c:pt>
                <c:pt idx="133">
                  <c:v>54.182496550244004</c:v>
                </c:pt>
                <c:pt idx="134">
                  <c:v>54.182496550244004</c:v>
                </c:pt>
                <c:pt idx="135">
                  <c:v>54.182496550244004</c:v>
                </c:pt>
                <c:pt idx="136">
                  <c:v>0</c:v>
                </c:pt>
                <c:pt idx="137">
                  <c:v>54.282496550244005</c:v>
                </c:pt>
                <c:pt idx="138">
                  <c:v>54.282496550244005</c:v>
                </c:pt>
                <c:pt idx="139">
                  <c:v>54.282496550244005</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56.082496550244002</c:v>
                </c:pt>
                <c:pt idx="162">
                  <c:v>56.082496550244002</c:v>
                </c:pt>
                <c:pt idx="163">
                  <c:v>56.082496550244002</c:v>
                </c:pt>
                <c:pt idx="164">
                  <c:v>0</c:v>
                </c:pt>
                <c:pt idx="165">
                  <c:v>0</c:v>
                </c:pt>
                <c:pt idx="166">
                  <c:v>0</c:v>
                </c:pt>
                <c:pt idx="167">
                  <c:v>0</c:v>
                </c:pt>
                <c:pt idx="168">
                  <c:v>0</c:v>
                </c:pt>
                <c:pt idx="169">
                  <c:v>56.922496550244006</c:v>
                </c:pt>
                <c:pt idx="170">
                  <c:v>56.922496550244006</c:v>
                </c:pt>
                <c:pt idx="171">
                  <c:v>56.922496550244006</c:v>
                </c:pt>
                <c:pt idx="172">
                  <c:v>0</c:v>
                </c:pt>
                <c:pt idx="173">
                  <c:v>57.172496550244006</c:v>
                </c:pt>
                <c:pt idx="174">
                  <c:v>57.172496550244006</c:v>
                </c:pt>
                <c:pt idx="175">
                  <c:v>57.172496550244006</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59.172496550244006</c:v>
                </c:pt>
                <c:pt idx="198">
                  <c:v>59.172496550244006</c:v>
                </c:pt>
                <c:pt idx="199">
                  <c:v>59.172496550244006</c:v>
                </c:pt>
                <c:pt idx="200">
                  <c:v>0</c:v>
                </c:pt>
                <c:pt idx="201">
                  <c:v>59.232496550244001</c:v>
                </c:pt>
                <c:pt idx="202">
                  <c:v>59.232496550244001</c:v>
                </c:pt>
                <c:pt idx="203">
                  <c:v>59.232496550244001</c:v>
                </c:pt>
                <c:pt idx="204">
                  <c:v>0</c:v>
                </c:pt>
                <c:pt idx="205">
                  <c:v>59.942496550244002</c:v>
                </c:pt>
                <c:pt idx="206">
                  <c:v>59.942496550244002</c:v>
                </c:pt>
                <c:pt idx="207">
                  <c:v>59.942496550244002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61.512496550244002</c:v>
                </c:pt>
                <c:pt idx="226">
                  <c:v>61.512496550244002</c:v>
                </c:pt>
                <c:pt idx="227">
                  <c:v>61.512496550244002</c:v>
                </c:pt>
                <c:pt idx="228">
                  <c:v>0</c:v>
                </c:pt>
                <c:pt idx="229">
                  <c:v>61.542496550244003</c:v>
                </c:pt>
                <c:pt idx="230">
                  <c:v>61.542496550244003</c:v>
                </c:pt>
                <c:pt idx="231">
                  <c:v>61.542496550244003</c:v>
                </c:pt>
                <c:pt idx="232">
                  <c:v>0</c:v>
                </c:pt>
                <c:pt idx="233">
                  <c:v>61.912496550244008</c:v>
                </c:pt>
                <c:pt idx="234">
                  <c:v>61.912496550244008</c:v>
                </c:pt>
                <c:pt idx="235">
                  <c:v>61.912496550244008</c:v>
                </c:pt>
                <c:pt idx="236">
                  <c:v>0</c:v>
                </c:pt>
                <c:pt idx="237">
                  <c:v>62.242496550244006</c:v>
                </c:pt>
                <c:pt idx="238">
                  <c:v>62.242496550244006</c:v>
                </c:pt>
                <c:pt idx="239">
                  <c:v>62.242496550244006</c:v>
                </c:pt>
                <c:pt idx="240">
                  <c:v>0</c:v>
                </c:pt>
                <c:pt idx="241">
                  <c:v>0</c:v>
                </c:pt>
                <c:pt idx="242">
                  <c:v>0</c:v>
                </c:pt>
                <c:pt idx="243">
                  <c:v>0</c:v>
                </c:pt>
                <c:pt idx="244">
                  <c:v>0</c:v>
                </c:pt>
                <c:pt idx="245">
                  <c:v>62.582496550244002</c:v>
                </c:pt>
                <c:pt idx="246">
                  <c:v>62.582496550244002</c:v>
                </c:pt>
                <c:pt idx="247">
                  <c:v>62.582496550244002</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63.272496550244007</c:v>
                </c:pt>
                <c:pt idx="262">
                  <c:v>63.272496550244007</c:v>
                </c:pt>
                <c:pt idx="263">
                  <c:v>63.272496550244007</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66.972496550244003</c:v>
                </c:pt>
                <c:pt idx="310">
                  <c:v>66.972496550244003</c:v>
                </c:pt>
                <c:pt idx="311">
                  <c:v>66.972496550244003</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70.652496550243995</c:v>
                </c:pt>
                <c:pt idx="370">
                  <c:v>70.652496550243995</c:v>
                </c:pt>
                <c:pt idx="371">
                  <c:v>70.652496550243995</c:v>
                </c:pt>
                <c:pt idx="372">
                  <c:v>0</c:v>
                </c:pt>
                <c:pt idx="373">
                  <c:v>0</c:v>
                </c:pt>
                <c:pt idx="374">
                  <c:v>0</c:v>
                </c:pt>
                <c:pt idx="375">
                  <c:v>0</c:v>
                </c:pt>
                <c:pt idx="376">
                  <c:v>0</c:v>
                </c:pt>
                <c:pt idx="377">
                  <c:v>70.832496550244002</c:v>
                </c:pt>
                <c:pt idx="378">
                  <c:v>70.832496550244002</c:v>
                </c:pt>
                <c:pt idx="379">
                  <c:v>70.832496550244002</c:v>
                </c:pt>
                <c:pt idx="380">
                  <c:v>0</c:v>
                </c:pt>
                <c:pt idx="381">
                  <c:v>71.412496550244015</c:v>
                </c:pt>
                <c:pt idx="382">
                  <c:v>71.412496550244015</c:v>
                </c:pt>
                <c:pt idx="383">
                  <c:v>71.412496550244015</c:v>
                </c:pt>
                <c:pt idx="384">
                  <c:v>0</c:v>
                </c:pt>
                <c:pt idx="385">
                  <c:v>0</c:v>
                </c:pt>
                <c:pt idx="386">
                  <c:v>0</c:v>
                </c:pt>
                <c:pt idx="387">
                  <c:v>0</c:v>
                </c:pt>
                <c:pt idx="388">
                  <c:v>0</c:v>
                </c:pt>
                <c:pt idx="389">
                  <c:v>71.822496550244011</c:v>
                </c:pt>
                <c:pt idx="390">
                  <c:v>71.822496550244011</c:v>
                </c:pt>
                <c:pt idx="391">
                  <c:v>71.822496550244011</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76.952496550244007</c:v>
                </c:pt>
                <c:pt idx="422">
                  <c:v>76.952496550244007</c:v>
                </c:pt>
                <c:pt idx="423">
                  <c:v>76.952496550244007</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77.692496550244016</c:v>
                </c:pt>
                <c:pt idx="438">
                  <c:v>77.692496550244016</c:v>
                </c:pt>
                <c:pt idx="439">
                  <c:v>77.692496550244016</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numCache>
            </c:numRef>
          </c:val>
        </c:ser>
        <c:ser>
          <c:idx val="2"/>
          <c:order val="2"/>
          <c:tx>
            <c:strRef>
              <c:f>Charts!$P$4</c:f>
              <c:strCache>
                <c:ptCount val="1"/>
                <c:pt idx="0">
                  <c:v>US</c:v>
                </c:pt>
              </c:strCache>
            </c:strRef>
          </c:tx>
          <c:spPr>
            <a:solidFill>
              <a:srgbClr val="9ED9DF"/>
            </a:solidFill>
            <a:ln>
              <a:solidFill>
                <a:schemeClr val="bg1"/>
              </a:solidFill>
            </a:ln>
            <a:effectLst/>
          </c:spPr>
          <c:cat>
            <c:numRef>
              <c:f>Charts!$S$7:$S$716</c:f>
              <c:numCache>
                <c:formatCode>General</c:formatCode>
                <c:ptCount val="710"/>
                <c:pt idx="0">
                  <c:v>0</c:v>
                </c:pt>
                <c:pt idx="1">
                  <c:v>0</c:v>
                </c:pt>
                <c:pt idx="2">
                  <c:v>1.075</c:v>
                </c:pt>
                <c:pt idx="3">
                  <c:v>2.15</c:v>
                </c:pt>
                <c:pt idx="4">
                  <c:v>2.15</c:v>
                </c:pt>
                <c:pt idx="5">
                  <c:v>2.15</c:v>
                </c:pt>
                <c:pt idx="6">
                  <c:v>4.6549999999999994</c:v>
                </c:pt>
                <c:pt idx="7">
                  <c:v>7.16</c:v>
                </c:pt>
                <c:pt idx="8">
                  <c:v>7.16</c:v>
                </c:pt>
                <c:pt idx="9">
                  <c:v>7.16</c:v>
                </c:pt>
                <c:pt idx="10">
                  <c:v>14.254999999999999</c:v>
                </c:pt>
                <c:pt idx="11">
                  <c:v>21.35</c:v>
                </c:pt>
                <c:pt idx="12">
                  <c:v>21.35</c:v>
                </c:pt>
                <c:pt idx="13">
                  <c:v>21.35</c:v>
                </c:pt>
                <c:pt idx="14">
                  <c:v>23.040000000000003</c:v>
                </c:pt>
                <c:pt idx="15">
                  <c:v>24.73</c:v>
                </c:pt>
                <c:pt idx="16">
                  <c:v>24.73</c:v>
                </c:pt>
                <c:pt idx="17">
                  <c:v>24.73</c:v>
                </c:pt>
                <c:pt idx="18">
                  <c:v>33.53</c:v>
                </c:pt>
                <c:pt idx="19">
                  <c:v>42.33</c:v>
                </c:pt>
                <c:pt idx="20">
                  <c:v>42.33</c:v>
                </c:pt>
                <c:pt idx="21">
                  <c:v>42.33</c:v>
                </c:pt>
                <c:pt idx="22">
                  <c:v>42.48</c:v>
                </c:pt>
                <c:pt idx="23">
                  <c:v>42.629999999999995</c:v>
                </c:pt>
                <c:pt idx="24">
                  <c:v>42.629999999999995</c:v>
                </c:pt>
                <c:pt idx="25">
                  <c:v>42.629999999999995</c:v>
                </c:pt>
                <c:pt idx="26">
                  <c:v>44.464999999999996</c:v>
                </c:pt>
                <c:pt idx="27">
                  <c:v>46.3</c:v>
                </c:pt>
                <c:pt idx="28">
                  <c:v>46.3</c:v>
                </c:pt>
                <c:pt idx="29">
                  <c:v>46.3</c:v>
                </c:pt>
                <c:pt idx="30">
                  <c:v>46.849999999999994</c:v>
                </c:pt>
                <c:pt idx="31">
                  <c:v>47.4</c:v>
                </c:pt>
                <c:pt idx="32">
                  <c:v>47.4</c:v>
                </c:pt>
                <c:pt idx="33">
                  <c:v>47.4</c:v>
                </c:pt>
                <c:pt idx="34">
                  <c:v>50.614999999999995</c:v>
                </c:pt>
                <c:pt idx="35">
                  <c:v>53.83</c:v>
                </c:pt>
                <c:pt idx="36">
                  <c:v>53.83</c:v>
                </c:pt>
                <c:pt idx="37">
                  <c:v>53.83</c:v>
                </c:pt>
                <c:pt idx="38">
                  <c:v>54.489999999999995</c:v>
                </c:pt>
                <c:pt idx="39">
                  <c:v>55.15</c:v>
                </c:pt>
                <c:pt idx="40">
                  <c:v>55.15</c:v>
                </c:pt>
                <c:pt idx="41">
                  <c:v>55.15</c:v>
                </c:pt>
                <c:pt idx="42">
                  <c:v>55.55</c:v>
                </c:pt>
                <c:pt idx="43">
                  <c:v>55.949999999999996</c:v>
                </c:pt>
                <c:pt idx="44">
                  <c:v>55.949999999999996</c:v>
                </c:pt>
                <c:pt idx="45">
                  <c:v>55.949999999999996</c:v>
                </c:pt>
                <c:pt idx="46">
                  <c:v>56.124999999999993</c:v>
                </c:pt>
                <c:pt idx="47">
                  <c:v>56.3</c:v>
                </c:pt>
                <c:pt idx="48">
                  <c:v>56.3</c:v>
                </c:pt>
                <c:pt idx="49">
                  <c:v>56.3</c:v>
                </c:pt>
                <c:pt idx="50">
                  <c:v>56.474999999999994</c:v>
                </c:pt>
                <c:pt idx="51">
                  <c:v>56.65</c:v>
                </c:pt>
                <c:pt idx="52">
                  <c:v>56.65</c:v>
                </c:pt>
                <c:pt idx="53">
                  <c:v>56.65</c:v>
                </c:pt>
                <c:pt idx="54">
                  <c:v>59.64</c:v>
                </c:pt>
                <c:pt idx="55">
                  <c:v>62.629999999999995</c:v>
                </c:pt>
                <c:pt idx="56">
                  <c:v>62.629999999999995</c:v>
                </c:pt>
                <c:pt idx="57">
                  <c:v>62.629999999999995</c:v>
                </c:pt>
                <c:pt idx="58">
                  <c:v>63.414999999999992</c:v>
                </c:pt>
                <c:pt idx="59">
                  <c:v>64.199999999999989</c:v>
                </c:pt>
                <c:pt idx="60">
                  <c:v>64.199999999999989</c:v>
                </c:pt>
                <c:pt idx="61">
                  <c:v>64.199999999999989</c:v>
                </c:pt>
                <c:pt idx="62">
                  <c:v>69.834999999999994</c:v>
                </c:pt>
                <c:pt idx="63">
                  <c:v>75.469999999999985</c:v>
                </c:pt>
                <c:pt idx="64">
                  <c:v>75.469999999999985</c:v>
                </c:pt>
                <c:pt idx="65">
                  <c:v>75.469999999999985</c:v>
                </c:pt>
                <c:pt idx="66">
                  <c:v>80.899999999999977</c:v>
                </c:pt>
                <c:pt idx="67">
                  <c:v>86.329999999999984</c:v>
                </c:pt>
                <c:pt idx="68">
                  <c:v>86.329999999999984</c:v>
                </c:pt>
                <c:pt idx="69">
                  <c:v>86.329999999999984</c:v>
                </c:pt>
                <c:pt idx="70">
                  <c:v>98.194999999999979</c:v>
                </c:pt>
                <c:pt idx="71">
                  <c:v>110.05999999999999</c:v>
                </c:pt>
                <c:pt idx="72">
                  <c:v>110.05999999999999</c:v>
                </c:pt>
                <c:pt idx="73">
                  <c:v>110.05999999999999</c:v>
                </c:pt>
                <c:pt idx="74">
                  <c:v>112.68499999999999</c:v>
                </c:pt>
                <c:pt idx="75">
                  <c:v>115.30999999999999</c:v>
                </c:pt>
                <c:pt idx="76">
                  <c:v>115.30999999999999</c:v>
                </c:pt>
                <c:pt idx="77">
                  <c:v>115.30999999999999</c:v>
                </c:pt>
                <c:pt idx="78">
                  <c:v>133.72499999999999</c:v>
                </c:pt>
                <c:pt idx="79">
                  <c:v>152.13999999999999</c:v>
                </c:pt>
                <c:pt idx="80">
                  <c:v>152.13999999999999</c:v>
                </c:pt>
                <c:pt idx="81">
                  <c:v>152.13999999999999</c:v>
                </c:pt>
                <c:pt idx="82">
                  <c:v>153.39999999999998</c:v>
                </c:pt>
                <c:pt idx="83">
                  <c:v>154.66</c:v>
                </c:pt>
                <c:pt idx="84">
                  <c:v>154.66</c:v>
                </c:pt>
                <c:pt idx="85">
                  <c:v>154.66</c:v>
                </c:pt>
                <c:pt idx="86">
                  <c:v>154.72</c:v>
                </c:pt>
                <c:pt idx="87">
                  <c:v>154.78</c:v>
                </c:pt>
                <c:pt idx="88">
                  <c:v>154.78</c:v>
                </c:pt>
                <c:pt idx="89">
                  <c:v>154.78</c:v>
                </c:pt>
                <c:pt idx="90">
                  <c:v>158.69999999999999</c:v>
                </c:pt>
                <c:pt idx="91">
                  <c:v>162.62</c:v>
                </c:pt>
                <c:pt idx="92">
                  <c:v>162.62</c:v>
                </c:pt>
                <c:pt idx="93">
                  <c:v>162.62</c:v>
                </c:pt>
                <c:pt idx="94">
                  <c:v>164.23500000000001</c:v>
                </c:pt>
                <c:pt idx="95">
                  <c:v>165.85</c:v>
                </c:pt>
                <c:pt idx="96">
                  <c:v>165.85</c:v>
                </c:pt>
                <c:pt idx="97">
                  <c:v>165.85</c:v>
                </c:pt>
                <c:pt idx="98">
                  <c:v>166.34</c:v>
                </c:pt>
                <c:pt idx="99">
                  <c:v>166.82999999999998</c:v>
                </c:pt>
                <c:pt idx="100">
                  <c:v>166.82999999999998</c:v>
                </c:pt>
                <c:pt idx="101">
                  <c:v>166.82999999999998</c:v>
                </c:pt>
                <c:pt idx="102">
                  <c:v>166.94499999999999</c:v>
                </c:pt>
                <c:pt idx="103">
                  <c:v>167.05999999999997</c:v>
                </c:pt>
                <c:pt idx="104">
                  <c:v>167.05999999999997</c:v>
                </c:pt>
                <c:pt idx="105">
                  <c:v>167.05999999999997</c:v>
                </c:pt>
                <c:pt idx="106">
                  <c:v>169.93499999999997</c:v>
                </c:pt>
                <c:pt idx="107">
                  <c:v>172.80999999999997</c:v>
                </c:pt>
                <c:pt idx="108">
                  <c:v>172.80999999999997</c:v>
                </c:pt>
                <c:pt idx="109">
                  <c:v>172.80999999999997</c:v>
                </c:pt>
                <c:pt idx="110">
                  <c:v>172.82999999999998</c:v>
                </c:pt>
                <c:pt idx="111">
                  <c:v>172.84999999999997</c:v>
                </c:pt>
                <c:pt idx="112">
                  <c:v>172.84999999999997</c:v>
                </c:pt>
                <c:pt idx="113">
                  <c:v>172.84999999999997</c:v>
                </c:pt>
                <c:pt idx="114">
                  <c:v>173.34999999999997</c:v>
                </c:pt>
                <c:pt idx="115">
                  <c:v>173.84999999999997</c:v>
                </c:pt>
                <c:pt idx="116">
                  <c:v>173.84999999999997</c:v>
                </c:pt>
                <c:pt idx="117">
                  <c:v>173.84999999999997</c:v>
                </c:pt>
                <c:pt idx="118">
                  <c:v>182.09499999999997</c:v>
                </c:pt>
                <c:pt idx="119">
                  <c:v>190.33999999999997</c:v>
                </c:pt>
                <c:pt idx="120">
                  <c:v>190.33999999999997</c:v>
                </c:pt>
                <c:pt idx="121">
                  <c:v>190.33999999999997</c:v>
                </c:pt>
                <c:pt idx="122">
                  <c:v>191.75999999999996</c:v>
                </c:pt>
                <c:pt idx="123">
                  <c:v>193.17999999999998</c:v>
                </c:pt>
                <c:pt idx="124">
                  <c:v>193.17999999999998</c:v>
                </c:pt>
                <c:pt idx="125">
                  <c:v>193.17999999999998</c:v>
                </c:pt>
                <c:pt idx="126">
                  <c:v>193.34499999999997</c:v>
                </c:pt>
                <c:pt idx="127">
                  <c:v>193.51</c:v>
                </c:pt>
                <c:pt idx="128">
                  <c:v>193.51</c:v>
                </c:pt>
                <c:pt idx="129">
                  <c:v>193.51</c:v>
                </c:pt>
                <c:pt idx="130">
                  <c:v>193.63499999999999</c:v>
                </c:pt>
                <c:pt idx="131">
                  <c:v>193.76</c:v>
                </c:pt>
                <c:pt idx="132">
                  <c:v>193.76</c:v>
                </c:pt>
                <c:pt idx="133">
                  <c:v>193.76</c:v>
                </c:pt>
                <c:pt idx="134">
                  <c:v>195.565</c:v>
                </c:pt>
                <c:pt idx="135">
                  <c:v>197.37</c:v>
                </c:pt>
                <c:pt idx="136">
                  <c:v>197.37</c:v>
                </c:pt>
                <c:pt idx="137">
                  <c:v>197.37</c:v>
                </c:pt>
                <c:pt idx="138">
                  <c:v>200.64500000000001</c:v>
                </c:pt>
                <c:pt idx="139">
                  <c:v>203.92000000000002</c:v>
                </c:pt>
                <c:pt idx="140">
                  <c:v>203.92000000000002</c:v>
                </c:pt>
                <c:pt idx="141">
                  <c:v>203.92000000000002</c:v>
                </c:pt>
                <c:pt idx="142">
                  <c:v>217.99</c:v>
                </c:pt>
                <c:pt idx="143">
                  <c:v>232.06</c:v>
                </c:pt>
                <c:pt idx="144">
                  <c:v>232.06</c:v>
                </c:pt>
                <c:pt idx="145">
                  <c:v>232.06</c:v>
                </c:pt>
                <c:pt idx="146">
                  <c:v>233.785</c:v>
                </c:pt>
                <c:pt idx="147">
                  <c:v>235.51</c:v>
                </c:pt>
                <c:pt idx="148">
                  <c:v>235.51</c:v>
                </c:pt>
                <c:pt idx="149">
                  <c:v>235.51</c:v>
                </c:pt>
                <c:pt idx="150">
                  <c:v>256.88499999999999</c:v>
                </c:pt>
                <c:pt idx="151">
                  <c:v>278.26</c:v>
                </c:pt>
                <c:pt idx="152">
                  <c:v>278.26</c:v>
                </c:pt>
                <c:pt idx="153">
                  <c:v>278.26</c:v>
                </c:pt>
                <c:pt idx="154">
                  <c:v>280.815</c:v>
                </c:pt>
                <c:pt idx="155">
                  <c:v>283.37</c:v>
                </c:pt>
                <c:pt idx="156">
                  <c:v>283.37</c:v>
                </c:pt>
                <c:pt idx="157">
                  <c:v>283.37</c:v>
                </c:pt>
                <c:pt idx="158">
                  <c:v>287.14</c:v>
                </c:pt>
                <c:pt idx="159">
                  <c:v>290.91000000000003</c:v>
                </c:pt>
                <c:pt idx="160">
                  <c:v>290.91000000000003</c:v>
                </c:pt>
                <c:pt idx="161">
                  <c:v>290.91000000000003</c:v>
                </c:pt>
                <c:pt idx="162">
                  <c:v>291.31</c:v>
                </c:pt>
                <c:pt idx="163">
                  <c:v>291.71000000000004</c:v>
                </c:pt>
                <c:pt idx="164">
                  <c:v>291.71000000000004</c:v>
                </c:pt>
                <c:pt idx="165">
                  <c:v>291.71000000000004</c:v>
                </c:pt>
                <c:pt idx="166">
                  <c:v>295.18000000000006</c:v>
                </c:pt>
                <c:pt idx="167">
                  <c:v>298.65000000000003</c:v>
                </c:pt>
                <c:pt idx="168">
                  <c:v>298.65000000000003</c:v>
                </c:pt>
                <c:pt idx="169">
                  <c:v>298.65000000000003</c:v>
                </c:pt>
                <c:pt idx="170">
                  <c:v>302.46000000000004</c:v>
                </c:pt>
                <c:pt idx="171">
                  <c:v>306.27000000000004</c:v>
                </c:pt>
                <c:pt idx="172">
                  <c:v>306.27000000000004</c:v>
                </c:pt>
                <c:pt idx="173">
                  <c:v>306.27000000000004</c:v>
                </c:pt>
                <c:pt idx="174">
                  <c:v>307.86500000000007</c:v>
                </c:pt>
                <c:pt idx="175">
                  <c:v>309.46000000000004</c:v>
                </c:pt>
                <c:pt idx="176">
                  <c:v>309.46000000000004</c:v>
                </c:pt>
                <c:pt idx="177">
                  <c:v>309.46000000000004</c:v>
                </c:pt>
                <c:pt idx="178">
                  <c:v>312.48</c:v>
                </c:pt>
                <c:pt idx="179">
                  <c:v>315.50000000000006</c:v>
                </c:pt>
                <c:pt idx="180">
                  <c:v>315.50000000000006</c:v>
                </c:pt>
                <c:pt idx="181">
                  <c:v>315.50000000000006</c:v>
                </c:pt>
                <c:pt idx="182">
                  <c:v>319.94000000000005</c:v>
                </c:pt>
                <c:pt idx="183">
                  <c:v>324.38000000000005</c:v>
                </c:pt>
                <c:pt idx="184">
                  <c:v>324.38000000000005</c:v>
                </c:pt>
                <c:pt idx="185">
                  <c:v>324.38000000000005</c:v>
                </c:pt>
                <c:pt idx="186">
                  <c:v>326.21000000000004</c:v>
                </c:pt>
                <c:pt idx="187">
                  <c:v>328.04000000000008</c:v>
                </c:pt>
                <c:pt idx="188">
                  <c:v>328.04000000000008</c:v>
                </c:pt>
                <c:pt idx="189">
                  <c:v>328.04000000000008</c:v>
                </c:pt>
                <c:pt idx="190">
                  <c:v>328.55000000000007</c:v>
                </c:pt>
                <c:pt idx="191">
                  <c:v>329.06000000000006</c:v>
                </c:pt>
                <c:pt idx="192">
                  <c:v>329.06000000000006</c:v>
                </c:pt>
                <c:pt idx="193">
                  <c:v>329.06000000000006</c:v>
                </c:pt>
                <c:pt idx="194">
                  <c:v>332.15000000000003</c:v>
                </c:pt>
                <c:pt idx="195">
                  <c:v>335.24000000000007</c:v>
                </c:pt>
                <c:pt idx="196">
                  <c:v>335.24000000000007</c:v>
                </c:pt>
                <c:pt idx="197">
                  <c:v>335.24000000000007</c:v>
                </c:pt>
                <c:pt idx="198">
                  <c:v>335.76000000000005</c:v>
                </c:pt>
                <c:pt idx="199">
                  <c:v>336.28000000000009</c:v>
                </c:pt>
                <c:pt idx="200">
                  <c:v>336.28000000000009</c:v>
                </c:pt>
                <c:pt idx="201">
                  <c:v>336.28000000000009</c:v>
                </c:pt>
                <c:pt idx="202">
                  <c:v>336.30000000000007</c:v>
                </c:pt>
                <c:pt idx="203">
                  <c:v>336.32000000000011</c:v>
                </c:pt>
                <c:pt idx="204">
                  <c:v>336.32000000000011</c:v>
                </c:pt>
                <c:pt idx="205">
                  <c:v>336.32000000000011</c:v>
                </c:pt>
                <c:pt idx="206">
                  <c:v>337.12000000000012</c:v>
                </c:pt>
                <c:pt idx="207">
                  <c:v>337.92000000000013</c:v>
                </c:pt>
                <c:pt idx="208">
                  <c:v>337.92000000000013</c:v>
                </c:pt>
                <c:pt idx="209">
                  <c:v>337.92000000000013</c:v>
                </c:pt>
                <c:pt idx="210">
                  <c:v>339.68000000000012</c:v>
                </c:pt>
                <c:pt idx="211">
                  <c:v>341.44000000000011</c:v>
                </c:pt>
                <c:pt idx="212">
                  <c:v>341.44000000000011</c:v>
                </c:pt>
                <c:pt idx="213">
                  <c:v>341.44000000000011</c:v>
                </c:pt>
                <c:pt idx="214">
                  <c:v>343.79500000000013</c:v>
                </c:pt>
                <c:pt idx="215">
                  <c:v>346.15000000000009</c:v>
                </c:pt>
                <c:pt idx="216">
                  <c:v>346.15000000000009</c:v>
                </c:pt>
                <c:pt idx="217">
                  <c:v>346.15000000000009</c:v>
                </c:pt>
                <c:pt idx="218">
                  <c:v>346.49500000000012</c:v>
                </c:pt>
                <c:pt idx="219">
                  <c:v>346.84000000000009</c:v>
                </c:pt>
                <c:pt idx="220">
                  <c:v>346.84000000000009</c:v>
                </c:pt>
                <c:pt idx="221">
                  <c:v>346.84000000000009</c:v>
                </c:pt>
                <c:pt idx="222">
                  <c:v>352.71500000000009</c:v>
                </c:pt>
                <c:pt idx="223">
                  <c:v>358.59000000000009</c:v>
                </c:pt>
                <c:pt idx="224">
                  <c:v>358.59000000000009</c:v>
                </c:pt>
                <c:pt idx="225">
                  <c:v>358.59000000000009</c:v>
                </c:pt>
                <c:pt idx="226">
                  <c:v>361.31000000000012</c:v>
                </c:pt>
                <c:pt idx="227">
                  <c:v>364.03000000000009</c:v>
                </c:pt>
                <c:pt idx="228">
                  <c:v>364.03000000000009</c:v>
                </c:pt>
                <c:pt idx="229">
                  <c:v>364.03000000000009</c:v>
                </c:pt>
                <c:pt idx="230">
                  <c:v>364.98000000000008</c:v>
                </c:pt>
                <c:pt idx="231">
                  <c:v>365.93000000000006</c:v>
                </c:pt>
                <c:pt idx="232">
                  <c:v>365.93000000000006</c:v>
                </c:pt>
                <c:pt idx="233">
                  <c:v>365.93000000000006</c:v>
                </c:pt>
                <c:pt idx="234">
                  <c:v>368.15500000000009</c:v>
                </c:pt>
                <c:pt idx="235">
                  <c:v>370.38000000000005</c:v>
                </c:pt>
                <c:pt idx="236">
                  <c:v>370.38000000000005</c:v>
                </c:pt>
                <c:pt idx="237">
                  <c:v>370.38000000000005</c:v>
                </c:pt>
                <c:pt idx="238">
                  <c:v>370.82000000000005</c:v>
                </c:pt>
                <c:pt idx="239">
                  <c:v>371.26000000000005</c:v>
                </c:pt>
                <c:pt idx="240">
                  <c:v>371.26000000000005</c:v>
                </c:pt>
                <c:pt idx="241">
                  <c:v>371.26000000000005</c:v>
                </c:pt>
                <c:pt idx="242">
                  <c:v>371.91500000000002</c:v>
                </c:pt>
                <c:pt idx="243">
                  <c:v>372.57000000000005</c:v>
                </c:pt>
                <c:pt idx="244">
                  <c:v>372.57000000000005</c:v>
                </c:pt>
                <c:pt idx="245">
                  <c:v>372.57000000000005</c:v>
                </c:pt>
                <c:pt idx="246">
                  <c:v>373.05000000000007</c:v>
                </c:pt>
                <c:pt idx="247">
                  <c:v>373.53000000000003</c:v>
                </c:pt>
                <c:pt idx="248">
                  <c:v>373.53000000000003</c:v>
                </c:pt>
                <c:pt idx="249">
                  <c:v>373.53000000000003</c:v>
                </c:pt>
                <c:pt idx="250">
                  <c:v>374.08000000000004</c:v>
                </c:pt>
                <c:pt idx="251">
                  <c:v>374.63000000000005</c:v>
                </c:pt>
                <c:pt idx="252">
                  <c:v>374.63000000000005</c:v>
                </c:pt>
                <c:pt idx="253">
                  <c:v>374.63000000000005</c:v>
                </c:pt>
                <c:pt idx="254">
                  <c:v>380.36500000000007</c:v>
                </c:pt>
                <c:pt idx="255">
                  <c:v>386.10000000000008</c:v>
                </c:pt>
                <c:pt idx="256">
                  <c:v>386.10000000000008</c:v>
                </c:pt>
                <c:pt idx="257">
                  <c:v>386.10000000000008</c:v>
                </c:pt>
                <c:pt idx="258">
                  <c:v>386.50000000000006</c:v>
                </c:pt>
                <c:pt idx="259">
                  <c:v>386.90000000000009</c:v>
                </c:pt>
                <c:pt idx="260">
                  <c:v>386.90000000000009</c:v>
                </c:pt>
                <c:pt idx="261">
                  <c:v>386.90000000000009</c:v>
                </c:pt>
                <c:pt idx="262">
                  <c:v>390.00000000000011</c:v>
                </c:pt>
                <c:pt idx="263">
                  <c:v>393.10000000000008</c:v>
                </c:pt>
                <c:pt idx="264">
                  <c:v>393.10000000000008</c:v>
                </c:pt>
                <c:pt idx="265">
                  <c:v>393.10000000000008</c:v>
                </c:pt>
                <c:pt idx="266">
                  <c:v>395.5150000000001</c:v>
                </c:pt>
                <c:pt idx="267">
                  <c:v>397.93000000000006</c:v>
                </c:pt>
                <c:pt idx="268">
                  <c:v>397.93000000000006</c:v>
                </c:pt>
                <c:pt idx="269">
                  <c:v>397.93000000000006</c:v>
                </c:pt>
                <c:pt idx="270">
                  <c:v>398.69000000000005</c:v>
                </c:pt>
                <c:pt idx="271">
                  <c:v>399.45000000000005</c:v>
                </c:pt>
                <c:pt idx="272">
                  <c:v>399.45000000000005</c:v>
                </c:pt>
                <c:pt idx="273">
                  <c:v>399.45000000000005</c:v>
                </c:pt>
                <c:pt idx="274">
                  <c:v>400.54500000000007</c:v>
                </c:pt>
                <c:pt idx="275">
                  <c:v>401.64000000000004</c:v>
                </c:pt>
                <c:pt idx="276">
                  <c:v>401.64000000000004</c:v>
                </c:pt>
                <c:pt idx="277">
                  <c:v>401.64000000000004</c:v>
                </c:pt>
                <c:pt idx="278">
                  <c:v>416.88000000000005</c:v>
                </c:pt>
                <c:pt idx="279">
                  <c:v>432.12000000000006</c:v>
                </c:pt>
                <c:pt idx="280">
                  <c:v>432.12000000000006</c:v>
                </c:pt>
                <c:pt idx="281">
                  <c:v>432.12000000000006</c:v>
                </c:pt>
                <c:pt idx="282">
                  <c:v>432.34500000000008</c:v>
                </c:pt>
                <c:pt idx="283">
                  <c:v>432.57000000000005</c:v>
                </c:pt>
                <c:pt idx="284">
                  <c:v>432.57000000000005</c:v>
                </c:pt>
                <c:pt idx="285">
                  <c:v>432.57000000000005</c:v>
                </c:pt>
                <c:pt idx="286">
                  <c:v>433.55000000000007</c:v>
                </c:pt>
                <c:pt idx="287">
                  <c:v>434.53000000000003</c:v>
                </c:pt>
                <c:pt idx="288">
                  <c:v>434.53000000000003</c:v>
                </c:pt>
                <c:pt idx="289">
                  <c:v>434.53000000000003</c:v>
                </c:pt>
                <c:pt idx="290">
                  <c:v>435.34000000000003</c:v>
                </c:pt>
                <c:pt idx="291">
                  <c:v>436.15000000000003</c:v>
                </c:pt>
                <c:pt idx="292">
                  <c:v>436.15000000000003</c:v>
                </c:pt>
                <c:pt idx="293">
                  <c:v>436.15000000000003</c:v>
                </c:pt>
                <c:pt idx="294">
                  <c:v>436.38000000000005</c:v>
                </c:pt>
                <c:pt idx="295">
                  <c:v>436.61</c:v>
                </c:pt>
                <c:pt idx="296">
                  <c:v>436.61</c:v>
                </c:pt>
                <c:pt idx="297">
                  <c:v>436.61</c:v>
                </c:pt>
                <c:pt idx="298">
                  <c:v>437.63</c:v>
                </c:pt>
                <c:pt idx="299">
                  <c:v>438.65000000000003</c:v>
                </c:pt>
                <c:pt idx="300">
                  <c:v>438.65000000000003</c:v>
                </c:pt>
                <c:pt idx="301">
                  <c:v>438.65000000000003</c:v>
                </c:pt>
                <c:pt idx="302">
                  <c:v>438.82500000000005</c:v>
                </c:pt>
                <c:pt idx="303">
                  <c:v>439.00000000000006</c:v>
                </c:pt>
                <c:pt idx="304">
                  <c:v>439.00000000000006</c:v>
                </c:pt>
                <c:pt idx="305">
                  <c:v>439.00000000000006</c:v>
                </c:pt>
                <c:pt idx="306">
                  <c:v>439.13500000000005</c:v>
                </c:pt>
                <c:pt idx="307">
                  <c:v>439.27000000000004</c:v>
                </c:pt>
                <c:pt idx="308">
                  <c:v>439.27000000000004</c:v>
                </c:pt>
                <c:pt idx="309">
                  <c:v>439.27000000000004</c:v>
                </c:pt>
                <c:pt idx="310">
                  <c:v>439.45000000000005</c:v>
                </c:pt>
                <c:pt idx="311">
                  <c:v>439.63000000000005</c:v>
                </c:pt>
                <c:pt idx="312">
                  <c:v>439.63000000000005</c:v>
                </c:pt>
                <c:pt idx="313">
                  <c:v>439.63000000000005</c:v>
                </c:pt>
                <c:pt idx="314">
                  <c:v>443.42000000000007</c:v>
                </c:pt>
                <c:pt idx="315">
                  <c:v>447.21000000000004</c:v>
                </c:pt>
                <c:pt idx="316">
                  <c:v>447.21000000000004</c:v>
                </c:pt>
                <c:pt idx="317">
                  <c:v>447.21000000000004</c:v>
                </c:pt>
                <c:pt idx="318">
                  <c:v>447.44000000000005</c:v>
                </c:pt>
                <c:pt idx="319">
                  <c:v>447.67</c:v>
                </c:pt>
                <c:pt idx="320">
                  <c:v>447.67</c:v>
                </c:pt>
                <c:pt idx="321">
                  <c:v>447.67</c:v>
                </c:pt>
                <c:pt idx="322">
                  <c:v>452.07499999999999</c:v>
                </c:pt>
                <c:pt idx="323">
                  <c:v>456.48</c:v>
                </c:pt>
                <c:pt idx="324">
                  <c:v>456.48</c:v>
                </c:pt>
                <c:pt idx="325">
                  <c:v>456.48</c:v>
                </c:pt>
                <c:pt idx="326">
                  <c:v>458.13</c:v>
                </c:pt>
                <c:pt idx="327">
                  <c:v>459.78000000000003</c:v>
                </c:pt>
                <c:pt idx="328">
                  <c:v>459.78000000000003</c:v>
                </c:pt>
                <c:pt idx="329">
                  <c:v>459.78000000000003</c:v>
                </c:pt>
                <c:pt idx="330">
                  <c:v>461.53000000000003</c:v>
                </c:pt>
                <c:pt idx="331">
                  <c:v>463.28000000000003</c:v>
                </c:pt>
                <c:pt idx="332">
                  <c:v>463.28000000000003</c:v>
                </c:pt>
                <c:pt idx="333">
                  <c:v>463.28000000000003</c:v>
                </c:pt>
                <c:pt idx="334">
                  <c:v>465.33500000000004</c:v>
                </c:pt>
                <c:pt idx="335">
                  <c:v>467.39000000000004</c:v>
                </c:pt>
                <c:pt idx="336">
                  <c:v>467.39000000000004</c:v>
                </c:pt>
                <c:pt idx="337">
                  <c:v>467.39000000000004</c:v>
                </c:pt>
                <c:pt idx="338">
                  <c:v>470.47</c:v>
                </c:pt>
                <c:pt idx="339">
                  <c:v>473.55000000000007</c:v>
                </c:pt>
                <c:pt idx="340">
                  <c:v>473.55000000000007</c:v>
                </c:pt>
                <c:pt idx="341">
                  <c:v>473.55000000000007</c:v>
                </c:pt>
                <c:pt idx="342">
                  <c:v>473.65000000000009</c:v>
                </c:pt>
                <c:pt idx="343">
                  <c:v>473.75000000000006</c:v>
                </c:pt>
                <c:pt idx="344">
                  <c:v>473.75000000000006</c:v>
                </c:pt>
                <c:pt idx="345">
                  <c:v>473.75000000000006</c:v>
                </c:pt>
                <c:pt idx="346">
                  <c:v>475.46500000000003</c:v>
                </c:pt>
                <c:pt idx="347">
                  <c:v>477.18000000000006</c:v>
                </c:pt>
                <c:pt idx="348">
                  <c:v>477.18000000000006</c:v>
                </c:pt>
                <c:pt idx="349">
                  <c:v>477.18000000000006</c:v>
                </c:pt>
                <c:pt idx="350">
                  <c:v>477.30500000000006</c:v>
                </c:pt>
                <c:pt idx="351">
                  <c:v>477.43000000000006</c:v>
                </c:pt>
                <c:pt idx="352">
                  <c:v>477.43000000000006</c:v>
                </c:pt>
                <c:pt idx="353">
                  <c:v>477.43000000000006</c:v>
                </c:pt>
                <c:pt idx="354">
                  <c:v>479.99000000000007</c:v>
                </c:pt>
                <c:pt idx="355">
                  <c:v>482.55000000000007</c:v>
                </c:pt>
                <c:pt idx="356">
                  <c:v>482.55000000000007</c:v>
                </c:pt>
                <c:pt idx="357">
                  <c:v>482.55000000000007</c:v>
                </c:pt>
                <c:pt idx="358">
                  <c:v>484.30000000000007</c:v>
                </c:pt>
                <c:pt idx="359">
                  <c:v>486.05000000000007</c:v>
                </c:pt>
                <c:pt idx="360">
                  <c:v>486.05000000000007</c:v>
                </c:pt>
                <c:pt idx="361">
                  <c:v>486.05000000000007</c:v>
                </c:pt>
                <c:pt idx="362">
                  <c:v>491.67500000000007</c:v>
                </c:pt>
                <c:pt idx="363">
                  <c:v>497.30000000000007</c:v>
                </c:pt>
                <c:pt idx="364">
                  <c:v>497.30000000000007</c:v>
                </c:pt>
                <c:pt idx="365">
                  <c:v>497.30000000000007</c:v>
                </c:pt>
                <c:pt idx="366">
                  <c:v>498.16000000000008</c:v>
                </c:pt>
                <c:pt idx="367">
                  <c:v>499.0200000000001</c:v>
                </c:pt>
                <c:pt idx="368">
                  <c:v>499.0200000000001</c:v>
                </c:pt>
                <c:pt idx="369">
                  <c:v>499.0200000000001</c:v>
                </c:pt>
                <c:pt idx="370">
                  <c:v>501.21000000000009</c:v>
                </c:pt>
                <c:pt idx="371">
                  <c:v>503.40000000000009</c:v>
                </c:pt>
                <c:pt idx="372">
                  <c:v>503.40000000000009</c:v>
                </c:pt>
                <c:pt idx="373">
                  <c:v>503.40000000000009</c:v>
                </c:pt>
                <c:pt idx="374">
                  <c:v>514.20000000000005</c:v>
                </c:pt>
                <c:pt idx="375">
                  <c:v>525.00000000000011</c:v>
                </c:pt>
                <c:pt idx="376">
                  <c:v>525.00000000000011</c:v>
                </c:pt>
                <c:pt idx="377">
                  <c:v>525.00000000000011</c:v>
                </c:pt>
                <c:pt idx="378">
                  <c:v>526.00000000000011</c:v>
                </c:pt>
                <c:pt idx="379">
                  <c:v>527.00000000000011</c:v>
                </c:pt>
                <c:pt idx="380">
                  <c:v>527.00000000000011</c:v>
                </c:pt>
                <c:pt idx="381">
                  <c:v>527.00000000000011</c:v>
                </c:pt>
                <c:pt idx="382">
                  <c:v>527.57500000000016</c:v>
                </c:pt>
                <c:pt idx="383">
                  <c:v>528.15000000000009</c:v>
                </c:pt>
                <c:pt idx="384">
                  <c:v>528.15000000000009</c:v>
                </c:pt>
                <c:pt idx="385">
                  <c:v>528.15000000000009</c:v>
                </c:pt>
                <c:pt idx="386">
                  <c:v>536.67000000000007</c:v>
                </c:pt>
                <c:pt idx="387">
                  <c:v>545.19000000000005</c:v>
                </c:pt>
                <c:pt idx="388">
                  <c:v>545.19000000000005</c:v>
                </c:pt>
                <c:pt idx="389">
                  <c:v>545.19000000000005</c:v>
                </c:pt>
                <c:pt idx="390">
                  <c:v>545.90000000000009</c:v>
                </c:pt>
                <c:pt idx="391">
                  <c:v>546.61</c:v>
                </c:pt>
                <c:pt idx="392">
                  <c:v>546.61</c:v>
                </c:pt>
                <c:pt idx="393">
                  <c:v>546.61</c:v>
                </c:pt>
                <c:pt idx="394">
                  <c:v>546.96500000000003</c:v>
                </c:pt>
                <c:pt idx="395">
                  <c:v>547.32000000000005</c:v>
                </c:pt>
                <c:pt idx="396">
                  <c:v>547.32000000000005</c:v>
                </c:pt>
                <c:pt idx="397">
                  <c:v>547.32000000000005</c:v>
                </c:pt>
                <c:pt idx="398">
                  <c:v>548.38</c:v>
                </c:pt>
                <c:pt idx="399">
                  <c:v>549.44000000000005</c:v>
                </c:pt>
                <c:pt idx="400">
                  <c:v>549.44000000000005</c:v>
                </c:pt>
                <c:pt idx="401">
                  <c:v>549.44000000000005</c:v>
                </c:pt>
                <c:pt idx="402">
                  <c:v>549.83000000000004</c:v>
                </c:pt>
                <c:pt idx="403">
                  <c:v>550.22</c:v>
                </c:pt>
                <c:pt idx="404">
                  <c:v>550.22</c:v>
                </c:pt>
                <c:pt idx="405">
                  <c:v>550.22</c:v>
                </c:pt>
                <c:pt idx="406">
                  <c:v>551.03500000000008</c:v>
                </c:pt>
                <c:pt idx="407">
                  <c:v>551.85</c:v>
                </c:pt>
                <c:pt idx="408">
                  <c:v>551.85</c:v>
                </c:pt>
                <c:pt idx="409">
                  <c:v>551.85</c:v>
                </c:pt>
                <c:pt idx="410">
                  <c:v>552.20500000000004</c:v>
                </c:pt>
                <c:pt idx="411">
                  <c:v>552.56000000000006</c:v>
                </c:pt>
                <c:pt idx="412">
                  <c:v>552.56000000000006</c:v>
                </c:pt>
                <c:pt idx="413">
                  <c:v>552.56000000000006</c:v>
                </c:pt>
                <c:pt idx="414">
                  <c:v>552.72</c:v>
                </c:pt>
                <c:pt idx="415">
                  <c:v>552.88000000000011</c:v>
                </c:pt>
                <c:pt idx="416">
                  <c:v>552.88000000000011</c:v>
                </c:pt>
                <c:pt idx="417">
                  <c:v>552.88000000000011</c:v>
                </c:pt>
                <c:pt idx="418">
                  <c:v>558.12000000000012</c:v>
                </c:pt>
                <c:pt idx="419">
                  <c:v>563.36000000000013</c:v>
                </c:pt>
                <c:pt idx="420">
                  <c:v>563.36000000000013</c:v>
                </c:pt>
                <c:pt idx="421">
                  <c:v>563.36000000000013</c:v>
                </c:pt>
                <c:pt idx="422">
                  <c:v>564.20000000000016</c:v>
                </c:pt>
                <c:pt idx="423">
                  <c:v>565.04000000000008</c:v>
                </c:pt>
                <c:pt idx="424">
                  <c:v>565.04000000000008</c:v>
                </c:pt>
                <c:pt idx="425">
                  <c:v>565.04000000000008</c:v>
                </c:pt>
                <c:pt idx="426">
                  <c:v>567.11500000000012</c:v>
                </c:pt>
                <c:pt idx="427">
                  <c:v>569.19000000000005</c:v>
                </c:pt>
                <c:pt idx="428">
                  <c:v>569.19000000000005</c:v>
                </c:pt>
                <c:pt idx="429">
                  <c:v>569.19000000000005</c:v>
                </c:pt>
                <c:pt idx="430">
                  <c:v>570.06500000000005</c:v>
                </c:pt>
                <c:pt idx="431">
                  <c:v>570.94000000000005</c:v>
                </c:pt>
                <c:pt idx="432">
                  <c:v>570.94000000000005</c:v>
                </c:pt>
                <c:pt idx="433">
                  <c:v>570.94000000000005</c:v>
                </c:pt>
                <c:pt idx="434">
                  <c:v>572.48</c:v>
                </c:pt>
                <c:pt idx="435">
                  <c:v>574.0200000000001</c:v>
                </c:pt>
                <c:pt idx="436">
                  <c:v>574.0200000000001</c:v>
                </c:pt>
                <c:pt idx="437">
                  <c:v>574.0200000000001</c:v>
                </c:pt>
                <c:pt idx="438">
                  <c:v>574.09500000000014</c:v>
                </c:pt>
                <c:pt idx="439">
                  <c:v>574.17000000000007</c:v>
                </c:pt>
                <c:pt idx="440">
                  <c:v>574.17000000000007</c:v>
                </c:pt>
                <c:pt idx="441">
                  <c:v>574.17000000000007</c:v>
                </c:pt>
                <c:pt idx="442">
                  <c:v>574.17500000000007</c:v>
                </c:pt>
                <c:pt idx="443">
                  <c:v>574.18000000000006</c:v>
                </c:pt>
                <c:pt idx="444">
                  <c:v>574.18000000000006</c:v>
                </c:pt>
                <c:pt idx="445">
                  <c:v>574.18000000000006</c:v>
                </c:pt>
                <c:pt idx="446">
                  <c:v>574.50000000000011</c:v>
                </c:pt>
                <c:pt idx="447">
                  <c:v>574.82000000000005</c:v>
                </c:pt>
                <c:pt idx="448">
                  <c:v>574.82000000000005</c:v>
                </c:pt>
                <c:pt idx="449">
                  <c:v>574.82000000000005</c:v>
                </c:pt>
                <c:pt idx="450">
                  <c:v>577.43500000000006</c:v>
                </c:pt>
                <c:pt idx="451">
                  <c:v>580.05000000000007</c:v>
                </c:pt>
                <c:pt idx="452">
                  <c:v>580.05000000000007</c:v>
                </c:pt>
                <c:pt idx="453">
                  <c:v>580.05000000000007</c:v>
                </c:pt>
                <c:pt idx="454">
                  <c:v>580.72500000000002</c:v>
                </c:pt>
                <c:pt idx="455">
                  <c:v>581.40000000000009</c:v>
                </c:pt>
                <c:pt idx="456">
                  <c:v>581.40000000000009</c:v>
                </c:pt>
                <c:pt idx="457">
                  <c:v>581.40000000000009</c:v>
                </c:pt>
                <c:pt idx="458">
                  <c:v>583.52500000000009</c:v>
                </c:pt>
                <c:pt idx="459">
                  <c:v>585.65000000000009</c:v>
                </c:pt>
                <c:pt idx="460">
                  <c:v>585.65000000000009</c:v>
                </c:pt>
                <c:pt idx="461">
                  <c:v>585.65000000000009</c:v>
                </c:pt>
                <c:pt idx="462">
                  <c:v>588.6350000000001</c:v>
                </c:pt>
                <c:pt idx="463">
                  <c:v>591.62000000000012</c:v>
                </c:pt>
                <c:pt idx="464">
                  <c:v>591.62000000000012</c:v>
                </c:pt>
                <c:pt idx="465">
                  <c:v>591.62000000000012</c:v>
                </c:pt>
                <c:pt idx="466">
                  <c:v>592.19000000000017</c:v>
                </c:pt>
                <c:pt idx="467">
                  <c:v>592.7600000000001</c:v>
                </c:pt>
                <c:pt idx="468">
                  <c:v>592.7600000000001</c:v>
                </c:pt>
                <c:pt idx="469">
                  <c:v>592.7600000000001</c:v>
                </c:pt>
                <c:pt idx="470">
                  <c:v>594.17500000000007</c:v>
                </c:pt>
                <c:pt idx="471">
                  <c:v>595.59000000000015</c:v>
                </c:pt>
                <c:pt idx="472">
                  <c:v>595.59000000000015</c:v>
                </c:pt>
                <c:pt idx="473">
                  <c:v>595.59000000000015</c:v>
                </c:pt>
                <c:pt idx="474">
                  <c:v>595.9100000000002</c:v>
                </c:pt>
                <c:pt idx="475">
                  <c:v>596.23000000000013</c:v>
                </c:pt>
                <c:pt idx="476">
                  <c:v>596.23000000000013</c:v>
                </c:pt>
                <c:pt idx="477">
                  <c:v>596.23000000000013</c:v>
                </c:pt>
                <c:pt idx="478">
                  <c:v>597.48000000000013</c:v>
                </c:pt>
                <c:pt idx="479">
                  <c:v>598.73000000000013</c:v>
                </c:pt>
                <c:pt idx="480">
                  <c:v>598.73000000000013</c:v>
                </c:pt>
                <c:pt idx="481">
                  <c:v>598.73000000000013</c:v>
                </c:pt>
                <c:pt idx="482">
                  <c:v>599.29000000000008</c:v>
                </c:pt>
                <c:pt idx="483">
                  <c:v>599.85000000000014</c:v>
                </c:pt>
                <c:pt idx="484">
                  <c:v>599.85000000000014</c:v>
                </c:pt>
                <c:pt idx="485">
                  <c:v>599.85000000000014</c:v>
                </c:pt>
                <c:pt idx="486">
                  <c:v>602.60500000000013</c:v>
                </c:pt>
                <c:pt idx="487">
                  <c:v>605.36000000000013</c:v>
                </c:pt>
                <c:pt idx="488">
                  <c:v>605.36000000000013</c:v>
                </c:pt>
                <c:pt idx="489">
                  <c:v>605.36000000000013</c:v>
                </c:pt>
                <c:pt idx="490">
                  <c:v>606.83500000000015</c:v>
                </c:pt>
                <c:pt idx="491">
                  <c:v>608.31000000000017</c:v>
                </c:pt>
                <c:pt idx="492">
                  <c:v>608.31000000000017</c:v>
                </c:pt>
                <c:pt idx="493">
                  <c:v>608.31000000000017</c:v>
                </c:pt>
                <c:pt idx="494">
                  <c:v>609.41500000000019</c:v>
                </c:pt>
                <c:pt idx="495">
                  <c:v>610.52000000000021</c:v>
                </c:pt>
                <c:pt idx="496">
                  <c:v>610.52000000000021</c:v>
                </c:pt>
                <c:pt idx="497">
                  <c:v>610.52000000000021</c:v>
                </c:pt>
                <c:pt idx="498">
                  <c:v>610.93000000000018</c:v>
                </c:pt>
                <c:pt idx="499">
                  <c:v>611.34000000000026</c:v>
                </c:pt>
                <c:pt idx="500">
                  <c:v>611.34000000000026</c:v>
                </c:pt>
                <c:pt idx="501">
                  <c:v>611.34000000000026</c:v>
                </c:pt>
                <c:pt idx="502">
                  <c:v>612.11500000000024</c:v>
                </c:pt>
                <c:pt idx="503">
                  <c:v>612.89000000000021</c:v>
                </c:pt>
                <c:pt idx="504">
                  <c:v>612.89000000000021</c:v>
                </c:pt>
                <c:pt idx="505">
                  <c:v>612.89000000000021</c:v>
                </c:pt>
                <c:pt idx="506">
                  <c:v>614.77000000000021</c:v>
                </c:pt>
                <c:pt idx="507">
                  <c:v>616.6500000000002</c:v>
                </c:pt>
                <c:pt idx="508">
                  <c:v>616.6500000000002</c:v>
                </c:pt>
                <c:pt idx="509">
                  <c:v>616.6500000000002</c:v>
                </c:pt>
                <c:pt idx="510">
                  <c:v>617.45000000000016</c:v>
                </c:pt>
                <c:pt idx="511">
                  <c:v>618.25000000000023</c:v>
                </c:pt>
                <c:pt idx="512">
                  <c:v>618.25000000000023</c:v>
                </c:pt>
                <c:pt idx="513">
                  <c:v>618.25000000000023</c:v>
                </c:pt>
                <c:pt idx="514">
                  <c:v>618.69500000000028</c:v>
                </c:pt>
                <c:pt idx="515">
                  <c:v>619.14000000000021</c:v>
                </c:pt>
                <c:pt idx="516">
                  <c:v>619.14000000000021</c:v>
                </c:pt>
                <c:pt idx="517">
                  <c:v>619.14000000000021</c:v>
                </c:pt>
                <c:pt idx="518">
                  <c:v>619.50000000000023</c:v>
                </c:pt>
                <c:pt idx="519">
                  <c:v>619.86000000000024</c:v>
                </c:pt>
                <c:pt idx="520">
                  <c:v>619.86000000000024</c:v>
                </c:pt>
                <c:pt idx="521">
                  <c:v>619.86000000000024</c:v>
                </c:pt>
                <c:pt idx="522">
                  <c:v>621.71500000000026</c:v>
                </c:pt>
                <c:pt idx="523">
                  <c:v>623.57000000000028</c:v>
                </c:pt>
                <c:pt idx="524">
                  <c:v>623.57000000000028</c:v>
                </c:pt>
                <c:pt idx="525">
                  <c:v>623.57000000000028</c:v>
                </c:pt>
                <c:pt idx="526">
                  <c:v>624.60500000000025</c:v>
                </c:pt>
                <c:pt idx="527">
                  <c:v>625.64000000000033</c:v>
                </c:pt>
                <c:pt idx="528">
                  <c:v>625.64000000000033</c:v>
                </c:pt>
                <c:pt idx="529">
                  <c:v>625.64000000000033</c:v>
                </c:pt>
                <c:pt idx="530">
                  <c:v>627.72500000000036</c:v>
                </c:pt>
                <c:pt idx="531">
                  <c:v>629.81000000000029</c:v>
                </c:pt>
                <c:pt idx="532">
                  <c:v>629.81000000000029</c:v>
                </c:pt>
                <c:pt idx="533">
                  <c:v>629.81000000000029</c:v>
                </c:pt>
                <c:pt idx="534">
                  <c:v>632.13500000000033</c:v>
                </c:pt>
                <c:pt idx="535">
                  <c:v>634.46000000000026</c:v>
                </c:pt>
                <c:pt idx="536">
                  <c:v>634.46000000000026</c:v>
                </c:pt>
                <c:pt idx="537">
                  <c:v>634.46000000000026</c:v>
                </c:pt>
                <c:pt idx="538">
                  <c:v>635.61000000000024</c:v>
                </c:pt>
                <c:pt idx="539">
                  <c:v>636.76000000000022</c:v>
                </c:pt>
                <c:pt idx="540">
                  <c:v>636.76000000000022</c:v>
                </c:pt>
                <c:pt idx="541">
                  <c:v>636.76000000000022</c:v>
                </c:pt>
                <c:pt idx="542">
                  <c:v>637.63500000000022</c:v>
                </c:pt>
                <c:pt idx="543">
                  <c:v>638.51000000000022</c:v>
                </c:pt>
                <c:pt idx="544">
                  <c:v>638.51000000000022</c:v>
                </c:pt>
                <c:pt idx="545">
                  <c:v>638.51000000000022</c:v>
                </c:pt>
                <c:pt idx="546">
                  <c:v>639.16500000000019</c:v>
                </c:pt>
                <c:pt idx="547">
                  <c:v>639.82000000000016</c:v>
                </c:pt>
                <c:pt idx="548">
                  <c:v>639.82000000000016</c:v>
                </c:pt>
                <c:pt idx="549">
                  <c:v>639.82000000000016</c:v>
                </c:pt>
                <c:pt idx="550">
                  <c:v>639.97000000000014</c:v>
                </c:pt>
                <c:pt idx="551">
                  <c:v>640.12000000000012</c:v>
                </c:pt>
                <c:pt idx="552">
                  <c:v>640.12000000000012</c:v>
                </c:pt>
                <c:pt idx="553">
                  <c:v>640.12000000000012</c:v>
                </c:pt>
                <c:pt idx="554">
                  <c:v>640.20000000000016</c:v>
                </c:pt>
                <c:pt idx="555">
                  <c:v>640.28000000000009</c:v>
                </c:pt>
                <c:pt idx="556">
                  <c:v>640.28000000000009</c:v>
                </c:pt>
                <c:pt idx="557">
                  <c:v>640.28000000000009</c:v>
                </c:pt>
                <c:pt idx="558">
                  <c:v>640.48500000000013</c:v>
                </c:pt>
                <c:pt idx="559">
                  <c:v>640.69000000000005</c:v>
                </c:pt>
                <c:pt idx="560">
                  <c:v>640.69000000000005</c:v>
                </c:pt>
                <c:pt idx="561">
                  <c:v>640.69000000000005</c:v>
                </c:pt>
                <c:pt idx="562">
                  <c:v>641.66000000000008</c:v>
                </c:pt>
                <c:pt idx="563">
                  <c:v>642.63000000000011</c:v>
                </c:pt>
                <c:pt idx="564">
                  <c:v>642.63000000000011</c:v>
                </c:pt>
                <c:pt idx="565">
                  <c:v>642.63000000000011</c:v>
                </c:pt>
                <c:pt idx="566">
                  <c:v>642.92000000000007</c:v>
                </c:pt>
                <c:pt idx="567">
                  <c:v>643.21000000000015</c:v>
                </c:pt>
                <c:pt idx="568">
                  <c:v>643.21000000000015</c:v>
                </c:pt>
                <c:pt idx="569">
                  <c:v>643.21000000000015</c:v>
                </c:pt>
                <c:pt idx="570">
                  <c:v>643.93500000000017</c:v>
                </c:pt>
                <c:pt idx="571">
                  <c:v>644.6600000000002</c:v>
                </c:pt>
                <c:pt idx="572">
                  <c:v>644.6600000000002</c:v>
                </c:pt>
                <c:pt idx="573">
                  <c:v>644.6600000000002</c:v>
                </c:pt>
                <c:pt idx="574">
                  <c:v>644.72500000000025</c:v>
                </c:pt>
                <c:pt idx="575">
                  <c:v>644.79000000000019</c:v>
                </c:pt>
                <c:pt idx="576">
                  <c:v>644.79000000000019</c:v>
                </c:pt>
                <c:pt idx="577">
                  <c:v>644.79000000000019</c:v>
                </c:pt>
                <c:pt idx="578">
                  <c:v>645.24500000000023</c:v>
                </c:pt>
                <c:pt idx="579">
                  <c:v>645.70000000000016</c:v>
                </c:pt>
                <c:pt idx="580">
                  <c:v>645.70000000000016</c:v>
                </c:pt>
                <c:pt idx="581">
                  <c:v>645.70000000000016</c:v>
                </c:pt>
                <c:pt idx="582">
                  <c:v>648.09500000000014</c:v>
                </c:pt>
                <c:pt idx="583">
                  <c:v>650.49000000000012</c:v>
                </c:pt>
                <c:pt idx="584">
                  <c:v>650.49000000000012</c:v>
                </c:pt>
                <c:pt idx="585">
                  <c:v>650.49000000000012</c:v>
                </c:pt>
                <c:pt idx="586">
                  <c:v>653.85500000000013</c:v>
                </c:pt>
                <c:pt idx="587">
                  <c:v>657.22000000000014</c:v>
                </c:pt>
                <c:pt idx="588">
                  <c:v>657.22000000000014</c:v>
                </c:pt>
                <c:pt idx="589">
                  <c:v>657.22000000000014</c:v>
                </c:pt>
                <c:pt idx="590">
                  <c:v>657.8900000000001</c:v>
                </c:pt>
                <c:pt idx="591">
                  <c:v>658.56000000000017</c:v>
                </c:pt>
                <c:pt idx="592">
                  <c:v>658.56000000000017</c:v>
                </c:pt>
                <c:pt idx="593">
                  <c:v>658.56000000000017</c:v>
                </c:pt>
                <c:pt idx="594">
                  <c:v>658.64000000000021</c:v>
                </c:pt>
                <c:pt idx="595">
                  <c:v>658.72000000000014</c:v>
                </c:pt>
                <c:pt idx="596">
                  <c:v>658.72000000000014</c:v>
                </c:pt>
                <c:pt idx="597">
                  <c:v>658.72000000000014</c:v>
                </c:pt>
                <c:pt idx="598">
                  <c:v>658.88000000000011</c:v>
                </c:pt>
                <c:pt idx="599">
                  <c:v>659.04000000000019</c:v>
                </c:pt>
                <c:pt idx="600">
                  <c:v>659.04000000000019</c:v>
                </c:pt>
                <c:pt idx="601">
                  <c:v>659.04000000000019</c:v>
                </c:pt>
                <c:pt idx="602">
                  <c:v>660.31000000000017</c:v>
                </c:pt>
                <c:pt idx="603">
                  <c:v>661.58000000000015</c:v>
                </c:pt>
                <c:pt idx="604">
                  <c:v>661.58000000000015</c:v>
                </c:pt>
                <c:pt idx="605">
                  <c:v>661.58000000000015</c:v>
                </c:pt>
                <c:pt idx="606">
                  <c:v>665.08000000000015</c:v>
                </c:pt>
                <c:pt idx="607">
                  <c:v>668.58000000000015</c:v>
                </c:pt>
                <c:pt idx="608">
                  <c:v>668.58000000000015</c:v>
                </c:pt>
                <c:pt idx="609">
                  <c:v>668.58000000000015</c:v>
                </c:pt>
                <c:pt idx="610">
                  <c:v>668.88000000000011</c:v>
                </c:pt>
                <c:pt idx="611">
                  <c:v>669.18000000000018</c:v>
                </c:pt>
                <c:pt idx="612">
                  <c:v>669.18000000000018</c:v>
                </c:pt>
                <c:pt idx="613">
                  <c:v>669.18000000000018</c:v>
                </c:pt>
                <c:pt idx="614">
                  <c:v>669.37500000000023</c:v>
                </c:pt>
                <c:pt idx="615">
                  <c:v>669.57000000000016</c:v>
                </c:pt>
                <c:pt idx="616">
                  <c:v>669.57000000000016</c:v>
                </c:pt>
                <c:pt idx="617">
                  <c:v>669.57000000000016</c:v>
                </c:pt>
                <c:pt idx="618">
                  <c:v>669.81000000000017</c:v>
                </c:pt>
                <c:pt idx="619">
                  <c:v>670.05000000000018</c:v>
                </c:pt>
                <c:pt idx="620">
                  <c:v>670.05000000000018</c:v>
                </c:pt>
                <c:pt idx="621">
                  <c:v>670.05000000000018</c:v>
                </c:pt>
                <c:pt idx="622">
                  <c:v>670.21500000000015</c:v>
                </c:pt>
                <c:pt idx="623">
                  <c:v>670.38000000000022</c:v>
                </c:pt>
                <c:pt idx="624">
                  <c:v>670.38000000000022</c:v>
                </c:pt>
                <c:pt idx="625">
                  <c:v>670.38000000000022</c:v>
                </c:pt>
                <c:pt idx="626">
                  <c:v>671.69000000000017</c:v>
                </c:pt>
                <c:pt idx="627">
                  <c:v>673.00000000000023</c:v>
                </c:pt>
                <c:pt idx="628">
                  <c:v>673.00000000000023</c:v>
                </c:pt>
                <c:pt idx="629">
                  <c:v>673.00000000000023</c:v>
                </c:pt>
                <c:pt idx="630">
                  <c:v>673.14500000000021</c:v>
                </c:pt>
                <c:pt idx="631">
                  <c:v>673.29000000000019</c:v>
                </c:pt>
                <c:pt idx="632">
                  <c:v>673.29000000000019</c:v>
                </c:pt>
                <c:pt idx="633">
                  <c:v>673.29000000000019</c:v>
                </c:pt>
                <c:pt idx="634">
                  <c:v>673.37000000000023</c:v>
                </c:pt>
                <c:pt idx="635">
                  <c:v>673.45000000000016</c:v>
                </c:pt>
                <c:pt idx="636">
                  <c:v>673.45000000000016</c:v>
                </c:pt>
                <c:pt idx="637">
                  <c:v>673.45000000000016</c:v>
                </c:pt>
                <c:pt idx="638">
                  <c:v>673.54500000000019</c:v>
                </c:pt>
                <c:pt idx="639">
                  <c:v>673.64000000000021</c:v>
                </c:pt>
                <c:pt idx="640">
                  <c:v>673.64000000000021</c:v>
                </c:pt>
                <c:pt idx="641">
                  <c:v>673.64000000000021</c:v>
                </c:pt>
                <c:pt idx="642">
                  <c:v>673.85000000000025</c:v>
                </c:pt>
                <c:pt idx="643">
                  <c:v>674.06000000000017</c:v>
                </c:pt>
                <c:pt idx="644">
                  <c:v>674.06000000000017</c:v>
                </c:pt>
                <c:pt idx="645">
                  <c:v>674.06000000000017</c:v>
                </c:pt>
                <c:pt idx="646">
                  <c:v>674.10500000000013</c:v>
                </c:pt>
                <c:pt idx="647">
                  <c:v>674.1500000000002</c:v>
                </c:pt>
                <c:pt idx="648">
                  <c:v>674.1500000000002</c:v>
                </c:pt>
                <c:pt idx="649">
                  <c:v>674.1500000000002</c:v>
                </c:pt>
                <c:pt idx="650">
                  <c:v>674.25000000000023</c:v>
                </c:pt>
                <c:pt idx="651">
                  <c:v>674.35000000000025</c:v>
                </c:pt>
                <c:pt idx="652">
                  <c:v>674.35000000000025</c:v>
                </c:pt>
                <c:pt idx="653">
                  <c:v>674.35000000000025</c:v>
                </c:pt>
                <c:pt idx="654">
                  <c:v>674.7800000000002</c:v>
                </c:pt>
                <c:pt idx="655">
                  <c:v>675.21000000000026</c:v>
                </c:pt>
                <c:pt idx="656">
                  <c:v>675.21000000000026</c:v>
                </c:pt>
                <c:pt idx="657">
                  <c:v>675.21000000000026</c:v>
                </c:pt>
                <c:pt idx="658">
                  <c:v>675.33500000000026</c:v>
                </c:pt>
                <c:pt idx="659">
                  <c:v>675.46000000000026</c:v>
                </c:pt>
                <c:pt idx="660">
                  <c:v>675.46000000000026</c:v>
                </c:pt>
                <c:pt idx="661">
                  <c:v>675.46000000000026</c:v>
                </c:pt>
                <c:pt idx="662">
                  <c:v>675.52000000000021</c:v>
                </c:pt>
                <c:pt idx="663">
                  <c:v>675.58000000000027</c:v>
                </c:pt>
                <c:pt idx="664">
                  <c:v>675.58000000000027</c:v>
                </c:pt>
                <c:pt idx="665">
                  <c:v>675.58000000000027</c:v>
                </c:pt>
                <c:pt idx="666">
                  <c:v>675.66000000000031</c:v>
                </c:pt>
                <c:pt idx="667">
                  <c:v>675.74000000000024</c:v>
                </c:pt>
                <c:pt idx="668">
                  <c:v>675.74000000000024</c:v>
                </c:pt>
                <c:pt idx="669">
                  <c:v>675.74000000000024</c:v>
                </c:pt>
                <c:pt idx="670">
                  <c:v>675.89000000000021</c:v>
                </c:pt>
                <c:pt idx="671">
                  <c:v>676.04000000000019</c:v>
                </c:pt>
                <c:pt idx="672">
                  <c:v>676.04000000000019</c:v>
                </c:pt>
                <c:pt idx="673">
                  <c:v>676.04000000000019</c:v>
                </c:pt>
                <c:pt idx="674">
                  <c:v>676.59500000000014</c:v>
                </c:pt>
                <c:pt idx="675">
                  <c:v>677.1500000000002</c:v>
                </c:pt>
                <c:pt idx="676">
                  <c:v>677.1500000000002</c:v>
                </c:pt>
                <c:pt idx="677">
                  <c:v>677.1500000000002</c:v>
                </c:pt>
                <c:pt idx="678">
                  <c:v>677.25000000000023</c:v>
                </c:pt>
                <c:pt idx="679">
                  <c:v>677.35000000000025</c:v>
                </c:pt>
                <c:pt idx="680">
                  <c:v>677.35000000000025</c:v>
                </c:pt>
                <c:pt idx="681">
                  <c:v>677.35000000000025</c:v>
                </c:pt>
                <c:pt idx="682">
                  <c:v>677.56500000000028</c:v>
                </c:pt>
                <c:pt idx="683">
                  <c:v>677.7800000000002</c:v>
                </c:pt>
                <c:pt idx="684">
                  <c:v>677.7800000000002</c:v>
                </c:pt>
                <c:pt idx="685">
                  <c:v>677.7800000000002</c:v>
                </c:pt>
                <c:pt idx="686">
                  <c:v>677.85000000000025</c:v>
                </c:pt>
                <c:pt idx="687">
                  <c:v>677.92000000000019</c:v>
                </c:pt>
                <c:pt idx="688">
                  <c:v>677.92000000000019</c:v>
                </c:pt>
                <c:pt idx="689">
                  <c:v>677.92000000000019</c:v>
                </c:pt>
                <c:pt idx="690">
                  <c:v>677.93000000000018</c:v>
                </c:pt>
                <c:pt idx="691">
                  <c:v>677.94000000000017</c:v>
                </c:pt>
                <c:pt idx="692">
                  <c:v>677.94000000000017</c:v>
                </c:pt>
                <c:pt idx="693">
                  <c:v>677.94000000000017</c:v>
                </c:pt>
                <c:pt idx="694">
                  <c:v>678.00000000000011</c:v>
                </c:pt>
                <c:pt idx="695">
                  <c:v>678.06000000000017</c:v>
                </c:pt>
                <c:pt idx="696">
                  <c:v>678.06000000000017</c:v>
                </c:pt>
                <c:pt idx="697">
                  <c:v>678.06000000000017</c:v>
                </c:pt>
                <c:pt idx="698">
                  <c:v>678.20000000000016</c:v>
                </c:pt>
                <c:pt idx="699">
                  <c:v>678.34000000000015</c:v>
                </c:pt>
                <c:pt idx="700">
                  <c:v>678.34000000000015</c:v>
                </c:pt>
                <c:pt idx="701">
                  <c:v>678.34000000000015</c:v>
                </c:pt>
                <c:pt idx="702">
                  <c:v>678.49000000000012</c:v>
                </c:pt>
                <c:pt idx="703">
                  <c:v>678.6400000000001</c:v>
                </c:pt>
                <c:pt idx="704">
                  <c:v>678.6400000000001</c:v>
                </c:pt>
                <c:pt idx="705">
                  <c:v>678.6400000000001</c:v>
                </c:pt>
                <c:pt idx="706">
                  <c:v>678.67000000000007</c:v>
                </c:pt>
                <c:pt idx="707">
                  <c:v>678.7</c:v>
                </c:pt>
                <c:pt idx="708">
                  <c:v>678.7</c:v>
                </c:pt>
                <c:pt idx="709">
                  <c:v>678.7</c:v>
                </c:pt>
              </c:numCache>
            </c:numRef>
          </c:cat>
          <c:val>
            <c:numRef>
              <c:f>Charts!$P$7:$P$716</c:f>
              <c:numCache>
                <c:formatCode>General</c:formatCode>
                <c:ptCount val="71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82.153172690763057</c:v>
                </c:pt>
                <c:pt idx="466">
                  <c:v>82.153172690763057</c:v>
                </c:pt>
                <c:pt idx="467">
                  <c:v>82.153172690763057</c:v>
                </c:pt>
                <c:pt idx="468">
                  <c:v>0</c:v>
                </c:pt>
                <c:pt idx="469">
                  <c:v>0</c:v>
                </c:pt>
                <c:pt idx="470">
                  <c:v>0</c:v>
                </c:pt>
                <c:pt idx="471">
                  <c:v>0</c:v>
                </c:pt>
                <c:pt idx="472">
                  <c:v>0</c:v>
                </c:pt>
                <c:pt idx="473">
                  <c:v>0</c:v>
                </c:pt>
                <c:pt idx="474">
                  <c:v>0</c:v>
                </c:pt>
                <c:pt idx="475">
                  <c:v>0</c:v>
                </c:pt>
                <c:pt idx="476">
                  <c:v>0</c:v>
                </c:pt>
                <c:pt idx="477">
                  <c:v>84.613172690763051</c:v>
                </c:pt>
                <c:pt idx="478">
                  <c:v>84.613172690763051</c:v>
                </c:pt>
                <c:pt idx="479">
                  <c:v>84.613172690763051</c:v>
                </c:pt>
                <c:pt idx="480">
                  <c:v>0</c:v>
                </c:pt>
                <c:pt idx="481">
                  <c:v>85.47317269076305</c:v>
                </c:pt>
                <c:pt idx="482">
                  <c:v>85.47317269076305</c:v>
                </c:pt>
                <c:pt idx="483">
                  <c:v>85.47317269076305</c:v>
                </c:pt>
                <c:pt idx="484">
                  <c:v>0</c:v>
                </c:pt>
                <c:pt idx="485">
                  <c:v>85.753172690763051</c:v>
                </c:pt>
                <c:pt idx="486">
                  <c:v>85.753172690763051</c:v>
                </c:pt>
                <c:pt idx="487">
                  <c:v>85.753172690763051</c:v>
                </c:pt>
                <c:pt idx="488">
                  <c:v>0</c:v>
                </c:pt>
                <c:pt idx="489">
                  <c:v>86.093172690763055</c:v>
                </c:pt>
                <c:pt idx="490">
                  <c:v>86.093172690763055</c:v>
                </c:pt>
                <c:pt idx="491">
                  <c:v>86.093172690763055</c:v>
                </c:pt>
                <c:pt idx="492">
                  <c:v>0</c:v>
                </c:pt>
                <c:pt idx="493">
                  <c:v>86.20317269076304</c:v>
                </c:pt>
                <c:pt idx="494">
                  <c:v>86.20317269076304</c:v>
                </c:pt>
                <c:pt idx="495">
                  <c:v>86.20317269076304</c:v>
                </c:pt>
                <c:pt idx="496">
                  <c:v>0</c:v>
                </c:pt>
                <c:pt idx="497">
                  <c:v>86.963172690763059</c:v>
                </c:pt>
                <c:pt idx="498">
                  <c:v>86.963172690763059</c:v>
                </c:pt>
                <c:pt idx="499">
                  <c:v>86.963172690763059</c:v>
                </c:pt>
                <c:pt idx="500">
                  <c:v>0</c:v>
                </c:pt>
                <c:pt idx="501">
                  <c:v>0</c:v>
                </c:pt>
                <c:pt idx="502">
                  <c:v>0</c:v>
                </c:pt>
                <c:pt idx="503">
                  <c:v>0</c:v>
                </c:pt>
                <c:pt idx="504">
                  <c:v>0</c:v>
                </c:pt>
                <c:pt idx="505">
                  <c:v>0</c:v>
                </c:pt>
                <c:pt idx="506">
                  <c:v>0</c:v>
                </c:pt>
                <c:pt idx="507">
                  <c:v>0</c:v>
                </c:pt>
                <c:pt idx="508">
                  <c:v>0</c:v>
                </c:pt>
                <c:pt idx="509">
                  <c:v>87.613172690763051</c:v>
                </c:pt>
                <c:pt idx="510">
                  <c:v>87.613172690763051</c:v>
                </c:pt>
                <c:pt idx="511">
                  <c:v>87.613172690763051</c:v>
                </c:pt>
                <c:pt idx="512">
                  <c:v>0</c:v>
                </c:pt>
                <c:pt idx="513">
                  <c:v>88.70317269076304</c:v>
                </c:pt>
                <c:pt idx="514">
                  <c:v>88.70317269076304</c:v>
                </c:pt>
                <c:pt idx="515">
                  <c:v>88.70317269076304</c:v>
                </c:pt>
                <c:pt idx="516">
                  <c:v>0</c:v>
                </c:pt>
                <c:pt idx="517">
                  <c:v>0</c:v>
                </c:pt>
                <c:pt idx="518">
                  <c:v>0</c:v>
                </c:pt>
                <c:pt idx="519">
                  <c:v>0</c:v>
                </c:pt>
                <c:pt idx="520">
                  <c:v>0</c:v>
                </c:pt>
                <c:pt idx="521">
                  <c:v>90.45317269076304</c:v>
                </c:pt>
                <c:pt idx="522">
                  <c:v>90.45317269076304</c:v>
                </c:pt>
                <c:pt idx="523">
                  <c:v>90.45317269076304</c:v>
                </c:pt>
                <c:pt idx="524">
                  <c:v>0</c:v>
                </c:pt>
                <c:pt idx="525">
                  <c:v>90.773172690763047</c:v>
                </c:pt>
                <c:pt idx="526">
                  <c:v>90.773172690763047</c:v>
                </c:pt>
                <c:pt idx="527">
                  <c:v>90.773172690763047</c:v>
                </c:pt>
                <c:pt idx="528">
                  <c:v>0</c:v>
                </c:pt>
                <c:pt idx="529">
                  <c:v>91.33317269076305</c:v>
                </c:pt>
                <c:pt idx="530">
                  <c:v>91.33317269076305</c:v>
                </c:pt>
                <c:pt idx="531">
                  <c:v>91.33317269076305</c:v>
                </c:pt>
                <c:pt idx="532">
                  <c:v>0</c:v>
                </c:pt>
                <c:pt idx="533">
                  <c:v>91.643172690763052</c:v>
                </c:pt>
                <c:pt idx="534">
                  <c:v>91.643172690763052</c:v>
                </c:pt>
                <c:pt idx="535">
                  <c:v>91.643172690763052</c:v>
                </c:pt>
                <c:pt idx="536">
                  <c:v>0</c:v>
                </c:pt>
                <c:pt idx="537">
                  <c:v>0</c:v>
                </c:pt>
                <c:pt idx="538">
                  <c:v>0</c:v>
                </c:pt>
                <c:pt idx="539">
                  <c:v>0</c:v>
                </c:pt>
                <c:pt idx="540">
                  <c:v>0</c:v>
                </c:pt>
                <c:pt idx="541">
                  <c:v>0</c:v>
                </c:pt>
                <c:pt idx="542">
                  <c:v>0</c:v>
                </c:pt>
                <c:pt idx="543">
                  <c:v>0</c:v>
                </c:pt>
                <c:pt idx="544">
                  <c:v>0</c:v>
                </c:pt>
                <c:pt idx="545">
                  <c:v>93.503172690763051</c:v>
                </c:pt>
                <c:pt idx="546">
                  <c:v>93.503172690763051</c:v>
                </c:pt>
                <c:pt idx="547">
                  <c:v>93.503172690763051</c:v>
                </c:pt>
                <c:pt idx="548">
                  <c:v>0</c:v>
                </c:pt>
                <c:pt idx="549">
                  <c:v>0</c:v>
                </c:pt>
                <c:pt idx="550">
                  <c:v>0</c:v>
                </c:pt>
                <c:pt idx="551">
                  <c:v>0</c:v>
                </c:pt>
                <c:pt idx="552">
                  <c:v>0</c:v>
                </c:pt>
                <c:pt idx="553">
                  <c:v>0</c:v>
                </c:pt>
                <c:pt idx="554">
                  <c:v>0</c:v>
                </c:pt>
                <c:pt idx="555">
                  <c:v>0</c:v>
                </c:pt>
                <c:pt idx="556">
                  <c:v>0</c:v>
                </c:pt>
                <c:pt idx="557">
                  <c:v>95.013172690763042</c:v>
                </c:pt>
                <c:pt idx="558">
                  <c:v>95.013172690763042</c:v>
                </c:pt>
                <c:pt idx="559">
                  <c:v>95.013172690763042</c:v>
                </c:pt>
                <c:pt idx="560">
                  <c:v>0</c:v>
                </c:pt>
                <c:pt idx="561">
                  <c:v>0</c:v>
                </c:pt>
                <c:pt idx="562">
                  <c:v>0</c:v>
                </c:pt>
                <c:pt idx="563">
                  <c:v>0</c:v>
                </c:pt>
                <c:pt idx="564">
                  <c:v>0</c:v>
                </c:pt>
                <c:pt idx="565">
                  <c:v>0</c:v>
                </c:pt>
                <c:pt idx="566">
                  <c:v>0</c:v>
                </c:pt>
                <c:pt idx="567">
                  <c:v>0</c:v>
                </c:pt>
                <c:pt idx="568">
                  <c:v>0</c:v>
                </c:pt>
                <c:pt idx="569">
                  <c:v>95.793172690763043</c:v>
                </c:pt>
                <c:pt idx="570">
                  <c:v>95.793172690763043</c:v>
                </c:pt>
                <c:pt idx="571">
                  <c:v>95.793172690763043</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100.36317269076304</c:v>
                </c:pt>
                <c:pt idx="586">
                  <c:v>100.36317269076304</c:v>
                </c:pt>
                <c:pt idx="587">
                  <c:v>100.36317269076304</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102.64317269076304</c:v>
                </c:pt>
                <c:pt idx="602">
                  <c:v>102.64317269076304</c:v>
                </c:pt>
                <c:pt idx="603">
                  <c:v>102.64317269076304</c:v>
                </c:pt>
                <c:pt idx="604">
                  <c:v>0</c:v>
                </c:pt>
                <c:pt idx="605">
                  <c:v>0</c:v>
                </c:pt>
                <c:pt idx="606">
                  <c:v>0</c:v>
                </c:pt>
                <c:pt idx="607">
                  <c:v>0</c:v>
                </c:pt>
                <c:pt idx="608">
                  <c:v>0</c:v>
                </c:pt>
                <c:pt idx="609">
                  <c:v>105.48317269076304</c:v>
                </c:pt>
                <c:pt idx="610">
                  <c:v>105.48317269076304</c:v>
                </c:pt>
                <c:pt idx="611">
                  <c:v>105.48317269076304</c:v>
                </c:pt>
                <c:pt idx="612">
                  <c:v>0</c:v>
                </c:pt>
                <c:pt idx="613">
                  <c:v>0</c:v>
                </c:pt>
                <c:pt idx="614">
                  <c:v>0</c:v>
                </c:pt>
                <c:pt idx="615">
                  <c:v>0</c:v>
                </c:pt>
                <c:pt idx="616">
                  <c:v>0</c:v>
                </c:pt>
                <c:pt idx="617">
                  <c:v>106.74317269076306</c:v>
                </c:pt>
                <c:pt idx="618">
                  <c:v>106.74317269076306</c:v>
                </c:pt>
                <c:pt idx="619">
                  <c:v>106.74317269076306</c:v>
                </c:pt>
                <c:pt idx="620">
                  <c:v>0</c:v>
                </c:pt>
                <c:pt idx="621">
                  <c:v>0</c:v>
                </c:pt>
                <c:pt idx="622">
                  <c:v>0</c:v>
                </c:pt>
                <c:pt idx="623">
                  <c:v>0</c:v>
                </c:pt>
                <c:pt idx="624">
                  <c:v>0</c:v>
                </c:pt>
                <c:pt idx="625">
                  <c:v>108.56317269076305</c:v>
                </c:pt>
                <c:pt idx="626">
                  <c:v>108.56317269076305</c:v>
                </c:pt>
                <c:pt idx="627">
                  <c:v>108.56317269076305</c:v>
                </c:pt>
                <c:pt idx="628">
                  <c:v>0</c:v>
                </c:pt>
                <c:pt idx="629">
                  <c:v>109.15317269076306</c:v>
                </c:pt>
                <c:pt idx="630">
                  <c:v>109.15317269076306</c:v>
                </c:pt>
                <c:pt idx="631">
                  <c:v>109.15317269076306</c:v>
                </c:pt>
                <c:pt idx="632">
                  <c:v>0</c:v>
                </c:pt>
                <c:pt idx="633">
                  <c:v>0</c:v>
                </c:pt>
                <c:pt idx="634">
                  <c:v>0</c:v>
                </c:pt>
                <c:pt idx="635">
                  <c:v>0</c:v>
                </c:pt>
                <c:pt idx="636">
                  <c:v>0</c:v>
                </c:pt>
                <c:pt idx="637">
                  <c:v>111.65317269076306</c:v>
                </c:pt>
                <c:pt idx="638">
                  <c:v>111.65317269076306</c:v>
                </c:pt>
                <c:pt idx="639">
                  <c:v>111.65317269076306</c:v>
                </c:pt>
                <c:pt idx="640">
                  <c:v>0</c:v>
                </c:pt>
                <c:pt idx="641">
                  <c:v>111.89317269076304</c:v>
                </c:pt>
                <c:pt idx="642">
                  <c:v>111.89317269076304</c:v>
                </c:pt>
                <c:pt idx="643">
                  <c:v>111.89317269076304</c:v>
                </c:pt>
                <c:pt idx="644">
                  <c:v>0</c:v>
                </c:pt>
                <c:pt idx="645">
                  <c:v>112.00317269076305</c:v>
                </c:pt>
                <c:pt idx="646">
                  <c:v>112.00317269076305</c:v>
                </c:pt>
                <c:pt idx="647">
                  <c:v>112.00317269076305</c:v>
                </c:pt>
                <c:pt idx="648">
                  <c:v>0</c:v>
                </c:pt>
                <c:pt idx="649">
                  <c:v>113.11317269076304</c:v>
                </c:pt>
                <c:pt idx="650">
                  <c:v>113.11317269076304</c:v>
                </c:pt>
                <c:pt idx="651">
                  <c:v>113.11317269076304</c:v>
                </c:pt>
                <c:pt idx="652">
                  <c:v>0</c:v>
                </c:pt>
                <c:pt idx="653">
                  <c:v>0</c:v>
                </c:pt>
                <c:pt idx="654">
                  <c:v>0</c:v>
                </c:pt>
                <c:pt idx="655">
                  <c:v>0</c:v>
                </c:pt>
                <c:pt idx="656">
                  <c:v>0</c:v>
                </c:pt>
                <c:pt idx="657">
                  <c:v>117.18317269076306</c:v>
                </c:pt>
                <c:pt idx="658">
                  <c:v>117.18317269076306</c:v>
                </c:pt>
                <c:pt idx="659">
                  <c:v>117.18317269076306</c:v>
                </c:pt>
                <c:pt idx="660">
                  <c:v>0</c:v>
                </c:pt>
                <c:pt idx="661">
                  <c:v>120.34317269076305</c:v>
                </c:pt>
                <c:pt idx="662">
                  <c:v>120.34317269076305</c:v>
                </c:pt>
                <c:pt idx="663">
                  <c:v>120.34317269076305</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124.78317269076305</c:v>
                </c:pt>
                <c:pt idx="682">
                  <c:v>124.78317269076305</c:v>
                </c:pt>
                <c:pt idx="683">
                  <c:v>124.78317269076305</c:v>
                </c:pt>
                <c:pt idx="684">
                  <c:v>0</c:v>
                </c:pt>
                <c:pt idx="685">
                  <c:v>126.89317269076304</c:v>
                </c:pt>
                <c:pt idx="686">
                  <c:v>126.89317269076304</c:v>
                </c:pt>
                <c:pt idx="687">
                  <c:v>126.89317269076304</c:v>
                </c:pt>
                <c:pt idx="688">
                  <c:v>0</c:v>
                </c:pt>
                <c:pt idx="689">
                  <c:v>0</c:v>
                </c:pt>
                <c:pt idx="690">
                  <c:v>0</c:v>
                </c:pt>
                <c:pt idx="691">
                  <c:v>0</c:v>
                </c:pt>
                <c:pt idx="692">
                  <c:v>0</c:v>
                </c:pt>
                <c:pt idx="693">
                  <c:v>129.12317269076306</c:v>
                </c:pt>
                <c:pt idx="694">
                  <c:v>129.12317269076306</c:v>
                </c:pt>
                <c:pt idx="695">
                  <c:v>129.12317269076306</c:v>
                </c:pt>
                <c:pt idx="696">
                  <c:v>0</c:v>
                </c:pt>
                <c:pt idx="697">
                  <c:v>135.82317269076304</c:v>
                </c:pt>
                <c:pt idx="698">
                  <c:v>135.82317269076304</c:v>
                </c:pt>
                <c:pt idx="699">
                  <c:v>135.82317269076304</c:v>
                </c:pt>
                <c:pt idx="700">
                  <c:v>0</c:v>
                </c:pt>
                <c:pt idx="701">
                  <c:v>0</c:v>
                </c:pt>
                <c:pt idx="702">
                  <c:v>0</c:v>
                </c:pt>
                <c:pt idx="703">
                  <c:v>0</c:v>
                </c:pt>
                <c:pt idx="704">
                  <c:v>0</c:v>
                </c:pt>
                <c:pt idx="705">
                  <c:v>145.23317269076304</c:v>
                </c:pt>
                <c:pt idx="706">
                  <c:v>145.23317269076304</c:v>
                </c:pt>
                <c:pt idx="707">
                  <c:v>145.23317269076304</c:v>
                </c:pt>
                <c:pt idx="708">
                  <c:v>0</c:v>
                </c:pt>
                <c:pt idx="709">
                  <c:v>0</c:v>
                </c:pt>
              </c:numCache>
            </c:numRef>
          </c:val>
        </c:ser>
        <c:ser>
          <c:idx val="3"/>
          <c:order val="3"/>
          <c:tx>
            <c:strRef>
              <c:f>Charts!$Q$5</c:f>
              <c:strCache>
                <c:ptCount val="1"/>
                <c:pt idx="0">
                  <c:v>Australia</c:v>
                </c:pt>
              </c:strCache>
            </c:strRef>
          </c:tx>
          <c:spPr>
            <a:solidFill>
              <a:srgbClr val="F36A5A"/>
            </a:solidFill>
            <a:ln w="3175">
              <a:solidFill>
                <a:srgbClr val="F36A5A"/>
              </a:solidFill>
            </a:ln>
            <a:effectLst/>
          </c:spPr>
          <c:cat>
            <c:numRef>
              <c:f>Charts!$S$7:$S$716</c:f>
              <c:numCache>
                <c:formatCode>General</c:formatCode>
                <c:ptCount val="710"/>
                <c:pt idx="0">
                  <c:v>0</c:v>
                </c:pt>
                <c:pt idx="1">
                  <c:v>0</c:v>
                </c:pt>
                <c:pt idx="2">
                  <c:v>1.075</c:v>
                </c:pt>
                <c:pt idx="3">
                  <c:v>2.15</c:v>
                </c:pt>
                <c:pt idx="4">
                  <c:v>2.15</c:v>
                </c:pt>
                <c:pt idx="5">
                  <c:v>2.15</c:v>
                </c:pt>
                <c:pt idx="6">
                  <c:v>4.6549999999999994</c:v>
                </c:pt>
                <c:pt idx="7">
                  <c:v>7.16</c:v>
                </c:pt>
                <c:pt idx="8">
                  <c:v>7.16</c:v>
                </c:pt>
                <c:pt idx="9">
                  <c:v>7.16</c:v>
                </c:pt>
                <c:pt idx="10">
                  <c:v>14.254999999999999</c:v>
                </c:pt>
                <c:pt idx="11">
                  <c:v>21.35</c:v>
                </c:pt>
                <c:pt idx="12">
                  <c:v>21.35</c:v>
                </c:pt>
                <c:pt idx="13">
                  <c:v>21.35</c:v>
                </c:pt>
                <c:pt idx="14">
                  <c:v>23.040000000000003</c:v>
                </c:pt>
                <c:pt idx="15">
                  <c:v>24.73</c:v>
                </c:pt>
                <c:pt idx="16">
                  <c:v>24.73</c:v>
                </c:pt>
                <c:pt idx="17">
                  <c:v>24.73</c:v>
                </c:pt>
                <c:pt idx="18">
                  <c:v>33.53</c:v>
                </c:pt>
                <c:pt idx="19">
                  <c:v>42.33</c:v>
                </c:pt>
                <c:pt idx="20">
                  <c:v>42.33</c:v>
                </c:pt>
                <c:pt idx="21">
                  <c:v>42.33</c:v>
                </c:pt>
                <c:pt idx="22">
                  <c:v>42.48</c:v>
                </c:pt>
                <c:pt idx="23">
                  <c:v>42.629999999999995</c:v>
                </c:pt>
                <c:pt idx="24">
                  <c:v>42.629999999999995</c:v>
                </c:pt>
                <c:pt idx="25">
                  <c:v>42.629999999999995</c:v>
                </c:pt>
                <c:pt idx="26">
                  <c:v>44.464999999999996</c:v>
                </c:pt>
                <c:pt idx="27">
                  <c:v>46.3</c:v>
                </c:pt>
                <c:pt idx="28">
                  <c:v>46.3</c:v>
                </c:pt>
                <c:pt idx="29">
                  <c:v>46.3</c:v>
                </c:pt>
                <c:pt idx="30">
                  <c:v>46.849999999999994</c:v>
                </c:pt>
                <c:pt idx="31">
                  <c:v>47.4</c:v>
                </c:pt>
                <c:pt idx="32">
                  <c:v>47.4</c:v>
                </c:pt>
                <c:pt idx="33">
                  <c:v>47.4</c:v>
                </c:pt>
                <c:pt idx="34">
                  <c:v>50.614999999999995</c:v>
                </c:pt>
                <c:pt idx="35">
                  <c:v>53.83</c:v>
                </c:pt>
                <c:pt idx="36">
                  <c:v>53.83</c:v>
                </c:pt>
                <c:pt idx="37">
                  <c:v>53.83</c:v>
                </c:pt>
                <c:pt idx="38">
                  <c:v>54.489999999999995</c:v>
                </c:pt>
                <c:pt idx="39">
                  <c:v>55.15</c:v>
                </c:pt>
                <c:pt idx="40">
                  <c:v>55.15</c:v>
                </c:pt>
                <c:pt idx="41">
                  <c:v>55.15</c:v>
                </c:pt>
                <c:pt idx="42">
                  <c:v>55.55</c:v>
                </c:pt>
                <c:pt idx="43">
                  <c:v>55.949999999999996</c:v>
                </c:pt>
                <c:pt idx="44">
                  <c:v>55.949999999999996</c:v>
                </c:pt>
                <c:pt idx="45">
                  <c:v>55.949999999999996</c:v>
                </c:pt>
                <c:pt idx="46">
                  <c:v>56.124999999999993</c:v>
                </c:pt>
                <c:pt idx="47">
                  <c:v>56.3</c:v>
                </c:pt>
                <c:pt idx="48">
                  <c:v>56.3</c:v>
                </c:pt>
                <c:pt idx="49">
                  <c:v>56.3</c:v>
                </c:pt>
                <c:pt idx="50">
                  <c:v>56.474999999999994</c:v>
                </c:pt>
                <c:pt idx="51">
                  <c:v>56.65</c:v>
                </c:pt>
                <c:pt idx="52">
                  <c:v>56.65</c:v>
                </c:pt>
                <c:pt idx="53">
                  <c:v>56.65</c:v>
                </c:pt>
                <c:pt idx="54">
                  <c:v>59.64</c:v>
                </c:pt>
                <c:pt idx="55">
                  <c:v>62.629999999999995</c:v>
                </c:pt>
                <c:pt idx="56">
                  <c:v>62.629999999999995</c:v>
                </c:pt>
                <c:pt idx="57">
                  <c:v>62.629999999999995</c:v>
                </c:pt>
                <c:pt idx="58">
                  <c:v>63.414999999999992</c:v>
                </c:pt>
                <c:pt idx="59">
                  <c:v>64.199999999999989</c:v>
                </c:pt>
                <c:pt idx="60">
                  <c:v>64.199999999999989</c:v>
                </c:pt>
                <c:pt idx="61">
                  <c:v>64.199999999999989</c:v>
                </c:pt>
                <c:pt idx="62">
                  <c:v>69.834999999999994</c:v>
                </c:pt>
                <c:pt idx="63">
                  <c:v>75.469999999999985</c:v>
                </c:pt>
                <c:pt idx="64">
                  <c:v>75.469999999999985</c:v>
                </c:pt>
                <c:pt idx="65">
                  <c:v>75.469999999999985</c:v>
                </c:pt>
                <c:pt idx="66">
                  <c:v>80.899999999999977</c:v>
                </c:pt>
                <c:pt idx="67">
                  <c:v>86.329999999999984</c:v>
                </c:pt>
                <c:pt idx="68">
                  <c:v>86.329999999999984</c:v>
                </c:pt>
                <c:pt idx="69">
                  <c:v>86.329999999999984</c:v>
                </c:pt>
                <c:pt idx="70">
                  <c:v>98.194999999999979</c:v>
                </c:pt>
                <c:pt idx="71">
                  <c:v>110.05999999999999</c:v>
                </c:pt>
                <c:pt idx="72">
                  <c:v>110.05999999999999</c:v>
                </c:pt>
                <c:pt idx="73">
                  <c:v>110.05999999999999</c:v>
                </c:pt>
                <c:pt idx="74">
                  <c:v>112.68499999999999</c:v>
                </c:pt>
                <c:pt idx="75">
                  <c:v>115.30999999999999</c:v>
                </c:pt>
                <c:pt idx="76">
                  <c:v>115.30999999999999</c:v>
                </c:pt>
                <c:pt idx="77">
                  <c:v>115.30999999999999</c:v>
                </c:pt>
                <c:pt idx="78">
                  <c:v>133.72499999999999</c:v>
                </c:pt>
                <c:pt idx="79">
                  <c:v>152.13999999999999</c:v>
                </c:pt>
                <c:pt idx="80">
                  <c:v>152.13999999999999</c:v>
                </c:pt>
                <c:pt idx="81">
                  <c:v>152.13999999999999</c:v>
                </c:pt>
                <c:pt idx="82">
                  <c:v>153.39999999999998</c:v>
                </c:pt>
                <c:pt idx="83">
                  <c:v>154.66</c:v>
                </c:pt>
                <c:pt idx="84">
                  <c:v>154.66</c:v>
                </c:pt>
                <c:pt idx="85">
                  <c:v>154.66</c:v>
                </c:pt>
                <c:pt idx="86">
                  <c:v>154.72</c:v>
                </c:pt>
                <c:pt idx="87">
                  <c:v>154.78</c:v>
                </c:pt>
                <c:pt idx="88">
                  <c:v>154.78</c:v>
                </c:pt>
                <c:pt idx="89">
                  <c:v>154.78</c:v>
                </c:pt>
                <c:pt idx="90">
                  <c:v>158.69999999999999</c:v>
                </c:pt>
                <c:pt idx="91">
                  <c:v>162.62</c:v>
                </c:pt>
                <c:pt idx="92">
                  <c:v>162.62</c:v>
                </c:pt>
                <c:pt idx="93">
                  <c:v>162.62</c:v>
                </c:pt>
                <c:pt idx="94">
                  <c:v>164.23500000000001</c:v>
                </c:pt>
                <c:pt idx="95">
                  <c:v>165.85</c:v>
                </c:pt>
                <c:pt idx="96">
                  <c:v>165.85</c:v>
                </c:pt>
                <c:pt idx="97">
                  <c:v>165.85</c:v>
                </c:pt>
                <c:pt idx="98">
                  <c:v>166.34</c:v>
                </c:pt>
                <c:pt idx="99">
                  <c:v>166.82999999999998</c:v>
                </c:pt>
                <c:pt idx="100">
                  <c:v>166.82999999999998</c:v>
                </c:pt>
                <c:pt idx="101">
                  <c:v>166.82999999999998</c:v>
                </c:pt>
                <c:pt idx="102">
                  <c:v>166.94499999999999</c:v>
                </c:pt>
                <c:pt idx="103">
                  <c:v>167.05999999999997</c:v>
                </c:pt>
                <c:pt idx="104">
                  <c:v>167.05999999999997</c:v>
                </c:pt>
                <c:pt idx="105">
                  <c:v>167.05999999999997</c:v>
                </c:pt>
                <c:pt idx="106">
                  <c:v>169.93499999999997</c:v>
                </c:pt>
                <c:pt idx="107">
                  <c:v>172.80999999999997</c:v>
                </c:pt>
                <c:pt idx="108">
                  <c:v>172.80999999999997</c:v>
                </c:pt>
                <c:pt idx="109">
                  <c:v>172.80999999999997</c:v>
                </c:pt>
                <c:pt idx="110">
                  <c:v>172.82999999999998</c:v>
                </c:pt>
                <c:pt idx="111">
                  <c:v>172.84999999999997</c:v>
                </c:pt>
                <c:pt idx="112">
                  <c:v>172.84999999999997</c:v>
                </c:pt>
                <c:pt idx="113">
                  <c:v>172.84999999999997</c:v>
                </c:pt>
                <c:pt idx="114">
                  <c:v>173.34999999999997</c:v>
                </c:pt>
                <c:pt idx="115">
                  <c:v>173.84999999999997</c:v>
                </c:pt>
                <c:pt idx="116">
                  <c:v>173.84999999999997</c:v>
                </c:pt>
                <c:pt idx="117">
                  <c:v>173.84999999999997</c:v>
                </c:pt>
                <c:pt idx="118">
                  <c:v>182.09499999999997</c:v>
                </c:pt>
                <c:pt idx="119">
                  <c:v>190.33999999999997</c:v>
                </c:pt>
                <c:pt idx="120">
                  <c:v>190.33999999999997</c:v>
                </c:pt>
                <c:pt idx="121">
                  <c:v>190.33999999999997</c:v>
                </c:pt>
                <c:pt idx="122">
                  <c:v>191.75999999999996</c:v>
                </c:pt>
                <c:pt idx="123">
                  <c:v>193.17999999999998</c:v>
                </c:pt>
                <c:pt idx="124">
                  <c:v>193.17999999999998</c:v>
                </c:pt>
                <c:pt idx="125">
                  <c:v>193.17999999999998</c:v>
                </c:pt>
                <c:pt idx="126">
                  <c:v>193.34499999999997</c:v>
                </c:pt>
                <c:pt idx="127">
                  <c:v>193.51</c:v>
                </c:pt>
                <c:pt idx="128">
                  <c:v>193.51</c:v>
                </c:pt>
                <c:pt idx="129">
                  <c:v>193.51</c:v>
                </c:pt>
                <c:pt idx="130">
                  <c:v>193.63499999999999</c:v>
                </c:pt>
                <c:pt idx="131">
                  <c:v>193.76</c:v>
                </c:pt>
                <c:pt idx="132">
                  <c:v>193.76</c:v>
                </c:pt>
                <c:pt idx="133">
                  <c:v>193.76</c:v>
                </c:pt>
                <c:pt idx="134">
                  <c:v>195.565</c:v>
                </c:pt>
                <c:pt idx="135">
                  <c:v>197.37</c:v>
                </c:pt>
                <c:pt idx="136">
                  <c:v>197.37</c:v>
                </c:pt>
                <c:pt idx="137">
                  <c:v>197.37</c:v>
                </c:pt>
                <c:pt idx="138">
                  <c:v>200.64500000000001</c:v>
                </c:pt>
                <c:pt idx="139">
                  <c:v>203.92000000000002</c:v>
                </c:pt>
                <c:pt idx="140">
                  <c:v>203.92000000000002</c:v>
                </c:pt>
                <c:pt idx="141">
                  <c:v>203.92000000000002</c:v>
                </c:pt>
                <c:pt idx="142">
                  <c:v>217.99</c:v>
                </c:pt>
                <c:pt idx="143">
                  <c:v>232.06</c:v>
                </c:pt>
                <c:pt idx="144">
                  <c:v>232.06</c:v>
                </c:pt>
                <c:pt idx="145">
                  <c:v>232.06</c:v>
                </c:pt>
                <c:pt idx="146">
                  <c:v>233.785</c:v>
                </c:pt>
                <c:pt idx="147">
                  <c:v>235.51</c:v>
                </c:pt>
                <c:pt idx="148">
                  <c:v>235.51</c:v>
                </c:pt>
                <c:pt idx="149">
                  <c:v>235.51</c:v>
                </c:pt>
                <c:pt idx="150">
                  <c:v>256.88499999999999</c:v>
                </c:pt>
                <c:pt idx="151">
                  <c:v>278.26</c:v>
                </c:pt>
                <c:pt idx="152">
                  <c:v>278.26</c:v>
                </c:pt>
                <c:pt idx="153">
                  <c:v>278.26</c:v>
                </c:pt>
                <c:pt idx="154">
                  <c:v>280.815</c:v>
                </c:pt>
                <c:pt idx="155">
                  <c:v>283.37</c:v>
                </c:pt>
                <c:pt idx="156">
                  <c:v>283.37</c:v>
                </c:pt>
                <c:pt idx="157">
                  <c:v>283.37</c:v>
                </c:pt>
                <c:pt idx="158">
                  <c:v>287.14</c:v>
                </c:pt>
                <c:pt idx="159">
                  <c:v>290.91000000000003</c:v>
                </c:pt>
                <c:pt idx="160">
                  <c:v>290.91000000000003</c:v>
                </c:pt>
                <c:pt idx="161">
                  <c:v>290.91000000000003</c:v>
                </c:pt>
                <c:pt idx="162">
                  <c:v>291.31</c:v>
                </c:pt>
                <c:pt idx="163">
                  <c:v>291.71000000000004</c:v>
                </c:pt>
                <c:pt idx="164">
                  <c:v>291.71000000000004</c:v>
                </c:pt>
                <c:pt idx="165">
                  <c:v>291.71000000000004</c:v>
                </c:pt>
                <c:pt idx="166">
                  <c:v>295.18000000000006</c:v>
                </c:pt>
                <c:pt idx="167">
                  <c:v>298.65000000000003</c:v>
                </c:pt>
                <c:pt idx="168">
                  <c:v>298.65000000000003</c:v>
                </c:pt>
                <c:pt idx="169">
                  <c:v>298.65000000000003</c:v>
                </c:pt>
                <c:pt idx="170">
                  <c:v>302.46000000000004</c:v>
                </c:pt>
                <c:pt idx="171">
                  <c:v>306.27000000000004</c:v>
                </c:pt>
                <c:pt idx="172">
                  <c:v>306.27000000000004</c:v>
                </c:pt>
                <c:pt idx="173">
                  <c:v>306.27000000000004</c:v>
                </c:pt>
                <c:pt idx="174">
                  <c:v>307.86500000000007</c:v>
                </c:pt>
                <c:pt idx="175">
                  <c:v>309.46000000000004</c:v>
                </c:pt>
                <c:pt idx="176">
                  <c:v>309.46000000000004</c:v>
                </c:pt>
                <c:pt idx="177">
                  <c:v>309.46000000000004</c:v>
                </c:pt>
                <c:pt idx="178">
                  <c:v>312.48</c:v>
                </c:pt>
                <c:pt idx="179">
                  <c:v>315.50000000000006</c:v>
                </c:pt>
                <c:pt idx="180">
                  <c:v>315.50000000000006</c:v>
                </c:pt>
                <c:pt idx="181">
                  <c:v>315.50000000000006</c:v>
                </c:pt>
                <c:pt idx="182">
                  <c:v>319.94000000000005</c:v>
                </c:pt>
                <c:pt idx="183">
                  <c:v>324.38000000000005</c:v>
                </c:pt>
                <c:pt idx="184">
                  <c:v>324.38000000000005</c:v>
                </c:pt>
                <c:pt idx="185">
                  <c:v>324.38000000000005</c:v>
                </c:pt>
                <c:pt idx="186">
                  <c:v>326.21000000000004</c:v>
                </c:pt>
                <c:pt idx="187">
                  <c:v>328.04000000000008</c:v>
                </c:pt>
                <c:pt idx="188">
                  <c:v>328.04000000000008</c:v>
                </c:pt>
                <c:pt idx="189">
                  <c:v>328.04000000000008</c:v>
                </c:pt>
                <c:pt idx="190">
                  <c:v>328.55000000000007</c:v>
                </c:pt>
                <c:pt idx="191">
                  <c:v>329.06000000000006</c:v>
                </c:pt>
                <c:pt idx="192">
                  <c:v>329.06000000000006</c:v>
                </c:pt>
                <c:pt idx="193">
                  <c:v>329.06000000000006</c:v>
                </c:pt>
                <c:pt idx="194">
                  <c:v>332.15000000000003</c:v>
                </c:pt>
                <c:pt idx="195">
                  <c:v>335.24000000000007</c:v>
                </c:pt>
                <c:pt idx="196">
                  <c:v>335.24000000000007</c:v>
                </c:pt>
                <c:pt idx="197">
                  <c:v>335.24000000000007</c:v>
                </c:pt>
                <c:pt idx="198">
                  <c:v>335.76000000000005</c:v>
                </c:pt>
                <c:pt idx="199">
                  <c:v>336.28000000000009</c:v>
                </c:pt>
                <c:pt idx="200">
                  <c:v>336.28000000000009</c:v>
                </c:pt>
                <c:pt idx="201">
                  <c:v>336.28000000000009</c:v>
                </c:pt>
                <c:pt idx="202">
                  <c:v>336.30000000000007</c:v>
                </c:pt>
                <c:pt idx="203">
                  <c:v>336.32000000000011</c:v>
                </c:pt>
                <c:pt idx="204">
                  <c:v>336.32000000000011</c:v>
                </c:pt>
                <c:pt idx="205">
                  <c:v>336.32000000000011</c:v>
                </c:pt>
                <c:pt idx="206">
                  <c:v>337.12000000000012</c:v>
                </c:pt>
                <c:pt idx="207">
                  <c:v>337.92000000000013</c:v>
                </c:pt>
                <c:pt idx="208">
                  <c:v>337.92000000000013</c:v>
                </c:pt>
                <c:pt idx="209">
                  <c:v>337.92000000000013</c:v>
                </c:pt>
                <c:pt idx="210">
                  <c:v>339.68000000000012</c:v>
                </c:pt>
                <c:pt idx="211">
                  <c:v>341.44000000000011</c:v>
                </c:pt>
                <c:pt idx="212">
                  <c:v>341.44000000000011</c:v>
                </c:pt>
                <c:pt idx="213">
                  <c:v>341.44000000000011</c:v>
                </c:pt>
                <c:pt idx="214">
                  <c:v>343.79500000000013</c:v>
                </c:pt>
                <c:pt idx="215">
                  <c:v>346.15000000000009</c:v>
                </c:pt>
                <c:pt idx="216">
                  <c:v>346.15000000000009</c:v>
                </c:pt>
                <c:pt idx="217">
                  <c:v>346.15000000000009</c:v>
                </c:pt>
                <c:pt idx="218">
                  <c:v>346.49500000000012</c:v>
                </c:pt>
                <c:pt idx="219">
                  <c:v>346.84000000000009</c:v>
                </c:pt>
                <c:pt idx="220">
                  <c:v>346.84000000000009</c:v>
                </c:pt>
                <c:pt idx="221">
                  <c:v>346.84000000000009</c:v>
                </c:pt>
                <c:pt idx="222">
                  <c:v>352.71500000000009</c:v>
                </c:pt>
                <c:pt idx="223">
                  <c:v>358.59000000000009</c:v>
                </c:pt>
                <c:pt idx="224">
                  <c:v>358.59000000000009</c:v>
                </c:pt>
                <c:pt idx="225">
                  <c:v>358.59000000000009</c:v>
                </c:pt>
                <c:pt idx="226">
                  <c:v>361.31000000000012</c:v>
                </c:pt>
                <c:pt idx="227">
                  <c:v>364.03000000000009</c:v>
                </c:pt>
                <c:pt idx="228">
                  <c:v>364.03000000000009</c:v>
                </c:pt>
                <c:pt idx="229">
                  <c:v>364.03000000000009</c:v>
                </c:pt>
                <c:pt idx="230">
                  <c:v>364.98000000000008</c:v>
                </c:pt>
                <c:pt idx="231">
                  <c:v>365.93000000000006</c:v>
                </c:pt>
                <c:pt idx="232">
                  <c:v>365.93000000000006</c:v>
                </c:pt>
                <c:pt idx="233">
                  <c:v>365.93000000000006</c:v>
                </c:pt>
                <c:pt idx="234">
                  <c:v>368.15500000000009</c:v>
                </c:pt>
                <c:pt idx="235">
                  <c:v>370.38000000000005</c:v>
                </c:pt>
                <c:pt idx="236">
                  <c:v>370.38000000000005</c:v>
                </c:pt>
                <c:pt idx="237">
                  <c:v>370.38000000000005</c:v>
                </c:pt>
                <c:pt idx="238">
                  <c:v>370.82000000000005</c:v>
                </c:pt>
                <c:pt idx="239">
                  <c:v>371.26000000000005</c:v>
                </c:pt>
                <c:pt idx="240">
                  <c:v>371.26000000000005</c:v>
                </c:pt>
                <c:pt idx="241">
                  <c:v>371.26000000000005</c:v>
                </c:pt>
                <c:pt idx="242">
                  <c:v>371.91500000000002</c:v>
                </c:pt>
                <c:pt idx="243">
                  <c:v>372.57000000000005</c:v>
                </c:pt>
                <c:pt idx="244">
                  <c:v>372.57000000000005</c:v>
                </c:pt>
                <c:pt idx="245">
                  <c:v>372.57000000000005</c:v>
                </c:pt>
                <c:pt idx="246">
                  <c:v>373.05000000000007</c:v>
                </c:pt>
                <c:pt idx="247">
                  <c:v>373.53000000000003</c:v>
                </c:pt>
                <c:pt idx="248">
                  <c:v>373.53000000000003</c:v>
                </c:pt>
                <c:pt idx="249">
                  <c:v>373.53000000000003</c:v>
                </c:pt>
                <c:pt idx="250">
                  <c:v>374.08000000000004</c:v>
                </c:pt>
                <c:pt idx="251">
                  <c:v>374.63000000000005</c:v>
                </c:pt>
                <c:pt idx="252">
                  <c:v>374.63000000000005</c:v>
                </c:pt>
                <c:pt idx="253">
                  <c:v>374.63000000000005</c:v>
                </c:pt>
                <c:pt idx="254">
                  <c:v>380.36500000000007</c:v>
                </c:pt>
                <c:pt idx="255">
                  <c:v>386.10000000000008</c:v>
                </c:pt>
                <c:pt idx="256">
                  <c:v>386.10000000000008</c:v>
                </c:pt>
                <c:pt idx="257">
                  <c:v>386.10000000000008</c:v>
                </c:pt>
                <c:pt idx="258">
                  <c:v>386.50000000000006</c:v>
                </c:pt>
                <c:pt idx="259">
                  <c:v>386.90000000000009</c:v>
                </c:pt>
                <c:pt idx="260">
                  <c:v>386.90000000000009</c:v>
                </c:pt>
                <c:pt idx="261">
                  <c:v>386.90000000000009</c:v>
                </c:pt>
                <c:pt idx="262">
                  <c:v>390.00000000000011</c:v>
                </c:pt>
                <c:pt idx="263">
                  <c:v>393.10000000000008</c:v>
                </c:pt>
                <c:pt idx="264">
                  <c:v>393.10000000000008</c:v>
                </c:pt>
                <c:pt idx="265">
                  <c:v>393.10000000000008</c:v>
                </c:pt>
                <c:pt idx="266">
                  <c:v>395.5150000000001</c:v>
                </c:pt>
                <c:pt idx="267">
                  <c:v>397.93000000000006</c:v>
                </c:pt>
                <c:pt idx="268">
                  <c:v>397.93000000000006</c:v>
                </c:pt>
                <c:pt idx="269">
                  <c:v>397.93000000000006</c:v>
                </c:pt>
                <c:pt idx="270">
                  <c:v>398.69000000000005</c:v>
                </c:pt>
                <c:pt idx="271">
                  <c:v>399.45000000000005</c:v>
                </c:pt>
                <c:pt idx="272">
                  <c:v>399.45000000000005</c:v>
                </c:pt>
                <c:pt idx="273">
                  <c:v>399.45000000000005</c:v>
                </c:pt>
                <c:pt idx="274">
                  <c:v>400.54500000000007</c:v>
                </c:pt>
                <c:pt idx="275">
                  <c:v>401.64000000000004</c:v>
                </c:pt>
                <c:pt idx="276">
                  <c:v>401.64000000000004</c:v>
                </c:pt>
                <c:pt idx="277">
                  <c:v>401.64000000000004</c:v>
                </c:pt>
                <c:pt idx="278">
                  <c:v>416.88000000000005</c:v>
                </c:pt>
                <c:pt idx="279">
                  <c:v>432.12000000000006</c:v>
                </c:pt>
                <c:pt idx="280">
                  <c:v>432.12000000000006</c:v>
                </c:pt>
                <c:pt idx="281">
                  <c:v>432.12000000000006</c:v>
                </c:pt>
                <c:pt idx="282">
                  <c:v>432.34500000000008</c:v>
                </c:pt>
                <c:pt idx="283">
                  <c:v>432.57000000000005</c:v>
                </c:pt>
                <c:pt idx="284">
                  <c:v>432.57000000000005</c:v>
                </c:pt>
                <c:pt idx="285">
                  <c:v>432.57000000000005</c:v>
                </c:pt>
                <c:pt idx="286">
                  <c:v>433.55000000000007</c:v>
                </c:pt>
                <c:pt idx="287">
                  <c:v>434.53000000000003</c:v>
                </c:pt>
                <c:pt idx="288">
                  <c:v>434.53000000000003</c:v>
                </c:pt>
                <c:pt idx="289">
                  <c:v>434.53000000000003</c:v>
                </c:pt>
                <c:pt idx="290">
                  <c:v>435.34000000000003</c:v>
                </c:pt>
                <c:pt idx="291">
                  <c:v>436.15000000000003</c:v>
                </c:pt>
                <c:pt idx="292">
                  <c:v>436.15000000000003</c:v>
                </c:pt>
                <c:pt idx="293">
                  <c:v>436.15000000000003</c:v>
                </c:pt>
                <c:pt idx="294">
                  <c:v>436.38000000000005</c:v>
                </c:pt>
                <c:pt idx="295">
                  <c:v>436.61</c:v>
                </c:pt>
                <c:pt idx="296">
                  <c:v>436.61</c:v>
                </c:pt>
                <c:pt idx="297">
                  <c:v>436.61</c:v>
                </c:pt>
                <c:pt idx="298">
                  <c:v>437.63</c:v>
                </c:pt>
                <c:pt idx="299">
                  <c:v>438.65000000000003</c:v>
                </c:pt>
                <c:pt idx="300">
                  <c:v>438.65000000000003</c:v>
                </c:pt>
                <c:pt idx="301">
                  <c:v>438.65000000000003</c:v>
                </c:pt>
                <c:pt idx="302">
                  <c:v>438.82500000000005</c:v>
                </c:pt>
                <c:pt idx="303">
                  <c:v>439.00000000000006</c:v>
                </c:pt>
                <c:pt idx="304">
                  <c:v>439.00000000000006</c:v>
                </c:pt>
                <c:pt idx="305">
                  <c:v>439.00000000000006</c:v>
                </c:pt>
                <c:pt idx="306">
                  <c:v>439.13500000000005</c:v>
                </c:pt>
                <c:pt idx="307">
                  <c:v>439.27000000000004</c:v>
                </c:pt>
                <c:pt idx="308">
                  <c:v>439.27000000000004</c:v>
                </c:pt>
                <c:pt idx="309">
                  <c:v>439.27000000000004</c:v>
                </c:pt>
                <c:pt idx="310">
                  <c:v>439.45000000000005</c:v>
                </c:pt>
                <c:pt idx="311">
                  <c:v>439.63000000000005</c:v>
                </c:pt>
                <c:pt idx="312">
                  <c:v>439.63000000000005</c:v>
                </c:pt>
                <c:pt idx="313">
                  <c:v>439.63000000000005</c:v>
                </c:pt>
                <c:pt idx="314">
                  <c:v>443.42000000000007</c:v>
                </c:pt>
                <c:pt idx="315">
                  <c:v>447.21000000000004</c:v>
                </c:pt>
                <c:pt idx="316">
                  <c:v>447.21000000000004</c:v>
                </c:pt>
                <c:pt idx="317">
                  <c:v>447.21000000000004</c:v>
                </c:pt>
                <c:pt idx="318">
                  <c:v>447.44000000000005</c:v>
                </c:pt>
                <c:pt idx="319">
                  <c:v>447.67</c:v>
                </c:pt>
                <c:pt idx="320">
                  <c:v>447.67</c:v>
                </c:pt>
                <c:pt idx="321">
                  <c:v>447.67</c:v>
                </c:pt>
                <c:pt idx="322">
                  <c:v>452.07499999999999</c:v>
                </c:pt>
                <c:pt idx="323">
                  <c:v>456.48</c:v>
                </c:pt>
                <c:pt idx="324">
                  <c:v>456.48</c:v>
                </c:pt>
                <c:pt idx="325">
                  <c:v>456.48</c:v>
                </c:pt>
                <c:pt idx="326">
                  <c:v>458.13</c:v>
                </c:pt>
                <c:pt idx="327">
                  <c:v>459.78000000000003</c:v>
                </c:pt>
                <c:pt idx="328">
                  <c:v>459.78000000000003</c:v>
                </c:pt>
                <c:pt idx="329">
                  <c:v>459.78000000000003</c:v>
                </c:pt>
                <c:pt idx="330">
                  <c:v>461.53000000000003</c:v>
                </c:pt>
                <c:pt idx="331">
                  <c:v>463.28000000000003</c:v>
                </c:pt>
                <c:pt idx="332">
                  <c:v>463.28000000000003</c:v>
                </c:pt>
                <c:pt idx="333">
                  <c:v>463.28000000000003</c:v>
                </c:pt>
                <c:pt idx="334">
                  <c:v>465.33500000000004</c:v>
                </c:pt>
                <c:pt idx="335">
                  <c:v>467.39000000000004</c:v>
                </c:pt>
                <c:pt idx="336">
                  <c:v>467.39000000000004</c:v>
                </c:pt>
                <c:pt idx="337">
                  <c:v>467.39000000000004</c:v>
                </c:pt>
                <c:pt idx="338">
                  <c:v>470.47</c:v>
                </c:pt>
                <c:pt idx="339">
                  <c:v>473.55000000000007</c:v>
                </c:pt>
                <c:pt idx="340">
                  <c:v>473.55000000000007</c:v>
                </c:pt>
                <c:pt idx="341">
                  <c:v>473.55000000000007</c:v>
                </c:pt>
                <c:pt idx="342">
                  <c:v>473.65000000000009</c:v>
                </c:pt>
                <c:pt idx="343">
                  <c:v>473.75000000000006</c:v>
                </c:pt>
                <c:pt idx="344">
                  <c:v>473.75000000000006</c:v>
                </c:pt>
                <c:pt idx="345">
                  <c:v>473.75000000000006</c:v>
                </c:pt>
                <c:pt idx="346">
                  <c:v>475.46500000000003</c:v>
                </c:pt>
                <c:pt idx="347">
                  <c:v>477.18000000000006</c:v>
                </c:pt>
                <c:pt idx="348">
                  <c:v>477.18000000000006</c:v>
                </c:pt>
                <c:pt idx="349">
                  <c:v>477.18000000000006</c:v>
                </c:pt>
                <c:pt idx="350">
                  <c:v>477.30500000000006</c:v>
                </c:pt>
                <c:pt idx="351">
                  <c:v>477.43000000000006</c:v>
                </c:pt>
                <c:pt idx="352">
                  <c:v>477.43000000000006</c:v>
                </c:pt>
                <c:pt idx="353">
                  <c:v>477.43000000000006</c:v>
                </c:pt>
                <c:pt idx="354">
                  <c:v>479.99000000000007</c:v>
                </c:pt>
                <c:pt idx="355">
                  <c:v>482.55000000000007</c:v>
                </c:pt>
                <c:pt idx="356">
                  <c:v>482.55000000000007</c:v>
                </c:pt>
                <c:pt idx="357">
                  <c:v>482.55000000000007</c:v>
                </c:pt>
                <c:pt idx="358">
                  <c:v>484.30000000000007</c:v>
                </c:pt>
                <c:pt idx="359">
                  <c:v>486.05000000000007</c:v>
                </c:pt>
                <c:pt idx="360">
                  <c:v>486.05000000000007</c:v>
                </c:pt>
                <c:pt idx="361">
                  <c:v>486.05000000000007</c:v>
                </c:pt>
                <c:pt idx="362">
                  <c:v>491.67500000000007</c:v>
                </c:pt>
                <c:pt idx="363">
                  <c:v>497.30000000000007</c:v>
                </c:pt>
                <c:pt idx="364">
                  <c:v>497.30000000000007</c:v>
                </c:pt>
                <c:pt idx="365">
                  <c:v>497.30000000000007</c:v>
                </c:pt>
                <c:pt idx="366">
                  <c:v>498.16000000000008</c:v>
                </c:pt>
                <c:pt idx="367">
                  <c:v>499.0200000000001</c:v>
                </c:pt>
                <c:pt idx="368">
                  <c:v>499.0200000000001</c:v>
                </c:pt>
                <c:pt idx="369">
                  <c:v>499.0200000000001</c:v>
                </c:pt>
                <c:pt idx="370">
                  <c:v>501.21000000000009</c:v>
                </c:pt>
                <c:pt idx="371">
                  <c:v>503.40000000000009</c:v>
                </c:pt>
                <c:pt idx="372">
                  <c:v>503.40000000000009</c:v>
                </c:pt>
                <c:pt idx="373">
                  <c:v>503.40000000000009</c:v>
                </c:pt>
                <c:pt idx="374">
                  <c:v>514.20000000000005</c:v>
                </c:pt>
                <c:pt idx="375">
                  <c:v>525.00000000000011</c:v>
                </c:pt>
                <c:pt idx="376">
                  <c:v>525.00000000000011</c:v>
                </c:pt>
                <c:pt idx="377">
                  <c:v>525.00000000000011</c:v>
                </c:pt>
                <c:pt idx="378">
                  <c:v>526.00000000000011</c:v>
                </c:pt>
                <c:pt idx="379">
                  <c:v>527.00000000000011</c:v>
                </c:pt>
                <c:pt idx="380">
                  <c:v>527.00000000000011</c:v>
                </c:pt>
                <c:pt idx="381">
                  <c:v>527.00000000000011</c:v>
                </c:pt>
                <c:pt idx="382">
                  <c:v>527.57500000000016</c:v>
                </c:pt>
                <c:pt idx="383">
                  <c:v>528.15000000000009</c:v>
                </c:pt>
                <c:pt idx="384">
                  <c:v>528.15000000000009</c:v>
                </c:pt>
                <c:pt idx="385">
                  <c:v>528.15000000000009</c:v>
                </c:pt>
                <c:pt idx="386">
                  <c:v>536.67000000000007</c:v>
                </c:pt>
                <c:pt idx="387">
                  <c:v>545.19000000000005</c:v>
                </c:pt>
                <c:pt idx="388">
                  <c:v>545.19000000000005</c:v>
                </c:pt>
                <c:pt idx="389">
                  <c:v>545.19000000000005</c:v>
                </c:pt>
                <c:pt idx="390">
                  <c:v>545.90000000000009</c:v>
                </c:pt>
                <c:pt idx="391">
                  <c:v>546.61</c:v>
                </c:pt>
                <c:pt idx="392">
                  <c:v>546.61</c:v>
                </c:pt>
                <c:pt idx="393">
                  <c:v>546.61</c:v>
                </c:pt>
                <c:pt idx="394">
                  <c:v>546.96500000000003</c:v>
                </c:pt>
                <c:pt idx="395">
                  <c:v>547.32000000000005</c:v>
                </c:pt>
                <c:pt idx="396">
                  <c:v>547.32000000000005</c:v>
                </c:pt>
                <c:pt idx="397">
                  <c:v>547.32000000000005</c:v>
                </c:pt>
                <c:pt idx="398">
                  <c:v>548.38</c:v>
                </c:pt>
                <c:pt idx="399">
                  <c:v>549.44000000000005</c:v>
                </c:pt>
                <c:pt idx="400">
                  <c:v>549.44000000000005</c:v>
                </c:pt>
                <c:pt idx="401">
                  <c:v>549.44000000000005</c:v>
                </c:pt>
                <c:pt idx="402">
                  <c:v>549.83000000000004</c:v>
                </c:pt>
                <c:pt idx="403">
                  <c:v>550.22</c:v>
                </c:pt>
                <c:pt idx="404">
                  <c:v>550.22</c:v>
                </c:pt>
                <c:pt idx="405">
                  <c:v>550.22</c:v>
                </c:pt>
                <c:pt idx="406">
                  <c:v>551.03500000000008</c:v>
                </c:pt>
                <c:pt idx="407">
                  <c:v>551.85</c:v>
                </c:pt>
                <c:pt idx="408">
                  <c:v>551.85</c:v>
                </c:pt>
                <c:pt idx="409">
                  <c:v>551.85</c:v>
                </c:pt>
                <c:pt idx="410">
                  <c:v>552.20500000000004</c:v>
                </c:pt>
                <c:pt idx="411">
                  <c:v>552.56000000000006</c:v>
                </c:pt>
                <c:pt idx="412">
                  <c:v>552.56000000000006</c:v>
                </c:pt>
                <c:pt idx="413">
                  <c:v>552.56000000000006</c:v>
                </c:pt>
                <c:pt idx="414">
                  <c:v>552.72</c:v>
                </c:pt>
                <c:pt idx="415">
                  <c:v>552.88000000000011</c:v>
                </c:pt>
                <c:pt idx="416">
                  <c:v>552.88000000000011</c:v>
                </c:pt>
                <c:pt idx="417">
                  <c:v>552.88000000000011</c:v>
                </c:pt>
                <c:pt idx="418">
                  <c:v>558.12000000000012</c:v>
                </c:pt>
                <c:pt idx="419">
                  <c:v>563.36000000000013</c:v>
                </c:pt>
                <c:pt idx="420">
                  <c:v>563.36000000000013</c:v>
                </c:pt>
                <c:pt idx="421">
                  <c:v>563.36000000000013</c:v>
                </c:pt>
                <c:pt idx="422">
                  <c:v>564.20000000000016</c:v>
                </c:pt>
                <c:pt idx="423">
                  <c:v>565.04000000000008</c:v>
                </c:pt>
                <c:pt idx="424">
                  <c:v>565.04000000000008</c:v>
                </c:pt>
                <c:pt idx="425">
                  <c:v>565.04000000000008</c:v>
                </c:pt>
                <c:pt idx="426">
                  <c:v>567.11500000000012</c:v>
                </c:pt>
                <c:pt idx="427">
                  <c:v>569.19000000000005</c:v>
                </c:pt>
                <c:pt idx="428">
                  <c:v>569.19000000000005</c:v>
                </c:pt>
                <c:pt idx="429">
                  <c:v>569.19000000000005</c:v>
                </c:pt>
                <c:pt idx="430">
                  <c:v>570.06500000000005</c:v>
                </c:pt>
                <c:pt idx="431">
                  <c:v>570.94000000000005</c:v>
                </c:pt>
                <c:pt idx="432">
                  <c:v>570.94000000000005</c:v>
                </c:pt>
                <c:pt idx="433">
                  <c:v>570.94000000000005</c:v>
                </c:pt>
                <c:pt idx="434">
                  <c:v>572.48</c:v>
                </c:pt>
                <c:pt idx="435">
                  <c:v>574.0200000000001</c:v>
                </c:pt>
                <c:pt idx="436">
                  <c:v>574.0200000000001</c:v>
                </c:pt>
                <c:pt idx="437">
                  <c:v>574.0200000000001</c:v>
                </c:pt>
                <c:pt idx="438">
                  <c:v>574.09500000000014</c:v>
                </c:pt>
                <c:pt idx="439">
                  <c:v>574.17000000000007</c:v>
                </c:pt>
                <c:pt idx="440">
                  <c:v>574.17000000000007</c:v>
                </c:pt>
                <c:pt idx="441">
                  <c:v>574.17000000000007</c:v>
                </c:pt>
                <c:pt idx="442">
                  <c:v>574.17500000000007</c:v>
                </c:pt>
                <c:pt idx="443">
                  <c:v>574.18000000000006</c:v>
                </c:pt>
                <c:pt idx="444">
                  <c:v>574.18000000000006</c:v>
                </c:pt>
                <c:pt idx="445">
                  <c:v>574.18000000000006</c:v>
                </c:pt>
                <c:pt idx="446">
                  <c:v>574.50000000000011</c:v>
                </c:pt>
                <c:pt idx="447">
                  <c:v>574.82000000000005</c:v>
                </c:pt>
                <c:pt idx="448">
                  <c:v>574.82000000000005</c:v>
                </c:pt>
                <c:pt idx="449">
                  <c:v>574.82000000000005</c:v>
                </c:pt>
                <c:pt idx="450">
                  <c:v>577.43500000000006</c:v>
                </c:pt>
                <c:pt idx="451">
                  <c:v>580.05000000000007</c:v>
                </c:pt>
                <c:pt idx="452">
                  <c:v>580.05000000000007</c:v>
                </c:pt>
                <c:pt idx="453">
                  <c:v>580.05000000000007</c:v>
                </c:pt>
                <c:pt idx="454">
                  <c:v>580.72500000000002</c:v>
                </c:pt>
                <c:pt idx="455">
                  <c:v>581.40000000000009</c:v>
                </c:pt>
                <c:pt idx="456">
                  <c:v>581.40000000000009</c:v>
                </c:pt>
                <c:pt idx="457">
                  <c:v>581.40000000000009</c:v>
                </c:pt>
                <c:pt idx="458">
                  <c:v>583.52500000000009</c:v>
                </c:pt>
                <c:pt idx="459">
                  <c:v>585.65000000000009</c:v>
                </c:pt>
                <c:pt idx="460">
                  <c:v>585.65000000000009</c:v>
                </c:pt>
                <c:pt idx="461">
                  <c:v>585.65000000000009</c:v>
                </c:pt>
                <c:pt idx="462">
                  <c:v>588.6350000000001</c:v>
                </c:pt>
                <c:pt idx="463">
                  <c:v>591.62000000000012</c:v>
                </c:pt>
                <c:pt idx="464">
                  <c:v>591.62000000000012</c:v>
                </c:pt>
                <c:pt idx="465">
                  <c:v>591.62000000000012</c:v>
                </c:pt>
                <c:pt idx="466">
                  <c:v>592.19000000000017</c:v>
                </c:pt>
                <c:pt idx="467">
                  <c:v>592.7600000000001</c:v>
                </c:pt>
                <c:pt idx="468">
                  <c:v>592.7600000000001</c:v>
                </c:pt>
                <c:pt idx="469">
                  <c:v>592.7600000000001</c:v>
                </c:pt>
                <c:pt idx="470">
                  <c:v>594.17500000000007</c:v>
                </c:pt>
                <c:pt idx="471">
                  <c:v>595.59000000000015</c:v>
                </c:pt>
                <c:pt idx="472">
                  <c:v>595.59000000000015</c:v>
                </c:pt>
                <c:pt idx="473">
                  <c:v>595.59000000000015</c:v>
                </c:pt>
                <c:pt idx="474">
                  <c:v>595.9100000000002</c:v>
                </c:pt>
                <c:pt idx="475">
                  <c:v>596.23000000000013</c:v>
                </c:pt>
                <c:pt idx="476">
                  <c:v>596.23000000000013</c:v>
                </c:pt>
                <c:pt idx="477">
                  <c:v>596.23000000000013</c:v>
                </c:pt>
                <c:pt idx="478">
                  <c:v>597.48000000000013</c:v>
                </c:pt>
                <c:pt idx="479">
                  <c:v>598.73000000000013</c:v>
                </c:pt>
                <c:pt idx="480">
                  <c:v>598.73000000000013</c:v>
                </c:pt>
                <c:pt idx="481">
                  <c:v>598.73000000000013</c:v>
                </c:pt>
                <c:pt idx="482">
                  <c:v>599.29000000000008</c:v>
                </c:pt>
                <c:pt idx="483">
                  <c:v>599.85000000000014</c:v>
                </c:pt>
                <c:pt idx="484">
                  <c:v>599.85000000000014</c:v>
                </c:pt>
                <c:pt idx="485">
                  <c:v>599.85000000000014</c:v>
                </c:pt>
                <c:pt idx="486">
                  <c:v>602.60500000000013</c:v>
                </c:pt>
                <c:pt idx="487">
                  <c:v>605.36000000000013</c:v>
                </c:pt>
                <c:pt idx="488">
                  <c:v>605.36000000000013</c:v>
                </c:pt>
                <c:pt idx="489">
                  <c:v>605.36000000000013</c:v>
                </c:pt>
                <c:pt idx="490">
                  <c:v>606.83500000000015</c:v>
                </c:pt>
                <c:pt idx="491">
                  <c:v>608.31000000000017</c:v>
                </c:pt>
                <c:pt idx="492">
                  <c:v>608.31000000000017</c:v>
                </c:pt>
                <c:pt idx="493">
                  <c:v>608.31000000000017</c:v>
                </c:pt>
                <c:pt idx="494">
                  <c:v>609.41500000000019</c:v>
                </c:pt>
                <c:pt idx="495">
                  <c:v>610.52000000000021</c:v>
                </c:pt>
                <c:pt idx="496">
                  <c:v>610.52000000000021</c:v>
                </c:pt>
                <c:pt idx="497">
                  <c:v>610.52000000000021</c:v>
                </c:pt>
                <c:pt idx="498">
                  <c:v>610.93000000000018</c:v>
                </c:pt>
                <c:pt idx="499">
                  <c:v>611.34000000000026</c:v>
                </c:pt>
                <c:pt idx="500">
                  <c:v>611.34000000000026</c:v>
                </c:pt>
                <c:pt idx="501">
                  <c:v>611.34000000000026</c:v>
                </c:pt>
                <c:pt idx="502">
                  <c:v>612.11500000000024</c:v>
                </c:pt>
                <c:pt idx="503">
                  <c:v>612.89000000000021</c:v>
                </c:pt>
                <c:pt idx="504">
                  <c:v>612.89000000000021</c:v>
                </c:pt>
                <c:pt idx="505">
                  <c:v>612.89000000000021</c:v>
                </c:pt>
                <c:pt idx="506">
                  <c:v>614.77000000000021</c:v>
                </c:pt>
                <c:pt idx="507">
                  <c:v>616.6500000000002</c:v>
                </c:pt>
                <c:pt idx="508">
                  <c:v>616.6500000000002</c:v>
                </c:pt>
                <c:pt idx="509">
                  <c:v>616.6500000000002</c:v>
                </c:pt>
                <c:pt idx="510">
                  <c:v>617.45000000000016</c:v>
                </c:pt>
                <c:pt idx="511">
                  <c:v>618.25000000000023</c:v>
                </c:pt>
                <c:pt idx="512">
                  <c:v>618.25000000000023</c:v>
                </c:pt>
                <c:pt idx="513">
                  <c:v>618.25000000000023</c:v>
                </c:pt>
                <c:pt idx="514">
                  <c:v>618.69500000000028</c:v>
                </c:pt>
                <c:pt idx="515">
                  <c:v>619.14000000000021</c:v>
                </c:pt>
                <c:pt idx="516">
                  <c:v>619.14000000000021</c:v>
                </c:pt>
                <c:pt idx="517">
                  <c:v>619.14000000000021</c:v>
                </c:pt>
                <c:pt idx="518">
                  <c:v>619.50000000000023</c:v>
                </c:pt>
                <c:pt idx="519">
                  <c:v>619.86000000000024</c:v>
                </c:pt>
                <c:pt idx="520">
                  <c:v>619.86000000000024</c:v>
                </c:pt>
                <c:pt idx="521">
                  <c:v>619.86000000000024</c:v>
                </c:pt>
                <c:pt idx="522">
                  <c:v>621.71500000000026</c:v>
                </c:pt>
                <c:pt idx="523">
                  <c:v>623.57000000000028</c:v>
                </c:pt>
                <c:pt idx="524">
                  <c:v>623.57000000000028</c:v>
                </c:pt>
                <c:pt idx="525">
                  <c:v>623.57000000000028</c:v>
                </c:pt>
                <c:pt idx="526">
                  <c:v>624.60500000000025</c:v>
                </c:pt>
                <c:pt idx="527">
                  <c:v>625.64000000000033</c:v>
                </c:pt>
                <c:pt idx="528">
                  <c:v>625.64000000000033</c:v>
                </c:pt>
                <c:pt idx="529">
                  <c:v>625.64000000000033</c:v>
                </c:pt>
                <c:pt idx="530">
                  <c:v>627.72500000000036</c:v>
                </c:pt>
                <c:pt idx="531">
                  <c:v>629.81000000000029</c:v>
                </c:pt>
                <c:pt idx="532">
                  <c:v>629.81000000000029</c:v>
                </c:pt>
                <c:pt idx="533">
                  <c:v>629.81000000000029</c:v>
                </c:pt>
                <c:pt idx="534">
                  <c:v>632.13500000000033</c:v>
                </c:pt>
                <c:pt idx="535">
                  <c:v>634.46000000000026</c:v>
                </c:pt>
                <c:pt idx="536">
                  <c:v>634.46000000000026</c:v>
                </c:pt>
                <c:pt idx="537">
                  <c:v>634.46000000000026</c:v>
                </c:pt>
                <c:pt idx="538">
                  <c:v>635.61000000000024</c:v>
                </c:pt>
                <c:pt idx="539">
                  <c:v>636.76000000000022</c:v>
                </c:pt>
                <c:pt idx="540">
                  <c:v>636.76000000000022</c:v>
                </c:pt>
                <c:pt idx="541">
                  <c:v>636.76000000000022</c:v>
                </c:pt>
                <c:pt idx="542">
                  <c:v>637.63500000000022</c:v>
                </c:pt>
                <c:pt idx="543">
                  <c:v>638.51000000000022</c:v>
                </c:pt>
                <c:pt idx="544">
                  <c:v>638.51000000000022</c:v>
                </c:pt>
                <c:pt idx="545">
                  <c:v>638.51000000000022</c:v>
                </c:pt>
                <c:pt idx="546">
                  <c:v>639.16500000000019</c:v>
                </c:pt>
                <c:pt idx="547">
                  <c:v>639.82000000000016</c:v>
                </c:pt>
                <c:pt idx="548">
                  <c:v>639.82000000000016</c:v>
                </c:pt>
                <c:pt idx="549">
                  <c:v>639.82000000000016</c:v>
                </c:pt>
                <c:pt idx="550">
                  <c:v>639.97000000000014</c:v>
                </c:pt>
                <c:pt idx="551">
                  <c:v>640.12000000000012</c:v>
                </c:pt>
                <c:pt idx="552">
                  <c:v>640.12000000000012</c:v>
                </c:pt>
                <c:pt idx="553">
                  <c:v>640.12000000000012</c:v>
                </c:pt>
                <c:pt idx="554">
                  <c:v>640.20000000000016</c:v>
                </c:pt>
                <c:pt idx="555">
                  <c:v>640.28000000000009</c:v>
                </c:pt>
                <c:pt idx="556">
                  <c:v>640.28000000000009</c:v>
                </c:pt>
                <c:pt idx="557">
                  <c:v>640.28000000000009</c:v>
                </c:pt>
                <c:pt idx="558">
                  <c:v>640.48500000000013</c:v>
                </c:pt>
                <c:pt idx="559">
                  <c:v>640.69000000000005</c:v>
                </c:pt>
                <c:pt idx="560">
                  <c:v>640.69000000000005</c:v>
                </c:pt>
                <c:pt idx="561">
                  <c:v>640.69000000000005</c:v>
                </c:pt>
                <c:pt idx="562">
                  <c:v>641.66000000000008</c:v>
                </c:pt>
                <c:pt idx="563">
                  <c:v>642.63000000000011</c:v>
                </c:pt>
                <c:pt idx="564">
                  <c:v>642.63000000000011</c:v>
                </c:pt>
                <c:pt idx="565">
                  <c:v>642.63000000000011</c:v>
                </c:pt>
                <c:pt idx="566">
                  <c:v>642.92000000000007</c:v>
                </c:pt>
                <c:pt idx="567">
                  <c:v>643.21000000000015</c:v>
                </c:pt>
                <c:pt idx="568">
                  <c:v>643.21000000000015</c:v>
                </c:pt>
                <c:pt idx="569">
                  <c:v>643.21000000000015</c:v>
                </c:pt>
                <c:pt idx="570">
                  <c:v>643.93500000000017</c:v>
                </c:pt>
                <c:pt idx="571">
                  <c:v>644.6600000000002</c:v>
                </c:pt>
                <c:pt idx="572">
                  <c:v>644.6600000000002</c:v>
                </c:pt>
                <c:pt idx="573">
                  <c:v>644.6600000000002</c:v>
                </c:pt>
                <c:pt idx="574">
                  <c:v>644.72500000000025</c:v>
                </c:pt>
                <c:pt idx="575">
                  <c:v>644.79000000000019</c:v>
                </c:pt>
                <c:pt idx="576">
                  <c:v>644.79000000000019</c:v>
                </c:pt>
                <c:pt idx="577">
                  <c:v>644.79000000000019</c:v>
                </c:pt>
                <c:pt idx="578">
                  <c:v>645.24500000000023</c:v>
                </c:pt>
                <c:pt idx="579">
                  <c:v>645.70000000000016</c:v>
                </c:pt>
                <c:pt idx="580">
                  <c:v>645.70000000000016</c:v>
                </c:pt>
                <c:pt idx="581">
                  <c:v>645.70000000000016</c:v>
                </c:pt>
                <c:pt idx="582">
                  <c:v>648.09500000000014</c:v>
                </c:pt>
                <c:pt idx="583">
                  <c:v>650.49000000000012</c:v>
                </c:pt>
                <c:pt idx="584">
                  <c:v>650.49000000000012</c:v>
                </c:pt>
                <c:pt idx="585">
                  <c:v>650.49000000000012</c:v>
                </c:pt>
                <c:pt idx="586">
                  <c:v>653.85500000000013</c:v>
                </c:pt>
                <c:pt idx="587">
                  <c:v>657.22000000000014</c:v>
                </c:pt>
                <c:pt idx="588">
                  <c:v>657.22000000000014</c:v>
                </c:pt>
                <c:pt idx="589">
                  <c:v>657.22000000000014</c:v>
                </c:pt>
                <c:pt idx="590">
                  <c:v>657.8900000000001</c:v>
                </c:pt>
                <c:pt idx="591">
                  <c:v>658.56000000000017</c:v>
                </c:pt>
                <c:pt idx="592">
                  <c:v>658.56000000000017</c:v>
                </c:pt>
                <c:pt idx="593">
                  <c:v>658.56000000000017</c:v>
                </c:pt>
                <c:pt idx="594">
                  <c:v>658.64000000000021</c:v>
                </c:pt>
                <c:pt idx="595">
                  <c:v>658.72000000000014</c:v>
                </c:pt>
                <c:pt idx="596">
                  <c:v>658.72000000000014</c:v>
                </c:pt>
                <c:pt idx="597">
                  <c:v>658.72000000000014</c:v>
                </c:pt>
                <c:pt idx="598">
                  <c:v>658.88000000000011</c:v>
                </c:pt>
                <c:pt idx="599">
                  <c:v>659.04000000000019</c:v>
                </c:pt>
                <c:pt idx="600">
                  <c:v>659.04000000000019</c:v>
                </c:pt>
                <c:pt idx="601">
                  <c:v>659.04000000000019</c:v>
                </c:pt>
                <c:pt idx="602">
                  <c:v>660.31000000000017</c:v>
                </c:pt>
                <c:pt idx="603">
                  <c:v>661.58000000000015</c:v>
                </c:pt>
                <c:pt idx="604">
                  <c:v>661.58000000000015</c:v>
                </c:pt>
                <c:pt idx="605">
                  <c:v>661.58000000000015</c:v>
                </c:pt>
                <c:pt idx="606">
                  <c:v>665.08000000000015</c:v>
                </c:pt>
                <c:pt idx="607">
                  <c:v>668.58000000000015</c:v>
                </c:pt>
                <c:pt idx="608">
                  <c:v>668.58000000000015</c:v>
                </c:pt>
                <c:pt idx="609">
                  <c:v>668.58000000000015</c:v>
                </c:pt>
                <c:pt idx="610">
                  <c:v>668.88000000000011</c:v>
                </c:pt>
                <c:pt idx="611">
                  <c:v>669.18000000000018</c:v>
                </c:pt>
                <c:pt idx="612">
                  <c:v>669.18000000000018</c:v>
                </c:pt>
                <c:pt idx="613">
                  <c:v>669.18000000000018</c:v>
                </c:pt>
                <c:pt idx="614">
                  <c:v>669.37500000000023</c:v>
                </c:pt>
                <c:pt idx="615">
                  <c:v>669.57000000000016</c:v>
                </c:pt>
                <c:pt idx="616">
                  <c:v>669.57000000000016</c:v>
                </c:pt>
                <c:pt idx="617">
                  <c:v>669.57000000000016</c:v>
                </c:pt>
                <c:pt idx="618">
                  <c:v>669.81000000000017</c:v>
                </c:pt>
                <c:pt idx="619">
                  <c:v>670.05000000000018</c:v>
                </c:pt>
                <c:pt idx="620">
                  <c:v>670.05000000000018</c:v>
                </c:pt>
                <c:pt idx="621">
                  <c:v>670.05000000000018</c:v>
                </c:pt>
                <c:pt idx="622">
                  <c:v>670.21500000000015</c:v>
                </c:pt>
                <c:pt idx="623">
                  <c:v>670.38000000000022</c:v>
                </c:pt>
                <c:pt idx="624">
                  <c:v>670.38000000000022</c:v>
                </c:pt>
                <c:pt idx="625">
                  <c:v>670.38000000000022</c:v>
                </c:pt>
                <c:pt idx="626">
                  <c:v>671.69000000000017</c:v>
                </c:pt>
                <c:pt idx="627">
                  <c:v>673.00000000000023</c:v>
                </c:pt>
                <c:pt idx="628">
                  <c:v>673.00000000000023</c:v>
                </c:pt>
                <c:pt idx="629">
                  <c:v>673.00000000000023</c:v>
                </c:pt>
                <c:pt idx="630">
                  <c:v>673.14500000000021</c:v>
                </c:pt>
                <c:pt idx="631">
                  <c:v>673.29000000000019</c:v>
                </c:pt>
                <c:pt idx="632">
                  <c:v>673.29000000000019</c:v>
                </c:pt>
                <c:pt idx="633">
                  <c:v>673.29000000000019</c:v>
                </c:pt>
                <c:pt idx="634">
                  <c:v>673.37000000000023</c:v>
                </c:pt>
                <c:pt idx="635">
                  <c:v>673.45000000000016</c:v>
                </c:pt>
                <c:pt idx="636">
                  <c:v>673.45000000000016</c:v>
                </c:pt>
                <c:pt idx="637">
                  <c:v>673.45000000000016</c:v>
                </c:pt>
                <c:pt idx="638">
                  <c:v>673.54500000000019</c:v>
                </c:pt>
                <c:pt idx="639">
                  <c:v>673.64000000000021</c:v>
                </c:pt>
                <c:pt idx="640">
                  <c:v>673.64000000000021</c:v>
                </c:pt>
                <c:pt idx="641">
                  <c:v>673.64000000000021</c:v>
                </c:pt>
                <c:pt idx="642">
                  <c:v>673.85000000000025</c:v>
                </c:pt>
                <c:pt idx="643">
                  <c:v>674.06000000000017</c:v>
                </c:pt>
                <c:pt idx="644">
                  <c:v>674.06000000000017</c:v>
                </c:pt>
                <c:pt idx="645">
                  <c:v>674.06000000000017</c:v>
                </c:pt>
                <c:pt idx="646">
                  <c:v>674.10500000000013</c:v>
                </c:pt>
                <c:pt idx="647">
                  <c:v>674.1500000000002</c:v>
                </c:pt>
                <c:pt idx="648">
                  <c:v>674.1500000000002</c:v>
                </c:pt>
                <c:pt idx="649">
                  <c:v>674.1500000000002</c:v>
                </c:pt>
                <c:pt idx="650">
                  <c:v>674.25000000000023</c:v>
                </c:pt>
                <c:pt idx="651">
                  <c:v>674.35000000000025</c:v>
                </c:pt>
                <c:pt idx="652">
                  <c:v>674.35000000000025</c:v>
                </c:pt>
                <c:pt idx="653">
                  <c:v>674.35000000000025</c:v>
                </c:pt>
                <c:pt idx="654">
                  <c:v>674.7800000000002</c:v>
                </c:pt>
                <c:pt idx="655">
                  <c:v>675.21000000000026</c:v>
                </c:pt>
                <c:pt idx="656">
                  <c:v>675.21000000000026</c:v>
                </c:pt>
                <c:pt idx="657">
                  <c:v>675.21000000000026</c:v>
                </c:pt>
                <c:pt idx="658">
                  <c:v>675.33500000000026</c:v>
                </c:pt>
                <c:pt idx="659">
                  <c:v>675.46000000000026</c:v>
                </c:pt>
                <c:pt idx="660">
                  <c:v>675.46000000000026</c:v>
                </c:pt>
                <c:pt idx="661">
                  <c:v>675.46000000000026</c:v>
                </c:pt>
                <c:pt idx="662">
                  <c:v>675.52000000000021</c:v>
                </c:pt>
                <c:pt idx="663">
                  <c:v>675.58000000000027</c:v>
                </c:pt>
                <c:pt idx="664">
                  <c:v>675.58000000000027</c:v>
                </c:pt>
                <c:pt idx="665">
                  <c:v>675.58000000000027</c:v>
                </c:pt>
                <c:pt idx="666">
                  <c:v>675.66000000000031</c:v>
                </c:pt>
                <c:pt idx="667">
                  <c:v>675.74000000000024</c:v>
                </c:pt>
                <c:pt idx="668">
                  <c:v>675.74000000000024</c:v>
                </c:pt>
                <c:pt idx="669">
                  <c:v>675.74000000000024</c:v>
                </c:pt>
                <c:pt idx="670">
                  <c:v>675.89000000000021</c:v>
                </c:pt>
                <c:pt idx="671">
                  <c:v>676.04000000000019</c:v>
                </c:pt>
                <c:pt idx="672">
                  <c:v>676.04000000000019</c:v>
                </c:pt>
                <c:pt idx="673">
                  <c:v>676.04000000000019</c:v>
                </c:pt>
                <c:pt idx="674">
                  <c:v>676.59500000000014</c:v>
                </c:pt>
                <c:pt idx="675">
                  <c:v>677.1500000000002</c:v>
                </c:pt>
                <c:pt idx="676">
                  <c:v>677.1500000000002</c:v>
                </c:pt>
                <c:pt idx="677">
                  <c:v>677.1500000000002</c:v>
                </c:pt>
                <c:pt idx="678">
                  <c:v>677.25000000000023</c:v>
                </c:pt>
                <c:pt idx="679">
                  <c:v>677.35000000000025</c:v>
                </c:pt>
                <c:pt idx="680">
                  <c:v>677.35000000000025</c:v>
                </c:pt>
                <c:pt idx="681">
                  <c:v>677.35000000000025</c:v>
                </c:pt>
                <c:pt idx="682">
                  <c:v>677.56500000000028</c:v>
                </c:pt>
                <c:pt idx="683">
                  <c:v>677.7800000000002</c:v>
                </c:pt>
                <c:pt idx="684">
                  <c:v>677.7800000000002</c:v>
                </c:pt>
                <c:pt idx="685">
                  <c:v>677.7800000000002</c:v>
                </c:pt>
                <c:pt idx="686">
                  <c:v>677.85000000000025</c:v>
                </c:pt>
                <c:pt idx="687">
                  <c:v>677.92000000000019</c:v>
                </c:pt>
                <c:pt idx="688">
                  <c:v>677.92000000000019</c:v>
                </c:pt>
                <c:pt idx="689">
                  <c:v>677.92000000000019</c:v>
                </c:pt>
                <c:pt idx="690">
                  <c:v>677.93000000000018</c:v>
                </c:pt>
                <c:pt idx="691">
                  <c:v>677.94000000000017</c:v>
                </c:pt>
                <c:pt idx="692">
                  <c:v>677.94000000000017</c:v>
                </c:pt>
                <c:pt idx="693">
                  <c:v>677.94000000000017</c:v>
                </c:pt>
                <c:pt idx="694">
                  <c:v>678.00000000000011</c:v>
                </c:pt>
                <c:pt idx="695">
                  <c:v>678.06000000000017</c:v>
                </c:pt>
                <c:pt idx="696">
                  <c:v>678.06000000000017</c:v>
                </c:pt>
                <c:pt idx="697">
                  <c:v>678.06000000000017</c:v>
                </c:pt>
                <c:pt idx="698">
                  <c:v>678.20000000000016</c:v>
                </c:pt>
                <c:pt idx="699">
                  <c:v>678.34000000000015</c:v>
                </c:pt>
                <c:pt idx="700">
                  <c:v>678.34000000000015</c:v>
                </c:pt>
                <c:pt idx="701">
                  <c:v>678.34000000000015</c:v>
                </c:pt>
                <c:pt idx="702">
                  <c:v>678.49000000000012</c:v>
                </c:pt>
                <c:pt idx="703">
                  <c:v>678.6400000000001</c:v>
                </c:pt>
                <c:pt idx="704">
                  <c:v>678.6400000000001</c:v>
                </c:pt>
                <c:pt idx="705">
                  <c:v>678.6400000000001</c:v>
                </c:pt>
                <c:pt idx="706">
                  <c:v>678.67000000000007</c:v>
                </c:pt>
                <c:pt idx="707">
                  <c:v>678.7</c:v>
                </c:pt>
                <c:pt idx="708">
                  <c:v>678.7</c:v>
                </c:pt>
                <c:pt idx="709">
                  <c:v>678.7</c:v>
                </c:pt>
              </c:numCache>
            </c:numRef>
          </c:cat>
          <c:val>
            <c:numRef>
              <c:f>Charts!$Q$7:$Q$716</c:f>
              <c:numCache>
                <c:formatCode>General</c:formatCode>
                <c:ptCount val="71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46.33</c:v>
                </c:pt>
                <c:pt idx="74">
                  <c:v>46.33</c:v>
                </c:pt>
                <c:pt idx="75">
                  <c:v>46.33</c:v>
                </c:pt>
                <c:pt idx="76">
                  <c:v>0</c:v>
                </c:pt>
                <c:pt idx="77">
                  <c:v>0</c:v>
                </c:pt>
                <c:pt idx="78">
                  <c:v>0</c:v>
                </c:pt>
                <c:pt idx="79">
                  <c:v>0</c:v>
                </c:pt>
                <c:pt idx="80">
                  <c:v>0</c:v>
                </c:pt>
                <c:pt idx="81">
                  <c:v>47.63</c:v>
                </c:pt>
                <c:pt idx="82">
                  <c:v>47.63</c:v>
                </c:pt>
                <c:pt idx="83">
                  <c:v>47.63</c:v>
                </c:pt>
                <c:pt idx="84">
                  <c:v>0</c:v>
                </c:pt>
                <c:pt idx="85">
                  <c:v>0</c:v>
                </c:pt>
                <c:pt idx="86">
                  <c:v>0</c:v>
                </c:pt>
                <c:pt idx="87">
                  <c:v>0</c:v>
                </c:pt>
                <c:pt idx="88">
                  <c:v>0</c:v>
                </c:pt>
                <c:pt idx="89">
                  <c:v>48.98</c:v>
                </c:pt>
                <c:pt idx="90">
                  <c:v>48.98</c:v>
                </c:pt>
                <c:pt idx="91">
                  <c:v>48.98</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53.48</c:v>
                </c:pt>
                <c:pt idx="118">
                  <c:v>53.48</c:v>
                </c:pt>
                <c:pt idx="119">
                  <c:v>53.48</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55.6</c:v>
                </c:pt>
                <c:pt idx="154">
                  <c:v>55.6</c:v>
                </c:pt>
                <c:pt idx="155">
                  <c:v>55.6</c:v>
                </c:pt>
                <c:pt idx="156">
                  <c:v>0</c:v>
                </c:pt>
                <c:pt idx="157">
                  <c:v>55.75</c:v>
                </c:pt>
                <c:pt idx="158">
                  <c:v>55.75</c:v>
                </c:pt>
                <c:pt idx="159">
                  <c:v>55.75</c:v>
                </c:pt>
                <c:pt idx="160">
                  <c:v>0</c:v>
                </c:pt>
                <c:pt idx="161">
                  <c:v>0</c:v>
                </c:pt>
                <c:pt idx="162">
                  <c:v>0</c:v>
                </c:pt>
                <c:pt idx="163">
                  <c:v>0</c:v>
                </c:pt>
                <c:pt idx="164">
                  <c:v>0</c:v>
                </c:pt>
                <c:pt idx="165">
                  <c:v>56.4</c:v>
                </c:pt>
                <c:pt idx="166">
                  <c:v>56.4</c:v>
                </c:pt>
                <c:pt idx="167">
                  <c:v>56.4</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58.57</c:v>
                </c:pt>
                <c:pt idx="182">
                  <c:v>58.57</c:v>
                </c:pt>
                <c:pt idx="183">
                  <c:v>58.57</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59.98</c:v>
                </c:pt>
                <c:pt idx="214">
                  <c:v>59.98</c:v>
                </c:pt>
                <c:pt idx="215">
                  <c:v>59.98</c:v>
                </c:pt>
                <c:pt idx="216">
                  <c:v>0</c:v>
                </c:pt>
                <c:pt idx="217">
                  <c:v>0</c:v>
                </c:pt>
                <c:pt idx="218">
                  <c:v>0</c:v>
                </c:pt>
                <c:pt idx="219">
                  <c:v>0</c:v>
                </c:pt>
                <c:pt idx="220">
                  <c:v>0</c:v>
                </c:pt>
                <c:pt idx="221">
                  <c:v>60.68</c:v>
                </c:pt>
                <c:pt idx="222">
                  <c:v>60.68</c:v>
                </c:pt>
                <c:pt idx="223">
                  <c:v>60.68</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62.27</c:v>
                </c:pt>
                <c:pt idx="242">
                  <c:v>62.27</c:v>
                </c:pt>
                <c:pt idx="243">
                  <c:v>62.27</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63.76</c:v>
                </c:pt>
                <c:pt idx="266">
                  <c:v>63.76</c:v>
                </c:pt>
                <c:pt idx="267">
                  <c:v>63.76</c:v>
                </c:pt>
                <c:pt idx="268">
                  <c:v>0</c:v>
                </c:pt>
                <c:pt idx="269">
                  <c:v>63.89</c:v>
                </c:pt>
                <c:pt idx="270">
                  <c:v>63.89</c:v>
                </c:pt>
                <c:pt idx="271">
                  <c:v>63.89</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65.680000000000007</c:v>
                </c:pt>
                <c:pt idx="290">
                  <c:v>65.680000000000007</c:v>
                </c:pt>
                <c:pt idx="291">
                  <c:v>65.680000000000007</c:v>
                </c:pt>
                <c:pt idx="292">
                  <c:v>0</c:v>
                </c:pt>
                <c:pt idx="293">
                  <c:v>0</c:v>
                </c:pt>
                <c:pt idx="294">
                  <c:v>0</c:v>
                </c:pt>
                <c:pt idx="295">
                  <c:v>0</c:v>
                </c:pt>
                <c:pt idx="296">
                  <c:v>0</c:v>
                </c:pt>
                <c:pt idx="297">
                  <c:v>65.990000000000009</c:v>
                </c:pt>
                <c:pt idx="298">
                  <c:v>65.990000000000009</c:v>
                </c:pt>
                <c:pt idx="299">
                  <c:v>65.990000000000009</c:v>
                </c:pt>
                <c:pt idx="300">
                  <c:v>0</c:v>
                </c:pt>
                <c:pt idx="301">
                  <c:v>66.38</c:v>
                </c:pt>
                <c:pt idx="302">
                  <c:v>66.38</c:v>
                </c:pt>
                <c:pt idx="303">
                  <c:v>66.38</c:v>
                </c:pt>
                <c:pt idx="304">
                  <c:v>0</c:v>
                </c:pt>
                <c:pt idx="305">
                  <c:v>66.849999999999994</c:v>
                </c:pt>
                <c:pt idx="306">
                  <c:v>66.849999999999994</c:v>
                </c:pt>
                <c:pt idx="307">
                  <c:v>66.849999999999994</c:v>
                </c:pt>
                <c:pt idx="308">
                  <c:v>0</c:v>
                </c:pt>
                <c:pt idx="309">
                  <c:v>0</c:v>
                </c:pt>
                <c:pt idx="310">
                  <c:v>0</c:v>
                </c:pt>
                <c:pt idx="311">
                  <c:v>0</c:v>
                </c:pt>
                <c:pt idx="312">
                  <c:v>0</c:v>
                </c:pt>
                <c:pt idx="313">
                  <c:v>67.22999999999999</c:v>
                </c:pt>
                <c:pt idx="314">
                  <c:v>67.22999999999999</c:v>
                </c:pt>
                <c:pt idx="315">
                  <c:v>67.22999999999999</c:v>
                </c:pt>
                <c:pt idx="316">
                  <c:v>0</c:v>
                </c:pt>
                <c:pt idx="317">
                  <c:v>67.86</c:v>
                </c:pt>
                <c:pt idx="318">
                  <c:v>67.86</c:v>
                </c:pt>
                <c:pt idx="319">
                  <c:v>67.86</c:v>
                </c:pt>
                <c:pt idx="320">
                  <c:v>0</c:v>
                </c:pt>
                <c:pt idx="321">
                  <c:v>0</c:v>
                </c:pt>
                <c:pt idx="322">
                  <c:v>0</c:v>
                </c:pt>
                <c:pt idx="323">
                  <c:v>0</c:v>
                </c:pt>
                <c:pt idx="324">
                  <c:v>0</c:v>
                </c:pt>
                <c:pt idx="325">
                  <c:v>0</c:v>
                </c:pt>
                <c:pt idx="326">
                  <c:v>0</c:v>
                </c:pt>
                <c:pt idx="327">
                  <c:v>0</c:v>
                </c:pt>
                <c:pt idx="328">
                  <c:v>0</c:v>
                </c:pt>
                <c:pt idx="329">
                  <c:v>68.7</c:v>
                </c:pt>
                <c:pt idx="330">
                  <c:v>68.7</c:v>
                </c:pt>
                <c:pt idx="331">
                  <c:v>68.7</c:v>
                </c:pt>
                <c:pt idx="332">
                  <c:v>0</c:v>
                </c:pt>
                <c:pt idx="333">
                  <c:v>68.78</c:v>
                </c:pt>
                <c:pt idx="334">
                  <c:v>68.78</c:v>
                </c:pt>
                <c:pt idx="335">
                  <c:v>68.78</c:v>
                </c:pt>
                <c:pt idx="336">
                  <c:v>0</c:v>
                </c:pt>
                <c:pt idx="337">
                  <c:v>68.88</c:v>
                </c:pt>
                <c:pt idx="338">
                  <c:v>68.88</c:v>
                </c:pt>
                <c:pt idx="339">
                  <c:v>68.88</c:v>
                </c:pt>
                <c:pt idx="340">
                  <c:v>0</c:v>
                </c:pt>
                <c:pt idx="341">
                  <c:v>0</c:v>
                </c:pt>
                <c:pt idx="342">
                  <c:v>0</c:v>
                </c:pt>
                <c:pt idx="343">
                  <c:v>0</c:v>
                </c:pt>
                <c:pt idx="344">
                  <c:v>0</c:v>
                </c:pt>
                <c:pt idx="345">
                  <c:v>69.009999999999991</c:v>
                </c:pt>
                <c:pt idx="346">
                  <c:v>69.009999999999991</c:v>
                </c:pt>
                <c:pt idx="347">
                  <c:v>69.009999999999991</c:v>
                </c:pt>
                <c:pt idx="348">
                  <c:v>0</c:v>
                </c:pt>
                <c:pt idx="349">
                  <c:v>69.03</c:v>
                </c:pt>
                <c:pt idx="350">
                  <c:v>69.03</c:v>
                </c:pt>
                <c:pt idx="351">
                  <c:v>69.03</c:v>
                </c:pt>
                <c:pt idx="352">
                  <c:v>0</c:v>
                </c:pt>
                <c:pt idx="353">
                  <c:v>69.16</c:v>
                </c:pt>
                <c:pt idx="354">
                  <c:v>69.16</c:v>
                </c:pt>
                <c:pt idx="355">
                  <c:v>69.16</c:v>
                </c:pt>
                <c:pt idx="356">
                  <c:v>0</c:v>
                </c:pt>
                <c:pt idx="357">
                  <c:v>0</c:v>
                </c:pt>
                <c:pt idx="358">
                  <c:v>0</c:v>
                </c:pt>
                <c:pt idx="359">
                  <c:v>0</c:v>
                </c:pt>
                <c:pt idx="360">
                  <c:v>0</c:v>
                </c:pt>
                <c:pt idx="361">
                  <c:v>69.8</c:v>
                </c:pt>
                <c:pt idx="362">
                  <c:v>69.8</c:v>
                </c:pt>
                <c:pt idx="363">
                  <c:v>69.8</c:v>
                </c:pt>
                <c:pt idx="364">
                  <c:v>0</c:v>
                </c:pt>
                <c:pt idx="365">
                  <c:v>70.460000000000008</c:v>
                </c:pt>
                <c:pt idx="366">
                  <c:v>70.460000000000008</c:v>
                </c:pt>
                <c:pt idx="367">
                  <c:v>70.460000000000008</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71.5</c:v>
                </c:pt>
                <c:pt idx="386">
                  <c:v>71.5</c:v>
                </c:pt>
                <c:pt idx="387">
                  <c:v>71.5</c:v>
                </c:pt>
                <c:pt idx="388">
                  <c:v>0</c:v>
                </c:pt>
                <c:pt idx="389">
                  <c:v>0</c:v>
                </c:pt>
                <c:pt idx="390">
                  <c:v>0</c:v>
                </c:pt>
                <c:pt idx="391">
                  <c:v>0</c:v>
                </c:pt>
                <c:pt idx="392">
                  <c:v>0</c:v>
                </c:pt>
                <c:pt idx="393">
                  <c:v>72.16</c:v>
                </c:pt>
                <c:pt idx="394">
                  <c:v>72.16</c:v>
                </c:pt>
                <c:pt idx="395">
                  <c:v>72.16</c:v>
                </c:pt>
                <c:pt idx="396">
                  <c:v>0</c:v>
                </c:pt>
                <c:pt idx="397">
                  <c:v>0</c:v>
                </c:pt>
                <c:pt idx="398">
                  <c:v>0</c:v>
                </c:pt>
                <c:pt idx="399">
                  <c:v>0</c:v>
                </c:pt>
                <c:pt idx="400">
                  <c:v>0</c:v>
                </c:pt>
                <c:pt idx="401">
                  <c:v>0</c:v>
                </c:pt>
                <c:pt idx="402">
                  <c:v>0</c:v>
                </c:pt>
                <c:pt idx="403">
                  <c:v>0</c:v>
                </c:pt>
                <c:pt idx="404">
                  <c:v>0</c:v>
                </c:pt>
                <c:pt idx="405">
                  <c:v>75.61</c:v>
                </c:pt>
                <c:pt idx="406">
                  <c:v>75.61</c:v>
                </c:pt>
                <c:pt idx="407">
                  <c:v>75.61</c:v>
                </c:pt>
                <c:pt idx="408">
                  <c:v>0</c:v>
                </c:pt>
                <c:pt idx="409">
                  <c:v>75.67</c:v>
                </c:pt>
                <c:pt idx="410">
                  <c:v>75.67</c:v>
                </c:pt>
                <c:pt idx="411">
                  <c:v>75.67</c:v>
                </c:pt>
                <c:pt idx="412">
                  <c:v>0</c:v>
                </c:pt>
                <c:pt idx="413">
                  <c:v>0</c:v>
                </c:pt>
                <c:pt idx="414">
                  <c:v>0</c:v>
                </c:pt>
                <c:pt idx="415">
                  <c:v>0</c:v>
                </c:pt>
                <c:pt idx="416">
                  <c:v>0</c:v>
                </c:pt>
                <c:pt idx="417">
                  <c:v>76.81</c:v>
                </c:pt>
                <c:pt idx="418">
                  <c:v>76.81</c:v>
                </c:pt>
                <c:pt idx="419">
                  <c:v>76.81</c:v>
                </c:pt>
                <c:pt idx="420">
                  <c:v>0</c:v>
                </c:pt>
                <c:pt idx="421">
                  <c:v>0</c:v>
                </c:pt>
                <c:pt idx="422">
                  <c:v>0</c:v>
                </c:pt>
                <c:pt idx="423">
                  <c:v>0</c:v>
                </c:pt>
                <c:pt idx="424">
                  <c:v>0</c:v>
                </c:pt>
                <c:pt idx="425">
                  <c:v>77.22999999999999</c:v>
                </c:pt>
                <c:pt idx="426">
                  <c:v>77.22999999999999</c:v>
                </c:pt>
                <c:pt idx="427">
                  <c:v>77.22999999999999</c:v>
                </c:pt>
                <c:pt idx="428">
                  <c:v>0</c:v>
                </c:pt>
                <c:pt idx="429">
                  <c:v>77.59</c:v>
                </c:pt>
                <c:pt idx="430">
                  <c:v>77.59</c:v>
                </c:pt>
                <c:pt idx="431">
                  <c:v>77.59</c:v>
                </c:pt>
                <c:pt idx="432">
                  <c:v>0</c:v>
                </c:pt>
                <c:pt idx="433">
                  <c:v>77.64</c:v>
                </c:pt>
                <c:pt idx="434">
                  <c:v>77.64</c:v>
                </c:pt>
                <c:pt idx="435">
                  <c:v>77.64</c:v>
                </c:pt>
                <c:pt idx="436">
                  <c:v>0</c:v>
                </c:pt>
                <c:pt idx="437">
                  <c:v>0</c:v>
                </c:pt>
                <c:pt idx="438">
                  <c:v>0</c:v>
                </c:pt>
                <c:pt idx="439">
                  <c:v>0</c:v>
                </c:pt>
                <c:pt idx="440">
                  <c:v>0</c:v>
                </c:pt>
                <c:pt idx="441">
                  <c:v>77.75</c:v>
                </c:pt>
                <c:pt idx="442">
                  <c:v>77.75</c:v>
                </c:pt>
                <c:pt idx="443">
                  <c:v>77.75</c:v>
                </c:pt>
                <c:pt idx="444">
                  <c:v>0</c:v>
                </c:pt>
                <c:pt idx="445">
                  <c:v>79.460000000000008</c:v>
                </c:pt>
                <c:pt idx="446">
                  <c:v>79.460000000000008</c:v>
                </c:pt>
                <c:pt idx="447">
                  <c:v>79.460000000000008</c:v>
                </c:pt>
                <c:pt idx="448">
                  <c:v>0</c:v>
                </c:pt>
                <c:pt idx="449">
                  <c:v>79.930000000000007</c:v>
                </c:pt>
                <c:pt idx="450">
                  <c:v>79.930000000000007</c:v>
                </c:pt>
                <c:pt idx="451">
                  <c:v>79.930000000000007</c:v>
                </c:pt>
                <c:pt idx="452">
                  <c:v>0</c:v>
                </c:pt>
                <c:pt idx="453">
                  <c:v>80.419999999999987</c:v>
                </c:pt>
                <c:pt idx="454">
                  <c:v>80.419999999999987</c:v>
                </c:pt>
                <c:pt idx="455">
                  <c:v>80.419999999999987</c:v>
                </c:pt>
                <c:pt idx="456">
                  <c:v>0</c:v>
                </c:pt>
                <c:pt idx="457">
                  <c:v>0</c:v>
                </c:pt>
                <c:pt idx="458">
                  <c:v>0</c:v>
                </c:pt>
                <c:pt idx="459">
                  <c:v>0</c:v>
                </c:pt>
                <c:pt idx="460">
                  <c:v>0</c:v>
                </c:pt>
                <c:pt idx="461">
                  <c:v>81.25</c:v>
                </c:pt>
                <c:pt idx="462">
                  <c:v>81.25</c:v>
                </c:pt>
                <c:pt idx="463">
                  <c:v>81.25</c:v>
                </c:pt>
                <c:pt idx="464">
                  <c:v>0</c:v>
                </c:pt>
                <c:pt idx="465">
                  <c:v>0</c:v>
                </c:pt>
                <c:pt idx="466">
                  <c:v>0</c:v>
                </c:pt>
                <c:pt idx="467">
                  <c:v>0</c:v>
                </c:pt>
                <c:pt idx="468">
                  <c:v>0</c:v>
                </c:pt>
                <c:pt idx="469">
                  <c:v>83.300000000000011</c:v>
                </c:pt>
                <c:pt idx="470">
                  <c:v>83.300000000000011</c:v>
                </c:pt>
                <c:pt idx="471">
                  <c:v>83.300000000000011</c:v>
                </c:pt>
                <c:pt idx="472">
                  <c:v>0</c:v>
                </c:pt>
                <c:pt idx="473">
                  <c:v>83.490000000000009</c:v>
                </c:pt>
                <c:pt idx="474">
                  <c:v>83.490000000000009</c:v>
                </c:pt>
                <c:pt idx="475">
                  <c:v>83.490000000000009</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87.02000000000001</c:v>
                </c:pt>
                <c:pt idx="502">
                  <c:v>87.02000000000001</c:v>
                </c:pt>
                <c:pt idx="503">
                  <c:v>87.02000000000001</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89.18</c:v>
                </c:pt>
                <c:pt idx="518">
                  <c:v>89.18</c:v>
                </c:pt>
                <c:pt idx="519">
                  <c:v>89.18</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92.550000000000011</c:v>
                </c:pt>
                <c:pt idx="538">
                  <c:v>92.550000000000011</c:v>
                </c:pt>
                <c:pt idx="539">
                  <c:v>92.550000000000011</c:v>
                </c:pt>
                <c:pt idx="540">
                  <c:v>0</c:v>
                </c:pt>
                <c:pt idx="541">
                  <c:v>93.13</c:v>
                </c:pt>
                <c:pt idx="542">
                  <c:v>93.13</c:v>
                </c:pt>
                <c:pt idx="543">
                  <c:v>93.13</c:v>
                </c:pt>
                <c:pt idx="544">
                  <c:v>0</c:v>
                </c:pt>
                <c:pt idx="545">
                  <c:v>0</c:v>
                </c:pt>
                <c:pt idx="546">
                  <c:v>0</c:v>
                </c:pt>
                <c:pt idx="547">
                  <c:v>0</c:v>
                </c:pt>
                <c:pt idx="548">
                  <c:v>0</c:v>
                </c:pt>
                <c:pt idx="549">
                  <c:v>93.78</c:v>
                </c:pt>
                <c:pt idx="550">
                  <c:v>93.78</c:v>
                </c:pt>
                <c:pt idx="551">
                  <c:v>93.78</c:v>
                </c:pt>
                <c:pt idx="552">
                  <c:v>0</c:v>
                </c:pt>
                <c:pt idx="553">
                  <c:v>94.06</c:v>
                </c:pt>
                <c:pt idx="554">
                  <c:v>94.06</c:v>
                </c:pt>
                <c:pt idx="555">
                  <c:v>94.06</c:v>
                </c:pt>
                <c:pt idx="556">
                  <c:v>0</c:v>
                </c:pt>
                <c:pt idx="557">
                  <c:v>0</c:v>
                </c:pt>
                <c:pt idx="558">
                  <c:v>0</c:v>
                </c:pt>
                <c:pt idx="559">
                  <c:v>0</c:v>
                </c:pt>
                <c:pt idx="560">
                  <c:v>0</c:v>
                </c:pt>
                <c:pt idx="561">
                  <c:v>95.039999999999992</c:v>
                </c:pt>
                <c:pt idx="562">
                  <c:v>95.039999999999992</c:v>
                </c:pt>
                <c:pt idx="563">
                  <c:v>95.039999999999992</c:v>
                </c:pt>
                <c:pt idx="564">
                  <c:v>0</c:v>
                </c:pt>
                <c:pt idx="565">
                  <c:v>95.62</c:v>
                </c:pt>
                <c:pt idx="566">
                  <c:v>95.62</c:v>
                </c:pt>
                <c:pt idx="567">
                  <c:v>95.62</c:v>
                </c:pt>
                <c:pt idx="568">
                  <c:v>0</c:v>
                </c:pt>
                <c:pt idx="569">
                  <c:v>0</c:v>
                </c:pt>
                <c:pt idx="570">
                  <c:v>0</c:v>
                </c:pt>
                <c:pt idx="571">
                  <c:v>0</c:v>
                </c:pt>
                <c:pt idx="572">
                  <c:v>0</c:v>
                </c:pt>
                <c:pt idx="573">
                  <c:v>96.759999999999991</c:v>
                </c:pt>
                <c:pt idx="574">
                  <c:v>96.759999999999991</c:v>
                </c:pt>
                <c:pt idx="575">
                  <c:v>96.759999999999991</c:v>
                </c:pt>
                <c:pt idx="576">
                  <c:v>0</c:v>
                </c:pt>
                <c:pt idx="577">
                  <c:v>96.960000000000008</c:v>
                </c:pt>
                <c:pt idx="578">
                  <c:v>96.960000000000008</c:v>
                </c:pt>
                <c:pt idx="579">
                  <c:v>96.960000000000008</c:v>
                </c:pt>
                <c:pt idx="580">
                  <c:v>0</c:v>
                </c:pt>
                <c:pt idx="581">
                  <c:v>100.34</c:v>
                </c:pt>
                <c:pt idx="582">
                  <c:v>100.34</c:v>
                </c:pt>
                <c:pt idx="583">
                  <c:v>100.34</c:v>
                </c:pt>
                <c:pt idx="584">
                  <c:v>0</c:v>
                </c:pt>
                <c:pt idx="585">
                  <c:v>0</c:v>
                </c:pt>
                <c:pt idx="586">
                  <c:v>0</c:v>
                </c:pt>
                <c:pt idx="587">
                  <c:v>0</c:v>
                </c:pt>
                <c:pt idx="588">
                  <c:v>0</c:v>
                </c:pt>
                <c:pt idx="589">
                  <c:v>0</c:v>
                </c:pt>
                <c:pt idx="590">
                  <c:v>0</c:v>
                </c:pt>
                <c:pt idx="591">
                  <c:v>0</c:v>
                </c:pt>
                <c:pt idx="592">
                  <c:v>0</c:v>
                </c:pt>
                <c:pt idx="593">
                  <c:v>101.63999999999999</c:v>
                </c:pt>
                <c:pt idx="594">
                  <c:v>101.63999999999999</c:v>
                </c:pt>
                <c:pt idx="595">
                  <c:v>101.63999999999999</c:v>
                </c:pt>
                <c:pt idx="596">
                  <c:v>0</c:v>
                </c:pt>
                <c:pt idx="597">
                  <c:v>101.77000000000001</c:v>
                </c:pt>
                <c:pt idx="598">
                  <c:v>101.77000000000001</c:v>
                </c:pt>
                <c:pt idx="599">
                  <c:v>101.77000000000001</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105.9</c:v>
                </c:pt>
                <c:pt idx="614">
                  <c:v>105.9</c:v>
                </c:pt>
                <c:pt idx="615">
                  <c:v>105.9</c:v>
                </c:pt>
                <c:pt idx="616">
                  <c:v>0</c:v>
                </c:pt>
                <c:pt idx="617">
                  <c:v>0</c:v>
                </c:pt>
                <c:pt idx="618">
                  <c:v>0</c:v>
                </c:pt>
                <c:pt idx="619">
                  <c:v>0</c:v>
                </c:pt>
                <c:pt idx="620">
                  <c:v>0</c:v>
                </c:pt>
                <c:pt idx="621">
                  <c:v>107.68</c:v>
                </c:pt>
                <c:pt idx="622">
                  <c:v>107.68</c:v>
                </c:pt>
                <c:pt idx="623">
                  <c:v>107.68</c:v>
                </c:pt>
                <c:pt idx="624">
                  <c:v>0</c:v>
                </c:pt>
                <c:pt idx="625">
                  <c:v>0</c:v>
                </c:pt>
                <c:pt idx="626">
                  <c:v>0</c:v>
                </c:pt>
                <c:pt idx="627">
                  <c:v>0</c:v>
                </c:pt>
                <c:pt idx="628">
                  <c:v>0</c:v>
                </c:pt>
                <c:pt idx="629">
                  <c:v>0</c:v>
                </c:pt>
                <c:pt idx="630">
                  <c:v>0</c:v>
                </c:pt>
                <c:pt idx="631">
                  <c:v>0</c:v>
                </c:pt>
                <c:pt idx="632">
                  <c:v>0</c:v>
                </c:pt>
                <c:pt idx="633">
                  <c:v>109.99000000000001</c:v>
                </c:pt>
                <c:pt idx="634">
                  <c:v>109.99000000000001</c:v>
                </c:pt>
                <c:pt idx="635">
                  <c:v>109.99000000000001</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113.88999999999999</c:v>
                </c:pt>
                <c:pt idx="654">
                  <c:v>113.88999999999999</c:v>
                </c:pt>
                <c:pt idx="655">
                  <c:v>113.88999999999999</c:v>
                </c:pt>
                <c:pt idx="656">
                  <c:v>0</c:v>
                </c:pt>
                <c:pt idx="657">
                  <c:v>0</c:v>
                </c:pt>
                <c:pt idx="658">
                  <c:v>0</c:v>
                </c:pt>
                <c:pt idx="659">
                  <c:v>0</c:v>
                </c:pt>
                <c:pt idx="660">
                  <c:v>0</c:v>
                </c:pt>
                <c:pt idx="661">
                  <c:v>0</c:v>
                </c:pt>
                <c:pt idx="662">
                  <c:v>0</c:v>
                </c:pt>
                <c:pt idx="663">
                  <c:v>0</c:v>
                </c:pt>
                <c:pt idx="664">
                  <c:v>0</c:v>
                </c:pt>
                <c:pt idx="665">
                  <c:v>120.55000000000001</c:v>
                </c:pt>
                <c:pt idx="666">
                  <c:v>120.55000000000001</c:v>
                </c:pt>
                <c:pt idx="667">
                  <c:v>120.55000000000001</c:v>
                </c:pt>
                <c:pt idx="668">
                  <c:v>0</c:v>
                </c:pt>
                <c:pt idx="669">
                  <c:v>121.59</c:v>
                </c:pt>
                <c:pt idx="670">
                  <c:v>121.59</c:v>
                </c:pt>
                <c:pt idx="671">
                  <c:v>121.59</c:v>
                </c:pt>
                <c:pt idx="672">
                  <c:v>0</c:v>
                </c:pt>
                <c:pt idx="673">
                  <c:v>122.56</c:v>
                </c:pt>
                <c:pt idx="674">
                  <c:v>122.56</c:v>
                </c:pt>
                <c:pt idx="675">
                  <c:v>122.56</c:v>
                </c:pt>
                <c:pt idx="676">
                  <c:v>0</c:v>
                </c:pt>
                <c:pt idx="677">
                  <c:v>124.13999999999999</c:v>
                </c:pt>
                <c:pt idx="678">
                  <c:v>124.13999999999999</c:v>
                </c:pt>
                <c:pt idx="679">
                  <c:v>124.13999999999999</c:v>
                </c:pt>
                <c:pt idx="680">
                  <c:v>0</c:v>
                </c:pt>
                <c:pt idx="681">
                  <c:v>0</c:v>
                </c:pt>
                <c:pt idx="682">
                  <c:v>0</c:v>
                </c:pt>
                <c:pt idx="683">
                  <c:v>0</c:v>
                </c:pt>
                <c:pt idx="684">
                  <c:v>0</c:v>
                </c:pt>
                <c:pt idx="685">
                  <c:v>0</c:v>
                </c:pt>
                <c:pt idx="686">
                  <c:v>0</c:v>
                </c:pt>
                <c:pt idx="687">
                  <c:v>0</c:v>
                </c:pt>
                <c:pt idx="688">
                  <c:v>0</c:v>
                </c:pt>
                <c:pt idx="689">
                  <c:v>128.96</c:v>
                </c:pt>
                <c:pt idx="690">
                  <c:v>128.96</c:v>
                </c:pt>
                <c:pt idx="691">
                  <c:v>128.96</c:v>
                </c:pt>
                <c:pt idx="692">
                  <c:v>0</c:v>
                </c:pt>
                <c:pt idx="693">
                  <c:v>0</c:v>
                </c:pt>
                <c:pt idx="694">
                  <c:v>0</c:v>
                </c:pt>
                <c:pt idx="695">
                  <c:v>0</c:v>
                </c:pt>
                <c:pt idx="696">
                  <c:v>0</c:v>
                </c:pt>
                <c:pt idx="697">
                  <c:v>0</c:v>
                </c:pt>
                <c:pt idx="698">
                  <c:v>0</c:v>
                </c:pt>
                <c:pt idx="699">
                  <c:v>0</c:v>
                </c:pt>
                <c:pt idx="700">
                  <c:v>0</c:v>
                </c:pt>
                <c:pt idx="701">
                  <c:v>139.03</c:v>
                </c:pt>
                <c:pt idx="702">
                  <c:v>139.03</c:v>
                </c:pt>
                <c:pt idx="703">
                  <c:v>139.03</c:v>
                </c:pt>
                <c:pt idx="704">
                  <c:v>0</c:v>
                </c:pt>
                <c:pt idx="705">
                  <c:v>0</c:v>
                </c:pt>
                <c:pt idx="706">
                  <c:v>0</c:v>
                </c:pt>
                <c:pt idx="707">
                  <c:v>0</c:v>
                </c:pt>
                <c:pt idx="708">
                  <c:v>0</c:v>
                </c:pt>
                <c:pt idx="709">
                  <c:v>0</c:v>
                </c:pt>
              </c:numCache>
            </c:numRef>
          </c:val>
        </c:ser>
        <c:ser>
          <c:idx val="6"/>
          <c:order val="4"/>
          <c:tx>
            <c:v>Other</c:v>
          </c:tx>
          <c:spPr>
            <a:solidFill>
              <a:srgbClr val="BCBFC0"/>
            </a:solidFill>
            <a:ln w="3175">
              <a:solidFill>
                <a:srgbClr val="BCBFC0"/>
              </a:solidFill>
            </a:ln>
            <a:effectLst/>
          </c:spPr>
          <c:cat>
            <c:numRef>
              <c:f>Charts!$S$7:$S$716</c:f>
              <c:numCache>
                <c:formatCode>General</c:formatCode>
                <c:ptCount val="710"/>
                <c:pt idx="0">
                  <c:v>0</c:v>
                </c:pt>
                <c:pt idx="1">
                  <c:v>0</c:v>
                </c:pt>
                <c:pt idx="2">
                  <c:v>1.075</c:v>
                </c:pt>
                <c:pt idx="3">
                  <c:v>2.15</c:v>
                </c:pt>
                <c:pt idx="4">
                  <c:v>2.15</c:v>
                </c:pt>
                <c:pt idx="5">
                  <c:v>2.15</c:v>
                </c:pt>
                <c:pt idx="6">
                  <c:v>4.6549999999999994</c:v>
                </c:pt>
                <c:pt idx="7">
                  <c:v>7.16</c:v>
                </c:pt>
                <c:pt idx="8">
                  <c:v>7.16</c:v>
                </c:pt>
                <c:pt idx="9">
                  <c:v>7.16</c:v>
                </c:pt>
                <c:pt idx="10">
                  <c:v>14.254999999999999</c:v>
                </c:pt>
                <c:pt idx="11">
                  <c:v>21.35</c:v>
                </c:pt>
                <c:pt idx="12">
                  <c:v>21.35</c:v>
                </c:pt>
                <c:pt idx="13">
                  <c:v>21.35</c:v>
                </c:pt>
                <c:pt idx="14">
                  <c:v>23.040000000000003</c:v>
                </c:pt>
                <c:pt idx="15">
                  <c:v>24.73</c:v>
                </c:pt>
                <c:pt idx="16">
                  <c:v>24.73</c:v>
                </c:pt>
                <c:pt idx="17">
                  <c:v>24.73</c:v>
                </c:pt>
                <c:pt idx="18">
                  <c:v>33.53</c:v>
                </c:pt>
                <c:pt idx="19">
                  <c:v>42.33</c:v>
                </c:pt>
                <c:pt idx="20">
                  <c:v>42.33</c:v>
                </c:pt>
                <c:pt idx="21">
                  <c:v>42.33</c:v>
                </c:pt>
                <c:pt idx="22">
                  <c:v>42.48</c:v>
                </c:pt>
                <c:pt idx="23">
                  <c:v>42.629999999999995</c:v>
                </c:pt>
                <c:pt idx="24">
                  <c:v>42.629999999999995</c:v>
                </c:pt>
                <c:pt idx="25">
                  <c:v>42.629999999999995</c:v>
                </c:pt>
                <c:pt idx="26">
                  <c:v>44.464999999999996</c:v>
                </c:pt>
                <c:pt idx="27">
                  <c:v>46.3</c:v>
                </c:pt>
                <c:pt idx="28">
                  <c:v>46.3</c:v>
                </c:pt>
                <c:pt idx="29">
                  <c:v>46.3</c:v>
                </c:pt>
                <c:pt idx="30">
                  <c:v>46.849999999999994</c:v>
                </c:pt>
                <c:pt idx="31">
                  <c:v>47.4</c:v>
                </c:pt>
                <c:pt idx="32">
                  <c:v>47.4</c:v>
                </c:pt>
                <c:pt idx="33">
                  <c:v>47.4</c:v>
                </c:pt>
                <c:pt idx="34">
                  <c:v>50.614999999999995</c:v>
                </c:pt>
                <c:pt idx="35">
                  <c:v>53.83</c:v>
                </c:pt>
                <c:pt idx="36">
                  <c:v>53.83</c:v>
                </c:pt>
                <c:pt idx="37">
                  <c:v>53.83</c:v>
                </c:pt>
                <c:pt idx="38">
                  <c:v>54.489999999999995</c:v>
                </c:pt>
                <c:pt idx="39">
                  <c:v>55.15</c:v>
                </c:pt>
                <c:pt idx="40">
                  <c:v>55.15</c:v>
                </c:pt>
                <c:pt idx="41">
                  <c:v>55.15</c:v>
                </c:pt>
                <c:pt idx="42">
                  <c:v>55.55</c:v>
                </c:pt>
                <c:pt idx="43">
                  <c:v>55.949999999999996</c:v>
                </c:pt>
                <c:pt idx="44">
                  <c:v>55.949999999999996</c:v>
                </c:pt>
                <c:pt idx="45">
                  <c:v>55.949999999999996</c:v>
                </c:pt>
                <c:pt idx="46">
                  <c:v>56.124999999999993</c:v>
                </c:pt>
                <c:pt idx="47">
                  <c:v>56.3</c:v>
                </c:pt>
                <c:pt idx="48">
                  <c:v>56.3</c:v>
                </c:pt>
                <c:pt idx="49">
                  <c:v>56.3</c:v>
                </c:pt>
                <c:pt idx="50">
                  <c:v>56.474999999999994</c:v>
                </c:pt>
                <c:pt idx="51">
                  <c:v>56.65</c:v>
                </c:pt>
                <c:pt idx="52">
                  <c:v>56.65</c:v>
                </c:pt>
                <c:pt idx="53">
                  <c:v>56.65</c:v>
                </c:pt>
                <c:pt idx="54">
                  <c:v>59.64</c:v>
                </c:pt>
                <c:pt idx="55">
                  <c:v>62.629999999999995</c:v>
                </c:pt>
                <c:pt idx="56">
                  <c:v>62.629999999999995</c:v>
                </c:pt>
                <c:pt idx="57">
                  <c:v>62.629999999999995</c:v>
                </c:pt>
                <c:pt idx="58">
                  <c:v>63.414999999999992</c:v>
                </c:pt>
                <c:pt idx="59">
                  <c:v>64.199999999999989</c:v>
                </c:pt>
                <c:pt idx="60">
                  <c:v>64.199999999999989</c:v>
                </c:pt>
                <c:pt idx="61">
                  <c:v>64.199999999999989</c:v>
                </c:pt>
                <c:pt idx="62">
                  <c:v>69.834999999999994</c:v>
                </c:pt>
                <c:pt idx="63">
                  <c:v>75.469999999999985</c:v>
                </c:pt>
                <c:pt idx="64">
                  <c:v>75.469999999999985</c:v>
                </c:pt>
                <c:pt idx="65">
                  <c:v>75.469999999999985</c:v>
                </c:pt>
                <c:pt idx="66">
                  <c:v>80.899999999999977</c:v>
                </c:pt>
                <c:pt idx="67">
                  <c:v>86.329999999999984</c:v>
                </c:pt>
                <c:pt idx="68">
                  <c:v>86.329999999999984</c:v>
                </c:pt>
                <c:pt idx="69">
                  <c:v>86.329999999999984</c:v>
                </c:pt>
                <c:pt idx="70">
                  <c:v>98.194999999999979</c:v>
                </c:pt>
                <c:pt idx="71">
                  <c:v>110.05999999999999</c:v>
                </c:pt>
                <c:pt idx="72">
                  <c:v>110.05999999999999</c:v>
                </c:pt>
                <c:pt idx="73">
                  <c:v>110.05999999999999</c:v>
                </c:pt>
                <c:pt idx="74">
                  <c:v>112.68499999999999</c:v>
                </c:pt>
                <c:pt idx="75">
                  <c:v>115.30999999999999</c:v>
                </c:pt>
                <c:pt idx="76">
                  <c:v>115.30999999999999</c:v>
                </c:pt>
                <c:pt idx="77">
                  <c:v>115.30999999999999</c:v>
                </c:pt>
                <c:pt idx="78">
                  <c:v>133.72499999999999</c:v>
                </c:pt>
                <c:pt idx="79">
                  <c:v>152.13999999999999</c:v>
                </c:pt>
                <c:pt idx="80">
                  <c:v>152.13999999999999</c:v>
                </c:pt>
                <c:pt idx="81">
                  <c:v>152.13999999999999</c:v>
                </c:pt>
                <c:pt idx="82">
                  <c:v>153.39999999999998</c:v>
                </c:pt>
                <c:pt idx="83">
                  <c:v>154.66</c:v>
                </c:pt>
                <c:pt idx="84">
                  <c:v>154.66</c:v>
                </c:pt>
                <c:pt idx="85">
                  <c:v>154.66</c:v>
                </c:pt>
                <c:pt idx="86">
                  <c:v>154.72</c:v>
                </c:pt>
                <c:pt idx="87">
                  <c:v>154.78</c:v>
                </c:pt>
                <c:pt idx="88">
                  <c:v>154.78</c:v>
                </c:pt>
                <c:pt idx="89">
                  <c:v>154.78</c:v>
                </c:pt>
                <c:pt idx="90">
                  <c:v>158.69999999999999</c:v>
                </c:pt>
                <c:pt idx="91">
                  <c:v>162.62</c:v>
                </c:pt>
                <c:pt idx="92">
                  <c:v>162.62</c:v>
                </c:pt>
                <c:pt idx="93">
                  <c:v>162.62</c:v>
                </c:pt>
                <c:pt idx="94">
                  <c:v>164.23500000000001</c:v>
                </c:pt>
                <c:pt idx="95">
                  <c:v>165.85</c:v>
                </c:pt>
                <c:pt idx="96">
                  <c:v>165.85</c:v>
                </c:pt>
                <c:pt idx="97">
                  <c:v>165.85</c:v>
                </c:pt>
                <c:pt idx="98">
                  <c:v>166.34</c:v>
                </c:pt>
                <c:pt idx="99">
                  <c:v>166.82999999999998</c:v>
                </c:pt>
                <c:pt idx="100">
                  <c:v>166.82999999999998</c:v>
                </c:pt>
                <c:pt idx="101">
                  <c:v>166.82999999999998</c:v>
                </c:pt>
                <c:pt idx="102">
                  <c:v>166.94499999999999</c:v>
                </c:pt>
                <c:pt idx="103">
                  <c:v>167.05999999999997</c:v>
                </c:pt>
                <c:pt idx="104">
                  <c:v>167.05999999999997</c:v>
                </c:pt>
                <c:pt idx="105">
                  <c:v>167.05999999999997</c:v>
                </c:pt>
                <c:pt idx="106">
                  <c:v>169.93499999999997</c:v>
                </c:pt>
                <c:pt idx="107">
                  <c:v>172.80999999999997</c:v>
                </c:pt>
                <c:pt idx="108">
                  <c:v>172.80999999999997</c:v>
                </c:pt>
                <c:pt idx="109">
                  <c:v>172.80999999999997</c:v>
                </c:pt>
                <c:pt idx="110">
                  <c:v>172.82999999999998</c:v>
                </c:pt>
                <c:pt idx="111">
                  <c:v>172.84999999999997</c:v>
                </c:pt>
                <c:pt idx="112">
                  <c:v>172.84999999999997</c:v>
                </c:pt>
                <c:pt idx="113">
                  <c:v>172.84999999999997</c:v>
                </c:pt>
                <c:pt idx="114">
                  <c:v>173.34999999999997</c:v>
                </c:pt>
                <c:pt idx="115">
                  <c:v>173.84999999999997</c:v>
                </c:pt>
                <c:pt idx="116">
                  <c:v>173.84999999999997</c:v>
                </c:pt>
                <c:pt idx="117">
                  <c:v>173.84999999999997</c:v>
                </c:pt>
                <c:pt idx="118">
                  <c:v>182.09499999999997</c:v>
                </c:pt>
                <c:pt idx="119">
                  <c:v>190.33999999999997</c:v>
                </c:pt>
                <c:pt idx="120">
                  <c:v>190.33999999999997</c:v>
                </c:pt>
                <c:pt idx="121">
                  <c:v>190.33999999999997</c:v>
                </c:pt>
                <c:pt idx="122">
                  <c:v>191.75999999999996</c:v>
                </c:pt>
                <c:pt idx="123">
                  <c:v>193.17999999999998</c:v>
                </c:pt>
                <c:pt idx="124">
                  <c:v>193.17999999999998</c:v>
                </c:pt>
                <c:pt idx="125">
                  <c:v>193.17999999999998</c:v>
                </c:pt>
                <c:pt idx="126">
                  <c:v>193.34499999999997</c:v>
                </c:pt>
                <c:pt idx="127">
                  <c:v>193.51</c:v>
                </c:pt>
                <c:pt idx="128">
                  <c:v>193.51</c:v>
                </c:pt>
                <c:pt idx="129">
                  <c:v>193.51</c:v>
                </c:pt>
                <c:pt idx="130">
                  <c:v>193.63499999999999</c:v>
                </c:pt>
                <c:pt idx="131">
                  <c:v>193.76</c:v>
                </c:pt>
                <c:pt idx="132">
                  <c:v>193.76</c:v>
                </c:pt>
                <c:pt idx="133">
                  <c:v>193.76</c:v>
                </c:pt>
                <c:pt idx="134">
                  <c:v>195.565</c:v>
                </c:pt>
                <c:pt idx="135">
                  <c:v>197.37</c:v>
                </c:pt>
                <c:pt idx="136">
                  <c:v>197.37</c:v>
                </c:pt>
                <c:pt idx="137">
                  <c:v>197.37</c:v>
                </c:pt>
                <c:pt idx="138">
                  <c:v>200.64500000000001</c:v>
                </c:pt>
                <c:pt idx="139">
                  <c:v>203.92000000000002</c:v>
                </c:pt>
                <c:pt idx="140">
                  <c:v>203.92000000000002</c:v>
                </c:pt>
                <c:pt idx="141">
                  <c:v>203.92000000000002</c:v>
                </c:pt>
                <c:pt idx="142">
                  <c:v>217.99</c:v>
                </c:pt>
                <c:pt idx="143">
                  <c:v>232.06</c:v>
                </c:pt>
                <c:pt idx="144">
                  <c:v>232.06</c:v>
                </c:pt>
                <c:pt idx="145">
                  <c:v>232.06</c:v>
                </c:pt>
                <c:pt idx="146">
                  <c:v>233.785</c:v>
                </c:pt>
                <c:pt idx="147">
                  <c:v>235.51</c:v>
                </c:pt>
                <c:pt idx="148">
                  <c:v>235.51</c:v>
                </c:pt>
                <c:pt idx="149">
                  <c:v>235.51</c:v>
                </c:pt>
                <c:pt idx="150">
                  <c:v>256.88499999999999</c:v>
                </c:pt>
                <c:pt idx="151">
                  <c:v>278.26</c:v>
                </c:pt>
                <c:pt idx="152">
                  <c:v>278.26</c:v>
                </c:pt>
                <c:pt idx="153">
                  <c:v>278.26</c:v>
                </c:pt>
                <c:pt idx="154">
                  <c:v>280.815</c:v>
                </c:pt>
                <c:pt idx="155">
                  <c:v>283.37</c:v>
                </c:pt>
                <c:pt idx="156">
                  <c:v>283.37</c:v>
                </c:pt>
                <c:pt idx="157">
                  <c:v>283.37</c:v>
                </c:pt>
                <c:pt idx="158">
                  <c:v>287.14</c:v>
                </c:pt>
                <c:pt idx="159">
                  <c:v>290.91000000000003</c:v>
                </c:pt>
                <c:pt idx="160">
                  <c:v>290.91000000000003</c:v>
                </c:pt>
                <c:pt idx="161">
                  <c:v>290.91000000000003</c:v>
                </c:pt>
                <c:pt idx="162">
                  <c:v>291.31</c:v>
                </c:pt>
                <c:pt idx="163">
                  <c:v>291.71000000000004</c:v>
                </c:pt>
                <c:pt idx="164">
                  <c:v>291.71000000000004</c:v>
                </c:pt>
                <c:pt idx="165">
                  <c:v>291.71000000000004</c:v>
                </c:pt>
                <c:pt idx="166">
                  <c:v>295.18000000000006</c:v>
                </c:pt>
                <c:pt idx="167">
                  <c:v>298.65000000000003</c:v>
                </c:pt>
                <c:pt idx="168">
                  <c:v>298.65000000000003</c:v>
                </c:pt>
                <c:pt idx="169">
                  <c:v>298.65000000000003</c:v>
                </c:pt>
                <c:pt idx="170">
                  <c:v>302.46000000000004</c:v>
                </c:pt>
                <c:pt idx="171">
                  <c:v>306.27000000000004</c:v>
                </c:pt>
                <c:pt idx="172">
                  <c:v>306.27000000000004</c:v>
                </c:pt>
                <c:pt idx="173">
                  <c:v>306.27000000000004</c:v>
                </c:pt>
                <c:pt idx="174">
                  <c:v>307.86500000000007</c:v>
                </c:pt>
                <c:pt idx="175">
                  <c:v>309.46000000000004</c:v>
                </c:pt>
                <c:pt idx="176">
                  <c:v>309.46000000000004</c:v>
                </c:pt>
                <c:pt idx="177">
                  <c:v>309.46000000000004</c:v>
                </c:pt>
                <c:pt idx="178">
                  <c:v>312.48</c:v>
                </c:pt>
                <c:pt idx="179">
                  <c:v>315.50000000000006</c:v>
                </c:pt>
                <c:pt idx="180">
                  <c:v>315.50000000000006</c:v>
                </c:pt>
                <c:pt idx="181">
                  <c:v>315.50000000000006</c:v>
                </c:pt>
                <c:pt idx="182">
                  <c:v>319.94000000000005</c:v>
                </c:pt>
                <c:pt idx="183">
                  <c:v>324.38000000000005</c:v>
                </c:pt>
                <c:pt idx="184">
                  <c:v>324.38000000000005</c:v>
                </c:pt>
                <c:pt idx="185">
                  <c:v>324.38000000000005</c:v>
                </c:pt>
                <c:pt idx="186">
                  <c:v>326.21000000000004</c:v>
                </c:pt>
                <c:pt idx="187">
                  <c:v>328.04000000000008</c:v>
                </c:pt>
                <c:pt idx="188">
                  <c:v>328.04000000000008</c:v>
                </c:pt>
                <c:pt idx="189">
                  <c:v>328.04000000000008</c:v>
                </c:pt>
                <c:pt idx="190">
                  <c:v>328.55000000000007</c:v>
                </c:pt>
                <c:pt idx="191">
                  <c:v>329.06000000000006</c:v>
                </c:pt>
                <c:pt idx="192">
                  <c:v>329.06000000000006</c:v>
                </c:pt>
                <c:pt idx="193">
                  <c:v>329.06000000000006</c:v>
                </c:pt>
                <c:pt idx="194">
                  <c:v>332.15000000000003</c:v>
                </c:pt>
                <c:pt idx="195">
                  <c:v>335.24000000000007</c:v>
                </c:pt>
                <c:pt idx="196">
                  <c:v>335.24000000000007</c:v>
                </c:pt>
                <c:pt idx="197">
                  <c:v>335.24000000000007</c:v>
                </c:pt>
                <c:pt idx="198">
                  <c:v>335.76000000000005</c:v>
                </c:pt>
                <c:pt idx="199">
                  <c:v>336.28000000000009</c:v>
                </c:pt>
                <c:pt idx="200">
                  <c:v>336.28000000000009</c:v>
                </c:pt>
                <c:pt idx="201">
                  <c:v>336.28000000000009</c:v>
                </c:pt>
                <c:pt idx="202">
                  <c:v>336.30000000000007</c:v>
                </c:pt>
                <c:pt idx="203">
                  <c:v>336.32000000000011</c:v>
                </c:pt>
                <c:pt idx="204">
                  <c:v>336.32000000000011</c:v>
                </c:pt>
                <c:pt idx="205">
                  <c:v>336.32000000000011</c:v>
                </c:pt>
                <c:pt idx="206">
                  <c:v>337.12000000000012</c:v>
                </c:pt>
                <c:pt idx="207">
                  <c:v>337.92000000000013</c:v>
                </c:pt>
                <c:pt idx="208">
                  <c:v>337.92000000000013</c:v>
                </c:pt>
                <c:pt idx="209">
                  <c:v>337.92000000000013</c:v>
                </c:pt>
                <c:pt idx="210">
                  <c:v>339.68000000000012</c:v>
                </c:pt>
                <c:pt idx="211">
                  <c:v>341.44000000000011</c:v>
                </c:pt>
                <c:pt idx="212">
                  <c:v>341.44000000000011</c:v>
                </c:pt>
                <c:pt idx="213">
                  <c:v>341.44000000000011</c:v>
                </c:pt>
                <c:pt idx="214">
                  <c:v>343.79500000000013</c:v>
                </c:pt>
                <c:pt idx="215">
                  <c:v>346.15000000000009</c:v>
                </c:pt>
                <c:pt idx="216">
                  <c:v>346.15000000000009</c:v>
                </c:pt>
                <c:pt idx="217">
                  <c:v>346.15000000000009</c:v>
                </c:pt>
                <c:pt idx="218">
                  <c:v>346.49500000000012</c:v>
                </c:pt>
                <c:pt idx="219">
                  <c:v>346.84000000000009</c:v>
                </c:pt>
                <c:pt idx="220">
                  <c:v>346.84000000000009</c:v>
                </c:pt>
                <c:pt idx="221">
                  <c:v>346.84000000000009</c:v>
                </c:pt>
                <c:pt idx="222">
                  <c:v>352.71500000000009</c:v>
                </c:pt>
                <c:pt idx="223">
                  <c:v>358.59000000000009</c:v>
                </c:pt>
                <c:pt idx="224">
                  <c:v>358.59000000000009</c:v>
                </c:pt>
                <c:pt idx="225">
                  <c:v>358.59000000000009</c:v>
                </c:pt>
                <c:pt idx="226">
                  <c:v>361.31000000000012</c:v>
                </c:pt>
                <c:pt idx="227">
                  <c:v>364.03000000000009</c:v>
                </c:pt>
                <c:pt idx="228">
                  <c:v>364.03000000000009</c:v>
                </c:pt>
                <c:pt idx="229">
                  <c:v>364.03000000000009</c:v>
                </c:pt>
                <c:pt idx="230">
                  <c:v>364.98000000000008</c:v>
                </c:pt>
                <c:pt idx="231">
                  <c:v>365.93000000000006</c:v>
                </c:pt>
                <c:pt idx="232">
                  <c:v>365.93000000000006</c:v>
                </c:pt>
                <c:pt idx="233">
                  <c:v>365.93000000000006</c:v>
                </c:pt>
                <c:pt idx="234">
                  <c:v>368.15500000000009</c:v>
                </c:pt>
                <c:pt idx="235">
                  <c:v>370.38000000000005</c:v>
                </c:pt>
                <c:pt idx="236">
                  <c:v>370.38000000000005</c:v>
                </c:pt>
                <c:pt idx="237">
                  <c:v>370.38000000000005</c:v>
                </c:pt>
                <c:pt idx="238">
                  <c:v>370.82000000000005</c:v>
                </c:pt>
                <c:pt idx="239">
                  <c:v>371.26000000000005</c:v>
                </c:pt>
                <c:pt idx="240">
                  <c:v>371.26000000000005</c:v>
                </c:pt>
                <c:pt idx="241">
                  <c:v>371.26000000000005</c:v>
                </c:pt>
                <c:pt idx="242">
                  <c:v>371.91500000000002</c:v>
                </c:pt>
                <c:pt idx="243">
                  <c:v>372.57000000000005</c:v>
                </c:pt>
                <c:pt idx="244">
                  <c:v>372.57000000000005</c:v>
                </c:pt>
                <c:pt idx="245">
                  <c:v>372.57000000000005</c:v>
                </c:pt>
                <c:pt idx="246">
                  <c:v>373.05000000000007</c:v>
                </c:pt>
                <c:pt idx="247">
                  <c:v>373.53000000000003</c:v>
                </c:pt>
                <c:pt idx="248">
                  <c:v>373.53000000000003</c:v>
                </c:pt>
                <c:pt idx="249">
                  <c:v>373.53000000000003</c:v>
                </c:pt>
                <c:pt idx="250">
                  <c:v>374.08000000000004</c:v>
                </c:pt>
                <c:pt idx="251">
                  <c:v>374.63000000000005</c:v>
                </c:pt>
                <c:pt idx="252">
                  <c:v>374.63000000000005</c:v>
                </c:pt>
                <c:pt idx="253">
                  <c:v>374.63000000000005</c:v>
                </c:pt>
                <c:pt idx="254">
                  <c:v>380.36500000000007</c:v>
                </c:pt>
                <c:pt idx="255">
                  <c:v>386.10000000000008</c:v>
                </c:pt>
                <c:pt idx="256">
                  <c:v>386.10000000000008</c:v>
                </c:pt>
                <c:pt idx="257">
                  <c:v>386.10000000000008</c:v>
                </c:pt>
                <c:pt idx="258">
                  <c:v>386.50000000000006</c:v>
                </c:pt>
                <c:pt idx="259">
                  <c:v>386.90000000000009</c:v>
                </c:pt>
                <c:pt idx="260">
                  <c:v>386.90000000000009</c:v>
                </c:pt>
                <c:pt idx="261">
                  <c:v>386.90000000000009</c:v>
                </c:pt>
                <c:pt idx="262">
                  <c:v>390.00000000000011</c:v>
                </c:pt>
                <c:pt idx="263">
                  <c:v>393.10000000000008</c:v>
                </c:pt>
                <c:pt idx="264">
                  <c:v>393.10000000000008</c:v>
                </c:pt>
                <c:pt idx="265">
                  <c:v>393.10000000000008</c:v>
                </c:pt>
                <c:pt idx="266">
                  <c:v>395.5150000000001</c:v>
                </c:pt>
                <c:pt idx="267">
                  <c:v>397.93000000000006</c:v>
                </c:pt>
                <c:pt idx="268">
                  <c:v>397.93000000000006</c:v>
                </c:pt>
                <c:pt idx="269">
                  <c:v>397.93000000000006</c:v>
                </c:pt>
                <c:pt idx="270">
                  <c:v>398.69000000000005</c:v>
                </c:pt>
                <c:pt idx="271">
                  <c:v>399.45000000000005</c:v>
                </c:pt>
                <c:pt idx="272">
                  <c:v>399.45000000000005</c:v>
                </c:pt>
                <c:pt idx="273">
                  <c:v>399.45000000000005</c:v>
                </c:pt>
                <c:pt idx="274">
                  <c:v>400.54500000000007</c:v>
                </c:pt>
                <c:pt idx="275">
                  <c:v>401.64000000000004</c:v>
                </c:pt>
                <c:pt idx="276">
                  <c:v>401.64000000000004</c:v>
                </c:pt>
                <c:pt idx="277">
                  <c:v>401.64000000000004</c:v>
                </c:pt>
                <c:pt idx="278">
                  <c:v>416.88000000000005</c:v>
                </c:pt>
                <c:pt idx="279">
                  <c:v>432.12000000000006</c:v>
                </c:pt>
                <c:pt idx="280">
                  <c:v>432.12000000000006</c:v>
                </c:pt>
                <c:pt idx="281">
                  <c:v>432.12000000000006</c:v>
                </c:pt>
                <c:pt idx="282">
                  <c:v>432.34500000000008</c:v>
                </c:pt>
                <c:pt idx="283">
                  <c:v>432.57000000000005</c:v>
                </c:pt>
                <c:pt idx="284">
                  <c:v>432.57000000000005</c:v>
                </c:pt>
                <c:pt idx="285">
                  <c:v>432.57000000000005</c:v>
                </c:pt>
                <c:pt idx="286">
                  <c:v>433.55000000000007</c:v>
                </c:pt>
                <c:pt idx="287">
                  <c:v>434.53000000000003</c:v>
                </c:pt>
                <c:pt idx="288">
                  <c:v>434.53000000000003</c:v>
                </c:pt>
                <c:pt idx="289">
                  <c:v>434.53000000000003</c:v>
                </c:pt>
                <c:pt idx="290">
                  <c:v>435.34000000000003</c:v>
                </c:pt>
                <c:pt idx="291">
                  <c:v>436.15000000000003</c:v>
                </c:pt>
                <c:pt idx="292">
                  <c:v>436.15000000000003</c:v>
                </c:pt>
                <c:pt idx="293">
                  <c:v>436.15000000000003</c:v>
                </c:pt>
                <c:pt idx="294">
                  <c:v>436.38000000000005</c:v>
                </c:pt>
                <c:pt idx="295">
                  <c:v>436.61</c:v>
                </c:pt>
                <c:pt idx="296">
                  <c:v>436.61</c:v>
                </c:pt>
                <c:pt idx="297">
                  <c:v>436.61</c:v>
                </c:pt>
                <c:pt idx="298">
                  <c:v>437.63</c:v>
                </c:pt>
                <c:pt idx="299">
                  <c:v>438.65000000000003</c:v>
                </c:pt>
                <c:pt idx="300">
                  <c:v>438.65000000000003</c:v>
                </c:pt>
                <c:pt idx="301">
                  <c:v>438.65000000000003</c:v>
                </c:pt>
                <c:pt idx="302">
                  <c:v>438.82500000000005</c:v>
                </c:pt>
                <c:pt idx="303">
                  <c:v>439.00000000000006</c:v>
                </c:pt>
                <c:pt idx="304">
                  <c:v>439.00000000000006</c:v>
                </c:pt>
                <c:pt idx="305">
                  <c:v>439.00000000000006</c:v>
                </c:pt>
                <c:pt idx="306">
                  <c:v>439.13500000000005</c:v>
                </c:pt>
                <c:pt idx="307">
                  <c:v>439.27000000000004</c:v>
                </c:pt>
                <c:pt idx="308">
                  <c:v>439.27000000000004</c:v>
                </c:pt>
                <c:pt idx="309">
                  <c:v>439.27000000000004</c:v>
                </c:pt>
                <c:pt idx="310">
                  <c:v>439.45000000000005</c:v>
                </c:pt>
                <c:pt idx="311">
                  <c:v>439.63000000000005</c:v>
                </c:pt>
                <c:pt idx="312">
                  <c:v>439.63000000000005</c:v>
                </c:pt>
                <c:pt idx="313">
                  <c:v>439.63000000000005</c:v>
                </c:pt>
                <c:pt idx="314">
                  <c:v>443.42000000000007</c:v>
                </c:pt>
                <c:pt idx="315">
                  <c:v>447.21000000000004</c:v>
                </c:pt>
                <c:pt idx="316">
                  <c:v>447.21000000000004</c:v>
                </c:pt>
                <c:pt idx="317">
                  <c:v>447.21000000000004</c:v>
                </c:pt>
                <c:pt idx="318">
                  <c:v>447.44000000000005</c:v>
                </c:pt>
                <c:pt idx="319">
                  <c:v>447.67</c:v>
                </c:pt>
                <c:pt idx="320">
                  <c:v>447.67</c:v>
                </c:pt>
                <c:pt idx="321">
                  <c:v>447.67</c:v>
                </c:pt>
                <c:pt idx="322">
                  <c:v>452.07499999999999</c:v>
                </c:pt>
                <c:pt idx="323">
                  <c:v>456.48</c:v>
                </c:pt>
                <c:pt idx="324">
                  <c:v>456.48</c:v>
                </c:pt>
                <c:pt idx="325">
                  <c:v>456.48</c:v>
                </c:pt>
                <c:pt idx="326">
                  <c:v>458.13</c:v>
                </c:pt>
                <c:pt idx="327">
                  <c:v>459.78000000000003</c:v>
                </c:pt>
                <c:pt idx="328">
                  <c:v>459.78000000000003</c:v>
                </c:pt>
                <c:pt idx="329">
                  <c:v>459.78000000000003</c:v>
                </c:pt>
                <c:pt idx="330">
                  <c:v>461.53000000000003</c:v>
                </c:pt>
                <c:pt idx="331">
                  <c:v>463.28000000000003</c:v>
                </c:pt>
                <c:pt idx="332">
                  <c:v>463.28000000000003</c:v>
                </c:pt>
                <c:pt idx="333">
                  <c:v>463.28000000000003</c:v>
                </c:pt>
                <c:pt idx="334">
                  <c:v>465.33500000000004</c:v>
                </c:pt>
                <c:pt idx="335">
                  <c:v>467.39000000000004</c:v>
                </c:pt>
                <c:pt idx="336">
                  <c:v>467.39000000000004</c:v>
                </c:pt>
                <c:pt idx="337">
                  <c:v>467.39000000000004</c:v>
                </c:pt>
                <c:pt idx="338">
                  <c:v>470.47</c:v>
                </c:pt>
                <c:pt idx="339">
                  <c:v>473.55000000000007</c:v>
                </c:pt>
                <c:pt idx="340">
                  <c:v>473.55000000000007</c:v>
                </c:pt>
                <c:pt idx="341">
                  <c:v>473.55000000000007</c:v>
                </c:pt>
                <c:pt idx="342">
                  <c:v>473.65000000000009</c:v>
                </c:pt>
                <c:pt idx="343">
                  <c:v>473.75000000000006</c:v>
                </c:pt>
                <c:pt idx="344">
                  <c:v>473.75000000000006</c:v>
                </c:pt>
                <c:pt idx="345">
                  <c:v>473.75000000000006</c:v>
                </c:pt>
                <c:pt idx="346">
                  <c:v>475.46500000000003</c:v>
                </c:pt>
                <c:pt idx="347">
                  <c:v>477.18000000000006</c:v>
                </c:pt>
                <c:pt idx="348">
                  <c:v>477.18000000000006</c:v>
                </c:pt>
                <c:pt idx="349">
                  <c:v>477.18000000000006</c:v>
                </c:pt>
                <c:pt idx="350">
                  <c:v>477.30500000000006</c:v>
                </c:pt>
                <c:pt idx="351">
                  <c:v>477.43000000000006</c:v>
                </c:pt>
                <c:pt idx="352">
                  <c:v>477.43000000000006</c:v>
                </c:pt>
                <c:pt idx="353">
                  <c:v>477.43000000000006</c:v>
                </c:pt>
                <c:pt idx="354">
                  <c:v>479.99000000000007</c:v>
                </c:pt>
                <c:pt idx="355">
                  <c:v>482.55000000000007</c:v>
                </c:pt>
                <c:pt idx="356">
                  <c:v>482.55000000000007</c:v>
                </c:pt>
                <c:pt idx="357">
                  <c:v>482.55000000000007</c:v>
                </c:pt>
                <c:pt idx="358">
                  <c:v>484.30000000000007</c:v>
                </c:pt>
                <c:pt idx="359">
                  <c:v>486.05000000000007</c:v>
                </c:pt>
                <c:pt idx="360">
                  <c:v>486.05000000000007</c:v>
                </c:pt>
                <c:pt idx="361">
                  <c:v>486.05000000000007</c:v>
                </c:pt>
                <c:pt idx="362">
                  <c:v>491.67500000000007</c:v>
                </c:pt>
                <c:pt idx="363">
                  <c:v>497.30000000000007</c:v>
                </c:pt>
                <c:pt idx="364">
                  <c:v>497.30000000000007</c:v>
                </c:pt>
                <c:pt idx="365">
                  <c:v>497.30000000000007</c:v>
                </c:pt>
                <c:pt idx="366">
                  <c:v>498.16000000000008</c:v>
                </c:pt>
                <c:pt idx="367">
                  <c:v>499.0200000000001</c:v>
                </c:pt>
                <c:pt idx="368">
                  <c:v>499.0200000000001</c:v>
                </c:pt>
                <c:pt idx="369">
                  <c:v>499.0200000000001</c:v>
                </c:pt>
                <c:pt idx="370">
                  <c:v>501.21000000000009</c:v>
                </c:pt>
                <c:pt idx="371">
                  <c:v>503.40000000000009</c:v>
                </c:pt>
                <c:pt idx="372">
                  <c:v>503.40000000000009</c:v>
                </c:pt>
                <c:pt idx="373">
                  <c:v>503.40000000000009</c:v>
                </c:pt>
                <c:pt idx="374">
                  <c:v>514.20000000000005</c:v>
                </c:pt>
                <c:pt idx="375">
                  <c:v>525.00000000000011</c:v>
                </c:pt>
                <c:pt idx="376">
                  <c:v>525.00000000000011</c:v>
                </c:pt>
                <c:pt idx="377">
                  <c:v>525.00000000000011</c:v>
                </c:pt>
                <c:pt idx="378">
                  <c:v>526.00000000000011</c:v>
                </c:pt>
                <c:pt idx="379">
                  <c:v>527.00000000000011</c:v>
                </c:pt>
                <c:pt idx="380">
                  <c:v>527.00000000000011</c:v>
                </c:pt>
                <c:pt idx="381">
                  <c:v>527.00000000000011</c:v>
                </c:pt>
                <c:pt idx="382">
                  <c:v>527.57500000000016</c:v>
                </c:pt>
                <c:pt idx="383">
                  <c:v>528.15000000000009</c:v>
                </c:pt>
                <c:pt idx="384">
                  <c:v>528.15000000000009</c:v>
                </c:pt>
                <c:pt idx="385">
                  <c:v>528.15000000000009</c:v>
                </c:pt>
                <c:pt idx="386">
                  <c:v>536.67000000000007</c:v>
                </c:pt>
                <c:pt idx="387">
                  <c:v>545.19000000000005</c:v>
                </c:pt>
                <c:pt idx="388">
                  <c:v>545.19000000000005</c:v>
                </c:pt>
                <c:pt idx="389">
                  <c:v>545.19000000000005</c:v>
                </c:pt>
                <c:pt idx="390">
                  <c:v>545.90000000000009</c:v>
                </c:pt>
                <c:pt idx="391">
                  <c:v>546.61</c:v>
                </c:pt>
                <c:pt idx="392">
                  <c:v>546.61</c:v>
                </c:pt>
                <c:pt idx="393">
                  <c:v>546.61</c:v>
                </c:pt>
                <c:pt idx="394">
                  <c:v>546.96500000000003</c:v>
                </c:pt>
                <c:pt idx="395">
                  <c:v>547.32000000000005</c:v>
                </c:pt>
                <c:pt idx="396">
                  <c:v>547.32000000000005</c:v>
                </c:pt>
                <c:pt idx="397">
                  <c:v>547.32000000000005</c:v>
                </c:pt>
                <c:pt idx="398">
                  <c:v>548.38</c:v>
                </c:pt>
                <c:pt idx="399">
                  <c:v>549.44000000000005</c:v>
                </c:pt>
                <c:pt idx="400">
                  <c:v>549.44000000000005</c:v>
                </c:pt>
                <c:pt idx="401">
                  <c:v>549.44000000000005</c:v>
                </c:pt>
                <c:pt idx="402">
                  <c:v>549.83000000000004</c:v>
                </c:pt>
                <c:pt idx="403">
                  <c:v>550.22</c:v>
                </c:pt>
                <c:pt idx="404">
                  <c:v>550.22</c:v>
                </c:pt>
                <c:pt idx="405">
                  <c:v>550.22</c:v>
                </c:pt>
                <c:pt idx="406">
                  <c:v>551.03500000000008</c:v>
                </c:pt>
                <c:pt idx="407">
                  <c:v>551.85</c:v>
                </c:pt>
                <c:pt idx="408">
                  <c:v>551.85</c:v>
                </c:pt>
                <c:pt idx="409">
                  <c:v>551.85</c:v>
                </c:pt>
                <c:pt idx="410">
                  <c:v>552.20500000000004</c:v>
                </c:pt>
                <c:pt idx="411">
                  <c:v>552.56000000000006</c:v>
                </c:pt>
                <c:pt idx="412">
                  <c:v>552.56000000000006</c:v>
                </c:pt>
                <c:pt idx="413">
                  <c:v>552.56000000000006</c:v>
                </c:pt>
                <c:pt idx="414">
                  <c:v>552.72</c:v>
                </c:pt>
                <c:pt idx="415">
                  <c:v>552.88000000000011</c:v>
                </c:pt>
                <c:pt idx="416">
                  <c:v>552.88000000000011</c:v>
                </c:pt>
                <c:pt idx="417">
                  <c:v>552.88000000000011</c:v>
                </c:pt>
                <c:pt idx="418">
                  <c:v>558.12000000000012</c:v>
                </c:pt>
                <c:pt idx="419">
                  <c:v>563.36000000000013</c:v>
                </c:pt>
                <c:pt idx="420">
                  <c:v>563.36000000000013</c:v>
                </c:pt>
                <c:pt idx="421">
                  <c:v>563.36000000000013</c:v>
                </c:pt>
                <c:pt idx="422">
                  <c:v>564.20000000000016</c:v>
                </c:pt>
                <c:pt idx="423">
                  <c:v>565.04000000000008</c:v>
                </c:pt>
                <c:pt idx="424">
                  <c:v>565.04000000000008</c:v>
                </c:pt>
                <c:pt idx="425">
                  <c:v>565.04000000000008</c:v>
                </c:pt>
                <c:pt idx="426">
                  <c:v>567.11500000000012</c:v>
                </c:pt>
                <c:pt idx="427">
                  <c:v>569.19000000000005</c:v>
                </c:pt>
                <c:pt idx="428">
                  <c:v>569.19000000000005</c:v>
                </c:pt>
                <c:pt idx="429">
                  <c:v>569.19000000000005</c:v>
                </c:pt>
                <c:pt idx="430">
                  <c:v>570.06500000000005</c:v>
                </c:pt>
                <c:pt idx="431">
                  <c:v>570.94000000000005</c:v>
                </c:pt>
                <c:pt idx="432">
                  <c:v>570.94000000000005</c:v>
                </c:pt>
                <c:pt idx="433">
                  <c:v>570.94000000000005</c:v>
                </c:pt>
                <c:pt idx="434">
                  <c:v>572.48</c:v>
                </c:pt>
                <c:pt idx="435">
                  <c:v>574.0200000000001</c:v>
                </c:pt>
                <c:pt idx="436">
                  <c:v>574.0200000000001</c:v>
                </c:pt>
                <c:pt idx="437">
                  <c:v>574.0200000000001</c:v>
                </c:pt>
                <c:pt idx="438">
                  <c:v>574.09500000000014</c:v>
                </c:pt>
                <c:pt idx="439">
                  <c:v>574.17000000000007</c:v>
                </c:pt>
                <c:pt idx="440">
                  <c:v>574.17000000000007</c:v>
                </c:pt>
                <c:pt idx="441">
                  <c:v>574.17000000000007</c:v>
                </c:pt>
                <c:pt idx="442">
                  <c:v>574.17500000000007</c:v>
                </c:pt>
                <c:pt idx="443">
                  <c:v>574.18000000000006</c:v>
                </c:pt>
                <c:pt idx="444">
                  <c:v>574.18000000000006</c:v>
                </c:pt>
                <c:pt idx="445">
                  <c:v>574.18000000000006</c:v>
                </c:pt>
                <c:pt idx="446">
                  <c:v>574.50000000000011</c:v>
                </c:pt>
                <c:pt idx="447">
                  <c:v>574.82000000000005</c:v>
                </c:pt>
                <c:pt idx="448">
                  <c:v>574.82000000000005</c:v>
                </c:pt>
                <c:pt idx="449">
                  <c:v>574.82000000000005</c:v>
                </c:pt>
                <c:pt idx="450">
                  <c:v>577.43500000000006</c:v>
                </c:pt>
                <c:pt idx="451">
                  <c:v>580.05000000000007</c:v>
                </c:pt>
                <c:pt idx="452">
                  <c:v>580.05000000000007</c:v>
                </c:pt>
                <c:pt idx="453">
                  <c:v>580.05000000000007</c:v>
                </c:pt>
                <c:pt idx="454">
                  <c:v>580.72500000000002</c:v>
                </c:pt>
                <c:pt idx="455">
                  <c:v>581.40000000000009</c:v>
                </c:pt>
                <c:pt idx="456">
                  <c:v>581.40000000000009</c:v>
                </c:pt>
                <c:pt idx="457">
                  <c:v>581.40000000000009</c:v>
                </c:pt>
                <c:pt idx="458">
                  <c:v>583.52500000000009</c:v>
                </c:pt>
                <c:pt idx="459">
                  <c:v>585.65000000000009</c:v>
                </c:pt>
                <c:pt idx="460">
                  <c:v>585.65000000000009</c:v>
                </c:pt>
                <c:pt idx="461">
                  <c:v>585.65000000000009</c:v>
                </c:pt>
                <c:pt idx="462">
                  <c:v>588.6350000000001</c:v>
                </c:pt>
                <c:pt idx="463">
                  <c:v>591.62000000000012</c:v>
                </c:pt>
                <c:pt idx="464">
                  <c:v>591.62000000000012</c:v>
                </c:pt>
                <c:pt idx="465">
                  <c:v>591.62000000000012</c:v>
                </c:pt>
                <c:pt idx="466">
                  <c:v>592.19000000000017</c:v>
                </c:pt>
                <c:pt idx="467">
                  <c:v>592.7600000000001</c:v>
                </c:pt>
                <c:pt idx="468">
                  <c:v>592.7600000000001</c:v>
                </c:pt>
                <c:pt idx="469">
                  <c:v>592.7600000000001</c:v>
                </c:pt>
                <c:pt idx="470">
                  <c:v>594.17500000000007</c:v>
                </c:pt>
                <c:pt idx="471">
                  <c:v>595.59000000000015</c:v>
                </c:pt>
                <c:pt idx="472">
                  <c:v>595.59000000000015</c:v>
                </c:pt>
                <c:pt idx="473">
                  <c:v>595.59000000000015</c:v>
                </c:pt>
                <c:pt idx="474">
                  <c:v>595.9100000000002</c:v>
                </c:pt>
                <c:pt idx="475">
                  <c:v>596.23000000000013</c:v>
                </c:pt>
                <c:pt idx="476">
                  <c:v>596.23000000000013</c:v>
                </c:pt>
                <c:pt idx="477">
                  <c:v>596.23000000000013</c:v>
                </c:pt>
                <c:pt idx="478">
                  <c:v>597.48000000000013</c:v>
                </c:pt>
                <c:pt idx="479">
                  <c:v>598.73000000000013</c:v>
                </c:pt>
                <c:pt idx="480">
                  <c:v>598.73000000000013</c:v>
                </c:pt>
                <c:pt idx="481">
                  <c:v>598.73000000000013</c:v>
                </c:pt>
                <c:pt idx="482">
                  <c:v>599.29000000000008</c:v>
                </c:pt>
                <c:pt idx="483">
                  <c:v>599.85000000000014</c:v>
                </c:pt>
                <c:pt idx="484">
                  <c:v>599.85000000000014</c:v>
                </c:pt>
                <c:pt idx="485">
                  <c:v>599.85000000000014</c:v>
                </c:pt>
                <c:pt idx="486">
                  <c:v>602.60500000000013</c:v>
                </c:pt>
                <c:pt idx="487">
                  <c:v>605.36000000000013</c:v>
                </c:pt>
                <c:pt idx="488">
                  <c:v>605.36000000000013</c:v>
                </c:pt>
                <c:pt idx="489">
                  <c:v>605.36000000000013</c:v>
                </c:pt>
                <c:pt idx="490">
                  <c:v>606.83500000000015</c:v>
                </c:pt>
                <c:pt idx="491">
                  <c:v>608.31000000000017</c:v>
                </c:pt>
                <c:pt idx="492">
                  <c:v>608.31000000000017</c:v>
                </c:pt>
                <c:pt idx="493">
                  <c:v>608.31000000000017</c:v>
                </c:pt>
                <c:pt idx="494">
                  <c:v>609.41500000000019</c:v>
                </c:pt>
                <c:pt idx="495">
                  <c:v>610.52000000000021</c:v>
                </c:pt>
                <c:pt idx="496">
                  <c:v>610.52000000000021</c:v>
                </c:pt>
                <c:pt idx="497">
                  <c:v>610.52000000000021</c:v>
                </c:pt>
                <c:pt idx="498">
                  <c:v>610.93000000000018</c:v>
                </c:pt>
                <c:pt idx="499">
                  <c:v>611.34000000000026</c:v>
                </c:pt>
                <c:pt idx="500">
                  <c:v>611.34000000000026</c:v>
                </c:pt>
                <c:pt idx="501">
                  <c:v>611.34000000000026</c:v>
                </c:pt>
                <c:pt idx="502">
                  <c:v>612.11500000000024</c:v>
                </c:pt>
                <c:pt idx="503">
                  <c:v>612.89000000000021</c:v>
                </c:pt>
                <c:pt idx="504">
                  <c:v>612.89000000000021</c:v>
                </c:pt>
                <c:pt idx="505">
                  <c:v>612.89000000000021</c:v>
                </c:pt>
                <c:pt idx="506">
                  <c:v>614.77000000000021</c:v>
                </c:pt>
                <c:pt idx="507">
                  <c:v>616.6500000000002</c:v>
                </c:pt>
                <c:pt idx="508">
                  <c:v>616.6500000000002</c:v>
                </c:pt>
                <c:pt idx="509">
                  <c:v>616.6500000000002</c:v>
                </c:pt>
                <c:pt idx="510">
                  <c:v>617.45000000000016</c:v>
                </c:pt>
                <c:pt idx="511">
                  <c:v>618.25000000000023</c:v>
                </c:pt>
                <c:pt idx="512">
                  <c:v>618.25000000000023</c:v>
                </c:pt>
                <c:pt idx="513">
                  <c:v>618.25000000000023</c:v>
                </c:pt>
                <c:pt idx="514">
                  <c:v>618.69500000000028</c:v>
                </c:pt>
                <c:pt idx="515">
                  <c:v>619.14000000000021</c:v>
                </c:pt>
                <c:pt idx="516">
                  <c:v>619.14000000000021</c:v>
                </c:pt>
                <c:pt idx="517">
                  <c:v>619.14000000000021</c:v>
                </c:pt>
                <c:pt idx="518">
                  <c:v>619.50000000000023</c:v>
                </c:pt>
                <c:pt idx="519">
                  <c:v>619.86000000000024</c:v>
                </c:pt>
                <c:pt idx="520">
                  <c:v>619.86000000000024</c:v>
                </c:pt>
                <c:pt idx="521">
                  <c:v>619.86000000000024</c:v>
                </c:pt>
                <c:pt idx="522">
                  <c:v>621.71500000000026</c:v>
                </c:pt>
                <c:pt idx="523">
                  <c:v>623.57000000000028</c:v>
                </c:pt>
                <c:pt idx="524">
                  <c:v>623.57000000000028</c:v>
                </c:pt>
                <c:pt idx="525">
                  <c:v>623.57000000000028</c:v>
                </c:pt>
                <c:pt idx="526">
                  <c:v>624.60500000000025</c:v>
                </c:pt>
                <c:pt idx="527">
                  <c:v>625.64000000000033</c:v>
                </c:pt>
                <c:pt idx="528">
                  <c:v>625.64000000000033</c:v>
                </c:pt>
                <c:pt idx="529">
                  <c:v>625.64000000000033</c:v>
                </c:pt>
                <c:pt idx="530">
                  <c:v>627.72500000000036</c:v>
                </c:pt>
                <c:pt idx="531">
                  <c:v>629.81000000000029</c:v>
                </c:pt>
                <c:pt idx="532">
                  <c:v>629.81000000000029</c:v>
                </c:pt>
                <c:pt idx="533">
                  <c:v>629.81000000000029</c:v>
                </c:pt>
                <c:pt idx="534">
                  <c:v>632.13500000000033</c:v>
                </c:pt>
                <c:pt idx="535">
                  <c:v>634.46000000000026</c:v>
                </c:pt>
                <c:pt idx="536">
                  <c:v>634.46000000000026</c:v>
                </c:pt>
                <c:pt idx="537">
                  <c:v>634.46000000000026</c:v>
                </c:pt>
                <c:pt idx="538">
                  <c:v>635.61000000000024</c:v>
                </c:pt>
                <c:pt idx="539">
                  <c:v>636.76000000000022</c:v>
                </c:pt>
                <c:pt idx="540">
                  <c:v>636.76000000000022</c:v>
                </c:pt>
                <c:pt idx="541">
                  <c:v>636.76000000000022</c:v>
                </c:pt>
                <c:pt idx="542">
                  <c:v>637.63500000000022</c:v>
                </c:pt>
                <c:pt idx="543">
                  <c:v>638.51000000000022</c:v>
                </c:pt>
                <c:pt idx="544">
                  <c:v>638.51000000000022</c:v>
                </c:pt>
                <c:pt idx="545">
                  <c:v>638.51000000000022</c:v>
                </c:pt>
                <c:pt idx="546">
                  <c:v>639.16500000000019</c:v>
                </c:pt>
                <c:pt idx="547">
                  <c:v>639.82000000000016</c:v>
                </c:pt>
                <c:pt idx="548">
                  <c:v>639.82000000000016</c:v>
                </c:pt>
                <c:pt idx="549">
                  <c:v>639.82000000000016</c:v>
                </c:pt>
                <c:pt idx="550">
                  <c:v>639.97000000000014</c:v>
                </c:pt>
                <c:pt idx="551">
                  <c:v>640.12000000000012</c:v>
                </c:pt>
                <c:pt idx="552">
                  <c:v>640.12000000000012</c:v>
                </c:pt>
                <c:pt idx="553">
                  <c:v>640.12000000000012</c:v>
                </c:pt>
                <c:pt idx="554">
                  <c:v>640.20000000000016</c:v>
                </c:pt>
                <c:pt idx="555">
                  <c:v>640.28000000000009</c:v>
                </c:pt>
                <c:pt idx="556">
                  <c:v>640.28000000000009</c:v>
                </c:pt>
                <c:pt idx="557">
                  <c:v>640.28000000000009</c:v>
                </c:pt>
                <c:pt idx="558">
                  <c:v>640.48500000000013</c:v>
                </c:pt>
                <c:pt idx="559">
                  <c:v>640.69000000000005</c:v>
                </c:pt>
                <c:pt idx="560">
                  <c:v>640.69000000000005</c:v>
                </c:pt>
                <c:pt idx="561">
                  <c:v>640.69000000000005</c:v>
                </c:pt>
                <c:pt idx="562">
                  <c:v>641.66000000000008</c:v>
                </c:pt>
                <c:pt idx="563">
                  <c:v>642.63000000000011</c:v>
                </c:pt>
                <c:pt idx="564">
                  <c:v>642.63000000000011</c:v>
                </c:pt>
                <c:pt idx="565">
                  <c:v>642.63000000000011</c:v>
                </c:pt>
                <c:pt idx="566">
                  <c:v>642.92000000000007</c:v>
                </c:pt>
                <c:pt idx="567">
                  <c:v>643.21000000000015</c:v>
                </c:pt>
                <c:pt idx="568">
                  <c:v>643.21000000000015</c:v>
                </c:pt>
                <c:pt idx="569">
                  <c:v>643.21000000000015</c:v>
                </c:pt>
                <c:pt idx="570">
                  <c:v>643.93500000000017</c:v>
                </c:pt>
                <c:pt idx="571">
                  <c:v>644.6600000000002</c:v>
                </c:pt>
                <c:pt idx="572">
                  <c:v>644.6600000000002</c:v>
                </c:pt>
                <c:pt idx="573">
                  <c:v>644.6600000000002</c:v>
                </c:pt>
                <c:pt idx="574">
                  <c:v>644.72500000000025</c:v>
                </c:pt>
                <c:pt idx="575">
                  <c:v>644.79000000000019</c:v>
                </c:pt>
                <c:pt idx="576">
                  <c:v>644.79000000000019</c:v>
                </c:pt>
                <c:pt idx="577">
                  <c:v>644.79000000000019</c:v>
                </c:pt>
                <c:pt idx="578">
                  <c:v>645.24500000000023</c:v>
                </c:pt>
                <c:pt idx="579">
                  <c:v>645.70000000000016</c:v>
                </c:pt>
                <c:pt idx="580">
                  <c:v>645.70000000000016</c:v>
                </c:pt>
                <c:pt idx="581">
                  <c:v>645.70000000000016</c:v>
                </c:pt>
                <c:pt idx="582">
                  <c:v>648.09500000000014</c:v>
                </c:pt>
                <c:pt idx="583">
                  <c:v>650.49000000000012</c:v>
                </c:pt>
                <c:pt idx="584">
                  <c:v>650.49000000000012</c:v>
                </c:pt>
                <c:pt idx="585">
                  <c:v>650.49000000000012</c:v>
                </c:pt>
                <c:pt idx="586">
                  <c:v>653.85500000000013</c:v>
                </c:pt>
                <c:pt idx="587">
                  <c:v>657.22000000000014</c:v>
                </c:pt>
                <c:pt idx="588">
                  <c:v>657.22000000000014</c:v>
                </c:pt>
                <c:pt idx="589">
                  <c:v>657.22000000000014</c:v>
                </c:pt>
                <c:pt idx="590">
                  <c:v>657.8900000000001</c:v>
                </c:pt>
                <c:pt idx="591">
                  <c:v>658.56000000000017</c:v>
                </c:pt>
                <c:pt idx="592">
                  <c:v>658.56000000000017</c:v>
                </c:pt>
                <c:pt idx="593">
                  <c:v>658.56000000000017</c:v>
                </c:pt>
                <c:pt idx="594">
                  <c:v>658.64000000000021</c:v>
                </c:pt>
                <c:pt idx="595">
                  <c:v>658.72000000000014</c:v>
                </c:pt>
                <c:pt idx="596">
                  <c:v>658.72000000000014</c:v>
                </c:pt>
                <c:pt idx="597">
                  <c:v>658.72000000000014</c:v>
                </c:pt>
                <c:pt idx="598">
                  <c:v>658.88000000000011</c:v>
                </c:pt>
                <c:pt idx="599">
                  <c:v>659.04000000000019</c:v>
                </c:pt>
                <c:pt idx="600">
                  <c:v>659.04000000000019</c:v>
                </c:pt>
                <c:pt idx="601">
                  <c:v>659.04000000000019</c:v>
                </c:pt>
                <c:pt idx="602">
                  <c:v>660.31000000000017</c:v>
                </c:pt>
                <c:pt idx="603">
                  <c:v>661.58000000000015</c:v>
                </c:pt>
                <c:pt idx="604">
                  <c:v>661.58000000000015</c:v>
                </c:pt>
                <c:pt idx="605">
                  <c:v>661.58000000000015</c:v>
                </c:pt>
                <c:pt idx="606">
                  <c:v>665.08000000000015</c:v>
                </c:pt>
                <c:pt idx="607">
                  <c:v>668.58000000000015</c:v>
                </c:pt>
                <c:pt idx="608">
                  <c:v>668.58000000000015</c:v>
                </c:pt>
                <c:pt idx="609">
                  <c:v>668.58000000000015</c:v>
                </c:pt>
                <c:pt idx="610">
                  <c:v>668.88000000000011</c:v>
                </c:pt>
                <c:pt idx="611">
                  <c:v>669.18000000000018</c:v>
                </c:pt>
                <c:pt idx="612">
                  <c:v>669.18000000000018</c:v>
                </c:pt>
                <c:pt idx="613">
                  <c:v>669.18000000000018</c:v>
                </c:pt>
                <c:pt idx="614">
                  <c:v>669.37500000000023</c:v>
                </c:pt>
                <c:pt idx="615">
                  <c:v>669.57000000000016</c:v>
                </c:pt>
                <c:pt idx="616">
                  <c:v>669.57000000000016</c:v>
                </c:pt>
                <c:pt idx="617">
                  <c:v>669.57000000000016</c:v>
                </c:pt>
                <c:pt idx="618">
                  <c:v>669.81000000000017</c:v>
                </c:pt>
                <c:pt idx="619">
                  <c:v>670.05000000000018</c:v>
                </c:pt>
                <c:pt idx="620">
                  <c:v>670.05000000000018</c:v>
                </c:pt>
                <c:pt idx="621">
                  <c:v>670.05000000000018</c:v>
                </c:pt>
                <c:pt idx="622">
                  <c:v>670.21500000000015</c:v>
                </c:pt>
                <c:pt idx="623">
                  <c:v>670.38000000000022</c:v>
                </c:pt>
                <c:pt idx="624">
                  <c:v>670.38000000000022</c:v>
                </c:pt>
                <c:pt idx="625">
                  <c:v>670.38000000000022</c:v>
                </c:pt>
                <c:pt idx="626">
                  <c:v>671.69000000000017</c:v>
                </c:pt>
                <c:pt idx="627">
                  <c:v>673.00000000000023</c:v>
                </c:pt>
                <c:pt idx="628">
                  <c:v>673.00000000000023</c:v>
                </c:pt>
                <c:pt idx="629">
                  <c:v>673.00000000000023</c:v>
                </c:pt>
                <c:pt idx="630">
                  <c:v>673.14500000000021</c:v>
                </c:pt>
                <c:pt idx="631">
                  <c:v>673.29000000000019</c:v>
                </c:pt>
                <c:pt idx="632">
                  <c:v>673.29000000000019</c:v>
                </c:pt>
                <c:pt idx="633">
                  <c:v>673.29000000000019</c:v>
                </c:pt>
                <c:pt idx="634">
                  <c:v>673.37000000000023</c:v>
                </c:pt>
                <c:pt idx="635">
                  <c:v>673.45000000000016</c:v>
                </c:pt>
                <c:pt idx="636">
                  <c:v>673.45000000000016</c:v>
                </c:pt>
                <c:pt idx="637">
                  <c:v>673.45000000000016</c:v>
                </c:pt>
                <c:pt idx="638">
                  <c:v>673.54500000000019</c:v>
                </c:pt>
                <c:pt idx="639">
                  <c:v>673.64000000000021</c:v>
                </c:pt>
                <c:pt idx="640">
                  <c:v>673.64000000000021</c:v>
                </c:pt>
                <c:pt idx="641">
                  <c:v>673.64000000000021</c:v>
                </c:pt>
                <c:pt idx="642">
                  <c:v>673.85000000000025</c:v>
                </c:pt>
                <c:pt idx="643">
                  <c:v>674.06000000000017</c:v>
                </c:pt>
                <c:pt idx="644">
                  <c:v>674.06000000000017</c:v>
                </c:pt>
                <c:pt idx="645">
                  <c:v>674.06000000000017</c:v>
                </c:pt>
                <c:pt idx="646">
                  <c:v>674.10500000000013</c:v>
                </c:pt>
                <c:pt idx="647">
                  <c:v>674.1500000000002</c:v>
                </c:pt>
                <c:pt idx="648">
                  <c:v>674.1500000000002</c:v>
                </c:pt>
                <c:pt idx="649">
                  <c:v>674.1500000000002</c:v>
                </c:pt>
                <c:pt idx="650">
                  <c:v>674.25000000000023</c:v>
                </c:pt>
                <c:pt idx="651">
                  <c:v>674.35000000000025</c:v>
                </c:pt>
                <c:pt idx="652">
                  <c:v>674.35000000000025</c:v>
                </c:pt>
                <c:pt idx="653">
                  <c:v>674.35000000000025</c:v>
                </c:pt>
                <c:pt idx="654">
                  <c:v>674.7800000000002</c:v>
                </c:pt>
                <c:pt idx="655">
                  <c:v>675.21000000000026</c:v>
                </c:pt>
                <c:pt idx="656">
                  <c:v>675.21000000000026</c:v>
                </c:pt>
                <c:pt idx="657">
                  <c:v>675.21000000000026</c:v>
                </c:pt>
                <c:pt idx="658">
                  <c:v>675.33500000000026</c:v>
                </c:pt>
                <c:pt idx="659">
                  <c:v>675.46000000000026</c:v>
                </c:pt>
                <c:pt idx="660">
                  <c:v>675.46000000000026</c:v>
                </c:pt>
                <c:pt idx="661">
                  <c:v>675.46000000000026</c:v>
                </c:pt>
                <c:pt idx="662">
                  <c:v>675.52000000000021</c:v>
                </c:pt>
                <c:pt idx="663">
                  <c:v>675.58000000000027</c:v>
                </c:pt>
                <c:pt idx="664">
                  <c:v>675.58000000000027</c:v>
                </c:pt>
                <c:pt idx="665">
                  <c:v>675.58000000000027</c:v>
                </c:pt>
                <c:pt idx="666">
                  <c:v>675.66000000000031</c:v>
                </c:pt>
                <c:pt idx="667">
                  <c:v>675.74000000000024</c:v>
                </c:pt>
                <c:pt idx="668">
                  <c:v>675.74000000000024</c:v>
                </c:pt>
                <c:pt idx="669">
                  <c:v>675.74000000000024</c:v>
                </c:pt>
                <c:pt idx="670">
                  <c:v>675.89000000000021</c:v>
                </c:pt>
                <c:pt idx="671">
                  <c:v>676.04000000000019</c:v>
                </c:pt>
                <c:pt idx="672">
                  <c:v>676.04000000000019</c:v>
                </c:pt>
                <c:pt idx="673">
                  <c:v>676.04000000000019</c:v>
                </c:pt>
                <c:pt idx="674">
                  <c:v>676.59500000000014</c:v>
                </c:pt>
                <c:pt idx="675">
                  <c:v>677.1500000000002</c:v>
                </c:pt>
                <c:pt idx="676">
                  <c:v>677.1500000000002</c:v>
                </c:pt>
                <c:pt idx="677">
                  <c:v>677.1500000000002</c:v>
                </c:pt>
                <c:pt idx="678">
                  <c:v>677.25000000000023</c:v>
                </c:pt>
                <c:pt idx="679">
                  <c:v>677.35000000000025</c:v>
                </c:pt>
                <c:pt idx="680">
                  <c:v>677.35000000000025</c:v>
                </c:pt>
                <c:pt idx="681">
                  <c:v>677.35000000000025</c:v>
                </c:pt>
                <c:pt idx="682">
                  <c:v>677.56500000000028</c:v>
                </c:pt>
                <c:pt idx="683">
                  <c:v>677.7800000000002</c:v>
                </c:pt>
                <c:pt idx="684">
                  <c:v>677.7800000000002</c:v>
                </c:pt>
                <c:pt idx="685">
                  <c:v>677.7800000000002</c:v>
                </c:pt>
                <c:pt idx="686">
                  <c:v>677.85000000000025</c:v>
                </c:pt>
                <c:pt idx="687">
                  <c:v>677.92000000000019</c:v>
                </c:pt>
                <c:pt idx="688">
                  <c:v>677.92000000000019</c:v>
                </c:pt>
                <c:pt idx="689">
                  <c:v>677.92000000000019</c:v>
                </c:pt>
                <c:pt idx="690">
                  <c:v>677.93000000000018</c:v>
                </c:pt>
                <c:pt idx="691">
                  <c:v>677.94000000000017</c:v>
                </c:pt>
                <c:pt idx="692">
                  <c:v>677.94000000000017</c:v>
                </c:pt>
                <c:pt idx="693">
                  <c:v>677.94000000000017</c:v>
                </c:pt>
                <c:pt idx="694">
                  <c:v>678.00000000000011</c:v>
                </c:pt>
                <c:pt idx="695">
                  <c:v>678.06000000000017</c:v>
                </c:pt>
                <c:pt idx="696">
                  <c:v>678.06000000000017</c:v>
                </c:pt>
                <c:pt idx="697">
                  <c:v>678.06000000000017</c:v>
                </c:pt>
                <c:pt idx="698">
                  <c:v>678.20000000000016</c:v>
                </c:pt>
                <c:pt idx="699">
                  <c:v>678.34000000000015</c:v>
                </c:pt>
                <c:pt idx="700">
                  <c:v>678.34000000000015</c:v>
                </c:pt>
                <c:pt idx="701">
                  <c:v>678.34000000000015</c:v>
                </c:pt>
                <c:pt idx="702">
                  <c:v>678.49000000000012</c:v>
                </c:pt>
                <c:pt idx="703">
                  <c:v>678.6400000000001</c:v>
                </c:pt>
                <c:pt idx="704">
                  <c:v>678.6400000000001</c:v>
                </c:pt>
                <c:pt idx="705">
                  <c:v>678.6400000000001</c:v>
                </c:pt>
                <c:pt idx="706">
                  <c:v>678.67000000000007</c:v>
                </c:pt>
                <c:pt idx="707">
                  <c:v>678.7</c:v>
                </c:pt>
                <c:pt idx="708">
                  <c:v>678.7</c:v>
                </c:pt>
                <c:pt idx="709">
                  <c:v>678.7</c:v>
                </c:pt>
              </c:numCache>
            </c:numRef>
          </c:cat>
          <c:val>
            <c:numRef>
              <c:f>Charts!$R$7:$R$716</c:f>
              <c:numCache>
                <c:formatCode>General</c:formatCode>
                <c:ptCount val="71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42.999919028340095</c:v>
                </c:pt>
                <c:pt idx="42">
                  <c:v>42.999919028340095</c:v>
                </c:pt>
                <c:pt idx="43">
                  <c:v>42.999919028340095</c:v>
                </c:pt>
                <c:pt idx="44">
                  <c:v>0</c:v>
                </c:pt>
                <c:pt idx="45">
                  <c:v>43.289919028340101</c:v>
                </c:pt>
                <c:pt idx="46">
                  <c:v>43.289919028340101</c:v>
                </c:pt>
                <c:pt idx="47">
                  <c:v>43.289919028340101</c:v>
                </c:pt>
                <c:pt idx="48">
                  <c:v>0</c:v>
                </c:pt>
                <c:pt idx="49">
                  <c:v>43.499919028340102</c:v>
                </c:pt>
                <c:pt idx="50">
                  <c:v>43.499919028340102</c:v>
                </c:pt>
                <c:pt idx="51">
                  <c:v>43.499919028340102</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64.116538461538468</c:v>
                </c:pt>
                <c:pt idx="274">
                  <c:v>64.116538461538468</c:v>
                </c:pt>
                <c:pt idx="275">
                  <c:v>64.116538461538468</c:v>
                </c:pt>
                <c:pt idx="276">
                  <c:v>0</c:v>
                </c:pt>
                <c:pt idx="277">
                  <c:v>64.936538461538461</c:v>
                </c:pt>
                <c:pt idx="278">
                  <c:v>64.936538461538461</c:v>
                </c:pt>
                <c:pt idx="279">
                  <c:v>64.936538461538461</c:v>
                </c:pt>
                <c:pt idx="280">
                  <c:v>0</c:v>
                </c:pt>
                <c:pt idx="281">
                  <c:v>0</c:v>
                </c:pt>
                <c:pt idx="282">
                  <c:v>0</c:v>
                </c:pt>
                <c:pt idx="283">
                  <c:v>0</c:v>
                </c:pt>
                <c:pt idx="284">
                  <c:v>0</c:v>
                </c:pt>
                <c:pt idx="285">
                  <c:v>65.526538461538465</c:v>
                </c:pt>
                <c:pt idx="286">
                  <c:v>65.526538461538465</c:v>
                </c:pt>
                <c:pt idx="287">
                  <c:v>65.526538461538465</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67.876538461538459</c:v>
                </c:pt>
                <c:pt idx="322">
                  <c:v>67.876538461538459</c:v>
                </c:pt>
                <c:pt idx="323">
                  <c:v>67.876538461538459</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68.909919028340099</c:v>
                </c:pt>
                <c:pt idx="342">
                  <c:v>68.909919028340099</c:v>
                </c:pt>
                <c:pt idx="343">
                  <c:v>68.909919028340099</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70.76653846153846</c:v>
                </c:pt>
                <c:pt idx="374">
                  <c:v>70.76653846153846</c:v>
                </c:pt>
                <c:pt idx="375">
                  <c:v>70.76653846153846</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87.566538461538471</c:v>
                </c:pt>
                <c:pt idx="506">
                  <c:v>87.566538461538471</c:v>
                </c:pt>
                <c:pt idx="507">
                  <c:v>87.566538461538471</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101.28653846153847</c:v>
                </c:pt>
                <c:pt idx="590">
                  <c:v>101.28653846153847</c:v>
                </c:pt>
                <c:pt idx="591">
                  <c:v>101.28653846153847</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104.83653846153847</c:v>
                </c:pt>
                <c:pt idx="606">
                  <c:v>104.83653846153847</c:v>
                </c:pt>
                <c:pt idx="607">
                  <c:v>104.83653846153847</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numCache>
            </c:numRef>
          </c:val>
        </c:ser>
        <c:dLbls>
          <c:showLegendKey val="0"/>
          <c:showVal val="0"/>
          <c:showCatName val="0"/>
          <c:showSerName val="0"/>
          <c:showPercent val="0"/>
          <c:showBubbleSize val="0"/>
        </c:dLbls>
        <c:axId val="681566640"/>
        <c:axId val="681569384"/>
      </c:areaChart>
      <c:lineChart>
        <c:grouping val="standard"/>
        <c:varyColors val="0"/>
        <c:ser>
          <c:idx val="7"/>
          <c:order val="5"/>
          <c:tx>
            <c:strRef>
              <c:f>Charts!$U$5</c:f>
              <c:strCache>
                <c:ptCount val="1"/>
                <c:pt idx="0">
                  <c:v>Average import price</c:v>
                </c:pt>
              </c:strCache>
            </c:strRef>
          </c:tx>
          <c:spPr>
            <a:ln w="19050" cap="rnd" cmpd="sng" algn="ctr">
              <a:solidFill>
                <a:srgbClr val="373737"/>
              </a:solidFill>
              <a:prstDash val="dash"/>
              <a:round/>
              <a:headEnd type="none" w="med" len="med"/>
              <a:tailEnd type="none" w="med" len="med"/>
            </a:ln>
            <a:effectLst/>
          </c:spPr>
          <c:marker>
            <c:symbol val="none"/>
          </c:marker>
          <c:cat>
            <c:numRef>
              <c:f>Charts!$S$7:$S$716</c:f>
              <c:numCache>
                <c:formatCode>General</c:formatCode>
                <c:ptCount val="710"/>
                <c:pt idx="0">
                  <c:v>0</c:v>
                </c:pt>
                <c:pt idx="1">
                  <c:v>0</c:v>
                </c:pt>
                <c:pt idx="2">
                  <c:v>1.075</c:v>
                </c:pt>
                <c:pt idx="3">
                  <c:v>2.15</c:v>
                </c:pt>
                <c:pt idx="4">
                  <c:v>2.15</c:v>
                </c:pt>
                <c:pt idx="5">
                  <c:v>2.15</c:v>
                </c:pt>
                <c:pt idx="6">
                  <c:v>4.6549999999999994</c:v>
                </c:pt>
                <c:pt idx="7">
                  <c:v>7.16</c:v>
                </c:pt>
                <c:pt idx="8">
                  <c:v>7.16</c:v>
                </c:pt>
                <c:pt idx="9">
                  <c:v>7.16</c:v>
                </c:pt>
                <c:pt idx="10">
                  <c:v>14.254999999999999</c:v>
                </c:pt>
                <c:pt idx="11">
                  <c:v>21.35</c:v>
                </c:pt>
                <c:pt idx="12">
                  <c:v>21.35</c:v>
                </c:pt>
                <c:pt idx="13">
                  <c:v>21.35</c:v>
                </c:pt>
                <c:pt idx="14">
                  <c:v>23.040000000000003</c:v>
                </c:pt>
                <c:pt idx="15">
                  <c:v>24.73</c:v>
                </c:pt>
                <c:pt idx="16">
                  <c:v>24.73</c:v>
                </c:pt>
                <c:pt idx="17">
                  <c:v>24.73</c:v>
                </c:pt>
                <c:pt idx="18">
                  <c:v>33.53</c:v>
                </c:pt>
                <c:pt idx="19">
                  <c:v>42.33</c:v>
                </c:pt>
                <c:pt idx="20">
                  <c:v>42.33</c:v>
                </c:pt>
                <c:pt idx="21">
                  <c:v>42.33</c:v>
                </c:pt>
                <c:pt idx="22">
                  <c:v>42.48</c:v>
                </c:pt>
                <c:pt idx="23">
                  <c:v>42.629999999999995</c:v>
                </c:pt>
                <c:pt idx="24">
                  <c:v>42.629999999999995</c:v>
                </c:pt>
                <c:pt idx="25">
                  <c:v>42.629999999999995</c:v>
                </c:pt>
                <c:pt idx="26">
                  <c:v>44.464999999999996</c:v>
                </c:pt>
                <c:pt idx="27">
                  <c:v>46.3</c:v>
                </c:pt>
                <c:pt idx="28">
                  <c:v>46.3</c:v>
                </c:pt>
                <c:pt idx="29">
                  <c:v>46.3</c:v>
                </c:pt>
                <c:pt idx="30">
                  <c:v>46.849999999999994</c:v>
                </c:pt>
                <c:pt idx="31">
                  <c:v>47.4</c:v>
                </c:pt>
                <c:pt idx="32">
                  <c:v>47.4</c:v>
                </c:pt>
                <c:pt idx="33">
                  <c:v>47.4</c:v>
                </c:pt>
                <c:pt idx="34">
                  <c:v>50.614999999999995</c:v>
                </c:pt>
                <c:pt idx="35">
                  <c:v>53.83</c:v>
                </c:pt>
                <c:pt idx="36">
                  <c:v>53.83</c:v>
                </c:pt>
                <c:pt idx="37">
                  <c:v>53.83</c:v>
                </c:pt>
                <c:pt idx="38">
                  <c:v>54.489999999999995</c:v>
                </c:pt>
                <c:pt idx="39">
                  <c:v>55.15</c:v>
                </c:pt>
                <c:pt idx="40">
                  <c:v>55.15</c:v>
                </c:pt>
                <c:pt idx="41">
                  <c:v>55.15</c:v>
                </c:pt>
                <c:pt idx="42">
                  <c:v>55.55</c:v>
                </c:pt>
                <c:pt idx="43">
                  <c:v>55.949999999999996</c:v>
                </c:pt>
                <c:pt idx="44">
                  <c:v>55.949999999999996</c:v>
                </c:pt>
                <c:pt idx="45">
                  <c:v>55.949999999999996</c:v>
                </c:pt>
                <c:pt idx="46">
                  <c:v>56.124999999999993</c:v>
                </c:pt>
                <c:pt idx="47">
                  <c:v>56.3</c:v>
                </c:pt>
                <c:pt idx="48">
                  <c:v>56.3</c:v>
                </c:pt>
                <c:pt idx="49">
                  <c:v>56.3</c:v>
                </c:pt>
                <c:pt idx="50">
                  <c:v>56.474999999999994</c:v>
                </c:pt>
                <c:pt idx="51">
                  <c:v>56.65</c:v>
                </c:pt>
                <c:pt idx="52">
                  <c:v>56.65</c:v>
                </c:pt>
                <c:pt idx="53">
                  <c:v>56.65</c:v>
                </c:pt>
                <c:pt idx="54">
                  <c:v>59.64</c:v>
                </c:pt>
                <c:pt idx="55">
                  <c:v>62.629999999999995</c:v>
                </c:pt>
                <c:pt idx="56">
                  <c:v>62.629999999999995</c:v>
                </c:pt>
                <c:pt idx="57">
                  <c:v>62.629999999999995</c:v>
                </c:pt>
                <c:pt idx="58">
                  <c:v>63.414999999999992</c:v>
                </c:pt>
                <c:pt idx="59">
                  <c:v>64.199999999999989</c:v>
                </c:pt>
                <c:pt idx="60">
                  <c:v>64.199999999999989</c:v>
                </c:pt>
                <c:pt idx="61">
                  <c:v>64.199999999999989</c:v>
                </c:pt>
                <c:pt idx="62">
                  <c:v>69.834999999999994</c:v>
                </c:pt>
                <c:pt idx="63">
                  <c:v>75.469999999999985</c:v>
                </c:pt>
                <c:pt idx="64">
                  <c:v>75.469999999999985</c:v>
                </c:pt>
                <c:pt idx="65">
                  <c:v>75.469999999999985</c:v>
                </c:pt>
                <c:pt idx="66">
                  <c:v>80.899999999999977</c:v>
                </c:pt>
                <c:pt idx="67">
                  <c:v>86.329999999999984</c:v>
                </c:pt>
                <c:pt idx="68">
                  <c:v>86.329999999999984</c:v>
                </c:pt>
                <c:pt idx="69">
                  <c:v>86.329999999999984</c:v>
                </c:pt>
                <c:pt idx="70">
                  <c:v>98.194999999999979</c:v>
                </c:pt>
                <c:pt idx="71">
                  <c:v>110.05999999999999</c:v>
                </c:pt>
                <c:pt idx="72">
                  <c:v>110.05999999999999</c:v>
                </c:pt>
                <c:pt idx="73">
                  <c:v>110.05999999999999</c:v>
                </c:pt>
                <c:pt idx="74">
                  <c:v>112.68499999999999</c:v>
                </c:pt>
                <c:pt idx="75">
                  <c:v>115.30999999999999</c:v>
                </c:pt>
                <c:pt idx="76">
                  <c:v>115.30999999999999</c:v>
                </c:pt>
                <c:pt idx="77">
                  <c:v>115.30999999999999</c:v>
                </c:pt>
                <c:pt idx="78">
                  <c:v>133.72499999999999</c:v>
                </c:pt>
                <c:pt idx="79">
                  <c:v>152.13999999999999</c:v>
                </c:pt>
                <c:pt idx="80">
                  <c:v>152.13999999999999</c:v>
                </c:pt>
                <c:pt idx="81">
                  <c:v>152.13999999999999</c:v>
                </c:pt>
                <c:pt idx="82">
                  <c:v>153.39999999999998</c:v>
                </c:pt>
                <c:pt idx="83">
                  <c:v>154.66</c:v>
                </c:pt>
                <c:pt idx="84">
                  <c:v>154.66</c:v>
                </c:pt>
                <c:pt idx="85">
                  <c:v>154.66</c:v>
                </c:pt>
                <c:pt idx="86">
                  <c:v>154.72</c:v>
                </c:pt>
                <c:pt idx="87">
                  <c:v>154.78</c:v>
                </c:pt>
                <c:pt idx="88">
                  <c:v>154.78</c:v>
                </c:pt>
                <c:pt idx="89">
                  <c:v>154.78</c:v>
                </c:pt>
                <c:pt idx="90">
                  <c:v>158.69999999999999</c:v>
                </c:pt>
                <c:pt idx="91">
                  <c:v>162.62</c:v>
                </c:pt>
                <c:pt idx="92">
                  <c:v>162.62</c:v>
                </c:pt>
                <c:pt idx="93">
                  <c:v>162.62</c:v>
                </c:pt>
                <c:pt idx="94">
                  <c:v>164.23500000000001</c:v>
                </c:pt>
                <c:pt idx="95">
                  <c:v>165.85</c:v>
                </c:pt>
                <c:pt idx="96">
                  <c:v>165.85</c:v>
                </c:pt>
                <c:pt idx="97">
                  <c:v>165.85</c:v>
                </c:pt>
                <c:pt idx="98">
                  <c:v>166.34</c:v>
                </c:pt>
                <c:pt idx="99">
                  <c:v>166.82999999999998</c:v>
                </c:pt>
                <c:pt idx="100">
                  <c:v>166.82999999999998</c:v>
                </c:pt>
                <c:pt idx="101">
                  <c:v>166.82999999999998</c:v>
                </c:pt>
                <c:pt idx="102">
                  <c:v>166.94499999999999</c:v>
                </c:pt>
                <c:pt idx="103">
                  <c:v>167.05999999999997</c:v>
                </c:pt>
                <c:pt idx="104">
                  <c:v>167.05999999999997</c:v>
                </c:pt>
                <c:pt idx="105">
                  <c:v>167.05999999999997</c:v>
                </c:pt>
                <c:pt idx="106">
                  <c:v>169.93499999999997</c:v>
                </c:pt>
                <c:pt idx="107">
                  <c:v>172.80999999999997</c:v>
                </c:pt>
                <c:pt idx="108">
                  <c:v>172.80999999999997</c:v>
                </c:pt>
                <c:pt idx="109">
                  <c:v>172.80999999999997</c:v>
                </c:pt>
                <c:pt idx="110">
                  <c:v>172.82999999999998</c:v>
                </c:pt>
                <c:pt idx="111">
                  <c:v>172.84999999999997</c:v>
                </c:pt>
                <c:pt idx="112">
                  <c:v>172.84999999999997</c:v>
                </c:pt>
                <c:pt idx="113">
                  <c:v>172.84999999999997</c:v>
                </c:pt>
                <c:pt idx="114">
                  <c:v>173.34999999999997</c:v>
                </c:pt>
                <c:pt idx="115">
                  <c:v>173.84999999999997</c:v>
                </c:pt>
                <c:pt idx="116">
                  <c:v>173.84999999999997</c:v>
                </c:pt>
                <c:pt idx="117">
                  <c:v>173.84999999999997</c:v>
                </c:pt>
                <c:pt idx="118">
                  <c:v>182.09499999999997</c:v>
                </c:pt>
                <c:pt idx="119">
                  <c:v>190.33999999999997</c:v>
                </c:pt>
                <c:pt idx="120">
                  <c:v>190.33999999999997</c:v>
                </c:pt>
                <c:pt idx="121">
                  <c:v>190.33999999999997</c:v>
                </c:pt>
                <c:pt idx="122">
                  <c:v>191.75999999999996</c:v>
                </c:pt>
                <c:pt idx="123">
                  <c:v>193.17999999999998</c:v>
                </c:pt>
                <c:pt idx="124">
                  <c:v>193.17999999999998</c:v>
                </c:pt>
                <c:pt idx="125">
                  <c:v>193.17999999999998</c:v>
                </c:pt>
                <c:pt idx="126">
                  <c:v>193.34499999999997</c:v>
                </c:pt>
                <c:pt idx="127">
                  <c:v>193.51</c:v>
                </c:pt>
                <c:pt idx="128">
                  <c:v>193.51</c:v>
                </c:pt>
                <c:pt idx="129">
                  <c:v>193.51</c:v>
                </c:pt>
                <c:pt idx="130">
                  <c:v>193.63499999999999</c:v>
                </c:pt>
                <c:pt idx="131">
                  <c:v>193.76</c:v>
                </c:pt>
                <c:pt idx="132">
                  <c:v>193.76</c:v>
                </c:pt>
                <c:pt idx="133">
                  <c:v>193.76</c:v>
                </c:pt>
                <c:pt idx="134">
                  <c:v>195.565</c:v>
                </c:pt>
                <c:pt idx="135">
                  <c:v>197.37</c:v>
                </c:pt>
                <c:pt idx="136">
                  <c:v>197.37</c:v>
                </c:pt>
                <c:pt idx="137">
                  <c:v>197.37</c:v>
                </c:pt>
                <c:pt idx="138">
                  <c:v>200.64500000000001</c:v>
                </c:pt>
                <c:pt idx="139">
                  <c:v>203.92000000000002</c:v>
                </c:pt>
                <c:pt idx="140">
                  <c:v>203.92000000000002</c:v>
                </c:pt>
                <c:pt idx="141">
                  <c:v>203.92000000000002</c:v>
                </c:pt>
                <c:pt idx="142">
                  <c:v>217.99</c:v>
                </c:pt>
                <c:pt idx="143">
                  <c:v>232.06</c:v>
                </c:pt>
                <c:pt idx="144">
                  <c:v>232.06</c:v>
                </c:pt>
                <c:pt idx="145">
                  <c:v>232.06</c:v>
                </c:pt>
                <c:pt idx="146">
                  <c:v>233.785</c:v>
                </c:pt>
                <c:pt idx="147">
                  <c:v>235.51</c:v>
                </c:pt>
                <c:pt idx="148">
                  <c:v>235.51</c:v>
                </c:pt>
                <c:pt idx="149">
                  <c:v>235.51</c:v>
                </c:pt>
                <c:pt idx="150">
                  <c:v>256.88499999999999</c:v>
                </c:pt>
                <c:pt idx="151">
                  <c:v>278.26</c:v>
                </c:pt>
                <c:pt idx="152">
                  <c:v>278.26</c:v>
                </c:pt>
                <c:pt idx="153">
                  <c:v>278.26</c:v>
                </c:pt>
                <c:pt idx="154">
                  <c:v>280.815</c:v>
                </c:pt>
                <c:pt idx="155">
                  <c:v>283.37</c:v>
                </c:pt>
                <c:pt idx="156">
                  <c:v>283.37</c:v>
                </c:pt>
                <c:pt idx="157">
                  <c:v>283.37</c:v>
                </c:pt>
                <c:pt idx="158">
                  <c:v>287.14</c:v>
                </c:pt>
                <c:pt idx="159">
                  <c:v>290.91000000000003</c:v>
                </c:pt>
                <c:pt idx="160">
                  <c:v>290.91000000000003</c:v>
                </c:pt>
                <c:pt idx="161">
                  <c:v>290.91000000000003</c:v>
                </c:pt>
                <c:pt idx="162">
                  <c:v>291.31</c:v>
                </c:pt>
                <c:pt idx="163">
                  <c:v>291.71000000000004</c:v>
                </c:pt>
                <c:pt idx="164">
                  <c:v>291.71000000000004</c:v>
                </c:pt>
                <c:pt idx="165">
                  <c:v>291.71000000000004</c:v>
                </c:pt>
                <c:pt idx="166">
                  <c:v>295.18000000000006</c:v>
                </c:pt>
                <c:pt idx="167">
                  <c:v>298.65000000000003</c:v>
                </c:pt>
                <c:pt idx="168">
                  <c:v>298.65000000000003</c:v>
                </c:pt>
                <c:pt idx="169">
                  <c:v>298.65000000000003</c:v>
                </c:pt>
                <c:pt idx="170">
                  <c:v>302.46000000000004</c:v>
                </c:pt>
                <c:pt idx="171">
                  <c:v>306.27000000000004</c:v>
                </c:pt>
                <c:pt idx="172">
                  <c:v>306.27000000000004</c:v>
                </c:pt>
                <c:pt idx="173">
                  <c:v>306.27000000000004</c:v>
                </c:pt>
                <c:pt idx="174">
                  <c:v>307.86500000000007</c:v>
                </c:pt>
                <c:pt idx="175">
                  <c:v>309.46000000000004</c:v>
                </c:pt>
                <c:pt idx="176">
                  <c:v>309.46000000000004</c:v>
                </c:pt>
                <c:pt idx="177">
                  <c:v>309.46000000000004</c:v>
                </c:pt>
                <c:pt idx="178">
                  <c:v>312.48</c:v>
                </c:pt>
                <c:pt idx="179">
                  <c:v>315.50000000000006</c:v>
                </c:pt>
                <c:pt idx="180">
                  <c:v>315.50000000000006</c:v>
                </c:pt>
                <c:pt idx="181">
                  <c:v>315.50000000000006</c:v>
                </c:pt>
                <c:pt idx="182">
                  <c:v>319.94000000000005</c:v>
                </c:pt>
                <c:pt idx="183">
                  <c:v>324.38000000000005</c:v>
                </c:pt>
                <c:pt idx="184">
                  <c:v>324.38000000000005</c:v>
                </c:pt>
                <c:pt idx="185">
                  <c:v>324.38000000000005</c:v>
                </c:pt>
                <c:pt idx="186">
                  <c:v>326.21000000000004</c:v>
                </c:pt>
                <c:pt idx="187">
                  <c:v>328.04000000000008</c:v>
                </c:pt>
                <c:pt idx="188">
                  <c:v>328.04000000000008</c:v>
                </c:pt>
                <c:pt idx="189">
                  <c:v>328.04000000000008</c:v>
                </c:pt>
                <c:pt idx="190">
                  <c:v>328.55000000000007</c:v>
                </c:pt>
                <c:pt idx="191">
                  <c:v>329.06000000000006</c:v>
                </c:pt>
                <c:pt idx="192">
                  <c:v>329.06000000000006</c:v>
                </c:pt>
                <c:pt idx="193">
                  <c:v>329.06000000000006</c:v>
                </c:pt>
                <c:pt idx="194">
                  <c:v>332.15000000000003</c:v>
                </c:pt>
                <c:pt idx="195">
                  <c:v>335.24000000000007</c:v>
                </c:pt>
                <c:pt idx="196">
                  <c:v>335.24000000000007</c:v>
                </c:pt>
                <c:pt idx="197">
                  <c:v>335.24000000000007</c:v>
                </c:pt>
                <c:pt idx="198">
                  <c:v>335.76000000000005</c:v>
                </c:pt>
                <c:pt idx="199">
                  <c:v>336.28000000000009</c:v>
                </c:pt>
                <c:pt idx="200">
                  <c:v>336.28000000000009</c:v>
                </c:pt>
                <c:pt idx="201">
                  <c:v>336.28000000000009</c:v>
                </c:pt>
                <c:pt idx="202">
                  <c:v>336.30000000000007</c:v>
                </c:pt>
                <c:pt idx="203">
                  <c:v>336.32000000000011</c:v>
                </c:pt>
                <c:pt idx="204">
                  <c:v>336.32000000000011</c:v>
                </c:pt>
                <c:pt idx="205">
                  <c:v>336.32000000000011</c:v>
                </c:pt>
                <c:pt idx="206">
                  <c:v>337.12000000000012</c:v>
                </c:pt>
                <c:pt idx="207">
                  <c:v>337.92000000000013</c:v>
                </c:pt>
                <c:pt idx="208">
                  <c:v>337.92000000000013</c:v>
                </c:pt>
                <c:pt idx="209">
                  <c:v>337.92000000000013</c:v>
                </c:pt>
                <c:pt idx="210">
                  <c:v>339.68000000000012</c:v>
                </c:pt>
                <c:pt idx="211">
                  <c:v>341.44000000000011</c:v>
                </c:pt>
                <c:pt idx="212">
                  <c:v>341.44000000000011</c:v>
                </c:pt>
                <c:pt idx="213">
                  <c:v>341.44000000000011</c:v>
                </c:pt>
                <c:pt idx="214">
                  <c:v>343.79500000000013</c:v>
                </c:pt>
                <c:pt idx="215">
                  <c:v>346.15000000000009</c:v>
                </c:pt>
                <c:pt idx="216">
                  <c:v>346.15000000000009</c:v>
                </c:pt>
                <c:pt idx="217">
                  <c:v>346.15000000000009</c:v>
                </c:pt>
                <c:pt idx="218">
                  <c:v>346.49500000000012</c:v>
                </c:pt>
                <c:pt idx="219">
                  <c:v>346.84000000000009</c:v>
                </c:pt>
                <c:pt idx="220">
                  <c:v>346.84000000000009</c:v>
                </c:pt>
                <c:pt idx="221">
                  <c:v>346.84000000000009</c:v>
                </c:pt>
                <c:pt idx="222">
                  <c:v>352.71500000000009</c:v>
                </c:pt>
                <c:pt idx="223">
                  <c:v>358.59000000000009</c:v>
                </c:pt>
                <c:pt idx="224">
                  <c:v>358.59000000000009</c:v>
                </c:pt>
                <c:pt idx="225">
                  <c:v>358.59000000000009</c:v>
                </c:pt>
                <c:pt idx="226">
                  <c:v>361.31000000000012</c:v>
                </c:pt>
                <c:pt idx="227">
                  <c:v>364.03000000000009</c:v>
                </c:pt>
                <c:pt idx="228">
                  <c:v>364.03000000000009</c:v>
                </c:pt>
                <c:pt idx="229">
                  <c:v>364.03000000000009</c:v>
                </c:pt>
                <c:pt idx="230">
                  <c:v>364.98000000000008</c:v>
                </c:pt>
                <c:pt idx="231">
                  <c:v>365.93000000000006</c:v>
                </c:pt>
                <c:pt idx="232">
                  <c:v>365.93000000000006</c:v>
                </c:pt>
                <c:pt idx="233">
                  <c:v>365.93000000000006</c:v>
                </c:pt>
                <c:pt idx="234">
                  <c:v>368.15500000000009</c:v>
                </c:pt>
                <c:pt idx="235">
                  <c:v>370.38000000000005</c:v>
                </c:pt>
                <c:pt idx="236">
                  <c:v>370.38000000000005</c:v>
                </c:pt>
                <c:pt idx="237">
                  <c:v>370.38000000000005</c:v>
                </c:pt>
                <c:pt idx="238">
                  <c:v>370.82000000000005</c:v>
                </c:pt>
                <c:pt idx="239">
                  <c:v>371.26000000000005</c:v>
                </c:pt>
                <c:pt idx="240">
                  <c:v>371.26000000000005</c:v>
                </c:pt>
                <c:pt idx="241">
                  <c:v>371.26000000000005</c:v>
                </c:pt>
                <c:pt idx="242">
                  <c:v>371.91500000000002</c:v>
                </c:pt>
                <c:pt idx="243">
                  <c:v>372.57000000000005</c:v>
                </c:pt>
                <c:pt idx="244">
                  <c:v>372.57000000000005</c:v>
                </c:pt>
                <c:pt idx="245">
                  <c:v>372.57000000000005</c:v>
                </c:pt>
                <c:pt idx="246">
                  <c:v>373.05000000000007</c:v>
                </c:pt>
                <c:pt idx="247">
                  <c:v>373.53000000000003</c:v>
                </c:pt>
                <c:pt idx="248">
                  <c:v>373.53000000000003</c:v>
                </c:pt>
                <c:pt idx="249">
                  <c:v>373.53000000000003</c:v>
                </c:pt>
                <c:pt idx="250">
                  <c:v>374.08000000000004</c:v>
                </c:pt>
                <c:pt idx="251">
                  <c:v>374.63000000000005</c:v>
                </c:pt>
                <c:pt idx="252">
                  <c:v>374.63000000000005</c:v>
                </c:pt>
                <c:pt idx="253">
                  <c:v>374.63000000000005</c:v>
                </c:pt>
                <c:pt idx="254">
                  <c:v>380.36500000000007</c:v>
                </c:pt>
                <c:pt idx="255">
                  <c:v>386.10000000000008</c:v>
                </c:pt>
                <c:pt idx="256">
                  <c:v>386.10000000000008</c:v>
                </c:pt>
                <c:pt idx="257">
                  <c:v>386.10000000000008</c:v>
                </c:pt>
                <c:pt idx="258">
                  <c:v>386.50000000000006</c:v>
                </c:pt>
                <c:pt idx="259">
                  <c:v>386.90000000000009</c:v>
                </c:pt>
                <c:pt idx="260">
                  <c:v>386.90000000000009</c:v>
                </c:pt>
                <c:pt idx="261">
                  <c:v>386.90000000000009</c:v>
                </c:pt>
                <c:pt idx="262">
                  <c:v>390.00000000000011</c:v>
                </c:pt>
                <c:pt idx="263">
                  <c:v>393.10000000000008</c:v>
                </c:pt>
                <c:pt idx="264">
                  <c:v>393.10000000000008</c:v>
                </c:pt>
                <c:pt idx="265">
                  <c:v>393.10000000000008</c:v>
                </c:pt>
                <c:pt idx="266">
                  <c:v>395.5150000000001</c:v>
                </c:pt>
                <c:pt idx="267">
                  <c:v>397.93000000000006</c:v>
                </c:pt>
                <c:pt idx="268">
                  <c:v>397.93000000000006</c:v>
                </c:pt>
                <c:pt idx="269">
                  <c:v>397.93000000000006</c:v>
                </c:pt>
                <c:pt idx="270">
                  <c:v>398.69000000000005</c:v>
                </c:pt>
                <c:pt idx="271">
                  <c:v>399.45000000000005</c:v>
                </c:pt>
                <c:pt idx="272">
                  <c:v>399.45000000000005</c:v>
                </c:pt>
                <c:pt idx="273">
                  <c:v>399.45000000000005</c:v>
                </c:pt>
                <c:pt idx="274">
                  <c:v>400.54500000000007</c:v>
                </c:pt>
                <c:pt idx="275">
                  <c:v>401.64000000000004</c:v>
                </c:pt>
                <c:pt idx="276">
                  <c:v>401.64000000000004</c:v>
                </c:pt>
                <c:pt idx="277">
                  <c:v>401.64000000000004</c:v>
                </c:pt>
                <c:pt idx="278">
                  <c:v>416.88000000000005</c:v>
                </c:pt>
                <c:pt idx="279">
                  <c:v>432.12000000000006</c:v>
                </c:pt>
                <c:pt idx="280">
                  <c:v>432.12000000000006</c:v>
                </c:pt>
                <c:pt idx="281">
                  <c:v>432.12000000000006</c:v>
                </c:pt>
                <c:pt idx="282">
                  <c:v>432.34500000000008</c:v>
                </c:pt>
                <c:pt idx="283">
                  <c:v>432.57000000000005</c:v>
                </c:pt>
                <c:pt idx="284">
                  <c:v>432.57000000000005</c:v>
                </c:pt>
                <c:pt idx="285">
                  <c:v>432.57000000000005</c:v>
                </c:pt>
                <c:pt idx="286">
                  <c:v>433.55000000000007</c:v>
                </c:pt>
                <c:pt idx="287">
                  <c:v>434.53000000000003</c:v>
                </c:pt>
                <c:pt idx="288">
                  <c:v>434.53000000000003</c:v>
                </c:pt>
                <c:pt idx="289">
                  <c:v>434.53000000000003</c:v>
                </c:pt>
                <c:pt idx="290">
                  <c:v>435.34000000000003</c:v>
                </c:pt>
                <c:pt idx="291">
                  <c:v>436.15000000000003</c:v>
                </c:pt>
                <c:pt idx="292">
                  <c:v>436.15000000000003</c:v>
                </c:pt>
                <c:pt idx="293">
                  <c:v>436.15000000000003</c:v>
                </c:pt>
                <c:pt idx="294">
                  <c:v>436.38000000000005</c:v>
                </c:pt>
                <c:pt idx="295">
                  <c:v>436.61</c:v>
                </c:pt>
                <c:pt idx="296">
                  <c:v>436.61</c:v>
                </c:pt>
                <c:pt idx="297">
                  <c:v>436.61</c:v>
                </c:pt>
                <c:pt idx="298">
                  <c:v>437.63</c:v>
                </c:pt>
                <c:pt idx="299">
                  <c:v>438.65000000000003</c:v>
                </c:pt>
                <c:pt idx="300">
                  <c:v>438.65000000000003</c:v>
                </c:pt>
                <c:pt idx="301">
                  <c:v>438.65000000000003</c:v>
                </c:pt>
                <c:pt idx="302">
                  <c:v>438.82500000000005</c:v>
                </c:pt>
                <c:pt idx="303">
                  <c:v>439.00000000000006</c:v>
                </c:pt>
                <c:pt idx="304">
                  <c:v>439.00000000000006</c:v>
                </c:pt>
                <c:pt idx="305">
                  <c:v>439.00000000000006</c:v>
                </c:pt>
                <c:pt idx="306">
                  <c:v>439.13500000000005</c:v>
                </c:pt>
                <c:pt idx="307">
                  <c:v>439.27000000000004</c:v>
                </c:pt>
                <c:pt idx="308">
                  <c:v>439.27000000000004</c:v>
                </c:pt>
                <c:pt idx="309">
                  <c:v>439.27000000000004</c:v>
                </c:pt>
                <c:pt idx="310">
                  <c:v>439.45000000000005</c:v>
                </c:pt>
                <c:pt idx="311">
                  <c:v>439.63000000000005</c:v>
                </c:pt>
                <c:pt idx="312">
                  <c:v>439.63000000000005</c:v>
                </c:pt>
                <c:pt idx="313">
                  <c:v>439.63000000000005</c:v>
                </c:pt>
                <c:pt idx="314">
                  <c:v>443.42000000000007</c:v>
                </c:pt>
                <c:pt idx="315">
                  <c:v>447.21000000000004</c:v>
                </c:pt>
                <c:pt idx="316">
                  <c:v>447.21000000000004</c:v>
                </c:pt>
                <c:pt idx="317">
                  <c:v>447.21000000000004</c:v>
                </c:pt>
                <c:pt idx="318">
                  <c:v>447.44000000000005</c:v>
                </c:pt>
                <c:pt idx="319">
                  <c:v>447.67</c:v>
                </c:pt>
                <c:pt idx="320">
                  <c:v>447.67</c:v>
                </c:pt>
                <c:pt idx="321">
                  <c:v>447.67</c:v>
                </c:pt>
                <c:pt idx="322">
                  <c:v>452.07499999999999</c:v>
                </c:pt>
                <c:pt idx="323">
                  <c:v>456.48</c:v>
                </c:pt>
                <c:pt idx="324">
                  <c:v>456.48</c:v>
                </c:pt>
                <c:pt idx="325">
                  <c:v>456.48</c:v>
                </c:pt>
                <c:pt idx="326">
                  <c:v>458.13</c:v>
                </c:pt>
                <c:pt idx="327">
                  <c:v>459.78000000000003</c:v>
                </c:pt>
                <c:pt idx="328">
                  <c:v>459.78000000000003</c:v>
                </c:pt>
                <c:pt idx="329">
                  <c:v>459.78000000000003</c:v>
                </c:pt>
                <c:pt idx="330">
                  <c:v>461.53000000000003</c:v>
                </c:pt>
                <c:pt idx="331">
                  <c:v>463.28000000000003</c:v>
                </c:pt>
                <c:pt idx="332">
                  <c:v>463.28000000000003</c:v>
                </c:pt>
                <c:pt idx="333">
                  <c:v>463.28000000000003</c:v>
                </c:pt>
                <c:pt idx="334">
                  <c:v>465.33500000000004</c:v>
                </c:pt>
                <c:pt idx="335">
                  <c:v>467.39000000000004</c:v>
                </c:pt>
                <c:pt idx="336">
                  <c:v>467.39000000000004</c:v>
                </c:pt>
                <c:pt idx="337">
                  <c:v>467.39000000000004</c:v>
                </c:pt>
                <c:pt idx="338">
                  <c:v>470.47</c:v>
                </c:pt>
                <c:pt idx="339">
                  <c:v>473.55000000000007</c:v>
                </c:pt>
                <c:pt idx="340">
                  <c:v>473.55000000000007</c:v>
                </c:pt>
                <c:pt idx="341">
                  <c:v>473.55000000000007</c:v>
                </c:pt>
                <c:pt idx="342">
                  <c:v>473.65000000000009</c:v>
                </c:pt>
                <c:pt idx="343">
                  <c:v>473.75000000000006</c:v>
                </c:pt>
                <c:pt idx="344">
                  <c:v>473.75000000000006</c:v>
                </c:pt>
                <c:pt idx="345">
                  <c:v>473.75000000000006</c:v>
                </c:pt>
                <c:pt idx="346">
                  <c:v>475.46500000000003</c:v>
                </c:pt>
                <c:pt idx="347">
                  <c:v>477.18000000000006</c:v>
                </c:pt>
                <c:pt idx="348">
                  <c:v>477.18000000000006</c:v>
                </c:pt>
                <c:pt idx="349">
                  <c:v>477.18000000000006</c:v>
                </c:pt>
                <c:pt idx="350">
                  <c:v>477.30500000000006</c:v>
                </c:pt>
                <c:pt idx="351">
                  <c:v>477.43000000000006</c:v>
                </c:pt>
                <c:pt idx="352">
                  <c:v>477.43000000000006</c:v>
                </c:pt>
                <c:pt idx="353">
                  <c:v>477.43000000000006</c:v>
                </c:pt>
                <c:pt idx="354">
                  <c:v>479.99000000000007</c:v>
                </c:pt>
                <c:pt idx="355">
                  <c:v>482.55000000000007</c:v>
                </c:pt>
                <c:pt idx="356">
                  <c:v>482.55000000000007</c:v>
                </c:pt>
                <c:pt idx="357">
                  <c:v>482.55000000000007</c:v>
                </c:pt>
                <c:pt idx="358">
                  <c:v>484.30000000000007</c:v>
                </c:pt>
                <c:pt idx="359">
                  <c:v>486.05000000000007</c:v>
                </c:pt>
                <c:pt idx="360">
                  <c:v>486.05000000000007</c:v>
                </c:pt>
                <c:pt idx="361">
                  <c:v>486.05000000000007</c:v>
                </c:pt>
                <c:pt idx="362">
                  <c:v>491.67500000000007</c:v>
                </c:pt>
                <c:pt idx="363">
                  <c:v>497.30000000000007</c:v>
                </c:pt>
                <c:pt idx="364">
                  <c:v>497.30000000000007</c:v>
                </c:pt>
                <c:pt idx="365">
                  <c:v>497.30000000000007</c:v>
                </c:pt>
                <c:pt idx="366">
                  <c:v>498.16000000000008</c:v>
                </c:pt>
                <c:pt idx="367">
                  <c:v>499.0200000000001</c:v>
                </c:pt>
                <c:pt idx="368">
                  <c:v>499.0200000000001</c:v>
                </c:pt>
                <c:pt idx="369">
                  <c:v>499.0200000000001</c:v>
                </c:pt>
                <c:pt idx="370">
                  <c:v>501.21000000000009</c:v>
                </c:pt>
                <c:pt idx="371">
                  <c:v>503.40000000000009</c:v>
                </c:pt>
                <c:pt idx="372">
                  <c:v>503.40000000000009</c:v>
                </c:pt>
                <c:pt idx="373">
                  <c:v>503.40000000000009</c:v>
                </c:pt>
                <c:pt idx="374">
                  <c:v>514.20000000000005</c:v>
                </c:pt>
                <c:pt idx="375">
                  <c:v>525.00000000000011</c:v>
                </c:pt>
                <c:pt idx="376">
                  <c:v>525.00000000000011</c:v>
                </c:pt>
                <c:pt idx="377">
                  <c:v>525.00000000000011</c:v>
                </c:pt>
                <c:pt idx="378">
                  <c:v>526.00000000000011</c:v>
                </c:pt>
                <c:pt idx="379">
                  <c:v>527.00000000000011</c:v>
                </c:pt>
                <c:pt idx="380">
                  <c:v>527.00000000000011</c:v>
                </c:pt>
                <c:pt idx="381">
                  <c:v>527.00000000000011</c:v>
                </c:pt>
                <c:pt idx="382">
                  <c:v>527.57500000000016</c:v>
                </c:pt>
                <c:pt idx="383">
                  <c:v>528.15000000000009</c:v>
                </c:pt>
                <c:pt idx="384">
                  <c:v>528.15000000000009</c:v>
                </c:pt>
                <c:pt idx="385">
                  <c:v>528.15000000000009</c:v>
                </c:pt>
                <c:pt idx="386">
                  <c:v>536.67000000000007</c:v>
                </c:pt>
                <c:pt idx="387">
                  <c:v>545.19000000000005</c:v>
                </c:pt>
                <c:pt idx="388">
                  <c:v>545.19000000000005</c:v>
                </c:pt>
                <c:pt idx="389">
                  <c:v>545.19000000000005</c:v>
                </c:pt>
                <c:pt idx="390">
                  <c:v>545.90000000000009</c:v>
                </c:pt>
                <c:pt idx="391">
                  <c:v>546.61</c:v>
                </c:pt>
                <c:pt idx="392">
                  <c:v>546.61</c:v>
                </c:pt>
                <c:pt idx="393">
                  <c:v>546.61</c:v>
                </c:pt>
                <c:pt idx="394">
                  <c:v>546.96500000000003</c:v>
                </c:pt>
                <c:pt idx="395">
                  <c:v>547.32000000000005</c:v>
                </c:pt>
                <c:pt idx="396">
                  <c:v>547.32000000000005</c:v>
                </c:pt>
                <c:pt idx="397">
                  <c:v>547.32000000000005</c:v>
                </c:pt>
                <c:pt idx="398">
                  <c:v>548.38</c:v>
                </c:pt>
                <c:pt idx="399">
                  <c:v>549.44000000000005</c:v>
                </c:pt>
                <c:pt idx="400">
                  <c:v>549.44000000000005</c:v>
                </c:pt>
                <c:pt idx="401">
                  <c:v>549.44000000000005</c:v>
                </c:pt>
                <c:pt idx="402">
                  <c:v>549.83000000000004</c:v>
                </c:pt>
                <c:pt idx="403">
                  <c:v>550.22</c:v>
                </c:pt>
                <c:pt idx="404">
                  <c:v>550.22</c:v>
                </c:pt>
                <c:pt idx="405">
                  <c:v>550.22</c:v>
                </c:pt>
                <c:pt idx="406">
                  <c:v>551.03500000000008</c:v>
                </c:pt>
                <c:pt idx="407">
                  <c:v>551.85</c:v>
                </c:pt>
                <c:pt idx="408">
                  <c:v>551.85</c:v>
                </c:pt>
                <c:pt idx="409">
                  <c:v>551.85</c:v>
                </c:pt>
                <c:pt idx="410">
                  <c:v>552.20500000000004</c:v>
                </c:pt>
                <c:pt idx="411">
                  <c:v>552.56000000000006</c:v>
                </c:pt>
                <c:pt idx="412">
                  <c:v>552.56000000000006</c:v>
                </c:pt>
                <c:pt idx="413">
                  <c:v>552.56000000000006</c:v>
                </c:pt>
                <c:pt idx="414">
                  <c:v>552.72</c:v>
                </c:pt>
                <c:pt idx="415">
                  <c:v>552.88000000000011</c:v>
                </c:pt>
                <c:pt idx="416">
                  <c:v>552.88000000000011</c:v>
                </c:pt>
                <c:pt idx="417">
                  <c:v>552.88000000000011</c:v>
                </c:pt>
                <c:pt idx="418">
                  <c:v>558.12000000000012</c:v>
                </c:pt>
                <c:pt idx="419">
                  <c:v>563.36000000000013</c:v>
                </c:pt>
                <c:pt idx="420">
                  <c:v>563.36000000000013</c:v>
                </c:pt>
                <c:pt idx="421">
                  <c:v>563.36000000000013</c:v>
                </c:pt>
                <c:pt idx="422">
                  <c:v>564.20000000000016</c:v>
                </c:pt>
                <c:pt idx="423">
                  <c:v>565.04000000000008</c:v>
                </c:pt>
                <c:pt idx="424">
                  <c:v>565.04000000000008</c:v>
                </c:pt>
                <c:pt idx="425">
                  <c:v>565.04000000000008</c:v>
                </c:pt>
                <c:pt idx="426">
                  <c:v>567.11500000000012</c:v>
                </c:pt>
                <c:pt idx="427">
                  <c:v>569.19000000000005</c:v>
                </c:pt>
                <c:pt idx="428">
                  <c:v>569.19000000000005</c:v>
                </c:pt>
                <c:pt idx="429">
                  <c:v>569.19000000000005</c:v>
                </c:pt>
                <c:pt idx="430">
                  <c:v>570.06500000000005</c:v>
                </c:pt>
                <c:pt idx="431">
                  <c:v>570.94000000000005</c:v>
                </c:pt>
                <c:pt idx="432">
                  <c:v>570.94000000000005</c:v>
                </c:pt>
                <c:pt idx="433">
                  <c:v>570.94000000000005</c:v>
                </c:pt>
                <c:pt idx="434">
                  <c:v>572.48</c:v>
                </c:pt>
                <c:pt idx="435">
                  <c:v>574.0200000000001</c:v>
                </c:pt>
                <c:pt idx="436">
                  <c:v>574.0200000000001</c:v>
                </c:pt>
                <c:pt idx="437">
                  <c:v>574.0200000000001</c:v>
                </c:pt>
                <c:pt idx="438">
                  <c:v>574.09500000000014</c:v>
                </c:pt>
                <c:pt idx="439">
                  <c:v>574.17000000000007</c:v>
                </c:pt>
                <c:pt idx="440">
                  <c:v>574.17000000000007</c:v>
                </c:pt>
                <c:pt idx="441">
                  <c:v>574.17000000000007</c:v>
                </c:pt>
                <c:pt idx="442">
                  <c:v>574.17500000000007</c:v>
                </c:pt>
                <c:pt idx="443">
                  <c:v>574.18000000000006</c:v>
                </c:pt>
                <c:pt idx="444">
                  <c:v>574.18000000000006</c:v>
                </c:pt>
                <c:pt idx="445">
                  <c:v>574.18000000000006</c:v>
                </c:pt>
                <c:pt idx="446">
                  <c:v>574.50000000000011</c:v>
                </c:pt>
                <c:pt idx="447">
                  <c:v>574.82000000000005</c:v>
                </c:pt>
                <c:pt idx="448">
                  <c:v>574.82000000000005</c:v>
                </c:pt>
                <c:pt idx="449">
                  <c:v>574.82000000000005</c:v>
                </c:pt>
                <c:pt idx="450">
                  <c:v>577.43500000000006</c:v>
                </c:pt>
                <c:pt idx="451">
                  <c:v>580.05000000000007</c:v>
                </c:pt>
                <c:pt idx="452">
                  <c:v>580.05000000000007</c:v>
                </c:pt>
                <c:pt idx="453">
                  <c:v>580.05000000000007</c:v>
                </c:pt>
                <c:pt idx="454">
                  <c:v>580.72500000000002</c:v>
                </c:pt>
                <c:pt idx="455">
                  <c:v>581.40000000000009</c:v>
                </c:pt>
                <c:pt idx="456">
                  <c:v>581.40000000000009</c:v>
                </c:pt>
                <c:pt idx="457">
                  <c:v>581.40000000000009</c:v>
                </c:pt>
                <c:pt idx="458">
                  <c:v>583.52500000000009</c:v>
                </c:pt>
                <c:pt idx="459">
                  <c:v>585.65000000000009</c:v>
                </c:pt>
                <c:pt idx="460">
                  <c:v>585.65000000000009</c:v>
                </c:pt>
                <c:pt idx="461">
                  <c:v>585.65000000000009</c:v>
                </c:pt>
                <c:pt idx="462">
                  <c:v>588.6350000000001</c:v>
                </c:pt>
                <c:pt idx="463">
                  <c:v>591.62000000000012</c:v>
                </c:pt>
                <c:pt idx="464">
                  <c:v>591.62000000000012</c:v>
                </c:pt>
                <c:pt idx="465">
                  <c:v>591.62000000000012</c:v>
                </c:pt>
                <c:pt idx="466">
                  <c:v>592.19000000000017</c:v>
                </c:pt>
                <c:pt idx="467">
                  <c:v>592.7600000000001</c:v>
                </c:pt>
                <c:pt idx="468">
                  <c:v>592.7600000000001</c:v>
                </c:pt>
                <c:pt idx="469">
                  <c:v>592.7600000000001</c:v>
                </c:pt>
                <c:pt idx="470">
                  <c:v>594.17500000000007</c:v>
                </c:pt>
                <c:pt idx="471">
                  <c:v>595.59000000000015</c:v>
                </c:pt>
                <c:pt idx="472">
                  <c:v>595.59000000000015</c:v>
                </c:pt>
                <c:pt idx="473">
                  <c:v>595.59000000000015</c:v>
                </c:pt>
                <c:pt idx="474">
                  <c:v>595.9100000000002</c:v>
                </c:pt>
                <c:pt idx="475">
                  <c:v>596.23000000000013</c:v>
                </c:pt>
                <c:pt idx="476">
                  <c:v>596.23000000000013</c:v>
                </c:pt>
                <c:pt idx="477">
                  <c:v>596.23000000000013</c:v>
                </c:pt>
                <c:pt idx="478">
                  <c:v>597.48000000000013</c:v>
                </c:pt>
                <c:pt idx="479">
                  <c:v>598.73000000000013</c:v>
                </c:pt>
                <c:pt idx="480">
                  <c:v>598.73000000000013</c:v>
                </c:pt>
                <c:pt idx="481">
                  <c:v>598.73000000000013</c:v>
                </c:pt>
                <c:pt idx="482">
                  <c:v>599.29000000000008</c:v>
                </c:pt>
                <c:pt idx="483">
                  <c:v>599.85000000000014</c:v>
                </c:pt>
                <c:pt idx="484">
                  <c:v>599.85000000000014</c:v>
                </c:pt>
                <c:pt idx="485">
                  <c:v>599.85000000000014</c:v>
                </c:pt>
                <c:pt idx="486">
                  <c:v>602.60500000000013</c:v>
                </c:pt>
                <c:pt idx="487">
                  <c:v>605.36000000000013</c:v>
                </c:pt>
                <c:pt idx="488">
                  <c:v>605.36000000000013</c:v>
                </c:pt>
                <c:pt idx="489">
                  <c:v>605.36000000000013</c:v>
                </c:pt>
                <c:pt idx="490">
                  <c:v>606.83500000000015</c:v>
                </c:pt>
                <c:pt idx="491">
                  <c:v>608.31000000000017</c:v>
                </c:pt>
                <c:pt idx="492">
                  <c:v>608.31000000000017</c:v>
                </c:pt>
                <c:pt idx="493">
                  <c:v>608.31000000000017</c:v>
                </c:pt>
                <c:pt idx="494">
                  <c:v>609.41500000000019</c:v>
                </c:pt>
                <c:pt idx="495">
                  <c:v>610.52000000000021</c:v>
                </c:pt>
                <c:pt idx="496">
                  <c:v>610.52000000000021</c:v>
                </c:pt>
                <c:pt idx="497">
                  <c:v>610.52000000000021</c:v>
                </c:pt>
                <c:pt idx="498">
                  <c:v>610.93000000000018</c:v>
                </c:pt>
                <c:pt idx="499">
                  <c:v>611.34000000000026</c:v>
                </c:pt>
                <c:pt idx="500">
                  <c:v>611.34000000000026</c:v>
                </c:pt>
                <c:pt idx="501">
                  <c:v>611.34000000000026</c:v>
                </c:pt>
                <c:pt idx="502">
                  <c:v>612.11500000000024</c:v>
                </c:pt>
                <c:pt idx="503">
                  <c:v>612.89000000000021</c:v>
                </c:pt>
                <c:pt idx="504">
                  <c:v>612.89000000000021</c:v>
                </c:pt>
                <c:pt idx="505">
                  <c:v>612.89000000000021</c:v>
                </c:pt>
                <c:pt idx="506">
                  <c:v>614.77000000000021</c:v>
                </c:pt>
                <c:pt idx="507">
                  <c:v>616.6500000000002</c:v>
                </c:pt>
                <c:pt idx="508">
                  <c:v>616.6500000000002</c:v>
                </c:pt>
                <c:pt idx="509">
                  <c:v>616.6500000000002</c:v>
                </c:pt>
                <c:pt idx="510">
                  <c:v>617.45000000000016</c:v>
                </c:pt>
                <c:pt idx="511">
                  <c:v>618.25000000000023</c:v>
                </c:pt>
                <c:pt idx="512">
                  <c:v>618.25000000000023</c:v>
                </c:pt>
                <c:pt idx="513">
                  <c:v>618.25000000000023</c:v>
                </c:pt>
                <c:pt idx="514">
                  <c:v>618.69500000000028</c:v>
                </c:pt>
                <c:pt idx="515">
                  <c:v>619.14000000000021</c:v>
                </c:pt>
                <c:pt idx="516">
                  <c:v>619.14000000000021</c:v>
                </c:pt>
                <c:pt idx="517">
                  <c:v>619.14000000000021</c:v>
                </c:pt>
                <c:pt idx="518">
                  <c:v>619.50000000000023</c:v>
                </c:pt>
                <c:pt idx="519">
                  <c:v>619.86000000000024</c:v>
                </c:pt>
                <c:pt idx="520">
                  <c:v>619.86000000000024</c:v>
                </c:pt>
                <c:pt idx="521">
                  <c:v>619.86000000000024</c:v>
                </c:pt>
                <c:pt idx="522">
                  <c:v>621.71500000000026</c:v>
                </c:pt>
                <c:pt idx="523">
                  <c:v>623.57000000000028</c:v>
                </c:pt>
                <c:pt idx="524">
                  <c:v>623.57000000000028</c:v>
                </c:pt>
                <c:pt idx="525">
                  <c:v>623.57000000000028</c:v>
                </c:pt>
                <c:pt idx="526">
                  <c:v>624.60500000000025</c:v>
                </c:pt>
                <c:pt idx="527">
                  <c:v>625.64000000000033</c:v>
                </c:pt>
                <c:pt idx="528">
                  <c:v>625.64000000000033</c:v>
                </c:pt>
                <c:pt idx="529">
                  <c:v>625.64000000000033</c:v>
                </c:pt>
                <c:pt idx="530">
                  <c:v>627.72500000000036</c:v>
                </c:pt>
                <c:pt idx="531">
                  <c:v>629.81000000000029</c:v>
                </c:pt>
                <c:pt idx="532">
                  <c:v>629.81000000000029</c:v>
                </c:pt>
                <c:pt idx="533">
                  <c:v>629.81000000000029</c:v>
                </c:pt>
                <c:pt idx="534">
                  <c:v>632.13500000000033</c:v>
                </c:pt>
                <c:pt idx="535">
                  <c:v>634.46000000000026</c:v>
                </c:pt>
                <c:pt idx="536">
                  <c:v>634.46000000000026</c:v>
                </c:pt>
                <c:pt idx="537">
                  <c:v>634.46000000000026</c:v>
                </c:pt>
                <c:pt idx="538">
                  <c:v>635.61000000000024</c:v>
                </c:pt>
                <c:pt idx="539">
                  <c:v>636.76000000000022</c:v>
                </c:pt>
                <c:pt idx="540">
                  <c:v>636.76000000000022</c:v>
                </c:pt>
                <c:pt idx="541">
                  <c:v>636.76000000000022</c:v>
                </c:pt>
                <c:pt idx="542">
                  <c:v>637.63500000000022</c:v>
                </c:pt>
                <c:pt idx="543">
                  <c:v>638.51000000000022</c:v>
                </c:pt>
                <c:pt idx="544">
                  <c:v>638.51000000000022</c:v>
                </c:pt>
                <c:pt idx="545">
                  <c:v>638.51000000000022</c:v>
                </c:pt>
                <c:pt idx="546">
                  <c:v>639.16500000000019</c:v>
                </c:pt>
                <c:pt idx="547">
                  <c:v>639.82000000000016</c:v>
                </c:pt>
                <c:pt idx="548">
                  <c:v>639.82000000000016</c:v>
                </c:pt>
                <c:pt idx="549">
                  <c:v>639.82000000000016</c:v>
                </c:pt>
                <c:pt idx="550">
                  <c:v>639.97000000000014</c:v>
                </c:pt>
                <c:pt idx="551">
                  <c:v>640.12000000000012</c:v>
                </c:pt>
                <c:pt idx="552">
                  <c:v>640.12000000000012</c:v>
                </c:pt>
                <c:pt idx="553">
                  <c:v>640.12000000000012</c:v>
                </c:pt>
                <c:pt idx="554">
                  <c:v>640.20000000000016</c:v>
                </c:pt>
                <c:pt idx="555">
                  <c:v>640.28000000000009</c:v>
                </c:pt>
                <c:pt idx="556">
                  <c:v>640.28000000000009</c:v>
                </c:pt>
                <c:pt idx="557">
                  <c:v>640.28000000000009</c:v>
                </c:pt>
                <c:pt idx="558">
                  <c:v>640.48500000000013</c:v>
                </c:pt>
                <c:pt idx="559">
                  <c:v>640.69000000000005</c:v>
                </c:pt>
                <c:pt idx="560">
                  <c:v>640.69000000000005</c:v>
                </c:pt>
                <c:pt idx="561">
                  <c:v>640.69000000000005</c:v>
                </c:pt>
                <c:pt idx="562">
                  <c:v>641.66000000000008</c:v>
                </c:pt>
                <c:pt idx="563">
                  <c:v>642.63000000000011</c:v>
                </c:pt>
                <c:pt idx="564">
                  <c:v>642.63000000000011</c:v>
                </c:pt>
                <c:pt idx="565">
                  <c:v>642.63000000000011</c:v>
                </c:pt>
                <c:pt idx="566">
                  <c:v>642.92000000000007</c:v>
                </c:pt>
                <c:pt idx="567">
                  <c:v>643.21000000000015</c:v>
                </c:pt>
                <c:pt idx="568">
                  <c:v>643.21000000000015</c:v>
                </c:pt>
                <c:pt idx="569">
                  <c:v>643.21000000000015</c:v>
                </c:pt>
                <c:pt idx="570">
                  <c:v>643.93500000000017</c:v>
                </c:pt>
                <c:pt idx="571">
                  <c:v>644.6600000000002</c:v>
                </c:pt>
                <c:pt idx="572">
                  <c:v>644.6600000000002</c:v>
                </c:pt>
                <c:pt idx="573">
                  <c:v>644.6600000000002</c:v>
                </c:pt>
                <c:pt idx="574">
                  <c:v>644.72500000000025</c:v>
                </c:pt>
                <c:pt idx="575">
                  <c:v>644.79000000000019</c:v>
                </c:pt>
                <c:pt idx="576">
                  <c:v>644.79000000000019</c:v>
                </c:pt>
                <c:pt idx="577">
                  <c:v>644.79000000000019</c:v>
                </c:pt>
                <c:pt idx="578">
                  <c:v>645.24500000000023</c:v>
                </c:pt>
                <c:pt idx="579">
                  <c:v>645.70000000000016</c:v>
                </c:pt>
                <c:pt idx="580">
                  <c:v>645.70000000000016</c:v>
                </c:pt>
                <c:pt idx="581">
                  <c:v>645.70000000000016</c:v>
                </c:pt>
                <c:pt idx="582">
                  <c:v>648.09500000000014</c:v>
                </c:pt>
                <c:pt idx="583">
                  <c:v>650.49000000000012</c:v>
                </c:pt>
                <c:pt idx="584">
                  <c:v>650.49000000000012</c:v>
                </c:pt>
                <c:pt idx="585">
                  <c:v>650.49000000000012</c:v>
                </c:pt>
                <c:pt idx="586">
                  <c:v>653.85500000000013</c:v>
                </c:pt>
                <c:pt idx="587">
                  <c:v>657.22000000000014</c:v>
                </c:pt>
                <c:pt idx="588">
                  <c:v>657.22000000000014</c:v>
                </c:pt>
                <c:pt idx="589">
                  <c:v>657.22000000000014</c:v>
                </c:pt>
                <c:pt idx="590">
                  <c:v>657.8900000000001</c:v>
                </c:pt>
                <c:pt idx="591">
                  <c:v>658.56000000000017</c:v>
                </c:pt>
                <c:pt idx="592">
                  <c:v>658.56000000000017</c:v>
                </c:pt>
                <c:pt idx="593">
                  <c:v>658.56000000000017</c:v>
                </c:pt>
                <c:pt idx="594">
                  <c:v>658.64000000000021</c:v>
                </c:pt>
                <c:pt idx="595">
                  <c:v>658.72000000000014</c:v>
                </c:pt>
                <c:pt idx="596">
                  <c:v>658.72000000000014</c:v>
                </c:pt>
                <c:pt idx="597">
                  <c:v>658.72000000000014</c:v>
                </c:pt>
                <c:pt idx="598">
                  <c:v>658.88000000000011</c:v>
                </c:pt>
                <c:pt idx="599">
                  <c:v>659.04000000000019</c:v>
                </c:pt>
                <c:pt idx="600">
                  <c:v>659.04000000000019</c:v>
                </c:pt>
                <c:pt idx="601">
                  <c:v>659.04000000000019</c:v>
                </c:pt>
                <c:pt idx="602">
                  <c:v>660.31000000000017</c:v>
                </c:pt>
                <c:pt idx="603">
                  <c:v>661.58000000000015</c:v>
                </c:pt>
                <c:pt idx="604">
                  <c:v>661.58000000000015</c:v>
                </c:pt>
                <c:pt idx="605">
                  <c:v>661.58000000000015</c:v>
                </c:pt>
                <c:pt idx="606">
                  <c:v>665.08000000000015</c:v>
                </c:pt>
                <c:pt idx="607">
                  <c:v>668.58000000000015</c:v>
                </c:pt>
                <c:pt idx="608">
                  <c:v>668.58000000000015</c:v>
                </c:pt>
                <c:pt idx="609">
                  <c:v>668.58000000000015</c:v>
                </c:pt>
                <c:pt idx="610">
                  <c:v>668.88000000000011</c:v>
                </c:pt>
                <c:pt idx="611">
                  <c:v>669.18000000000018</c:v>
                </c:pt>
                <c:pt idx="612">
                  <c:v>669.18000000000018</c:v>
                </c:pt>
                <c:pt idx="613">
                  <c:v>669.18000000000018</c:v>
                </c:pt>
                <c:pt idx="614">
                  <c:v>669.37500000000023</c:v>
                </c:pt>
                <c:pt idx="615">
                  <c:v>669.57000000000016</c:v>
                </c:pt>
                <c:pt idx="616">
                  <c:v>669.57000000000016</c:v>
                </c:pt>
                <c:pt idx="617">
                  <c:v>669.57000000000016</c:v>
                </c:pt>
                <c:pt idx="618">
                  <c:v>669.81000000000017</c:v>
                </c:pt>
                <c:pt idx="619">
                  <c:v>670.05000000000018</c:v>
                </c:pt>
                <c:pt idx="620">
                  <c:v>670.05000000000018</c:v>
                </c:pt>
                <c:pt idx="621">
                  <c:v>670.05000000000018</c:v>
                </c:pt>
                <c:pt idx="622">
                  <c:v>670.21500000000015</c:v>
                </c:pt>
                <c:pt idx="623">
                  <c:v>670.38000000000022</c:v>
                </c:pt>
                <c:pt idx="624">
                  <c:v>670.38000000000022</c:v>
                </c:pt>
                <c:pt idx="625">
                  <c:v>670.38000000000022</c:v>
                </c:pt>
                <c:pt idx="626">
                  <c:v>671.69000000000017</c:v>
                </c:pt>
                <c:pt idx="627">
                  <c:v>673.00000000000023</c:v>
                </c:pt>
                <c:pt idx="628">
                  <c:v>673.00000000000023</c:v>
                </c:pt>
                <c:pt idx="629">
                  <c:v>673.00000000000023</c:v>
                </c:pt>
                <c:pt idx="630">
                  <c:v>673.14500000000021</c:v>
                </c:pt>
                <c:pt idx="631">
                  <c:v>673.29000000000019</c:v>
                </c:pt>
                <c:pt idx="632">
                  <c:v>673.29000000000019</c:v>
                </c:pt>
                <c:pt idx="633">
                  <c:v>673.29000000000019</c:v>
                </c:pt>
                <c:pt idx="634">
                  <c:v>673.37000000000023</c:v>
                </c:pt>
                <c:pt idx="635">
                  <c:v>673.45000000000016</c:v>
                </c:pt>
                <c:pt idx="636">
                  <c:v>673.45000000000016</c:v>
                </c:pt>
                <c:pt idx="637">
                  <c:v>673.45000000000016</c:v>
                </c:pt>
                <c:pt idx="638">
                  <c:v>673.54500000000019</c:v>
                </c:pt>
                <c:pt idx="639">
                  <c:v>673.64000000000021</c:v>
                </c:pt>
                <c:pt idx="640">
                  <c:v>673.64000000000021</c:v>
                </c:pt>
                <c:pt idx="641">
                  <c:v>673.64000000000021</c:v>
                </c:pt>
                <c:pt idx="642">
                  <c:v>673.85000000000025</c:v>
                </c:pt>
                <c:pt idx="643">
                  <c:v>674.06000000000017</c:v>
                </c:pt>
                <c:pt idx="644">
                  <c:v>674.06000000000017</c:v>
                </c:pt>
                <c:pt idx="645">
                  <c:v>674.06000000000017</c:v>
                </c:pt>
                <c:pt idx="646">
                  <c:v>674.10500000000013</c:v>
                </c:pt>
                <c:pt idx="647">
                  <c:v>674.1500000000002</c:v>
                </c:pt>
                <c:pt idx="648">
                  <c:v>674.1500000000002</c:v>
                </c:pt>
                <c:pt idx="649">
                  <c:v>674.1500000000002</c:v>
                </c:pt>
                <c:pt idx="650">
                  <c:v>674.25000000000023</c:v>
                </c:pt>
                <c:pt idx="651">
                  <c:v>674.35000000000025</c:v>
                </c:pt>
                <c:pt idx="652">
                  <c:v>674.35000000000025</c:v>
                </c:pt>
                <c:pt idx="653">
                  <c:v>674.35000000000025</c:v>
                </c:pt>
                <c:pt idx="654">
                  <c:v>674.7800000000002</c:v>
                </c:pt>
                <c:pt idx="655">
                  <c:v>675.21000000000026</c:v>
                </c:pt>
                <c:pt idx="656">
                  <c:v>675.21000000000026</c:v>
                </c:pt>
                <c:pt idx="657">
                  <c:v>675.21000000000026</c:v>
                </c:pt>
                <c:pt idx="658">
                  <c:v>675.33500000000026</c:v>
                </c:pt>
                <c:pt idx="659">
                  <c:v>675.46000000000026</c:v>
                </c:pt>
                <c:pt idx="660">
                  <c:v>675.46000000000026</c:v>
                </c:pt>
                <c:pt idx="661">
                  <c:v>675.46000000000026</c:v>
                </c:pt>
                <c:pt idx="662">
                  <c:v>675.52000000000021</c:v>
                </c:pt>
                <c:pt idx="663">
                  <c:v>675.58000000000027</c:v>
                </c:pt>
                <c:pt idx="664">
                  <c:v>675.58000000000027</c:v>
                </c:pt>
                <c:pt idx="665">
                  <c:v>675.58000000000027</c:v>
                </c:pt>
                <c:pt idx="666">
                  <c:v>675.66000000000031</c:v>
                </c:pt>
                <c:pt idx="667">
                  <c:v>675.74000000000024</c:v>
                </c:pt>
                <c:pt idx="668">
                  <c:v>675.74000000000024</c:v>
                </c:pt>
                <c:pt idx="669">
                  <c:v>675.74000000000024</c:v>
                </c:pt>
                <c:pt idx="670">
                  <c:v>675.89000000000021</c:v>
                </c:pt>
                <c:pt idx="671">
                  <c:v>676.04000000000019</c:v>
                </c:pt>
                <c:pt idx="672">
                  <c:v>676.04000000000019</c:v>
                </c:pt>
                <c:pt idx="673">
                  <c:v>676.04000000000019</c:v>
                </c:pt>
                <c:pt idx="674">
                  <c:v>676.59500000000014</c:v>
                </c:pt>
                <c:pt idx="675">
                  <c:v>677.1500000000002</c:v>
                </c:pt>
                <c:pt idx="676">
                  <c:v>677.1500000000002</c:v>
                </c:pt>
                <c:pt idx="677">
                  <c:v>677.1500000000002</c:v>
                </c:pt>
                <c:pt idx="678">
                  <c:v>677.25000000000023</c:v>
                </c:pt>
                <c:pt idx="679">
                  <c:v>677.35000000000025</c:v>
                </c:pt>
                <c:pt idx="680">
                  <c:v>677.35000000000025</c:v>
                </c:pt>
                <c:pt idx="681">
                  <c:v>677.35000000000025</c:v>
                </c:pt>
                <c:pt idx="682">
                  <c:v>677.56500000000028</c:v>
                </c:pt>
                <c:pt idx="683">
                  <c:v>677.7800000000002</c:v>
                </c:pt>
                <c:pt idx="684">
                  <c:v>677.7800000000002</c:v>
                </c:pt>
                <c:pt idx="685">
                  <c:v>677.7800000000002</c:v>
                </c:pt>
                <c:pt idx="686">
                  <c:v>677.85000000000025</c:v>
                </c:pt>
                <c:pt idx="687">
                  <c:v>677.92000000000019</c:v>
                </c:pt>
                <c:pt idx="688">
                  <c:v>677.92000000000019</c:v>
                </c:pt>
                <c:pt idx="689">
                  <c:v>677.92000000000019</c:v>
                </c:pt>
                <c:pt idx="690">
                  <c:v>677.93000000000018</c:v>
                </c:pt>
                <c:pt idx="691">
                  <c:v>677.94000000000017</c:v>
                </c:pt>
                <c:pt idx="692">
                  <c:v>677.94000000000017</c:v>
                </c:pt>
                <c:pt idx="693">
                  <c:v>677.94000000000017</c:v>
                </c:pt>
                <c:pt idx="694">
                  <c:v>678.00000000000011</c:v>
                </c:pt>
                <c:pt idx="695">
                  <c:v>678.06000000000017</c:v>
                </c:pt>
                <c:pt idx="696">
                  <c:v>678.06000000000017</c:v>
                </c:pt>
                <c:pt idx="697">
                  <c:v>678.06000000000017</c:v>
                </c:pt>
                <c:pt idx="698">
                  <c:v>678.20000000000016</c:v>
                </c:pt>
                <c:pt idx="699">
                  <c:v>678.34000000000015</c:v>
                </c:pt>
                <c:pt idx="700">
                  <c:v>678.34000000000015</c:v>
                </c:pt>
                <c:pt idx="701">
                  <c:v>678.34000000000015</c:v>
                </c:pt>
                <c:pt idx="702">
                  <c:v>678.49000000000012</c:v>
                </c:pt>
                <c:pt idx="703">
                  <c:v>678.6400000000001</c:v>
                </c:pt>
                <c:pt idx="704">
                  <c:v>678.6400000000001</c:v>
                </c:pt>
                <c:pt idx="705">
                  <c:v>678.6400000000001</c:v>
                </c:pt>
                <c:pt idx="706">
                  <c:v>678.67000000000007</c:v>
                </c:pt>
                <c:pt idx="707">
                  <c:v>678.7</c:v>
                </c:pt>
                <c:pt idx="708">
                  <c:v>678.7</c:v>
                </c:pt>
                <c:pt idx="709">
                  <c:v>678.7</c:v>
                </c:pt>
              </c:numCache>
            </c:numRef>
          </c:cat>
          <c:val>
            <c:numRef>
              <c:f>Charts!$U$7:$U$716</c:f>
              <c:numCache>
                <c:formatCode>General</c:formatCode>
                <c:ptCount val="71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pt idx="31">
                  <c:v>70</c:v>
                </c:pt>
                <c:pt idx="32">
                  <c:v>70</c:v>
                </c:pt>
                <c:pt idx="33">
                  <c:v>70</c:v>
                </c:pt>
                <c:pt idx="34">
                  <c:v>70</c:v>
                </c:pt>
                <c:pt idx="35">
                  <c:v>70</c:v>
                </c:pt>
                <c:pt idx="36">
                  <c:v>70</c:v>
                </c:pt>
                <c:pt idx="37">
                  <c:v>70</c:v>
                </c:pt>
                <c:pt idx="38">
                  <c:v>70</c:v>
                </c:pt>
                <c:pt idx="39">
                  <c:v>70</c:v>
                </c:pt>
                <c:pt idx="40">
                  <c:v>70</c:v>
                </c:pt>
                <c:pt idx="41">
                  <c:v>70</c:v>
                </c:pt>
                <c:pt idx="42">
                  <c:v>70</c:v>
                </c:pt>
                <c:pt idx="43">
                  <c:v>70</c:v>
                </c:pt>
                <c:pt idx="44">
                  <c:v>70</c:v>
                </c:pt>
                <c:pt idx="45">
                  <c:v>70</c:v>
                </c:pt>
                <c:pt idx="46">
                  <c:v>70</c:v>
                </c:pt>
                <c:pt idx="47">
                  <c:v>70</c:v>
                </c:pt>
                <c:pt idx="48">
                  <c:v>70</c:v>
                </c:pt>
                <c:pt idx="49">
                  <c:v>70</c:v>
                </c:pt>
                <c:pt idx="50">
                  <c:v>70</c:v>
                </c:pt>
                <c:pt idx="51">
                  <c:v>70</c:v>
                </c:pt>
                <c:pt idx="52">
                  <c:v>70</c:v>
                </c:pt>
                <c:pt idx="53">
                  <c:v>70</c:v>
                </c:pt>
                <c:pt idx="54">
                  <c:v>70</c:v>
                </c:pt>
                <c:pt idx="55">
                  <c:v>70</c:v>
                </c:pt>
                <c:pt idx="56">
                  <c:v>70</c:v>
                </c:pt>
                <c:pt idx="57">
                  <c:v>70</c:v>
                </c:pt>
                <c:pt idx="58">
                  <c:v>70</c:v>
                </c:pt>
                <c:pt idx="59">
                  <c:v>70</c:v>
                </c:pt>
                <c:pt idx="60">
                  <c:v>70</c:v>
                </c:pt>
                <c:pt idx="61">
                  <c:v>70</c:v>
                </c:pt>
                <c:pt idx="62">
                  <c:v>70</c:v>
                </c:pt>
                <c:pt idx="63">
                  <c:v>70</c:v>
                </c:pt>
                <c:pt idx="64">
                  <c:v>70</c:v>
                </c:pt>
                <c:pt idx="65">
                  <c:v>70</c:v>
                </c:pt>
                <c:pt idx="66">
                  <c:v>70</c:v>
                </c:pt>
                <c:pt idx="67">
                  <c:v>70</c:v>
                </c:pt>
                <c:pt idx="68">
                  <c:v>70</c:v>
                </c:pt>
                <c:pt idx="69">
                  <c:v>70</c:v>
                </c:pt>
                <c:pt idx="70">
                  <c:v>70</c:v>
                </c:pt>
                <c:pt idx="71">
                  <c:v>70</c:v>
                </c:pt>
                <c:pt idx="72">
                  <c:v>70</c:v>
                </c:pt>
                <c:pt idx="73">
                  <c:v>70</c:v>
                </c:pt>
                <c:pt idx="74">
                  <c:v>70</c:v>
                </c:pt>
                <c:pt idx="75">
                  <c:v>70</c:v>
                </c:pt>
                <c:pt idx="76">
                  <c:v>70</c:v>
                </c:pt>
                <c:pt idx="77">
                  <c:v>70</c:v>
                </c:pt>
                <c:pt idx="78">
                  <c:v>70</c:v>
                </c:pt>
                <c:pt idx="79">
                  <c:v>70</c:v>
                </c:pt>
                <c:pt idx="80">
                  <c:v>70</c:v>
                </c:pt>
                <c:pt idx="81">
                  <c:v>70</c:v>
                </c:pt>
                <c:pt idx="82">
                  <c:v>70</c:v>
                </c:pt>
                <c:pt idx="83">
                  <c:v>70</c:v>
                </c:pt>
                <c:pt idx="84">
                  <c:v>70</c:v>
                </c:pt>
                <c:pt idx="85">
                  <c:v>70</c:v>
                </c:pt>
                <c:pt idx="86">
                  <c:v>70</c:v>
                </c:pt>
                <c:pt idx="87">
                  <c:v>70</c:v>
                </c:pt>
                <c:pt idx="88">
                  <c:v>70</c:v>
                </c:pt>
                <c:pt idx="89">
                  <c:v>70</c:v>
                </c:pt>
                <c:pt idx="90">
                  <c:v>70</c:v>
                </c:pt>
                <c:pt idx="91">
                  <c:v>70</c:v>
                </c:pt>
                <c:pt idx="92">
                  <c:v>70</c:v>
                </c:pt>
                <c:pt idx="93">
                  <c:v>70</c:v>
                </c:pt>
                <c:pt idx="94">
                  <c:v>70</c:v>
                </c:pt>
                <c:pt idx="95">
                  <c:v>70</c:v>
                </c:pt>
                <c:pt idx="96">
                  <c:v>70</c:v>
                </c:pt>
                <c:pt idx="97">
                  <c:v>70</c:v>
                </c:pt>
                <c:pt idx="98">
                  <c:v>70</c:v>
                </c:pt>
                <c:pt idx="99">
                  <c:v>70</c:v>
                </c:pt>
                <c:pt idx="100">
                  <c:v>70</c:v>
                </c:pt>
                <c:pt idx="101">
                  <c:v>70</c:v>
                </c:pt>
                <c:pt idx="102">
                  <c:v>70</c:v>
                </c:pt>
                <c:pt idx="103">
                  <c:v>70</c:v>
                </c:pt>
                <c:pt idx="104">
                  <c:v>70</c:v>
                </c:pt>
                <c:pt idx="105">
                  <c:v>70</c:v>
                </c:pt>
                <c:pt idx="106">
                  <c:v>70</c:v>
                </c:pt>
                <c:pt idx="107">
                  <c:v>70</c:v>
                </c:pt>
                <c:pt idx="108">
                  <c:v>70</c:v>
                </c:pt>
                <c:pt idx="109">
                  <c:v>70</c:v>
                </c:pt>
                <c:pt idx="110">
                  <c:v>70</c:v>
                </c:pt>
                <c:pt idx="111">
                  <c:v>70</c:v>
                </c:pt>
                <c:pt idx="112">
                  <c:v>70</c:v>
                </c:pt>
                <c:pt idx="113">
                  <c:v>70</c:v>
                </c:pt>
                <c:pt idx="114">
                  <c:v>70</c:v>
                </c:pt>
                <c:pt idx="115">
                  <c:v>70</c:v>
                </c:pt>
                <c:pt idx="116">
                  <c:v>70</c:v>
                </c:pt>
                <c:pt idx="117">
                  <c:v>70</c:v>
                </c:pt>
                <c:pt idx="118">
                  <c:v>70</c:v>
                </c:pt>
                <c:pt idx="119">
                  <c:v>70</c:v>
                </c:pt>
                <c:pt idx="120">
                  <c:v>70</c:v>
                </c:pt>
                <c:pt idx="121">
                  <c:v>70</c:v>
                </c:pt>
                <c:pt idx="122">
                  <c:v>70</c:v>
                </c:pt>
                <c:pt idx="123">
                  <c:v>70</c:v>
                </c:pt>
                <c:pt idx="124">
                  <c:v>70</c:v>
                </c:pt>
                <c:pt idx="125">
                  <c:v>70</c:v>
                </c:pt>
                <c:pt idx="126">
                  <c:v>70</c:v>
                </c:pt>
                <c:pt idx="127">
                  <c:v>70</c:v>
                </c:pt>
                <c:pt idx="128">
                  <c:v>70</c:v>
                </c:pt>
                <c:pt idx="129">
                  <c:v>70</c:v>
                </c:pt>
                <c:pt idx="130">
                  <c:v>70</c:v>
                </c:pt>
                <c:pt idx="131">
                  <c:v>70</c:v>
                </c:pt>
                <c:pt idx="132">
                  <c:v>70</c:v>
                </c:pt>
                <c:pt idx="133">
                  <c:v>70</c:v>
                </c:pt>
                <c:pt idx="134">
                  <c:v>70</c:v>
                </c:pt>
                <c:pt idx="135">
                  <c:v>70</c:v>
                </c:pt>
                <c:pt idx="136">
                  <c:v>70</c:v>
                </c:pt>
                <c:pt idx="137">
                  <c:v>70</c:v>
                </c:pt>
                <c:pt idx="138">
                  <c:v>70</c:v>
                </c:pt>
                <c:pt idx="139">
                  <c:v>70</c:v>
                </c:pt>
                <c:pt idx="140">
                  <c:v>70</c:v>
                </c:pt>
                <c:pt idx="141">
                  <c:v>70</c:v>
                </c:pt>
                <c:pt idx="142">
                  <c:v>70</c:v>
                </c:pt>
                <c:pt idx="143">
                  <c:v>70</c:v>
                </c:pt>
                <c:pt idx="144">
                  <c:v>70</c:v>
                </c:pt>
                <c:pt idx="145">
                  <c:v>70</c:v>
                </c:pt>
                <c:pt idx="146">
                  <c:v>70</c:v>
                </c:pt>
                <c:pt idx="147">
                  <c:v>70</c:v>
                </c:pt>
                <c:pt idx="148">
                  <c:v>70</c:v>
                </c:pt>
                <c:pt idx="149">
                  <c:v>70</c:v>
                </c:pt>
                <c:pt idx="150">
                  <c:v>70</c:v>
                </c:pt>
                <c:pt idx="151">
                  <c:v>70</c:v>
                </c:pt>
                <c:pt idx="152">
                  <c:v>70</c:v>
                </c:pt>
                <c:pt idx="153">
                  <c:v>70</c:v>
                </c:pt>
                <c:pt idx="154">
                  <c:v>70</c:v>
                </c:pt>
                <c:pt idx="155">
                  <c:v>70</c:v>
                </c:pt>
                <c:pt idx="156">
                  <c:v>70</c:v>
                </c:pt>
                <c:pt idx="157">
                  <c:v>70</c:v>
                </c:pt>
                <c:pt idx="158">
                  <c:v>70</c:v>
                </c:pt>
                <c:pt idx="159">
                  <c:v>70</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pt idx="331">
                  <c:v>70</c:v>
                </c:pt>
                <c:pt idx="332">
                  <c:v>70</c:v>
                </c:pt>
                <c:pt idx="333">
                  <c:v>70</c:v>
                </c:pt>
                <c:pt idx="334">
                  <c:v>70</c:v>
                </c:pt>
                <c:pt idx="335">
                  <c:v>70</c:v>
                </c:pt>
                <c:pt idx="336">
                  <c:v>70</c:v>
                </c:pt>
                <c:pt idx="337">
                  <c:v>70</c:v>
                </c:pt>
                <c:pt idx="338">
                  <c:v>70</c:v>
                </c:pt>
                <c:pt idx="339">
                  <c:v>70</c:v>
                </c:pt>
                <c:pt idx="340">
                  <c:v>70</c:v>
                </c:pt>
                <c:pt idx="341">
                  <c:v>70</c:v>
                </c:pt>
                <c:pt idx="342">
                  <c:v>70</c:v>
                </c:pt>
                <c:pt idx="343">
                  <c:v>70</c:v>
                </c:pt>
                <c:pt idx="344">
                  <c:v>70</c:v>
                </c:pt>
                <c:pt idx="345">
                  <c:v>70</c:v>
                </c:pt>
                <c:pt idx="346">
                  <c:v>70</c:v>
                </c:pt>
                <c:pt idx="347">
                  <c:v>70</c:v>
                </c:pt>
                <c:pt idx="348">
                  <c:v>70</c:v>
                </c:pt>
                <c:pt idx="349">
                  <c:v>70</c:v>
                </c:pt>
                <c:pt idx="350">
                  <c:v>70</c:v>
                </c:pt>
                <c:pt idx="351">
                  <c:v>70</c:v>
                </c:pt>
                <c:pt idx="352">
                  <c:v>70</c:v>
                </c:pt>
                <c:pt idx="353">
                  <c:v>70</c:v>
                </c:pt>
                <c:pt idx="354">
                  <c:v>70</c:v>
                </c:pt>
                <c:pt idx="355">
                  <c:v>70</c:v>
                </c:pt>
                <c:pt idx="356">
                  <c:v>70</c:v>
                </c:pt>
                <c:pt idx="357">
                  <c:v>70</c:v>
                </c:pt>
                <c:pt idx="358">
                  <c:v>70</c:v>
                </c:pt>
                <c:pt idx="359">
                  <c:v>70</c:v>
                </c:pt>
                <c:pt idx="360">
                  <c:v>70</c:v>
                </c:pt>
                <c:pt idx="361">
                  <c:v>70</c:v>
                </c:pt>
                <c:pt idx="362">
                  <c:v>70</c:v>
                </c:pt>
                <c:pt idx="363">
                  <c:v>70</c:v>
                </c:pt>
                <c:pt idx="364">
                  <c:v>70</c:v>
                </c:pt>
                <c:pt idx="365">
                  <c:v>70</c:v>
                </c:pt>
                <c:pt idx="366">
                  <c:v>70</c:v>
                </c:pt>
                <c:pt idx="367">
                  <c:v>70</c:v>
                </c:pt>
                <c:pt idx="368">
                  <c:v>70</c:v>
                </c:pt>
                <c:pt idx="369">
                  <c:v>70</c:v>
                </c:pt>
                <c:pt idx="370">
                  <c:v>70</c:v>
                </c:pt>
                <c:pt idx="371">
                  <c:v>70</c:v>
                </c:pt>
                <c:pt idx="372">
                  <c:v>70</c:v>
                </c:pt>
                <c:pt idx="373">
                  <c:v>70</c:v>
                </c:pt>
                <c:pt idx="374">
                  <c:v>70</c:v>
                </c:pt>
                <c:pt idx="375">
                  <c:v>70</c:v>
                </c:pt>
                <c:pt idx="376">
                  <c:v>70</c:v>
                </c:pt>
                <c:pt idx="377">
                  <c:v>70</c:v>
                </c:pt>
                <c:pt idx="378">
                  <c:v>70</c:v>
                </c:pt>
                <c:pt idx="379">
                  <c:v>70</c:v>
                </c:pt>
                <c:pt idx="380">
                  <c:v>70</c:v>
                </c:pt>
                <c:pt idx="381">
                  <c:v>70</c:v>
                </c:pt>
                <c:pt idx="382">
                  <c:v>70</c:v>
                </c:pt>
                <c:pt idx="383">
                  <c:v>70</c:v>
                </c:pt>
                <c:pt idx="384">
                  <c:v>70</c:v>
                </c:pt>
                <c:pt idx="385">
                  <c:v>70</c:v>
                </c:pt>
                <c:pt idx="386">
                  <c:v>70</c:v>
                </c:pt>
                <c:pt idx="387">
                  <c:v>70</c:v>
                </c:pt>
                <c:pt idx="388">
                  <c:v>70</c:v>
                </c:pt>
                <c:pt idx="389">
                  <c:v>70</c:v>
                </c:pt>
                <c:pt idx="390">
                  <c:v>70</c:v>
                </c:pt>
                <c:pt idx="391">
                  <c:v>70</c:v>
                </c:pt>
                <c:pt idx="392">
                  <c:v>70</c:v>
                </c:pt>
                <c:pt idx="393">
                  <c:v>70</c:v>
                </c:pt>
                <c:pt idx="394">
                  <c:v>70</c:v>
                </c:pt>
                <c:pt idx="395">
                  <c:v>70</c:v>
                </c:pt>
                <c:pt idx="396">
                  <c:v>70</c:v>
                </c:pt>
                <c:pt idx="397">
                  <c:v>70</c:v>
                </c:pt>
                <c:pt idx="398">
                  <c:v>70</c:v>
                </c:pt>
                <c:pt idx="399">
                  <c:v>70</c:v>
                </c:pt>
                <c:pt idx="400">
                  <c:v>70</c:v>
                </c:pt>
                <c:pt idx="401">
                  <c:v>70</c:v>
                </c:pt>
                <c:pt idx="402">
                  <c:v>70</c:v>
                </c:pt>
                <c:pt idx="403">
                  <c:v>70</c:v>
                </c:pt>
                <c:pt idx="404">
                  <c:v>70</c:v>
                </c:pt>
                <c:pt idx="405">
                  <c:v>70</c:v>
                </c:pt>
                <c:pt idx="406">
                  <c:v>70</c:v>
                </c:pt>
                <c:pt idx="407">
                  <c:v>70</c:v>
                </c:pt>
                <c:pt idx="408">
                  <c:v>70</c:v>
                </c:pt>
                <c:pt idx="409">
                  <c:v>70</c:v>
                </c:pt>
                <c:pt idx="410">
                  <c:v>70</c:v>
                </c:pt>
                <c:pt idx="411">
                  <c:v>70</c:v>
                </c:pt>
                <c:pt idx="412">
                  <c:v>70</c:v>
                </c:pt>
                <c:pt idx="413">
                  <c:v>70</c:v>
                </c:pt>
                <c:pt idx="414">
                  <c:v>70</c:v>
                </c:pt>
                <c:pt idx="415">
                  <c:v>70</c:v>
                </c:pt>
                <c:pt idx="416">
                  <c:v>70</c:v>
                </c:pt>
                <c:pt idx="417">
                  <c:v>70</c:v>
                </c:pt>
                <c:pt idx="418">
                  <c:v>70</c:v>
                </c:pt>
                <c:pt idx="419">
                  <c:v>70</c:v>
                </c:pt>
                <c:pt idx="420">
                  <c:v>70</c:v>
                </c:pt>
                <c:pt idx="421">
                  <c:v>70</c:v>
                </c:pt>
                <c:pt idx="422">
                  <c:v>70</c:v>
                </c:pt>
                <c:pt idx="423">
                  <c:v>70</c:v>
                </c:pt>
                <c:pt idx="424">
                  <c:v>70</c:v>
                </c:pt>
                <c:pt idx="425">
                  <c:v>70</c:v>
                </c:pt>
                <c:pt idx="426">
                  <c:v>70</c:v>
                </c:pt>
                <c:pt idx="427">
                  <c:v>70</c:v>
                </c:pt>
                <c:pt idx="428">
                  <c:v>70</c:v>
                </c:pt>
                <c:pt idx="429">
                  <c:v>70</c:v>
                </c:pt>
                <c:pt idx="430">
                  <c:v>70</c:v>
                </c:pt>
                <c:pt idx="431">
                  <c:v>70</c:v>
                </c:pt>
                <c:pt idx="432">
                  <c:v>70</c:v>
                </c:pt>
                <c:pt idx="433">
                  <c:v>70</c:v>
                </c:pt>
                <c:pt idx="434">
                  <c:v>70</c:v>
                </c:pt>
                <c:pt idx="435">
                  <c:v>70</c:v>
                </c:pt>
                <c:pt idx="436">
                  <c:v>70</c:v>
                </c:pt>
                <c:pt idx="437">
                  <c:v>70</c:v>
                </c:pt>
                <c:pt idx="438">
                  <c:v>70</c:v>
                </c:pt>
                <c:pt idx="439">
                  <c:v>70</c:v>
                </c:pt>
                <c:pt idx="440">
                  <c:v>70</c:v>
                </c:pt>
                <c:pt idx="441">
                  <c:v>70</c:v>
                </c:pt>
                <c:pt idx="442">
                  <c:v>70</c:v>
                </c:pt>
                <c:pt idx="443">
                  <c:v>70</c:v>
                </c:pt>
                <c:pt idx="444">
                  <c:v>70</c:v>
                </c:pt>
                <c:pt idx="445">
                  <c:v>70</c:v>
                </c:pt>
                <c:pt idx="446">
                  <c:v>70</c:v>
                </c:pt>
                <c:pt idx="447">
                  <c:v>70</c:v>
                </c:pt>
                <c:pt idx="448">
                  <c:v>70</c:v>
                </c:pt>
                <c:pt idx="449">
                  <c:v>70</c:v>
                </c:pt>
                <c:pt idx="450">
                  <c:v>70</c:v>
                </c:pt>
                <c:pt idx="451">
                  <c:v>70</c:v>
                </c:pt>
                <c:pt idx="452">
                  <c:v>70</c:v>
                </c:pt>
                <c:pt idx="453">
                  <c:v>70</c:v>
                </c:pt>
                <c:pt idx="454">
                  <c:v>70</c:v>
                </c:pt>
                <c:pt idx="455">
                  <c:v>70</c:v>
                </c:pt>
                <c:pt idx="456">
                  <c:v>70</c:v>
                </c:pt>
                <c:pt idx="457">
                  <c:v>70</c:v>
                </c:pt>
                <c:pt idx="458">
                  <c:v>70</c:v>
                </c:pt>
                <c:pt idx="459">
                  <c:v>70</c:v>
                </c:pt>
                <c:pt idx="460">
                  <c:v>70</c:v>
                </c:pt>
                <c:pt idx="461">
                  <c:v>70</c:v>
                </c:pt>
                <c:pt idx="462">
                  <c:v>70</c:v>
                </c:pt>
                <c:pt idx="463">
                  <c:v>70</c:v>
                </c:pt>
                <c:pt idx="464">
                  <c:v>70</c:v>
                </c:pt>
                <c:pt idx="465">
                  <c:v>70</c:v>
                </c:pt>
                <c:pt idx="466">
                  <c:v>70</c:v>
                </c:pt>
                <c:pt idx="467">
                  <c:v>70</c:v>
                </c:pt>
                <c:pt idx="468">
                  <c:v>70</c:v>
                </c:pt>
                <c:pt idx="469">
                  <c:v>70</c:v>
                </c:pt>
                <c:pt idx="470">
                  <c:v>70</c:v>
                </c:pt>
                <c:pt idx="471">
                  <c:v>70</c:v>
                </c:pt>
                <c:pt idx="472">
                  <c:v>70</c:v>
                </c:pt>
                <c:pt idx="473">
                  <c:v>70</c:v>
                </c:pt>
                <c:pt idx="474">
                  <c:v>70</c:v>
                </c:pt>
                <c:pt idx="475">
                  <c:v>70</c:v>
                </c:pt>
                <c:pt idx="476">
                  <c:v>70</c:v>
                </c:pt>
                <c:pt idx="477">
                  <c:v>70</c:v>
                </c:pt>
                <c:pt idx="478">
                  <c:v>70</c:v>
                </c:pt>
                <c:pt idx="479">
                  <c:v>70</c:v>
                </c:pt>
                <c:pt idx="480">
                  <c:v>70</c:v>
                </c:pt>
                <c:pt idx="481">
                  <c:v>70</c:v>
                </c:pt>
                <c:pt idx="482">
                  <c:v>70</c:v>
                </c:pt>
                <c:pt idx="483">
                  <c:v>70</c:v>
                </c:pt>
                <c:pt idx="484">
                  <c:v>70</c:v>
                </c:pt>
                <c:pt idx="485">
                  <c:v>70</c:v>
                </c:pt>
                <c:pt idx="486">
                  <c:v>70</c:v>
                </c:pt>
                <c:pt idx="487">
                  <c:v>70</c:v>
                </c:pt>
                <c:pt idx="488">
                  <c:v>70</c:v>
                </c:pt>
                <c:pt idx="489">
                  <c:v>70</c:v>
                </c:pt>
                <c:pt idx="490">
                  <c:v>70</c:v>
                </c:pt>
                <c:pt idx="491">
                  <c:v>70</c:v>
                </c:pt>
                <c:pt idx="492">
                  <c:v>70</c:v>
                </c:pt>
                <c:pt idx="493">
                  <c:v>70</c:v>
                </c:pt>
                <c:pt idx="494">
                  <c:v>70</c:v>
                </c:pt>
                <c:pt idx="495">
                  <c:v>70</c:v>
                </c:pt>
                <c:pt idx="496">
                  <c:v>70</c:v>
                </c:pt>
                <c:pt idx="497">
                  <c:v>70</c:v>
                </c:pt>
                <c:pt idx="498">
                  <c:v>70</c:v>
                </c:pt>
                <c:pt idx="499">
                  <c:v>70</c:v>
                </c:pt>
                <c:pt idx="500">
                  <c:v>70</c:v>
                </c:pt>
                <c:pt idx="501">
                  <c:v>70</c:v>
                </c:pt>
                <c:pt idx="502">
                  <c:v>70</c:v>
                </c:pt>
                <c:pt idx="503">
                  <c:v>70</c:v>
                </c:pt>
                <c:pt idx="504">
                  <c:v>70</c:v>
                </c:pt>
                <c:pt idx="505">
                  <c:v>70</c:v>
                </c:pt>
                <c:pt idx="506">
                  <c:v>70</c:v>
                </c:pt>
                <c:pt idx="507">
                  <c:v>70</c:v>
                </c:pt>
                <c:pt idx="508">
                  <c:v>70</c:v>
                </c:pt>
                <c:pt idx="509">
                  <c:v>70</c:v>
                </c:pt>
                <c:pt idx="510">
                  <c:v>70</c:v>
                </c:pt>
                <c:pt idx="511">
                  <c:v>70</c:v>
                </c:pt>
                <c:pt idx="512">
                  <c:v>70</c:v>
                </c:pt>
                <c:pt idx="513">
                  <c:v>70</c:v>
                </c:pt>
                <c:pt idx="514">
                  <c:v>70</c:v>
                </c:pt>
                <c:pt idx="515">
                  <c:v>70</c:v>
                </c:pt>
                <c:pt idx="516">
                  <c:v>70</c:v>
                </c:pt>
                <c:pt idx="517">
                  <c:v>70</c:v>
                </c:pt>
                <c:pt idx="518">
                  <c:v>70</c:v>
                </c:pt>
                <c:pt idx="519">
                  <c:v>70</c:v>
                </c:pt>
                <c:pt idx="520">
                  <c:v>70</c:v>
                </c:pt>
                <c:pt idx="521">
                  <c:v>70</c:v>
                </c:pt>
                <c:pt idx="522">
                  <c:v>70</c:v>
                </c:pt>
                <c:pt idx="523">
                  <c:v>70</c:v>
                </c:pt>
                <c:pt idx="524">
                  <c:v>70</c:v>
                </c:pt>
                <c:pt idx="525">
                  <c:v>70</c:v>
                </c:pt>
                <c:pt idx="526">
                  <c:v>70</c:v>
                </c:pt>
                <c:pt idx="527">
                  <c:v>70</c:v>
                </c:pt>
                <c:pt idx="528">
                  <c:v>70</c:v>
                </c:pt>
                <c:pt idx="529">
                  <c:v>70</c:v>
                </c:pt>
                <c:pt idx="530">
                  <c:v>70</c:v>
                </c:pt>
                <c:pt idx="531">
                  <c:v>70</c:v>
                </c:pt>
                <c:pt idx="532">
                  <c:v>70</c:v>
                </c:pt>
                <c:pt idx="533">
                  <c:v>70</c:v>
                </c:pt>
                <c:pt idx="534">
                  <c:v>70</c:v>
                </c:pt>
                <c:pt idx="535">
                  <c:v>70</c:v>
                </c:pt>
                <c:pt idx="536">
                  <c:v>70</c:v>
                </c:pt>
                <c:pt idx="537">
                  <c:v>70</c:v>
                </c:pt>
                <c:pt idx="538">
                  <c:v>70</c:v>
                </c:pt>
                <c:pt idx="539">
                  <c:v>70</c:v>
                </c:pt>
                <c:pt idx="540">
                  <c:v>70</c:v>
                </c:pt>
                <c:pt idx="541">
                  <c:v>70</c:v>
                </c:pt>
                <c:pt idx="542">
                  <c:v>70</c:v>
                </c:pt>
                <c:pt idx="543">
                  <c:v>70</c:v>
                </c:pt>
                <c:pt idx="544">
                  <c:v>70</c:v>
                </c:pt>
                <c:pt idx="545">
                  <c:v>70</c:v>
                </c:pt>
                <c:pt idx="546">
                  <c:v>70</c:v>
                </c:pt>
                <c:pt idx="547">
                  <c:v>70</c:v>
                </c:pt>
                <c:pt idx="548">
                  <c:v>70</c:v>
                </c:pt>
                <c:pt idx="549">
                  <c:v>70</c:v>
                </c:pt>
                <c:pt idx="550">
                  <c:v>70</c:v>
                </c:pt>
                <c:pt idx="551">
                  <c:v>70</c:v>
                </c:pt>
                <c:pt idx="552">
                  <c:v>70</c:v>
                </c:pt>
                <c:pt idx="553">
                  <c:v>70</c:v>
                </c:pt>
                <c:pt idx="554">
                  <c:v>70</c:v>
                </c:pt>
                <c:pt idx="555">
                  <c:v>70</c:v>
                </c:pt>
                <c:pt idx="556">
                  <c:v>70</c:v>
                </c:pt>
                <c:pt idx="557">
                  <c:v>70</c:v>
                </c:pt>
                <c:pt idx="558">
                  <c:v>70</c:v>
                </c:pt>
                <c:pt idx="559">
                  <c:v>70</c:v>
                </c:pt>
                <c:pt idx="560">
                  <c:v>70</c:v>
                </c:pt>
                <c:pt idx="561">
                  <c:v>70</c:v>
                </c:pt>
                <c:pt idx="562">
                  <c:v>70</c:v>
                </c:pt>
                <c:pt idx="563">
                  <c:v>70</c:v>
                </c:pt>
                <c:pt idx="564">
                  <c:v>70</c:v>
                </c:pt>
                <c:pt idx="565">
                  <c:v>70</c:v>
                </c:pt>
                <c:pt idx="566">
                  <c:v>70</c:v>
                </c:pt>
                <c:pt idx="567">
                  <c:v>70</c:v>
                </c:pt>
                <c:pt idx="568">
                  <c:v>70</c:v>
                </c:pt>
                <c:pt idx="569">
                  <c:v>70</c:v>
                </c:pt>
                <c:pt idx="570">
                  <c:v>70</c:v>
                </c:pt>
                <c:pt idx="571">
                  <c:v>70</c:v>
                </c:pt>
                <c:pt idx="572">
                  <c:v>70</c:v>
                </c:pt>
                <c:pt idx="573">
                  <c:v>70</c:v>
                </c:pt>
                <c:pt idx="574">
                  <c:v>70</c:v>
                </c:pt>
                <c:pt idx="575">
                  <c:v>70</c:v>
                </c:pt>
                <c:pt idx="576">
                  <c:v>70</c:v>
                </c:pt>
                <c:pt idx="577">
                  <c:v>70</c:v>
                </c:pt>
                <c:pt idx="578">
                  <c:v>70</c:v>
                </c:pt>
                <c:pt idx="579">
                  <c:v>70</c:v>
                </c:pt>
                <c:pt idx="580">
                  <c:v>70</c:v>
                </c:pt>
                <c:pt idx="581">
                  <c:v>70</c:v>
                </c:pt>
                <c:pt idx="582">
                  <c:v>70</c:v>
                </c:pt>
                <c:pt idx="583">
                  <c:v>70</c:v>
                </c:pt>
                <c:pt idx="584">
                  <c:v>70</c:v>
                </c:pt>
                <c:pt idx="585">
                  <c:v>70</c:v>
                </c:pt>
                <c:pt idx="586">
                  <c:v>70</c:v>
                </c:pt>
                <c:pt idx="587">
                  <c:v>70</c:v>
                </c:pt>
                <c:pt idx="588">
                  <c:v>70</c:v>
                </c:pt>
                <c:pt idx="589">
                  <c:v>70</c:v>
                </c:pt>
                <c:pt idx="590">
                  <c:v>70</c:v>
                </c:pt>
                <c:pt idx="591">
                  <c:v>70</c:v>
                </c:pt>
                <c:pt idx="592">
                  <c:v>70</c:v>
                </c:pt>
                <c:pt idx="593">
                  <c:v>70</c:v>
                </c:pt>
                <c:pt idx="594">
                  <c:v>70</c:v>
                </c:pt>
                <c:pt idx="595">
                  <c:v>70</c:v>
                </c:pt>
                <c:pt idx="596">
                  <c:v>70</c:v>
                </c:pt>
                <c:pt idx="597">
                  <c:v>70</c:v>
                </c:pt>
                <c:pt idx="598">
                  <c:v>70</c:v>
                </c:pt>
                <c:pt idx="599">
                  <c:v>70</c:v>
                </c:pt>
                <c:pt idx="600">
                  <c:v>70</c:v>
                </c:pt>
                <c:pt idx="601">
                  <c:v>70</c:v>
                </c:pt>
                <c:pt idx="602">
                  <c:v>70</c:v>
                </c:pt>
                <c:pt idx="603">
                  <c:v>70</c:v>
                </c:pt>
                <c:pt idx="604">
                  <c:v>70</c:v>
                </c:pt>
                <c:pt idx="605">
                  <c:v>70</c:v>
                </c:pt>
                <c:pt idx="606">
                  <c:v>70</c:v>
                </c:pt>
                <c:pt idx="607">
                  <c:v>70</c:v>
                </c:pt>
                <c:pt idx="608">
                  <c:v>70</c:v>
                </c:pt>
                <c:pt idx="609">
                  <c:v>70</c:v>
                </c:pt>
                <c:pt idx="610">
                  <c:v>70</c:v>
                </c:pt>
                <c:pt idx="611">
                  <c:v>70</c:v>
                </c:pt>
                <c:pt idx="612">
                  <c:v>70</c:v>
                </c:pt>
                <c:pt idx="613">
                  <c:v>70</c:v>
                </c:pt>
                <c:pt idx="614">
                  <c:v>70</c:v>
                </c:pt>
                <c:pt idx="615">
                  <c:v>70</c:v>
                </c:pt>
                <c:pt idx="616">
                  <c:v>70</c:v>
                </c:pt>
                <c:pt idx="617">
                  <c:v>70</c:v>
                </c:pt>
                <c:pt idx="618">
                  <c:v>70</c:v>
                </c:pt>
                <c:pt idx="619">
                  <c:v>70</c:v>
                </c:pt>
                <c:pt idx="620">
                  <c:v>70</c:v>
                </c:pt>
                <c:pt idx="621">
                  <c:v>70</c:v>
                </c:pt>
                <c:pt idx="622">
                  <c:v>70</c:v>
                </c:pt>
                <c:pt idx="623">
                  <c:v>70</c:v>
                </c:pt>
                <c:pt idx="624">
                  <c:v>70</c:v>
                </c:pt>
                <c:pt idx="625">
                  <c:v>70</c:v>
                </c:pt>
                <c:pt idx="626">
                  <c:v>70</c:v>
                </c:pt>
                <c:pt idx="627">
                  <c:v>70</c:v>
                </c:pt>
                <c:pt idx="628">
                  <c:v>70</c:v>
                </c:pt>
                <c:pt idx="629">
                  <c:v>70</c:v>
                </c:pt>
                <c:pt idx="630">
                  <c:v>70</c:v>
                </c:pt>
                <c:pt idx="631">
                  <c:v>70</c:v>
                </c:pt>
                <c:pt idx="632">
                  <c:v>70</c:v>
                </c:pt>
                <c:pt idx="633">
                  <c:v>70</c:v>
                </c:pt>
                <c:pt idx="634">
                  <c:v>70</c:v>
                </c:pt>
                <c:pt idx="635">
                  <c:v>70</c:v>
                </c:pt>
                <c:pt idx="636">
                  <c:v>70</c:v>
                </c:pt>
                <c:pt idx="637">
                  <c:v>70</c:v>
                </c:pt>
                <c:pt idx="638">
                  <c:v>70</c:v>
                </c:pt>
                <c:pt idx="639">
                  <c:v>70</c:v>
                </c:pt>
                <c:pt idx="640">
                  <c:v>70</c:v>
                </c:pt>
                <c:pt idx="641">
                  <c:v>70</c:v>
                </c:pt>
                <c:pt idx="642">
                  <c:v>70</c:v>
                </c:pt>
                <c:pt idx="643">
                  <c:v>70</c:v>
                </c:pt>
                <c:pt idx="644">
                  <c:v>70</c:v>
                </c:pt>
                <c:pt idx="645">
                  <c:v>70</c:v>
                </c:pt>
                <c:pt idx="646">
                  <c:v>70</c:v>
                </c:pt>
                <c:pt idx="647">
                  <c:v>70</c:v>
                </c:pt>
                <c:pt idx="648">
                  <c:v>70</c:v>
                </c:pt>
                <c:pt idx="649">
                  <c:v>70</c:v>
                </c:pt>
                <c:pt idx="650">
                  <c:v>70</c:v>
                </c:pt>
                <c:pt idx="651">
                  <c:v>70</c:v>
                </c:pt>
                <c:pt idx="652">
                  <c:v>70</c:v>
                </c:pt>
                <c:pt idx="653">
                  <c:v>70</c:v>
                </c:pt>
                <c:pt idx="654">
                  <c:v>70</c:v>
                </c:pt>
                <c:pt idx="655">
                  <c:v>70</c:v>
                </c:pt>
                <c:pt idx="656">
                  <c:v>70</c:v>
                </c:pt>
                <c:pt idx="657">
                  <c:v>70</c:v>
                </c:pt>
                <c:pt idx="658">
                  <c:v>70</c:v>
                </c:pt>
                <c:pt idx="659">
                  <c:v>70</c:v>
                </c:pt>
                <c:pt idx="660">
                  <c:v>70</c:v>
                </c:pt>
                <c:pt idx="661">
                  <c:v>70</c:v>
                </c:pt>
                <c:pt idx="662">
                  <c:v>70</c:v>
                </c:pt>
                <c:pt idx="663">
                  <c:v>70</c:v>
                </c:pt>
                <c:pt idx="664">
                  <c:v>70</c:v>
                </c:pt>
                <c:pt idx="665">
                  <c:v>70</c:v>
                </c:pt>
                <c:pt idx="666">
                  <c:v>70</c:v>
                </c:pt>
                <c:pt idx="667">
                  <c:v>70</c:v>
                </c:pt>
                <c:pt idx="668">
                  <c:v>70</c:v>
                </c:pt>
                <c:pt idx="669">
                  <c:v>70</c:v>
                </c:pt>
                <c:pt idx="670">
                  <c:v>70</c:v>
                </c:pt>
                <c:pt idx="671">
                  <c:v>70</c:v>
                </c:pt>
                <c:pt idx="672">
                  <c:v>70</c:v>
                </c:pt>
                <c:pt idx="673">
                  <c:v>70</c:v>
                </c:pt>
                <c:pt idx="674">
                  <c:v>70</c:v>
                </c:pt>
                <c:pt idx="675">
                  <c:v>70</c:v>
                </c:pt>
                <c:pt idx="676">
                  <c:v>70</c:v>
                </c:pt>
                <c:pt idx="677">
                  <c:v>70</c:v>
                </c:pt>
                <c:pt idx="678">
                  <c:v>70</c:v>
                </c:pt>
                <c:pt idx="679">
                  <c:v>70</c:v>
                </c:pt>
                <c:pt idx="680">
                  <c:v>70</c:v>
                </c:pt>
                <c:pt idx="681">
                  <c:v>70</c:v>
                </c:pt>
                <c:pt idx="682">
                  <c:v>70</c:v>
                </c:pt>
                <c:pt idx="683">
                  <c:v>70</c:v>
                </c:pt>
                <c:pt idx="684">
                  <c:v>70</c:v>
                </c:pt>
                <c:pt idx="685">
                  <c:v>70</c:v>
                </c:pt>
                <c:pt idx="686">
                  <c:v>70</c:v>
                </c:pt>
                <c:pt idx="687">
                  <c:v>70</c:v>
                </c:pt>
                <c:pt idx="688">
                  <c:v>70</c:v>
                </c:pt>
                <c:pt idx="689">
                  <c:v>70</c:v>
                </c:pt>
                <c:pt idx="690">
                  <c:v>70</c:v>
                </c:pt>
                <c:pt idx="691">
                  <c:v>70</c:v>
                </c:pt>
                <c:pt idx="692">
                  <c:v>70</c:v>
                </c:pt>
                <c:pt idx="693">
                  <c:v>70</c:v>
                </c:pt>
                <c:pt idx="694">
                  <c:v>70</c:v>
                </c:pt>
                <c:pt idx="695">
                  <c:v>70</c:v>
                </c:pt>
                <c:pt idx="696">
                  <c:v>70</c:v>
                </c:pt>
                <c:pt idx="697">
                  <c:v>70</c:v>
                </c:pt>
                <c:pt idx="698">
                  <c:v>70</c:v>
                </c:pt>
                <c:pt idx="699">
                  <c:v>70</c:v>
                </c:pt>
                <c:pt idx="700">
                  <c:v>70</c:v>
                </c:pt>
                <c:pt idx="701">
                  <c:v>70</c:v>
                </c:pt>
                <c:pt idx="702">
                  <c:v>70</c:v>
                </c:pt>
                <c:pt idx="703">
                  <c:v>70</c:v>
                </c:pt>
                <c:pt idx="704">
                  <c:v>70</c:v>
                </c:pt>
                <c:pt idx="705">
                  <c:v>70</c:v>
                </c:pt>
                <c:pt idx="706">
                  <c:v>70</c:v>
                </c:pt>
                <c:pt idx="707">
                  <c:v>70</c:v>
                </c:pt>
                <c:pt idx="708">
                  <c:v>70</c:v>
                </c:pt>
                <c:pt idx="709">
                  <c:v>70</c:v>
                </c:pt>
              </c:numCache>
            </c:numRef>
          </c:val>
          <c:smooth val="0"/>
        </c:ser>
        <c:dLbls>
          <c:showLegendKey val="0"/>
          <c:showVal val="0"/>
          <c:showCatName val="0"/>
          <c:showSerName val="0"/>
          <c:showPercent val="0"/>
          <c:showBubbleSize val="0"/>
        </c:dLbls>
        <c:marker val="1"/>
        <c:smooth val="0"/>
        <c:axId val="681566640"/>
        <c:axId val="681569384"/>
      </c:lineChart>
      <c:dateAx>
        <c:axId val="681566640"/>
        <c:scaling>
          <c:orientation val="minMax"/>
        </c:scaling>
        <c:delete val="0"/>
        <c:axPos val="b"/>
        <c:title>
          <c:tx>
            <c:rich>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a:t>
                </a:r>
              </a:p>
            </c:rich>
          </c:tx>
          <c:layout>
            <c:manualLayout>
              <c:xMode val="edge"/>
              <c:yMode val="edge"/>
              <c:x val="0.47952448256080149"/>
              <c:y val="0.68836769449620328"/>
            </c:manualLayout>
          </c:layout>
          <c:overlay val="0"/>
          <c:spPr>
            <a:noFill/>
            <a:ln>
              <a:noFill/>
            </a:ln>
            <a:effectLst/>
          </c:spPr>
          <c:txPr>
            <a:bodyPr rot="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9384"/>
        <c:crosses val="autoZero"/>
        <c:auto val="0"/>
        <c:lblOffset val="100"/>
        <c:baseTimeUnit val="days"/>
        <c:majorUnit val="50"/>
        <c:majorTimeUnit val="days"/>
      </c:dateAx>
      <c:valAx>
        <c:axId val="681569384"/>
        <c:scaling>
          <c:orientation val="minMax"/>
          <c:max val="12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US$ a tonne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664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'IEA WEO trade'!$C$12</c:f>
              <c:strCache>
                <c:ptCount val="1"/>
                <c:pt idx="0">
                  <c:v>2000</c:v>
                </c:pt>
              </c:strCache>
            </c:strRef>
          </c:tx>
          <c:spPr>
            <a:solidFill>
              <a:srgbClr val="005CAF"/>
            </a:solidFill>
            <a:ln>
              <a:noFill/>
            </a:ln>
            <a:effectLst/>
          </c:spPr>
          <c:invertIfNegative val="0"/>
          <c:cat>
            <c:strRef>
              <c:f>'IEA WEO trade'!$B$47:$B$52</c:f>
              <c:strCache>
                <c:ptCount val="6"/>
                <c:pt idx="0">
                  <c:v>Australia</c:v>
                </c:pt>
                <c:pt idx="1">
                  <c:v>Russia</c:v>
                </c:pt>
                <c:pt idx="2">
                  <c:v>Indonesia</c:v>
                </c:pt>
                <c:pt idx="3">
                  <c:v>South Africa</c:v>
                </c:pt>
                <c:pt idx="4">
                  <c:v>Colombia</c:v>
                </c:pt>
                <c:pt idx="5">
                  <c:v>United States</c:v>
                </c:pt>
              </c:strCache>
            </c:strRef>
          </c:cat>
          <c:val>
            <c:numRef>
              <c:f>'IEA WEO trade'!$C$47:$C$52</c:f>
              <c:numCache>
                <c:formatCode>#\ ##0;\-#\ ##0;\-</c:formatCode>
                <c:ptCount val="6"/>
                <c:pt idx="0">
                  <c:v>36.8640285629277</c:v>
                </c:pt>
                <c:pt idx="1">
                  <c:v>2.8775449483572064</c:v>
                </c:pt>
                <c:pt idx="2">
                  <c:v>10.154290814808517</c:v>
                </c:pt>
                <c:pt idx="3">
                  <c:v>13.979682917499042</c:v>
                </c:pt>
                <c:pt idx="4">
                  <c:v>7.0195945084371143</c:v>
                </c:pt>
                <c:pt idx="5">
                  <c:v>8.5943809240447138</c:v>
                </c:pt>
              </c:numCache>
            </c:numRef>
          </c:val>
        </c:ser>
        <c:ser>
          <c:idx val="1"/>
          <c:order val="1"/>
          <c:tx>
            <c:strRef>
              <c:f>'IEA WEO trade'!$D$12</c:f>
              <c:strCache>
                <c:ptCount val="1"/>
                <c:pt idx="0">
                  <c:v>2017</c:v>
                </c:pt>
              </c:strCache>
            </c:strRef>
          </c:tx>
          <c:spPr>
            <a:solidFill>
              <a:srgbClr val="56B4DF"/>
            </a:solidFill>
            <a:ln>
              <a:noFill/>
            </a:ln>
            <a:effectLst/>
          </c:spPr>
          <c:invertIfNegative val="0"/>
          <c:cat>
            <c:strRef>
              <c:f>'IEA WEO trade'!$B$47:$B$52</c:f>
              <c:strCache>
                <c:ptCount val="6"/>
                <c:pt idx="0">
                  <c:v>Australia</c:v>
                </c:pt>
                <c:pt idx="1">
                  <c:v>Russia</c:v>
                </c:pt>
                <c:pt idx="2">
                  <c:v>Indonesia</c:v>
                </c:pt>
                <c:pt idx="3">
                  <c:v>South Africa</c:v>
                </c:pt>
                <c:pt idx="4">
                  <c:v>Colombia</c:v>
                </c:pt>
                <c:pt idx="5">
                  <c:v>United States</c:v>
                </c:pt>
              </c:strCache>
            </c:strRef>
          </c:cat>
          <c:val>
            <c:numRef>
              <c:f>'IEA WEO trade'!$D$47:$D$52</c:f>
              <c:numCache>
                <c:formatCode>#\ ##0;\-#\ ##0;\-</c:formatCode>
                <c:ptCount val="6"/>
                <c:pt idx="0">
                  <c:v>31.713845037198329</c:v>
                </c:pt>
                <c:pt idx="1">
                  <c:v>13.105606967882416</c:v>
                </c:pt>
                <c:pt idx="2">
                  <c:v>27.954999092723643</c:v>
                </c:pt>
                <c:pt idx="3">
                  <c:v>6.1604064598076578</c:v>
                </c:pt>
                <c:pt idx="4">
                  <c:v>7.1556886227544911</c:v>
                </c:pt>
                <c:pt idx="5">
                  <c:v>6.9216113228089275</c:v>
                </c:pt>
              </c:numCache>
            </c:numRef>
          </c:val>
        </c:ser>
        <c:ser>
          <c:idx val="2"/>
          <c:order val="2"/>
          <c:tx>
            <c:strRef>
              <c:f>'IEA WEO trade'!$E$12</c:f>
              <c:strCache>
                <c:ptCount val="1"/>
                <c:pt idx="0">
                  <c:v>2025</c:v>
                </c:pt>
              </c:strCache>
            </c:strRef>
          </c:tx>
          <c:spPr>
            <a:solidFill>
              <a:srgbClr val="9ED9DF"/>
            </a:solidFill>
            <a:ln>
              <a:noFill/>
            </a:ln>
            <a:effectLst/>
          </c:spPr>
          <c:invertIfNegative val="0"/>
          <c:cat>
            <c:strRef>
              <c:f>'IEA WEO trade'!$B$47:$B$52</c:f>
              <c:strCache>
                <c:ptCount val="6"/>
                <c:pt idx="0">
                  <c:v>Australia</c:v>
                </c:pt>
                <c:pt idx="1">
                  <c:v>Russia</c:v>
                </c:pt>
                <c:pt idx="2">
                  <c:v>Indonesia</c:v>
                </c:pt>
                <c:pt idx="3">
                  <c:v>South Africa</c:v>
                </c:pt>
                <c:pt idx="4">
                  <c:v>Colombia</c:v>
                </c:pt>
                <c:pt idx="5">
                  <c:v>United States</c:v>
                </c:pt>
              </c:strCache>
            </c:strRef>
          </c:cat>
          <c:val>
            <c:numRef>
              <c:f>'IEA WEO trade'!$E$47:$E$52</c:f>
              <c:numCache>
                <c:formatCode>#\ ##0;\-#\ ##0;\-</c:formatCode>
                <c:ptCount val="6"/>
                <c:pt idx="0">
                  <c:v>35.085164677255577</c:v>
                </c:pt>
                <c:pt idx="1">
                  <c:v>14.106297779395705</c:v>
                </c:pt>
                <c:pt idx="2">
                  <c:v>24.466882532140328</c:v>
                </c:pt>
                <c:pt idx="3">
                  <c:v>6.7834767114364007</c:v>
                </c:pt>
                <c:pt idx="4">
                  <c:v>6.794014523020329</c:v>
                </c:pt>
                <c:pt idx="5">
                  <c:v>5.1031747552353766</c:v>
                </c:pt>
              </c:numCache>
            </c:numRef>
          </c:val>
        </c:ser>
        <c:ser>
          <c:idx val="3"/>
          <c:order val="3"/>
          <c:tx>
            <c:strRef>
              <c:f>'IEA WEO trade'!$F$12</c:f>
              <c:strCache>
                <c:ptCount val="1"/>
                <c:pt idx="0">
                  <c:v>2040</c:v>
                </c:pt>
              </c:strCache>
            </c:strRef>
          </c:tx>
          <c:spPr>
            <a:solidFill>
              <a:srgbClr val="BCBFC1"/>
            </a:solidFill>
            <a:ln>
              <a:noFill/>
            </a:ln>
            <a:effectLst/>
          </c:spPr>
          <c:invertIfNegative val="0"/>
          <c:cat>
            <c:strRef>
              <c:f>'IEA WEO trade'!$B$47:$B$52</c:f>
              <c:strCache>
                <c:ptCount val="6"/>
                <c:pt idx="0">
                  <c:v>Australia</c:v>
                </c:pt>
                <c:pt idx="1">
                  <c:v>Russia</c:v>
                </c:pt>
                <c:pt idx="2">
                  <c:v>Indonesia</c:v>
                </c:pt>
                <c:pt idx="3">
                  <c:v>South Africa</c:v>
                </c:pt>
                <c:pt idx="4">
                  <c:v>Colombia</c:v>
                </c:pt>
                <c:pt idx="5">
                  <c:v>United States</c:v>
                </c:pt>
              </c:strCache>
            </c:strRef>
          </c:cat>
          <c:val>
            <c:numRef>
              <c:f>'IEA WEO trade'!$F$47:$F$52</c:f>
              <c:numCache>
                <c:formatCode>#\ ##0;\-#\ ##0;\-</c:formatCode>
                <c:ptCount val="6"/>
                <c:pt idx="0">
                  <c:v>39.355555759674466</c:v>
                </c:pt>
                <c:pt idx="1">
                  <c:v>17.356639631116298</c:v>
                </c:pt>
                <c:pt idx="2">
                  <c:v>16.705398230901359</c:v>
                </c:pt>
                <c:pt idx="3">
                  <c:v>8.1878220613765169</c:v>
                </c:pt>
                <c:pt idx="4">
                  <c:v>6.5004730455868982</c:v>
                </c:pt>
                <c:pt idx="5">
                  <c:v>4.0139984752317002</c:v>
                </c:pt>
              </c:numCache>
            </c:numRef>
          </c:val>
        </c:ser>
        <c:dLbls>
          <c:showLegendKey val="0"/>
          <c:showVal val="0"/>
          <c:showCatName val="0"/>
          <c:showSerName val="0"/>
          <c:showPercent val="0"/>
          <c:showBubbleSize val="0"/>
        </c:dLbls>
        <c:gapWidth val="219"/>
        <c:overlap val="-27"/>
        <c:axId val="681572520"/>
        <c:axId val="681570952"/>
      </c:barChart>
      <c:catAx>
        <c:axId val="681572520"/>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70952"/>
        <c:crosses val="autoZero"/>
        <c:auto val="1"/>
        <c:lblAlgn val="ctr"/>
        <c:lblOffset val="100"/>
        <c:noMultiLvlLbl val="0"/>
      </c:catAx>
      <c:valAx>
        <c:axId val="681570952"/>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7252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4893866132796"/>
          <c:y val="7.9912822375590262E-2"/>
          <c:w val="0.87377943818316672"/>
          <c:h val="0.76040724748116162"/>
        </c:manualLayout>
      </c:layout>
      <c:barChart>
        <c:barDir val="col"/>
        <c:grouping val="stacked"/>
        <c:varyColors val="0"/>
        <c:ser>
          <c:idx val="0"/>
          <c:order val="0"/>
          <c:tx>
            <c:strRef>
              <c:f>'Platts WEPP'!$O$15</c:f>
              <c:strCache>
                <c:ptCount val="1"/>
                <c:pt idx="0">
                  <c:v>Subcritical</c:v>
                </c:pt>
              </c:strCache>
            </c:strRef>
          </c:tx>
          <c:spPr>
            <a:solidFill>
              <a:srgbClr val="005CAF"/>
            </a:solidFill>
            <a:ln>
              <a:noFill/>
            </a:ln>
            <a:effectLst/>
          </c:spPr>
          <c:invertIfNegative val="0"/>
          <c:cat>
            <c:strRef>
              <c:f>'Platts WEPP'!$V$16:$V$18</c:f>
              <c:strCache>
                <c:ptCount val="3"/>
                <c:pt idx="0">
                  <c:v>Operating</c:v>
                </c:pt>
                <c:pt idx="1">
                  <c:v>Construction</c:v>
                </c:pt>
                <c:pt idx="2">
                  <c:v>Planned</c:v>
                </c:pt>
              </c:strCache>
            </c:strRef>
          </c:cat>
          <c:val>
            <c:numRef>
              <c:f>'Platts WEPP'!$O$16:$O$18</c:f>
              <c:numCache>
                <c:formatCode>0.0</c:formatCode>
                <c:ptCount val="3"/>
                <c:pt idx="0">
                  <c:v>176.95964999999998</c:v>
                </c:pt>
                <c:pt idx="1">
                  <c:v>4.5890000000000004</c:v>
                </c:pt>
                <c:pt idx="2">
                  <c:v>3.8849</c:v>
                </c:pt>
              </c:numCache>
            </c:numRef>
          </c:val>
        </c:ser>
        <c:ser>
          <c:idx val="1"/>
          <c:order val="1"/>
          <c:tx>
            <c:strRef>
              <c:f>'Platts WEPP'!$P$15</c:f>
              <c:strCache>
                <c:ptCount val="1"/>
                <c:pt idx="0">
                  <c:v>Supercritical</c:v>
                </c:pt>
              </c:strCache>
            </c:strRef>
          </c:tx>
          <c:spPr>
            <a:solidFill>
              <a:srgbClr val="56B4DF"/>
            </a:solidFill>
            <a:ln>
              <a:noFill/>
            </a:ln>
            <a:effectLst/>
          </c:spPr>
          <c:invertIfNegative val="0"/>
          <c:cat>
            <c:strRef>
              <c:f>'Platts WEPP'!$V$16:$V$18</c:f>
              <c:strCache>
                <c:ptCount val="3"/>
                <c:pt idx="0">
                  <c:v>Operating</c:v>
                </c:pt>
                <c:pt idx="1">
                  <c:v>Construction</c:v>
                </c:pt>
                <c:pt idx="2">
                  <c:v>Planned</c:v>
                </c:pt>
              </c:strCache>
            </c:strRef>
          </c:cat>
          <c:val>
            <c:numRef>
              <c:f>'Platts WEPP'!$P$16:$P$18</c:f>
              <c:numCache>
                <c:formatCode>0.0</c:formatCode>
                <c:ptCount val="3"/>
                <c:pt idx="0">
                  <c:v>53.68</c:v>
                </c:pt>
                <c:pt idx="1">
                  <c:v>26.48</c:v>
                </c:pt>
                <c:pt idx="2">
                  <c:v>25.48</c:v>
                </c:pt>
              </c:numCache>
            </c:numRef>
          </c:val>
        </c:ser>
        <c:ser>
          <c:idx val="2"/>
          <c:order val="2"/>
          <c:tx>
            <c:strRef>
              <c:f>'Platts WEPP'!$Q$15</c:f>
              <c:strCache>
                <c:ptCount val="1"/>
                <c:pt idx="0">
                  <c:v>Ultrasupercritical</c:v>
                </c:pt>
              </c:strCache>
            </c:strRef>
          </c:tx>
          <c:spPr>
            <a:solidFill>
              <a:srgbClr val="9ED9DF"/>
            </a:solidFill>
            <a:ln>
              <a:noFill/>
            </a:ln>
            <a:effectLst/>
          </c:spPr>
          <c:invertIfNegative val="0"/>
          <c:cat>
            <c:strRef>
              <c:f>'Platts WEPP'!$V$16:$V$18</c:f>
              <c:strCache>
                <c:ptCount val="3"/>
                <c:pt idx="0">
                  <c:v>Operating</c:v>
                </c:pt>
                <c:pt idx="1">
                  <c:v>Construction</c:v>
                </c:pt>
                <c:pt idx="2">
                  <c:v>Planned</c:v>
                </c:pt>
              </c:strCache>
            </c:strRef>
          </c:cat>
          <c:val>
            <c:numRef>
              <c:f>'Platts WEPP'!$Q$16:$Q$18</c:f>
              <c:numCache>
                <c:formatCode>0.0</c:formatCode>
                <c:ptCount val="3"/>
                <c:pt idx="0">
                  <c:v>0</c:v>
                </c:pt>
                <c:pt idx="1">
                  <c:v>7.96</c:v>
                </c:pt>
                <c:pt idx="2">
                  <c:v>10.4</c:v>
                </c:pt>
              </c:numCache>
            </c:numRef>
          </c:val>
        </c:ser>
        <c:ser>
          <c:idx val="3"/>
          <c:order val="3"/>
          <c:tx>
            <c:strRef>
              <c:f>'Platts WEPP'!$R$15</c:f>
              <c:strCache>
                <c:ptCount val="1"/>
                <c:pt idx="0">
                  <c:v>Unknown</c:v>
                </c:pt>
              </c:strCache>
            </c:strRef>
          </c:tx>
          <c:spPr>
            <a:solidFill>
              <a:srgbClr val="BCBFC1"/>
            </a:solidFill>
            <a:ln>
              <a:noFill/>
            </a:ln>
            <a:effectLst/>
          </c:spPr>
          <c:invertIfNegative val="0"/>
          <c:cat>
            <c:strRef>
              <c:f>'Platts WEPP'!$V$16:$V$18</c:f>
              <c:strCache>
                <c:ptCount val="3"/>
                <c:pt idx="0">
                  <c:v>Operating</c:v>
                </c:pt>
                <c:pt idx="1">
                  <c:v>Construction</c:v>
                </c:pt>
                <c:pt idx="2">
                  <c:v>Planned</c:v>
                </c:pt>
              </c:strCache>
            </c:strRef>
          </c:cat>
          <c:val>
            <c:numRef>
              <c:f>'Platts WEPP'!$R$16:$R$18</c:f>
              <c:numCache>
                <c:formatCode>0.0</c:formatCode>
                <c:ptCount val="3"/>
                <c:pt idx="0">
                  <c:v>5.0000000000000001E-3</c:v>
                </c:pt>
                <c:pt idx="1">
                  <c:v>0</c:v>
                </c:pt>
                <c:pt idx="2">
                  <c:v>5.3</c:v>
                </c:pt>
              </c:numCache>
            </c:numRef>
          </c:val>
        </c:ser>
        <c:dLbls>
          <c:showLegendKey val="0"/>
          <c:showVal val="0"/>
          <c:showCatName val="0"/>
          <c:showSerName val="0"/>
          <c:showPercent val="0"/>
          <c:showBubbleSize val="0"/>
        </c:dLbls>
        <c:gapWidth val="150"/>
        <c:overlap val="100"/>
        <c:axId val="681565464"/>
        <c:axId val="681567424"/>
      </c:barChart>
      <c:catAx>
        <c:axId val="681565464"/>
        <c:scaling>
          <c:orientation val="minMax"/>
        </c:scaling>
        <c:delete val="0"/>
        <c:axPos val="b"/>
        <c:numFmt formatCode="General" sourceLinked="1"/>
        <c:majorTickMark val="out"/>
        <c:minorTickMark val="none"/>
        <c:tickLblPos val="nextTo"/>
        <c:spPr>
          <a:noFill/>
          <a:ln w="6350" cap="flat" cmpd="sng" algn="ctr">
            <a:solidFill>
              <a:srgbClr val="BCBFC1"/>
            </a:solidFill>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7424"/>
        <c:crosses val="autoZero"/>
        <c:auto val="1"/>
        <c:lblAlgn val="ctr"/>
        <c:lblOffset val="100"/>
        <c:noMultiLvlLbl val="0"/>
      </c:catAx>
      <c:valAx>
        <c:axId val="68156742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GW</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8156546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97714404870379E-2"/>
          <c:y val="9.4623655913978491E-2"/>
          <c:w val="0.87887125508275199"/>
          <c:h val="0.52748793497586999"/>
        </c:manualLayout>
      </c:layout>
      <c:barChart>
        <c:barDir val="col"/>
        <c:grouping val="stacked"/>
        <c:varyColors val="0"/>
        <c:ser>
          <c:idx val="0"/>
          <c:order val="0"/>
          <c:tx>
            <c:strRef>
              <c:f>'Platts WEPP'!$O$23</c:f>
              <c:strCache>
                <c:ptCount val="1"/>
                <c:pt idx="0">
                  <c:v>Subcritical</c:v>
                </c:pt>
              </c:strCache>
            </c:strRef>
          </c:tx>
          <c:spPr>
            <a:solidFill>
              <a:srgbClr val="005CAF"/>
            </a:solidFill>
            <a:ln>
              <a:noFill/>
            </a:ln>
            <a:effectLst/>
          </c:spPr>
          <c:invertIfNegative val="0"/>
          <c:cat>
            <c:strRef>
              <c:f>'Platts WEPP'!$N$24:$N$26</c:f>
              <c:strCache>
                <c:ptCount val="3"/>
                <c:pt idx="0">
                  <c:v>Operating</c:v>
                </c:pt>
                <c:pt idx="1">
                  <c:v>Construction</c:v>
                </c:pt>
                <c:pt idx="2">
                  <c:v>Planned</c:v>
                </c:pt>
              </c:strCache>
            </c:strRef>
          </c:cat>
          <c:val>
            <c:numRef>
              <c:f>'Platts WEPP'!$O$24:$O$26</c:f>
              <c:numCache>
                <c:formatCode>0.0</c:formatCode>
                <c:ptCount val="3"/>
                <c:pt idx="0">
                  <c:v>76.723934415994478</c:v>
                </c:pt>
                <c:pt idx="1">
                  <c:v>11.757923595275308</c:v>
                </c:pt>
                <c:pt idx="2">
                  <c:v>8.620678177472934</c:v>
                </c:pt>
              </c:numCache>
            </c:numRef>
          </c:val>
        </c:ser>
        <c:ser>
          <c:idx val="1"/>
          <c:order val="1"/>
          <c:tx>
            <c:strRef>
              <c:f>'Platts WEPP'!$P$23</c:f>
              <c:strCache>
                <c:ptCount val="1"/>
                <c:pt idx="0">
                  <c:v>Supercritical</c:v>
                </c:pt>
              </c:strCache>
            </c:strRef>
          </c:tx>
          <c:spPr>
            <a:solidFill>
              <a:srgbClr val="56B4DF"/>
            </a:solidFill>
            <a:ln>
              <a:noFill/>
            </a:ln>
            <a:effectLst/>
          </c:spPr>
          <c:invertIfNegative val="0"/>
          <c:cat>
            <c:strRef>
              <c:f>'Platts WEPP'!$N$24:$N$26</c:f>
              <c:strCache>
                <c:ptCount val="3"/>
                <c:pt idx="0">
                  <c:v>Operating</c:v>
                </c:pt>
                <c:pt idx="1">
                  <c:v>Construction</c:v>
                </c:pt>
                <c:pt idx="2">
                  <c:v>Planned</c:v>
                </c:pt>
              </c:strCache>
            </c:strRef>
          </c:cat>
          <c:val>
            <c:numRef>
              <c:f>'Platts WEPP'!$P$24:$P$26</c:f>
              <c:numCache>
                <c:formatCode>0.0</c:formatCode>
                <c:ptCount val="3"/>
                <c:pt idx="0">
                  <c:v>23.27389774703207</c:v>
                </c:pt>
                <c:pt idx="1">
                  <c:v>67.846985574828963</c:v>
                </c:pt>
                <c:pt idx="2">
                  <c:v>56.540677999951193</c:v>
                </c:pt>
              </c:numCache>
            </c:numRef>
          </c:val>
        </c:ser>
        <c:ser>
          <c:idx val="2"/>
          <c:order val="2"/>
          <c:tx>
            <c:strRef>
              <c:f>'Platts WEPP'!$Q$23</c:f>
              <c:strCache>
                <c:ptCount val="1"/>
                <c:pt idx="0">
                  <c:v>Ultrasupercritical</c:v>
                </c:pt>
              </c:strCache>
            </c:strRef>
          </c:tx>
          <c:spPr>
            <a:solidFill>
              <a:srgbClr val="9ED9DF"/>
            </a:solidFill>
            <a:ln>
              <a:noFill/>
            </a:ln>
            <a:effectLst/>
          </c:spPr>
          <c:invertIfNegative val="0"/>
          <c:cat>
            <c:strRef>
              <c:f>'Platts WEPP'!$N$24:$N$26</c:f>
              <c:strCache>
                <c:ptCount val="3"/>
                <c:pt idx="0">
                  <c:v>Operating</c:v>
                </c:pt>
                <c:pt idx="1">
                  <c:v>Construction</c:v>
                </c:pt>
                <c:pt idx="2">
                  <c:v>Planned</c:v>
                </c:pt>
              </c:strCache>
            </c:strRef>
          </c:cat>
          <c:val>
            <c:numRef>
              <c:f>'Platts WEPP'!$Q$24:$Q$26</c:f>
              <c:numCache>
                <c:formatCode>0.0</c:formatCode>
                <c:ptCount val="3"/>
                <c:pt idx="0">
                  <c:v>0</c:v>
                </c:pt>
                <c:pt idx="1">
                  <c:v>20.395090829895718</c:v>
                </c:pt>
                <c:pt idx="2">
                  <c:v>23.077827755082119</c:v>
                </c:pt>
              </c:numCache>
            </c:numRef>
          </c:val>
        </c:ser>
        <c:ser>
          <c:idx val="3"/>
          <c:order val="3"/>
          <c:tx>
            <c:strRef>
              <c:f>'Platts WEPP'!$R$23</c:f>
              <c:strCache>
                <c:ptCount val="1"/>
                <c:pt idx="0">
                  <c:v>Unknown</c:v>
                </c:pt>
              </c:strCache>
            </c:strRef>
          </c:tx>
          <c:spPr>
            <a:solidFill>
              <a:srgbClr val="BCBFC1"/>
            </a:solidFill>
            <a:ln>
              <a:noFill/>
            </a:ln>
            <a:effectLst/>
          </c:spPr>
          <c:invertIfNegative val="0"/>
          <c:cat>
            <c:strRef>
              <c:f>'Platts WEPP'!$N$24:$N$26</c:f>
              <c:strCache>
                <c:ptCount val="3"/>
                <c:pt idx="0">
                  <c:v>Operating</c:v>
                </c:pt>
                <c:pt idx="1">
                  <c:v>Construction</c:v>
                </c:pt>
                <c:pt idx="2">
                  <c:v>Planned</c:v>
                </c:pt>
              </c:strCache>
            </c:strRef>
          </c:cat>
          <c:val>
            <c:numRef>
              <c:f>'Platts WEPP'!$R$24:$R$26</c:f>
              <c:numCache>
                <c:formatCode>0.0</c:formatCode>
                <c:ptCount val="3"/>
                <c:pt idx="0">
                  <c:v>2.1678369734567872E-3</c:v>
                </c:pt>
                <c:pt idx="1">
                  <c:v>0</c:v>
                </c:pt>
                <c:pt idx="2">
                  <c:v>11.760816067493771</c:v>
                </c:pt>
              </c:numCache>
            </c:numRef>
          </c:val>
        </c:ser>
        <c:dLbls>
          <c:showLegendKey val="0"/>
          <c:showVal val="0"/>
          <c:showCatName val="0"/>
          <c:showSerName val="0"/>
          <c:showPercent val="0"/>
          <c:showBubbleSize val="0"/>
        </c:dLbls>
        <c:gapWidth val="150"/>
        <c:overlap val="100"/>
        <c:axId val="873947408"/>
        <c:axId val="873948584"/>
      </c:barChart>
      <c:catAx>
        <c:axId val="873947408"/>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73948584"/>
        <c:crosses val="autoZero"/>
        <c:auto val="1"/>
        <c:lblAlgn val="ctr"/>
        <c:lblOffset val="100"/>
        <c:noMultiLvlLbl val="0"/>
      </c:catAx>
      <c:valAx>
        <c:axId val="873948584"/>
        <c:scaling>
          <c:orientation val="minMax"/>
          <c:max val="1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Per cent</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73947408"/>
        <c:crosses val="autoZero"/>
        <c:crossBetween val="between"/>
        <c:majorUnit val="25"/>
      </c:valAx>
      <c:spPr>
        <a:noFill/>
        <a:ln w="25400">
          <a:noFill/>
        </a:ln>
        <a:effectLst/>
      </c:spPr>
    </c:plotArea>
    <c:legend>
      <c:legendPos val="b"/>
      <c:layout>
        <c:manualLayout>
          <c:xMode val="edge"/>
          <c:yMode val="edge"/>
          <c:x val="0.1718709497595986"/>
          <c:y val="0.83122193059200944"/>
          <c:w val="0.65625791466332195"/>
          <c:h val="0.1687780694079906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'Gen capacity'!$C$65</c:f>
              <c:strCache>
                <c:ptCount val="1"/>
                <c:pt idx="0">
                  <c:v>Thermal coal</c:v>
                </c:pt>
              </c:strCache>
            </c:strRef>
          </c:tx>
          <c:spPr>
            <a:solidFill>
              <a:srgbClr val="005CAF"/>
            </a:solidFill>
            <a:ln>
              <a:noFill/>
            </a:ln>
            <a:effectLst/>
          </c:spPr>
          <c:invertIfNegative val="0"/>
          <c:cat>
            <c:strRef>
              <c:f>'Gen capacity'!$B$69:$B$79</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capacity'!$C$69:$C$79</c:f>
              <c:numCache>
                <c:formatCode>0.0</c:formatCode>
                <c:ptCount val="11"/>
                <c:pt idx="0">
                  <c:v>1.5999999999999943</c:v>
                </c:pt>
                <c:pt idx="1">
                  <c:v>6.5494999999999948</c:v>
                </c:pt>
                <c:pt idx="2">
                  <c:v>9.7199999999999989</c:v>
                </c:pt>
                <c:pt idx="3">
                  <c:v>18.103999999999999</c:v>
                </c:pt>
                <c:pt idx="4">
                  <c:v>18.198509999999999</c:v>
                </c:pt>
                <c:pt idx="5">
                  <c:v>15.052500000000009</c:v>
                </c:pt>
                <c:pt idx="6">
                  <c:v>19.362490000000008</c:v>
                </c:pt>
                <c:pt idx="7">
                  <c:v>20.536999999999978</c:v>
                </c:pt>
                <c:pt idx="8">
                  <c:v>6.9900000000000091</c:v>
                </c:pt>
                <c:pt idx="9">
                  <c:v>5.0086200000000076</c:v>
                </c:pt>
                <c:pt idx="10">
                  <c:v>3.532999999999987</c:v>
                </c:pt>
              </c:numCache>
            </c:numRef>
          </c:val>
        </c:ser>
        <c:ser>
          <c:idx val="1"/>
          <c:order val="1"/>
          <c:tx>
            <c:strRef>
              <c:f>'Gen capacity'!$D$65</c:f>
              <c:strCache>
                <c:ptCount val="1"/>
                <c:pt idx="0">
                  <c:v>Gas</c:v>
                </c:pt>
              </c:strCache>
            </c:strRef>
          </c:tx>
          <c:spPr>
            <a:solidFill>
              <a:srgbClr val="56B4DF"/>
            </a:solidFill>
            <a:ln>
              <a:noFill/>
            </a:ln>
            <a:effectLst/>
          </c:spPr>
          <c:invertIfNegative val="0"/>
          <c:cat>
            <c:strRef>
              <c:f>'Gen capacity'!$B$69:$B$79</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capacity'!$D$69:$D$79</c:f>
              <c:numCache>
                <c:formatCode>0.0</c:formatCode>
                <c:ptCount val="11"/>
                <c:pt idx="0">
                  <c:v>0.22040000000000148</c:v>
                </c:pt>
                <c:pt idx="1">
                  <c:v>2.1792399999999983</c:v>
                </c:pt>
                <c:pt idx="2">
                  <c:v>0.65049999999999741</c:v>
                </c:pt>
                <c:pt idx="3">
                  <c:v>0.67470000000000141</c:v>
                </c:pt>
                <c:pt idx="4">
                  <c:v>1.7287999999999997</c:v>
                </c:pt>
                <c:pt idx="5">
                  <c:v>1.6720000000000006</c:v>
                </c:pt>
                <c:pt idx="6">
                  <c:v>1.280300000000004</c:v>
                </c:pt>
                <c:pt idx="7">
                  <c:v>1.4464799999999975</c:v>
                </c:pt>
                <c:pt idx="8">
                  <c:v>0.82075000000000031</c:v>
                </c:pt>
                <c:pt idx="9">
                  <c:v>-0.43192000000000164</c:v>
                </c:pt>
                <c:pt idx="10">
                  <c:v>3.9760000000001128E-2</c:v>
                </c:pt>
              </c:numCache>
            </c:numRef>
          </c:val>
        </c:ser>
        <c:ser>
          <c:idx val="2"/>
          <c:order val="2"/>
          <c:tx>
            <c:strRef>
              <c:f>'Gen capacity'!$E$65</c:f>
              <c:strCache>
                <c:ptCount val="1"/>
                <c:pt idx="0">
                  <c:v>Diesel</c:v>
                </c:pt>
              </c:strCache>
            </c:strRef>
          </c:tx>
          <c:spPr>
            <a:solidFill>
              <a:srgbClr val="9ED9DF"/>
            </a:solidFill>
            <a:ln>
              <a:noFill/>
            </a:ln>
            <a:effectLst/>
          </c:spPr>
          <c:invertIfNegative val="0"/>
          <c:cat>
            <c:strRef>
              <c:f>'Gen capacity'!$B$69:$B$79</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capacity'!$E$69:$E$79</c:f>
              <c:numCache>
                <c:formatCode>0.0</c:formatCode>
                <c:ptCount val="11"/>
                <c:pt idx="0">
                  <c:v>-2.0000000000000018E-3</c:v>
                </c:pt>
                <c:pt idx="1">
                  <c:v>0</c:v>
                </c:pt>
                <c:pt idx="2">
                  <c:v>0</c:v>
                </c:pt>
                <c:pt idx="3">
                  <c:v>0</c:v>
                </c:pt>
                <c:pt idx="4">
                  <c:v>0</c:v>
                </c:pt>
                <c:pt idx="5">
                  <c:v>0</c:v>
                </c:pt>
                <c:pt idx="6">
                  <c:v>0</c:v>
                </c:pt>
                <c:pt idx="7">
                  <c:v>-0.20622000000000007</c:v>
                </c:pt>
                <c:pt idx="8">
                  <c:v>-0.15590000000000004</c:v>
                </c:pt>
                <c:pt idx="9">
                  <c:v>0</c:v>
                </c:pt>
                <c:pt idx="10">
                  <c:v>-0.19999999999999996</c:v>
                </c:pt>
              </c:numCache>
            </c:numRef>
          </c:val>
        </c:ser>
        <c:ser>
          <c:idx val="3"/>
          <c:order val="3"/>
          <c:tx>
            <c:strRef>
              <c:f>'Gen capacity'!$F$65</c:f>
              <c:strCache>
                <c:ptCount val="1"/>
                <c:pt idx="0">
                  <c:v>Nuclear</c:v>
                </c:pt>
              </c:strCache>
            </c:strRef>
          </c:tx>
          <c:spPr>
            <a:solidFill>
              <a:srgbClr val="BCBFC1"/>
            </a:solidFill>
            <a:ln>
              <a:noFill/>
            </a:ln>
            <a:effectLst/>
          </c:spPr>
          <c:invertIfNegative val="0"/>
          <c:cat>
            <c:strRef>
              <c:f>'Gen capacity'!$B$69:$B$79</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capacity'!$F$69:$F$79</c:f>
              <c:numCache>
                <c:formatCode>0.0</c:formatCode>
                <c:ptCount val="11"/>
                <c:pt idx="0">
                  <c:v>0</c:v>
                </c:pt>
                <c:pt idx="1">
                  <c:v>0.4399999999999995</c:v>
                </c:pt>
                <c:pt idx="2">
                  <c:v>0.22000000000000064</c:v>
                </c:pt>
                <c:pt idx="3">
                  <c:v>0</c:v>
                </c:pt>
                <c:pt idx="4">
                  <c:v>0</c:v>
                </c:pt>
                <c:pt idx="5">
                  <c:v>0</c:v>
                </c:pt>
                <c:pt idx="6">
                  <c:v>1</c:v>
                </c:pt>
                <c:pt idx="7">
                  <c:v>0</c:v>
                </c:pt>
                <c:pt idx="8">
                  <c:v>1</c:v>
                </c:pt>
                <c:pt idx="9">
                  <c:v>0</c:v>
                </c:pt>
                <c:pt idx="10">
                  <c:v>0</c:v>
                </c:pt>
              </c:numCache>
            </c:numRef>
          </c:val>
        </c:ser>
        <c:ser>
          <c:idx val="4"/>
          <c:order val="4"/>
          <c:tx>
            <c:strRef>
              <c:f>'Gen capacity'!$G$65</c:f>
              <c:strCache>
                <c:ptCount val="1"/>
                <c:pt idx="0">
                  <c:v>Hydro</c:v>
                </c:pt>
              </c:strCache>
            </c:strRef>
          </c:tx>
          <c:spPr>
            <a:solidFill>
              <a:srgbClr val="51B7A4"/>
            </a:solidFill>
            <a:ln>
              <a:noFill/>
            </a:ln>
            <a:effectLst/>
          </c:spPr>
          <c:invertIfNegative val="0"/>
          <c:cat>
            <c:strRef>
              <c:f>'Gen capacity'!$B$69:$B$79</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capacity'!$G$69:$G$79</c:f>
              <c:numCache>
                <c:formatCode>0.0</c:formatCode>
                <c:ptCount val="11"/>
                <c:pt idx="0">
                  <c:v>0.96900000000000119</c:v>
                </c:pt>
                <c:pt idx="1">
                  <c:v>-1.4360000000003481E-2</c:v>
                </c:pt>
                <c:pt idx="2">
                  <c:v>0.70400000000000063</c:v>
                </c:pt>
                <c:pt idx="3">
                  <c:v>1.4230000000000018</c:v>
                </c:pt>
                <c:pt idx="4">
                  <c:v>0.50099999999999767</c:v>
                </c:pt>
                <c:pt idx="5">
                  <c:v>1.0400100000000023</c:v>
                </c:pt>
                <c:pt idx="6">
                  <c:v>0.73601999999999634</c:v>
                </c:pt>
                <c:pt idx="7">
                  <c:v>1.5159900000000022</c:v>
                </c:pt>
                <c:pt idx="8">
                  <c:v>1.6950000000000003</c:v>
                </c:pt>
                <c:pt idx="9">
                  <c:v>0.81499999999999773</c:v>
                </c:pt>
                <c:pt idx="10">
                  <c:v>0.10580000000000211</c:v>
                </c:pt>
              </c:numCache>
            </c:numRef>
          </c:val>
        </c:ser>
        <c:ser>
          <c:idx val="5"/>
          <c:order val="5"/>
          <c:tx>
            <c:strRef>
              <c:f>'Gen capacity'!$H$65</c:f>
              <c:strCache>
                <c:ptCount val="1"/>
                <c:pt idx="0">
                  <c:v>Renewables</c:v>
                </c:pt>
              </c:strCache>
            </c:strRef>
          </c:tx>
          <c:spPr>
            <a:solidFill>
              <a:srgbClr val="0A7568"/>
            </a:solidFill>
            <a:ln>
              <a:noFill/>
            </a:ln>
            <a:effectLst/>
          </c:spPr>
          <c:invertIfNegative val="0"/>
          <c:cat>
            <c:strRef>
              <c:f>'Gen capacity'!$B$69:$B$79</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capacity'!$H$69:$H$79</c:f>
              <c:numCache>
                <c:formatCode>0.0</c:formatCode>
                <c:ptCount val="11"/>
                <c:pt idx="0">
                  <c:v>2.1169999999999991</c:v>
                </c:pt>
                <c:pt idx="1">
                  <c:v>2.2787000000000006</c:v>
                </c:pt>
                <c:pt idx="2">
                  <c:v>2.9334099999999985</c:v>
                </c:pt>
                <c:pt idx="3">
                  <c:v>6.0489300000000021</c:v>
                </c:pt>
                <c:pt idx="4">
                  <c:v>3.0382599999999975</c:v>
                </c:pt>
                <c:pt idx="5">
                  <c:v>7.4462900000000012</c:v>
                </c:pt>
                <c:pt idx="6">
                  <c:v>3.9711600000000047</c:v>
                </c:pt>
                <c:pt idx="7">
                  <c:v>6.9648799999999937</c:v>
                </c:pt>
                <c:pt idx="8">
                  <c:v>11.320190000000004</c:v>
                </c:pt>
                <c:pt idx="9">
                  <c:v>11.77816</c:v>
                </c:pt>
                <c:pt idx="10">
                  <c:v>8.6192400000000049</c:v>
                </c:pt>
              </c:numCache>
            </c:numRef>
          </c:val>
        </c:ser>
        <c:dLbls>
          <c:showLegendKey val="0"/>
          <c:showVal val="0"/>
          <c:showCatName val="0"/>
          <c:showSerName val="0"/>
          <c:showPercent val="0"/>
          <c:showBubbleSize val="0"/>
        </c:dLbls>
        <c:gapWidth val="150"/>
        <c:overlap val="100"/>
        <c:axId val="679236424"/>
        <c:axId val="587514168"/>
      </c:barChart>
      <c:catAx>
        <c:axId val="679236424"/>
        <c:scaling>
          <c:orientation val="minMax"/>
        </c:scaling>
        <c:delete val="0"/>
        <c:axPos val="b"/>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7514168"/>
        <c:crosses val="autoZero"/>
        <c:auto val="1"/>
        <c:lblAlgn val="ctr"/>
        <c:lblOffset val="100"/>
        <c:tickLblSkip val="2"/>
        <c:noMultiLvlLbl val="1"/>
      </c:catAx>
      <c:valAx>
        <c:axId val="587514168"/>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Change in capacity (GW)</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923642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'Gen capacity'!$C$42</c:f>
              <c:strCache>
                <c:ptCount val="1"/>
                <c:pt idx="0">
                  <c:v>Thermal coal</c:v>
                </c:pt>
              </c:strCache>
            </c:strRef>
          </c:tx>
          <c:spPr>
            <a:solidFill>
              <a:srgbClr val="005CAF"/>
            </a:solidFill>
            <a:ln>
              <a:noFill/>
            </a:ln>
            <a:effectLst/>
          </c:spPr>
          <c:invertIfNegative val="0"/>
          <c:cat>
            <c:strRef>
              <c:f>'Gen capacity'!$B$46:$B$56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capacity'!$C$46:$C$56</c:f>
              <c:numCache>
                <c:formatCode>0.0</c:formatCode>
                <c:ptCount val="11"/>
                <c:pt idx="0">
                  <c:v>77.648880000000005</c:v>
                </c:pt>
                <c:pt idx="1">
                  <c:v>84.19838</c:v>
                </c:pt>
                <c:pt idx="2">
                  <c:v>93.918379999999999</c:v>
                </c:pt>
                <c:pt idx="3">
                  <c:v>112.02238</c:v>
                </c:pt>
                <c:pt idx="4">
                  <c:v>130.22089</c:v>
                </c:pt>
                <c:pt idx="5">
                  <c:v>145.27339000000001</c:v>
                </c:pt>
                <c:pt idx="6">
                  <c:v>164.63588000000001</c:v>
                </c:pt>
                <c:pt idx="7">
                  <c:v>185.17287999999999</c:v>
                </c:pt>
                <c:pt idx="8">
                  <c:v>192.16288</c:v>
                </c:pt>
                <c:pt idx="9">
                  <c:v>197.17150000000001</c:v>
                </c:pt>
                <c:pt idx="10">
                  <c:v>200.7045</c:v>
                </c:pt>
              </c:numCache>
            </c:numRef>
          </c:val>
        </c:ser>
        <c:ser>
          <c:idx val="1"/>
          <c:order val="1"/>
          <c:tx>
            <c:strRef>
              <c:f>'Gen capacity'!$D$42</c:f>
              <c:strCache>
                <c:ptCount val="1"/>
                <c:pt idx="0">
                  <c:v>Gas</c:v>
                </c:pt>
              </c:strCache>
            </c:strRef>
          </c:tx>
          <c:spPr>
            <a:solidFill>
              <a:srgbClr val="56B4DF"/>
            </a:solidFill>
            <a:ln>
              <a:noFill/>
            </a:ln>
            <a:effectLst/>
          </c:spPr>
          <c:invertIfNegative val="0"/>
          <c:cat>
            <c:strRef>
              <c:f>'Gen capacity'!$B$46:$B$56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capacity'!$D$46:$D$56</c:f>
              <c:numCache>
                <c:formatCode>0.0</c:formatCode>
                <c:ptCount val="11"/>
                <c:pt idx="0">
                  <c:v>14.876610000000001</c:v>
                </c:pt>
                <c:pt idx="1">
                  <c:v>17.05585</c:v>
                </c:pt>
                <c:pt idx="2">
                  <c:v>17.706349999999997</c:v>
                </c:pt>
                <c:pt idx="3">
                  <c:v>18.381049999999998</c:v>
                </c:pt>
                <c:pt idx="4">
                  <c:v>20.109849999999998</c:v>
                </c:pt>
                <c:pt idx="5">
                  <c:v>21.781849999999999</c:v>
                </c:pt>
                <c:pt idx="6">
                  <c:v>23.062150000000003</c:v>
                </c:pt>
                <c:pt idx="7">
                  <c:v>24.50863</c:v>
                </c:pt>
                <c:pt idx="8">
                  <c:v>25.32938</c:v>
                </c:pt>
                <c:pt idx="9">
                  <c:v>24.897459999999999</c:v>
                </c:pt>
                <c:pt idx="10">
                  <c:v>24.93722</c:v>
                </c:pt>
              </c:numCache>
            </c:numRef>
          </c:val>
        </c:ser>
        <c:ser>
          <c:idx val="2"/>
          <c:order val="2"/>
          <c:tx>
            <c:strRef>
              <c:f>'Gen capacity'!$E$42</c:f>
              <c:strCache>
                <c:ptCount val="1"/>
                <c:pt idx="0">
                  <c:v>Diesel</c:v>
                </c:pt>
              </c:strCache>
            </c:strRef>
          </c:tx>
          <c:spPr>
            <a:solidFill>
              <a:srgbClr val="9ED9DF"/>
            </a:solidFill>
            <a:ln>
              <a:noFill/>
            </a:ln>
            <a:effectLst/>
          </c:spPr>
          <c:invertIfNegative val="0"/>
          <c:cat>
            <c:strRef>
              <c:f>'Gen capacity'!$B$46:$B$56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capacity'!$E$46:$E$56</c:f>
              <c:numCache>
                <c:formatCode>0.0</c:formatCode>
                <c:ptCount val="11"/>
                <c:pt idx="0">
                  <c:v>1.1997500000000001</c:v>
                </c:pt>
                <c:pt idx="1">
                  <c:v>1.1997500000000001</c:v>
                </c:pt>
                <c:pt idx="2">
                  <c:v>1.1997500000000001</c:v>
                </c:pt>
                <c:pt idx="3">
                  <c:v>1.1997500000000001</c:v>
                </c:pt>
                <c:pt idx="4">
                  <c:v>1.1997500000000001</c:v>
                </c:pt>
                <c:pt idx="5">
                  <c:v>1.1997500000000001</c:v>
                </c:pt>
                <c:pt idx="6">
                  <c:v>1.1997500000000001</c:v>
                </c:pt>
                <c:pt idx="7">
                  <c:v>0.99353000000000002</c:v>
                </c:pt>
                <c:pt idx="8">
                  <c:v>0.83762999999999999</c:v>
                </c:pt>
                <c:pt idx="9">
                  <c:v>0.83762999999999999</c:v>
                </c:pt>
                <c:pt idx="10">
                  <c:v>0.63763000000000003</c:v>
                </c:pt>
              </c:numCache>
            </c:numRef>
          </c:val>
        </c:ser>
        <c:ser>
          <c:idx val="3"/>
          <c:order val="3"/>
          <c:tx>
            <c:strRef>
              <c:f>'Gen capacity'!$F$42</c:f>
              <c:strCache>
                <c:ptCount val="1"/>
                <c:pt idx="0">
                  <c:v>Nuclear</c:v>
                </c:pt>
              </c:strCache>
            </c:strRef>
          </c:tx>
          <c:spPr>
            <a:solidFill>
              <a:srgbClr val="BCBFC1"/>
            </a:solidFill>
            <a:ln>
              <a:noFill/>
            </a:ln>
            <a:effectLst/>
          </c:spPr>
          <c:invertIfNegative val="0"/>
          <c:cat>
            <c:strRef>
              <c:f>'Gen capacity'!$B$46:$B$56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capacity'!$F$46:$F$56</c:f>
              <c:numCache>
                <c:formatCode>0.0</c:formatCode>
                <c:ptCount val="11"/>
                <c:pt idx="0">
                  <c:v>4.12</c:v>
                </c:pt>
                <c:pt idx="1">
                  <c:v>4.5599999999999996</c:v>
                </c:pt>
                <c:pt idx="2">
                  <c:v>4.78</c:v>
                </c:pt>
                <c:pt idx="3">
                  <c:v>4.78</c:v>
                </c:pt>
                <c:pt idx="4">
                  <c:v>4.78</c:v>
                </c:pt>
                <c:pt idx="5">
                  <c:v>4.78</c:v>
                </c:pt>
                <c:pt idx="6">
                  <c:v>5.78</c:v>
                </c:pt>
                <c:pt idx="7">
                  <c:v>5.78</c:v>
                </c:pt>
                <c:pt idx="8">
                  <c:v>6.78</c:v>
                </c:pt>
                <c:pt idx="9">
                  <c:v>6.78</c:v>
                </c:pt>
                <c:pt idx="10">
                  <c:v>6.78</c:v>
                </c:pt>
              </c:numCache>
            </c:numRef>
          </c:val>
        </c:ser>
        <c:ser>
          <c:idx val="4"/>
          <c:order val="4"/>
          <c:tx>
            <c:strRef>
              <c:f>'Gen capacity'!$G$42</c:f>
              <c:strCache>
                <c:ptCount val="1"/>
                <c:pt idx="0">
                  <c:v>Hydro</c:v>
                </c:pt>
              </c:strCache>
            </c:strRef>
          </c:tx>
          <c:spPr>
            <a:solidFill>
              <a:srgbClr val="51B7A4"/>
            </a:solidFill>
            <a:ln>
              <a:noFill/>
            </a:ln>
            <a:effectLst/>
          </c:spPr>
          <c:invertIfNegative val="0"/>
          <c:cat>
            <c:strRef>
              <c:f>'Gen capacity'!$B$46:$B$56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capacity'!$G$46:$G$56</c:f>
              <c:numCache>
                <c:formatCode>0.0</c:formatCode>
                <c:ptCount val="11"/>
                <c:pt idx="0">
                  <c:v>36.877760000000002</c:v>
                </c:pt>
                <c:pt idx="1">
                  <c:v>36.863399999999999</c:v>
                </c:pt>
                <c:pt idx="2">
                  <c:v>37.567399999999999</c:v>
                </c:pt>
                <c:pt idx="3">
                  <c:v>38.990400000000001</c:v>
                </c:pt>
                <c:pt idx="4">
                  <c:v>39.491399999999999</c:v>
                </c:pt>
                <c:pt idx="5">
                  <c:v>40.531410000000001</c:v>
                </c:pt>
                <c:pt idx="6">
                  <c:v>41.267429999999997</c:v>
                </c:pt>
                <c:pt idx="7">
                  <c:v>42.78342</c:v>
                </c:pt>
                <c:pt idx="8">
                  <c:v>44.47842</c:v>
                </c:pt>
                <c:pt idx="9">
                  <c:v>45.293419999999998</c:v>
                </c:pt>
                <c:pt idx="10">
                  <c:v>45.39922</c:v>
                </c:pt>
              </c:numCache>
            </c:numRef>
          </c:val>
        </c:ser>
        <c:ser>
          <c:idx val="5"/>
          <c:order val="5"/>
          <c:tx>
            <c:strRef>
              <c:f>'Gen capacity'!$H$42</c:f>
              <c:strCache>
                <c:ptCount val="1"/>
                <c:pt idx="0">
                  <c:v>Renewables</c:v>
                </c:pt>
              </c:strCache>
            </c:strRef>
          </c:tx>
          <c:spPr>
            <a:solidFill>
              <a:srgbClr val="0A7568"/>
            </a:solidFill>
            <a:ln>
              <a:noFill/>
            </a:ln>
            <a:effectLst/>
          </c:spPr>
          <c:invertIfNegative val="0"/>
          <c:cat>
            <c:strRef>
              <c:f>'Gen capacity'!$B$46:$B$56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'Gen capacity'!$H$46:$H$56</c:f>
              <c:numCache>
                <c:formatCode>0.0</c:formatCode>
                <c:ptCount val="11"/>
                <c:pt idx="0">
                  <c:v>13.24241</c:v>
                </c:pt>
                <c:pt idx="1">
                  <c:v>15.52111</c:v>
                </c:pt>
                <c:pt idx="2">
                  <c:v>18.454519999999999</c:v>
                </c:pt>
                <c:pt idx="3">
                  <c:v>24.503450000000001</c:v>
                </c:pt>
                <c:pt idx="4">
                  <c:v>27.541709999999998</c:v>
                </c:pt>
                <c:pt idx="5">
                  <c:v>34.988</c:v>
                </c:pt>
                <c:pt idx="6">
                  <c:v>38.959160000000004</c:v>
                </c:pt>
                <c:pt idx="7">
                  <c:v>45.924039999999998</c:v>
                </c:pt>
                <c:pt idx="8">
                  <c:v>57.244230000000002</c:v>
                </c:pt>
                <c:pt idx="9">
                  <c:v>69.022390000000001</c:v>
                </c:pt>
                <c:pt idx="10">
                  <c:v>77.641630000000006</c:v>
                </c:pt>
              </c:numCache>
            </c:numRef>
          </c:val>
        </c:ser>
        <c:dLbls>
          <c:showLegendKey val="0"/>
          <c:showVal val="0"/>
          <c:showCatName val="0"/>
          <c:showSerName val="0"/>
          <c:showPercent val="0"/>
          <c:showBubbleSize val="0"/>
        </c:dLbls>
        <c:gapWidth val="150"/>
        <c:overlap val="100"/>
        <c:axId val="870028184"/>
        <c:axId val="870025440"/>
      </c:barChart>
      <c:catAx>
        <c:axId val="870028184"/>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70025440"/>
        <c:crosses val="autoZero"/>
        <c:auto val="1"/>
        <c:lblAlgn val="ctr"/>
        <c:lblOffset val="100"/>
        <c:tickLblSkip val="2"/>
        <c:noMultiLvlLbl val="1"/>
      </c:catAx>
      <c:valAx>
        <c:axId val="870025440"/>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Capacity (GW)</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87002818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4076344095357"/>
          <c:y val="6.4686856806821527E-2"/>
          <c:w val="0.79541848614016963"/>
          <c:h val="0.68550426345192594"/>
        </c:manualLayout>
      </c:layout>
      <c:barChart>
        <c:barDir val="bar"/>
        <c:grouping val="clustered"/>
        <c:varyColors val="0"/>
        <c:ser>
          <c:idx val="0"/>
          <c:order val="0"/>
          <c:spPr>
            <a:solidFill>
              <a:schemeClr val="accent1"/>
            </a:solidFill>
            <a:ln>
              <a:noFill/>
            </a:ln>
            <a:effectLst/>
          </c:spPr>
          <c:invertIfNegative val="0"/>
          <c:cat>
            <c:strRef>
              <c:f>Sheet1!$A$4:$A$11</c:f>
              <c:strCache>
                <c:ptCount val="8"/>
                <c:pt idx="0">
                  <c:v>United States</c:v>
                </c:pt>
                <c:pt idx="1">
                  <c:v>Russia</c:v>
                </c:pt>
                <c:pt idx="2">
                  <c:v>Australia</c:v>
                </c:pt>
                <c:pt idx="3">
                  <c:v>China</c:v>
                </c:pt>
                <c:pt idx="4">
                  <c:v>India</c:v>
                </c:pt>
                <c:pt idx="5">
                  <c:v>Indonesia</c:v>
                </c:pt>
                <c:pt idx="6">
                  <c:v>Greece</c:v>
                </c:pt>
                <c:pt idx="7">
                  <c:v>Ukraine</c:v>
                </c:pt>
              </c:strCache>
            </c:strRef>
          </c:cat>
          <c:val>
            <c:numRef>
              <c:f>Sheet1!$B$4:$B$11</c:f>
              <c:numCache>
                <c:formatCode>General</c:formatCode>
                <c:ptCount val="8"/>
                <c:pt idx="0">
                  <c:v>250.2</c:v>
                </c:pt>
                <c:pt idx="1">
                  <c:v>160.4</c:v>
                </c:pt>
                <c:pt idx="2">
                  <c:v>147.4</c:v>
                </c:pt>
                <c:pt idx="3">
                  <c:v>138.80000000000001</c:v>
                </c:pt>
                <c:pt idx="4">
                  <c:v>101.4</c:v>
                </c:pt>
                <c:pt idx="5">
                  <c:v>37</c:v>
                </c:pt>
                <c:pt idx="6">
                  <c:v>36.1</c:v>
                </c:pt>
                <c:pt idx="7">
                  <c:v>34.4</c:v>
                </c:pt>
              </c:numCache>
            </c:numRef>
          </c:val>
        </c:ser>
        <c:dLbls>
          <c:showLegendKey val="0"/>
          <c:showVal val="0"/>
          <c:showCatName val="0"/>
          <c:showSerName val="0"/>
          <c:showPercent val="0"/>
          <c:showBubbleSize val="0"/>
        </c:dLbls>
        <c:gapWidth val="182"/>
        <c:axId val="696380088"/>
        <c:axId val="696382832"/>
      </c:barChart>
      <c:catAx>
        <c:axId val="696380088"/>
        <c:scaling>
          <c:orientation val="minMax"/>
        </c:scaling>
        <c:delete val="0"/>
        <c:axPos val="l"/>
        <c:numFmt formatCode="General" sourceLinked="1"/>
        <c:majorTickMark val="out"/>
        <c:minorTickMark val="none"/>
        <c:tickLblPos val="nextTo"/>
        <c:spPr>
          <a:noFill/>
          <a:ln w="317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mn-lt"/>
                <a:ea typeface="+mn-ea"/>
                <a:cs typeface="+mn-cs"/>
              </a:defRPr>
            </a:pPr>
            <a:endParaRPr lang="en-US"/>
          </a:p>
        </c:txPr>
        <c:crossAx val="696382832"/>
        <c:crosses val="autoZero"/>
        <c:auto val="1"/>
        <c:lblAlgn val="ctr"/>
        <c:lblOffset val="100"/>
        <c:noMultiLvlLbl val="0"/>
      </c:catAx>
      <c:valAx>
        <c:axId val="696382832"/>
        <c:scaling>
          <c:orientation val="minMax"/>
          <c:max val="27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rgbClr val="373737"/>
                    </a:solidFill>
                    <a:latin typeface="+mn-lt"/>
                    <a:ea typeface="+mn-ea"/>
                    <a:cs typeface="+mn-cs"/>
                  </a:defRPr>
                </a:pPr>
                <a:r>
                  <a:rPr lang="en-AU"/>
                  <a:t>Billion tonnes</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373737"/>
                  </a:solidFill>
                  <a:latin typeface="+mn-lt"/>
                  <a:ea typeface="+mn-ea"/>
                  <a:cs typeface="+mn-cs"/>
                </a:defRPr>
              </a:pPr>
              <a:endParaRPr lang="en-US"/>
            </a:p>
          </c:txPr>
        </c:title>
        <c:numFmt formatCode="#,##0" sourceLinked="0"/>
        <c:majorTickMark val="out"/>
        <c:minorTickMark val="none"/>
        <c:tickLblPos val="nextTo"/>
        <c:spPr>
          <a:noFill/>
          <a:ln w="3175">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rgbClr val="373737"/>
                </a:solidFill>
                <a:latin typeface="+mn-lt"/>
                <a:ea typeface="+mn-ea"/>
                <a:cs typeface="+mn-cs"/>
              </a:defRPr>
            </a:pPr>
            <a:endParaRPr lang="en-US"/>
          </a:p>
        </c:txPr>
        <c:crossAx val="696380088"/>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373737"/>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820451605622"/>
          <c:y val="5.0925925925925923E-2"/>
          <c:w val="0.82423564750106348"/>
          <c:h val="0.74433107319918346"/>
        </c:manualLayout>
      </c:layout>
      <c:areaChart>
        <c:grouping val="standard"/>
        <c:varyColors val="0"/>
        <c:ser>
          <c:idx val="1"/>
          <c:order val="1"/>
          <c:tx>
            <c:v>Consumption</c:v>
          </c:tx>
          <c:spPr>
            <a:solidFill>
              <a:srgbClr val="DEE8F1"/>
            </a:solidFill>
            <a:ln>
              <a:solidFill>
                <a:srgbClr val="DEE8F1"/>
              </a:solidFill>
              <a:prstDash val="solid"/>
            </a:ln>
            <a:effectLst/>
          </c:spPr>
          <c:cat>
            <c:strRef>
              <c:f>'IEA historical'!$B$3:$AP$3</c:f>
              <c:strCache>
                <c:ptCount val="41"/>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strCache>
            </c:strRef>
          </c:cat>
          <c:val>
            <c:numRef>
              <c:f>'IEA historical'!$B$11:$AP$11</c:f>
              <c:numCache>
                <c:formatCode>#,##0</c:formatCode>
                <c:ptCount val="41"/>
                <c:pt idx="0">
                  <c:v>73272</c:v>
                </c:pt>
                <c:pt idx="1">
                  <c:v>81874</c:v>
                </c:pt>
                <c:pt idx="2">
                  <c:v>87296</c:v>
                </c:pt>
                <c:pt idx="3">
                  <c:v>97356</c:v>
                </c:pt>
                <c:pt idx="4">
                  <c:v>99495</c:v>
                </c:pt>
                <c:pt idx="5">
                  <c:v>107410</c:v>
                </c:pt>
                <c:pt idx="6">
                  <c:v>115349</c:v>
                </c:pt>
                <c:pt idx="7">
                  <c:v>120167</c:v>
                </c:pt>
                <c:pt idx="8">
                  <c:v>126090</c:v>
                </c:pt>
                <c:pt idx="9">
                  <c:v>135324</c:v>
                </c:pt>
                <c:pt idx="10">
                  <c:v>146454</c:v>
                </c:pt>
                <c:pt idx="11">
                  <c:v>154162</c:v>
                </c:pt>
                <c:pt idx="12">
                  <c:v>166231</c:v>
                </c:pt>
                <c:pt idx="13">
                  <c:v>182954</c:v>
                </c:pt>
                <c:pt idx="14">
                  <c:v>192624</c:v>
                </c:pt>
                <c:pt idx="15">
                  <c:v>203329</c:v>
                </c:pt>
                <c:pt idx="16">
                  <c:v>212662</c:v>
                </c:pt>
                <c:pt idx="17">
                  <c:v>233168</c:v>
                </c:pt>
                <c:pt idx="18">
                  <c:v>248737</c:v>
                </c:pt>
                <c:pt idx="19">
                  <c:v>257256</c:v>
                </c:pt>
                <c:pt idx="20">
                  <c:v>259900</c:v>
                </c:pt>
                <c:pt idx="21">
                  <c:v>283229</c:v>
                </c:pt>
                <c:pt idx="22">
                  <c:v>296333</c:v>
                </c:pt>
                <c:pt idx="23">
                  <c:v>309929</c:v>
                </c:pt>
                <c:pt idx="24">
                  <c:v>321055</c:v>
                </c:pt>
                <c:pt idx="25">
                  <c:v>331307</c:v>
                </c:pt>
                <c:pt idx="26">
                  <c:v>370941</c:v>
                </c:pt>
                <c:pt idx="27">
                  <c:v>394230</c:v>
                </c:pt>
                <c:pt idx="28">
                  <c:v>421329</c:v>
                </c:pt>
                <c:pt idx="29">
                  <c:v>456808</c:v>
                </c:pt>
                <c:pt idx="30">
                  <c:v>495987</c:v>
                </c:pt>
                <c:pt idx="31">
                  <c:v>553355</c:v>
                </c:pt>
                <c:pt idx="32">
                  <c:v>570781</c:v>
                </c:pt>
                <c:pt idx="33">
                  <c:v>591334</c:v>
                </c:pt>
                <c:pt idx="34">
                  <c:v>647361</c:v>
                </c:pt>
                <c:pt idx="35">
                  <c:v>668344</c:v>
                </c:pt>
                <c:pt idx="36">
                  <c:v>744936</c:v>
                </c:pt>
                <c:pt idx="37">
                  <c:v>745153</c:v>
                </c:pt>
                <c:pt idx="38">
                  <c:v>755004</c:v>
                </c:pt>
                <c:pt idx="39">
                  <c:v>805639</c:v>
                </c:pt>
              </c:numCache>
            </c:numRef>
          </c:val>
        </c:ser>
        <c:dLbls>
          <c:showLegendKey val="0"/>
          <c:showVal val="0"/>
          <c:showCatName val="0"/>
          <c:showSerName val="0"/>
          <c:showPercent val="0"/>
          <c:showBubbleSize val="0"/>
        </c:dLbls>
        <c:axId val="676250432"/>
        <c:axId val="676252784"/>
      </c:areaChart>
      <c:lineChart>
        <c:grouping val="standard"/>
        <c:varyColors val="0"/>
        <c:ser>
          <c:idx val="0"/>
          <c:order val="0"/>
          <c:tx>
            <c:v>Production</c:v>
          </c:tx>
          <c:spPr>
            <a:ln w="28575" cap="rnd" cmpd="sng" algn="ctr">
              <a:solidFill>
                <a:srgbClr val="005CAF"/>
              </a:solidFill>
              <a:prstDash val="solid"/>
              <a:round/>
              <a:headEnd type="none" w="med" len="med"/>
              <a:tailEnd type="none" w="med" len="med"/>
            </a:ln>
            <a:effectLst/>
          </c:spPr>
          <c:marker>
            <c:symbol val="none"/>
          </c:marker>
          <c:cat>
            <c:strRef>
              <c:f>'IEA historical'!$B$2:$AP$2</c:f>
              <c:strCache>
                <c:ptCount val="41"/>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pt idx="39">
                  <c:v>2017–18</c:v>
                </c:pt>
                <c:pt idx="40">
                  <c:v>2018–19</c:v>
                </c:pt>
              </c:strCache>
            </c:strRef>
          </c:cat>
          <c:val>
            <c:numRef>
              <c:f>'IEA historical'!$B$6:$AP$6</c:f>
              <c:numCache>
                <c:formatCode>#,##0</c:formatCode>
                <c:ptCount val="41"/>
                <c:pt idx="0">
                  <c:v>79430</c:v>
                </c:pt>
                <c:pt idx="1">
                  <c:v>80450</c:v>
                </c:pt>
                <c:pt idx="2">
                  <c:v>87060</c:v>
                </c:pt>
                <c:pt idx="3">
                  <c:v>93980</c:v>
                </c:pt>
                <c:pt idx="4">
                  <c:v>100190</c:v>
                </c:pt>
                <c:pt idx="5">
                  <c:v>108020</c:v>
                </c:pt>
                <c:pt idx="6">
                  <c:v>110910</c:v>
                </c:pt>
                <c:pt idx="7">
                  <c:v>118590</c:v>
                </c:pt>
                <c:pt idx="8">
                  <c:v>126240</c:v>
                </c:pt>
                <c:pt idx="9">
                  <c:v>138710</c:v>
                </c:pt>
                <c:pt idx="10">
                  <c:v>151880</c:v>
                </c:pt>
                <c:pt idx="11">
                  <c:v>156460</c:v>
                </c:pt>
                <c:pt idx="12">
                  <c:v>169285</c:v>
                </c:pt>
                <c:pt idx="13">
                  <c:v>186921</c:v>
                </c:pt>
                <c:pt idx="14">
                  <c:v>196788</c:v>
                </c:pt>
                <c:pt idx="15">
                  <c:v>204028</c:v>
                </c:pt>
                <c:pt idx="16">
                  <c:v>215800</c:v>
                </c:pt>
                <c:pt idx="17">
                  <c:v>233501</c:v>
                </c:pt>
                <c:pt idx="18">
                  <c:v>248781</c:v>
                </c:pt>
                <c:pt idx="19">
                  <c:v>256560</c:v>
                </c:pt>
                <c:pt idx="20">
                  <c:v>257332</c:v>
                </c:pt>
                <c:pt idx="21">
                  <c:v>271120</c:v>
                </c:pt>
                <c:pt idx="22">
                  <c:v>282796</c:v>
                </c:pt>
                <c:pt idx="23">
                  <c:v>299119</c:v>
                </c:pt>
                <c:pt idx="24">
                  <c:v>311077</c:v>
                </c:pt>
                <c:pt idx="25">
                  <c:v>331845</c:v>
                </c:pt>
                <c:pt idx="26">
                  <c:v>352391</c:v>
                </c:pt>
                <c:pt idx="27">
                  <c:v>375528</c:v>
                </c:pt>
                <c:pt idx="28">
                  <c:v>398735</c:v>
                </c:pt>
                <c:pt idx="29">
                  <c:v>422627</c:v>
                </c:pt>
                <c:pt idx="30">
                  <c:v>457948</c:v>
                </c:pt>
                <c:pt idx="31">
                  <c:v>487629</c:v>
                </c:pt>
                <c:pt idx="32">
                  <c:v>483147</c:v>
                </c:pt>
                <c:pt idx="33">
                  <c:v>488290</c:v>
                </c:pt>
                <c:pt idx="34">
                  <c:v>504820</c:v>
                </c:pt>
                <c:pt idx="35">
                  <c:v>508947</c:v>
                </c:pt>
                <c:pt idx="36">
                  <c:v>551733</c:v>
                </c:pt>
                <c:pt idx="37">
                  <c:v>578343</c:v>
                </c:pt>
                <c:pt idx="38">
                  <c:v>601131</c:v>
                </c:pt>
                <c:pt idx="39">
                  <c:v>635558</c:v>
                </c:pt>
                <c:pt idx="40">
                  <c:v>683000</c:v>
                </c:pt>
              </c:numCache>
            </c:numRef>
          </c:val>
          <c:smooth val="0"/>
        </c:ser>
        <c:dLbls>
          <c:showLegendKey val="0"/>
          <c:showVal val="0"/>
          <c:showCatName val="0"/>
          <c:showSerName val="0"/>
          <c:showPercent val="0"/>
          <c:showBubbleSize val="0"/>
        </c:dLbls>
        <c:marker val="1"/>
        <c:smooth val="0"/>
        <c:axId val="676250432"/>
        <c:axId val="676252784"/>
      </c:lineChart>
      <c:catAx>
        <c:axId val="676250432"/>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52784"/>
        <c:crosses val="autoZero"/>
        <c:auto val="1"/>
        <c:lblAlgn val="ctr"/>
        <c:lblOffset val="100"/>
        <c:tickLblSkip val="10"/>
        <c:tickMarkSkip val="10"/>
        <c:noMultiLvlLbl val="0"/>
      </c:catAx>
      <c:valAx>
        <c:axId val="67625278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50432"/>
        <c:crosses val="autoZero"/>
        <c:crossBetween val="between"/>
        <c:majorUnit val="300000"/>
        <c:dispUnits>
          <c:builtInUnit val="thousands"/>
        </c:dispUnits>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'IHS coal production source regi'!$A$21</c:f>
              <c:strCache>
                <c:ptCount val="1"/>
                <c:pt idx="0">
                  <c:v>Coal India</c:v>
                </c:pt>
              </c:strCache>
            </c:strRef>
          </c:tx>
          <c:spPr>
            <a:solidFill>
              <a:srgbClr val="005CAF"/>
            </a:solidFill>
            <a:ln>
              <a:noFill/>
            </a:ln>
            <a:effectLst/>
          </c:spPr>
          <c:invertIfNegative val="0"/>
          <c:cat>
            <c:strRef>
              <c:f>'IHS coal production source regi'!$B$18:$O$18</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strCache>
            </c:strRef>
          </c:cat>
          <c:val>
            <c:numRef>
              <c:f>'IHS coal production source regi'!$B$21:$O$21</c:f>
              <c:numCache>
                <c:formatCode>0</c:formatCode>
                <c:ptCount val="14"/>
                <c:pt idx="0">
                  <c:v>318</c:v>
                </c:pt>
                <c:pt idx="1">
                  <c:v>337</c:v>
                </c:pt>
                <c:pt idx="2">
                  <c:v>353.29599999999999</c:v>
                </c:pt>
                <c:pt idx="3">
                  <c:v>377.18799999999999</c:v>
                </c:pt>
                <c:pt idx="4">
                  <c:v>395.13200000000001</c:v>
                </c:pt>
                <c:pt idx="5">
                  <c:v>389.99099999999999</c:v>
                </c:pt>
                <c:pt idx="6">
                  <c:v>394.00979338842978</c:v>
                </c:pt>
                <c:pt idx="7">
                  <c:v>407.49754211122371</c:v>
                </c:pt>
                <c:pt idx="8">
                  <c:v>429.5830560290874</c:v>
                </c:pt>
                <c:pt idx="9">
                  <c:v>443.26785000000007</c:v>
                </c:pt>
                <c:pt idx="10">
                  <c:v>482.31995000000001</c:v>
                </c:pt>
                <c:pt idx="11">
                  <c:v>495.33943045552991</c:v>
                </c:pt>
                <c:pt idx="12">
                  <c:v>527.65600000000006</c:v>
                </c:pt>
                <c:pt idx="13">
                  <c:v>565.26423299219061</c:v>
                </c:pt>
              </c:numCache>
            </c:numRef>
          </c:val>
        </c:ser>
        <c:ser>
          <c:idx val="1"/>
          <c:order val="1"/>
          <c:tx>
            <c:strRef>
              <c:f>'IHS coal production source regi'!$A$22</c:f>
              <c:strCache>
                <c:ptCount val="1"/>
                <c:pt idx="0">
                  <c:v>SCCL</c:v>
                </c:pt>
              </c:strCache>
            </c:strRef>
          </c:tx>
          <c:spPr>
            <a:solidFill>
              <a:srgbClr val="56B4DF"/>
            </a:solidFill>
            <a:ln>
              <a:noFill/>
            </a:ln>
            <a:effectLst/>
          </c:spPr>
          <c:invertIfNegative val="0"/>
          <c:cat>
            <c:strRef>
              <c:f>'IHS coal production source regi'!$B$18:$O$18</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strCache>
            </c:strRef>
          </c:cat>
          <c:val>
            <c:numRef>
              <c:f>'IHS coal production source regi'!$B$22:$O$22</c:f>
              <c:numCache>
                <c:formatCode>0</c:formatCode>
                <c:ptCount val="14"/>
                <c:pt idx="0">
                  <c:v>36.137999999999998</c:v>
                </c:pt>
                <c:pt idx="1">
                  <c:v>37.707000000000001</c:v>
                </c:pt>
                <c:pt idx="2">
                  <c:v>40.603999999999999</c:v>
                </c:pt>
                <c:pt idx="3">
                  <c:v>44.545999999999999</c:v>
                </c:pt>
                <c:pt idx="4">
                  <c:v>50.429000000000002</c:v>
                </c:pt>
                <c:pt idx="5">
                  <c:v>51.332999999999998</c:v>
                </c:pt>
                <c:pt idx="6">
                  <c:v>52.223206611570241</c:v>
                </c:pt>
                <c:pt idx="7">
                  <c:v>52.929333611491927</c:v>
                </c:pt>
                <c:pt idx="8">
                  <c:v>47.829013351612325</c:v>
                </c:pt>
                <c:pt idx="9">
                  <c:v>52.54</c:v>
                </c:pt>
                <c:pt idx="10">
                  <c:v>59.339999999999996</c:v>
                </c:pt>
                <c:pt idx="11">
                  <c:v>60.420569544470155</c:v>
                </c:pt>
                <c:pt idx="12">
                  <c:v>61.98</c:v>
                </c:pt>
                <c:pt idx="13">
                  <c:v>64.913984543115191</c:v>
                </c:pt>
              </c:numCache>
            </c:numRef>
          </c:val>
        </c:ser>
        <c:ser>
          <c:idx val="2"/>
          <c:order val="2"/>
          <c:tx>
            <c:strRef>
              <c:f>'IHS coal production source regi'!$A$23</c:f>
              <c:strCache>
                <c:ptCount val="1"/>
                <c:pt idx="0">
                  <c:v>Captive</c:v>
                </c:pt>
              </c:strCache>
            </c:strRef>
          </c:tx>
          <c:spPr>
            <a:solidFill>
              <a:srgbClr val="9ED9DF"/>
            </a:solidFill>
            <a:ln>
              <a:noFill/>
            </a:ln>
            <a:effectLst/>
          </c:spPr>
          <c:invertIfNegative val="0"/>
          <c:cat>
            <c:strRef>
              <c:f>'IHS coal production source regi'!$B$18:$O$18</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strCache>
            </c:strRef>
          </c:cat>
          <c:val>
            <c:numRef>
              <c:f>'IHS coal production source regi'!$B$23:$O$23</c:f>
              <c:numCache>
                <c:formatCode>0</c:formatCode>
                <c:ptCount val="14"/>
                <c:pt idx="0">
                  <c:v>21.389999999999965</c:v>
                </c:pt>
                <c:pt idx="1">
                  <c:v>24.028000000000013</c:v>
                </c:pt>
                <c:pt idx="2">
                  <c:v>28.727000000000018</c:v>
                </c:pt>
                <c:pt idx="3">
                  <c:v>36.213999999999992</c:v>
                </c:pt>
                <c:pt idx="4">
                  <c:v>42.067999999999955</c:v>
                </c:pt>
                <c:pt idx="5">
                  <c:v>41.822999999999951</c:v>
                </c:pt>
                <c:pt idx="6">
                  <c:v>35.849999999999994</c:v>
                </c:pt>
                <c:pt idx="7">
                  <c:v>43.61512427728438</c:v>
                </c:pt>
                <c:pt idx="8">
                  <c:v>41.62193061930023</c:v>
                </c:pt>
                <c:pt idx="9">
                  <c:v>58.543150000000004</c:v>
                </c:pt>
                <c:pt idx="10">
                  <c:v>38.607050000000001</c:v>
                </c:pt>
                <c:pt idx="11">
                  <c:v>43.510000000000005</c:v>
                </c:pt>
                <c:pt idx="12">
                  <c:v>44.76</c:v>
                </c:pt>
                <c:pt idx="13">
                  <c:v>52.583137606995173</c:v>
                </c:pt>
              </c:numCache>
            </c:numRef>
          </c:val>
        </c:ser>
        <c:dLbls>
          <c:showLegendKey val="0"/>
          <c:showVal val="0"/>
          <c:showCatName val="0"/>
          <c:showSerName val="0"/>
          <c:showPercent val="0"/>
          <c:showBubbleSize val="0"/>
        </c:dLbls>
        <c:gapWidth val="219"/>
        <c:overlap val="100"/>
        <c:axId val="676253176"/>
        <c:axId val="676249648"/>
      </c:barChart>
      <c:catAx>
        <c:axId val="676253176"/>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49648"/>
        <c:crosses val="autoZero"/>
        <c:auto val="1"/>
        <c:lblAlgn val="ctr"/>
        <c:lblOffset val="100"/>
        <c:tickLblSkip val="2"/>
        <c:noMultiLvlLbl val="0"/>
      </c:catAx>
      <c:valAx>
        <c:axId val="676249648"/>
        <c:scaling>
          <c:orientation val="minMax"/>
          <c:max val="700"/>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53176"/>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v>Thermal coal</c:v>
          </c:tx>
          <c:spPr>
            <a:solidFill>
              <a:srgbClr val="005CAF"/>
            </a:solidFill>
            <a:ln w="25400">
              <a:noFill/>
            </a:ln>
            <a:effectLst/>
          </c:spPr>
          <c:cat>
            <c:strRef>
              <c:f>'IEA historical'!$B$2:$AP$2</c:f>
              <c:strCache>
                <c:ptCount val="41"/>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pt idx="39">
                  <c:v>2017–18</c:v>
                </c:pt>
                <c:pt idx="40">
                  <c:v>2018–19</c:v>
                </c:pt>
              </c:strCache>
            </c:strRef>
          </c:cat>
          <c:val>
            <c:numRef>
              <c:f>'IEA historical'!$B$8:$AP$8</c:f>
              <c:numCache>
                <c:formatCode>#,##0</c:formatCode>
                <c:ptCount val="41"/>
                <c:pt idx="0">
                  <c:v>0</c:v>
                </c:pt>
                <c:pt idx="1">
                  <c:v>0</c:v>
                </c:pt>
                <c:pt idx="2">
                  <c:v>0</c:v>
                </c:pt>
                <c:pt idx="3">
                  <c:v>0</c:v>
                </c:pt>
                <c:pt idx="4">
                  <c:v>0</c:v>
                </c:pt>
                <c:pt idx="5">
                  <c:v>0</c:v>
                </c:pt>
                <c:pt idx="6">
                  <c:v>0</c:v>
                </c:pt>
                <c:pt idx="7">
                  <c:v>0</c:v>
                </c:pt>
                <c:pt idx="8">
                  <c:v>0</c:v>
                </c:pt>
                <c:pt idx="9">
                  <c:v>0</c:v>
                </c:pt>
                <c:pt idx="10">
                  <c:v>0</c:v>
                </c:pt>
                <c:pt idx="11">
                  <c:v>0</c:v>
                </c:pt>
                <c:pt idx="12">
                  <c:v>192</c:v>
                </c:pt>
                <c:pt idx="13">
                  <c:v>0</c:v>
                </c:pt>
                <c:pt idx="14">
                  <c:v>170</c:v>
                </c:pt>
                <c:pt idx="15">
                  <c:v>394</c:v>
                </c:pt>
                <c:pt idx="16">
                  <c:v>682</c:v>
                </c:pt>
                <c:pt idx="17">
                  <c:v>3134</c:v>
                </c:pt>
                <c:pt idx="18">
                  <c:v>2558</c:v>
                </c:pt>
                <c:pt idx="19">
                  <c:v>4695</c:v>
                </c:pt>
                <c:pt idx="20">
                  <c:v>6512</c:v>
                </c:pt>
                <c:pt idx="21">
                  <c:v>8708</c:v>
                </c:pt>
                <c:pt idx="22">
                  <c:v>9867</c:v>
                </c:pt>
                <c:pt idx="23">
                  <c:v>9441</c:v>
                </c:pt>
                <c:pt idx="24">
                  <c:v>10313</c:v>
                </c:pt>
                <c:pt idx="25">
                  <c:v>8691</c:v>
                </c:pt>
                <c:pt idx="26">
                  <c:v>12025</c:v>
                </c:pt>
                <c:pt idx="27">
                  <c:v>21695</c:v>
                </c:pt>
                <c:pt idx="28">
                  <c:v>25204</c:v>
                </c:pt>
                <c:pt idx="29">
                  <c:v>27765</c:v>
                </c:pt>
                <c:pt idx="30">
                  <c:v>39837</c:v>
                </c:pt>
                <c:pt idx="31">
                  <c:v>65016</c:v>
                </c:pt>
                <c:pt idx="32">
                  <c:v>87123</c:v>
                </c:pt>
                <c:pt idx="33">
                  <c:v>101098</c:v>
                </c:pt>
                <c:pt idx="34">
                  <c:v>128935</c:v>
                </c:pt>
                <c:pt idx="35">
                  <c:v>148486</c:v>
                </c:pt>
                <c:pt idx="36">
                  <c:v>190727</c:v>
                </c:pt>
                <c:pt idx="37">
                  <c:v>164660</c:v>
                </c:pt>
                <c:pt idx="38">
                  <c:v>146601</c:v>
                </c:pt>
                <c:pt idx="39">
                  <c:v>161269</c:v>
                </c:pt>
                <c:pt idx="40">
                  <c:v>173000</c:v>
                </c:pt>
              </c:numCache>
            </c:numRef>
          </c:val>
        </c:ser>
        <c:ser>
          <c:idx val="0"/>
          <c:order val="1"/>
          <c:tx>
            <c:v>Metallurgical coal</c:v>
          </c:tx>
          <c:spPr>
            <a:solidFill>
              <a:srgbClr val="56B4DF"/>
            </a:solidFill>
            <a:ln>
              <a:noFill/>
            </a:ln>
            <a:effectLst/>
          </c:spPr>
          <c:cat>
            <c:strRef>
              <c:f>'IEA historical'!$B$2:$AP$2</c:f>
              <c:strCache>
                <c:ptCount val="41"/>
                <c:pt idx="0">
                  <c:v>1978–79</c:v>
                </c:pt>
                <c:pt idx="1">
                  <c:v>1979–80</c:v>
                </c:pt>
                <c:pt idx="2">
                  <c:v>1980–81</c:v>
                </c:pt>
                <c:pt idx="3">
                  <c:v>1981–82</c:v>
                </c:pt>
                <c:pt idx="4">
                  <c:v>1982–83</c:v>
                </c:pt>
                <c:pt idx="5">
                  <c:v>1983–84</c:v>
                </c:pt>
                <c:pt idx="6">
                  <c:v>1984–85</c:v>
                </c:pt>
                <c:pt idx="7">
                  <c:v>1985–86</c:v>
                </c:pt>
                <c:pt idx="8">
                  <c:v>1986–87</c:v>
                </c:pt>
                <c:pt idx="9">
                  <c:v>1987–88</c:v>
                </c:pt>
                <c:pt idx="10">
                  <c:v>1988–89</c:v>
                </c:pt>
                <c:pt idx="11">
                  <c:v>1989–90</c:v>
                </c:pt>
                <c:pt idx="12">
                  <c:v>1990–91</c:v>
                </c:pt>
                <c:pt idx="13">
                  <c:v>1991–92</c:v>
                </c:pt>
                <c:pt idx="14">
                  <c:v>1992–93</c:v>
                </c:pt>
                <c:pt idx="15">
                  <c:v>1993–94</c:v>
                </c:pt>
                <c:pt idx="16">
                  <c:v>1994–95</c:v>
                </c:pt>
                <c:pt idx="17">
                  <c:v>1995–96</c:v>
                </c:pt>
                <c:pt idx="18">
                  <c:v>1996–97</c:v>
                </c:pt>
                <c:pt idx="19">
                  <c:v>1997–98</c:v>
                </c:pt>
                <c:pt idx="20">
                  <c:v>1998–99</c:v>
                </c:pt>
                <c:pt idx="21">
                  <c:v>1999–00</c:v>
                </c:pt>
                <c:pt idx="22">
                  <c:v>2000–01</c:v>
                </c:pt>
                <c:pt idx="23">
                  <c:v>2001–02</c:v>
                </c:pt>
                <c:pt idx="24">
                  <c:v>2002–03</c:v>
                </c:pt>
                <c:pt idx="25">
                  <c:v>2003–04</c:v>
                </c:pt>
                <c:pt idx="26">
                  <c:v>2004–05</c:v>
                </c:pt>
                <c:pt idx="27">
                  <c:v>2005–06</c:v>
                </c:pt>
                <c:pt idx="28">
                  <c:v>2006–07</c:v>
                </c:pt>
                <c:pt idx="29">
                  <c:v>2007–08</c:v>
                </c:pt>
                <c:pt idx="30">
                  <c:v>2008–09</c:v>
                </c:pt>
                <c:pt idx="31">
                  <c:v>2009–10</c:v>
                </c:pt>
                <c:pt idx="32">
                  <c:v>2010–11</c:v>
                </c:pt>
                <c:pt idx="33">
                  <c:v>2011–12</c:v>
                </c:pt>
                <c:pt idx="34">
                  <c:v>2012–13</c:v>
                </c:pt>
                <c:pt idx="35">
                  <c:v>2013–14</c:v>
                </c:pt>
                <c:pt idx="36">
                  <c:v>2014–15</c:v>
                </c:pt>
                <c:pt idx="37">
                  <c:v>2015–16</c:v>
                </c:pt>
                <c:pt idx="38">
                  <c:v>2016–17</c:v>
                </c:pt>
                <c:pt idx="39">
                  <c:v>2017–18</c:v>
                </c:pt>
                <c:pt idx="40">
                  <c:v>2018–19</c:v>
                </c:pt>
              </c:strCache>
            </c:strRef>
          </c:cat>
          <c:val>
            <c:numRef>
              <c:f>'IEA historical'!$B$15:$AP$15</c:f>
              <c:numCache>
                <c:formatCode>General</c:formatCode>
                <c:ptCount val="41"/>
                <c:pt idx="0">
                  <c:v>220</c:v>
                </c:pt>
                <c:pt idx="1">
                  <c:v>940</c:v>
                </c:pt>
                <c:pt idx="2">
                  <c:v>550</c:v>
                </c:pt>
                <c:pt idx="3">
                  <c:v>650</c:v>
                </c:pt>
                <c:pt idx="4">
                  <c:v>1380</c:v>
                </c:pt>
                <c:pt idx="5">
                  <c:v>460</c:v>
                </c:pt>
                <c:pt idx="6">
                  <c:v>580</c:v>
                </c:pt>
                <c:pt idx="7">
                  <c:v>2030</c:v>
                </c:pt>
                <c:pt idx="8">
                  <c:v>2100</c:v>
                </c:pt>
                <c:pt idx="9">
                  <c:v>2970</c:v>
                </c:pt>
                <c:pt idx="10">
                  <c:v>3700</c:v>
                </c:pt>
                <c:pt idx="11">
                  <c:v>4410</c:v>
                </c:pt>
                <c:pt idx="12">
                  <c:v>5854</c:v>
                </c:pt>
                <c:pt idx="13">
                  <c:v>5272</c:v>
                </c:pt>
                <c:pt idx="14">
                  <c:v>6325</c:v>
                </c:pt>
                <c:pt idx="15">
                  <c:v>6936</c:v>
                </c:pt>
                <c:pt idx="16">
                  <c:v>9874</c:v>
                </c:pt>
                <c:pt idx="17">
                  <c:v>9378</c:v>
                </c:pt>
                <c:pt idx="18">
                  <c:v>10617</c:v>
                </c:pt>
                <c:pt idx="19">
                  <c:v>11745</c:v>
                </c:pt>
                <c:pt idx="20">
                  <c:v>10023</c:v>
                </c:pt>
                <c:pt idx="21">
                  <c:v>10992</c:v>
                </c:pt>
                <c:pt idx="22">
                  <c:v>11063</c:v>
                </c:pt>
                <c:pt idx="23">
                  <c:v>11107</c:v>
                </c:pt>
                <c:pt idx="24">
                  <c:v>12947</c:v>
                </c:pt>
                <c:pt idx="25">
                  <c:v>12992</c:v>
                </c:pt>
                <c:pt idx="26">
                  <c:v>16925</c:v>
                </c:pt>
                <c:pt idx="27">
                  <c:v>16891</c:v>
                </c:pt>
                <c:pt idx="28">
                  <c:v>17877</c:v>
                </c:pt>
                <c:pt idx="29">
                  <c:v>22029</c:v>
                </c:pt>
                <c:pt idx="30">
                  <c:v>25364</c:v>
                </c:pt>
                <c:pt idx="31">
                  <c:v>31145</c:v>
                </c:pt>
                <c:pt idx="32">
                  <c:v>34726</c:v>
                </c:pt>
                <c:pt idx="33">
                  <c:v>34652</c:v>
                </c:pt>
                <c:pt idx="34">
                  <c:v>35293</c:v>
                </c:pt>
                <c:pt idx="35">
                  <c:v>42725</c:v>
                </c:pt>
                <c:pt idx="36">
                  <c:v>53698</c:v>
                </c:pt>
                <c:pt idx="37">
                  <c:v>47445</c:v>
                </c:pt>
                <c:pt idx="38">
                  <c:v>47041</c:v>
                </c:pt>
                <c:pt idx="39">
                  <c:v>47003</c:v>
                </c:pt>
                <c:pt idx="40">
                  <c:v>51838</c:v>
                </c:pt>
              </c:numCache>
            </c:numRef>
          </c:val>
        </c:ser>
        <c:dLbls>
          <c:showLegendKey val="0"/>
          <c:showVal val="0"/>
          <c:showCatName val="0"/>
          <c:showSerName val="0"/>
          <c:showPercent val="0"/>
          <c:showBubbleSize val="0"/>
        </c:dLbls>
        <c:axId val="676252000"/>
        <c:axId val="676250824"/>
      </c:areaChart>
      <c:scatterChart>
        <c:scatterStyle val="lineMarker"/>
        <c:varyColors val="0"/>
        <c:ser>
          <c:idx val="2"/>
          <c:order val="2"/>
          <c:tx>
            <c:strRef>
              <c:f>'IEA historical'!$A$29</c:f>
              <c:strCache>
                <c:ptCount val="1"/>
                <c:pt idx="0">
                  <c:v>Import requirements (rhs)</c:v>
                </c:pt>
              </c:strCache>
            </c:strRef>
          </c:tx>
          <c:spPr>
            <a:ln w="25400" cap="rnd">
              <a:noFill/>
              <a:round/>
            </a:ln>
            <a:effectLst/>
          </c:spPr>
          <c:marker>
            <c:symbol val="circle"/>
            <c:size val="5"/>
            <c:spPr>
              <a:solidFill>
                <a:srgbClr val="F36A5A"/>
              </a:solidFill>
              <a:ln w="9525">
                <a:solidFill>
                  <a:srgbClr val="F36A5A"/>
                </a:solidFill>
              </a:ln>
              <a:effectLst/>
            </c:spPr>
          </c:marker>
          <c:yVal>
            <c:numRef>
              <c:f>'IEA historical'!$B$29:$AO$29</c:f>
              <c:numCache>
                <c:formatCode>#,##0</c:formatCode>
                <c:ptCount val="40"/>
                <c:pt idx="0">
                  <c:v>0</c:v>
                </c:pt>
                <c:pt idx="1">
                  <c:v>0</c:v>
                </c:pt>
                <c:pt idx="2">
                  <c:v>0</c:v>
                </c:pt>
                <c:pt idx="3">
                  <c:v>0</c:v>
                </c:pt>
                <c:pt idx="4">
                  <c:v>0</c:v>
                </c:pt>
                <c:pt idx="5">
                  <c:v>0</c:v>
                </c:pt>
                <c:pt idx="6">
                  <c:v>0</c:v>
                </c:pt>
                <c:pt idx="7">
                  <c:v>0</c:v>
                </c:pt>
                <c:pt idx="8">
                  <c:v>0</c:v>
                </c:pt>
                <c:pt idx="9">
                  <c:v>0</c:v>
                </c:pt>
                <c:pt idx="10">
                  <c:v>0</c:v>
                </c:pt>
                <c:pt idx="11">
                  <c:v>0</c:v>
                </c:pt>
                <c:pt idx="12">
                  <c:v>0.11550192202417117</c:v>
                </c:pt>
                <c:pt idx="13">
                  <c:v>0</c:v>
                </c:pt>
                <c:pt idx="14">
                  <c:v>8.8254838441731043E-2</c:v>
                </c:pt>
                <c:pt idx="15">
                  <c:v>0.19377462142635826</c:v>
                </c:pt>
                <c:pt idx="16">
                  <c:v>0.32069669240390858</c:v>
                </c:pt>
                <c:pt idx="17">
                  <c:v>1.344095244630481</c:v>
                </c:pt>
                <c:pt idx="18">
                  <c:v>1.0283954538327631</c:v>
                </c:pt>
                <c:pt idx="19">
                  <c:v>1.8250303199925366</c:v>
                </c:pt>
                <c:pt idx="20">
                  <c:v>2.5055790688726436</c:v>
                </c:pt>
                <c:pt idx="21">
                  <c:v>3.0745439202906484</c:v>
                </c:pt>
                <c:pt idx="22">
                  <c:v>3.3297000334083613</c:v>
                </c:pt>
                <c:pt idx="23">
                  <c:v>3.0461815448054232</c:v>
                </c:pt>
                <c:pt idx="24">
                  <c:v>3.2122222049181604</c:v>
                </c:pt>
                <c:pt idx="25">
                  <c:v>2.6232467167913747</c:v>
                </c:pt>
                <c:pt idx="26">
                  <c:v>3.2417554274129845</c:v>
                </c:pt>
                <c:pt idx="27">
                  <c:v>5.5031326890393935</c:v>
                </c:pt>
                <c:pt idx="28">
                  <c:v>5.9820235492928333</c:v>
                </c:pt>
                <c:pt idx="29">
                  <c:v>6.0780459186354001</c:v>
                </c:pt>
                <c:pt idx="30">
                  <c:v>8.0318637383641107</c:v>
                </c:pt>
                <c:pt idx="31">
                  <c:v>11.749419450443206</c:v>
                </c:pt>
                <c:pt idx="32">
                  <c:v>15.263822727105492</c:v>
                </c:pt>
                <c:pt idx="33">
                  <c:v>17.096598538220363</c:v>
                </c:pt>
                <c:pt idx="34">
                  <c:v>19.917016934909579</c:v>
                </c:pt>
                <c:pt idx="35">
                  <c:v>22.217002022910357</c:v>
                </c:pt>
                <c:pt idx="36">
                  <c:v>25.603139061610662</c:v>
                </c:pt>
                <c:pt idx="37">
                  <c:v>22.097475283599476</c:v>
                </c:pt>
                <c:pt idx="38">
                  <c:v>19.41724812053976</c:v>
                </c:pt>
                <c:pt idx="39">
                  <c:v>20.017526460362518</c:v>
                </c:pt>
              </c:numCache>
            </c:numRef>
          </c:yVal>
          <c:smooth val="0"/>
        </c:ser>
        <c:dLbls>
          <c:showLegendKey val="0"/>
          <c:showVal val="0"/>
          <c:showCatName val="0"/>
          <c:showSerName val="0"/>
          <c:showPercent val="0"/>
          <c:showBubbleSize val="0"/>
        </c:dLbls>
        <c:axId val="676252392"/>
        <c:axId val="676251216"/>
      </c:scatterChart>
      <c:catAx>
        <c:axId val="67625200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50824"/>
        <c:crosses val="autoZero"/>
        <c:auto val="1"/>
        <c:lblAlgn val="ctr"/>
        <c:lblOffset val="100"/>
        <c:tickLblSkip val="10"/>
        <c:tickMarkSkip val="10"/>
        <c:noMultiLvlLbl val="0"/>
      </c:catAx>
      <c:valAx>
        <c:axId val="67625082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Million tonnes</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52000"/>
        <c:crosses val="autoZero"/>
        <c:crossBetween val="between"/>
        <c:dispUnits>
          <c:builtInUnit val="thousands"/>
        </c:dispUnits>
      </c:valAx>
      <c:valAx>
        <c:axId val="676251216"/>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676252392"/>
        <c:crosses val="max"/>
        <c:crossBetween val="midCat"/>
      </c:valAx>
      <c:valAx>
        <c:axId val="676252392"/>
        <c:scaling>
          <c:orientation val="minMax"/>
        </c:scaling>
        <c:delete val="1"/>
        <c:axPos val="b"/>
        <c:majorTickMark val="out"/>
        <c:minorTickMark val="none"/>
        <c:tickLblPos val="nextTo"/>
        <c:crossAx val="676251216"/>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zero"/>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9EA54-3F59-4E18-9BE4-F7F7B96441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EDA78A03-E729-4F97-A18A-21F5DFC9F2BB}">
      <dgm:prSet phldrT="[Text]"/>
      <dgm:spPr/>
      <dgm:t>
        <a:bodyPr/>
        <a:lstStyle/>
        <a:p>
          <a:r>
            <a:rPr lang="en-AU"/>
            <a:t>Indian Government</a:t>
          </a:r>
        </a:p>
      </dgm:t>
    </dgm:pt>
    <dgm:pt modelId="{5E1D6B93-E2B0-494A-8ECF-3194C77ED15D}" type="parTrans" cxnId="{904C6E9E-0BBC-4737-BDE5-F51E6E7EC6B9}">
      <dgm:prSet/>
      <dgm:spPr/>
      <dgm:t>
        <a:bodyPr/>
        <a:lstStyle/>
        <a:p>
          <a:endParaRPr lang="en-AU"/>
        </a:p>
      </dgm:t>
    </dgm:pt>
    <dgm:pt modelId="{58779DC7-7B5D-4319-8492-4B8D97B457C0}" type="sibTrans" cxnId="{904C6E9E-0BBC-4737-BDE5-F51E6E7EC6B9}">
      <dgm:prSet/>
      <dgm:spPr/>
      <dgm:t>
        <a:bodyPr/>
        <a:lstStyle/>
        <a:p>
          <a:endParaRPr lang="en-AU"/>
        </a:p>
      </dgm:t>
    </dgm:pt>
    <dgm:pt modelId="{8CA00F35-8174-4699-B44E-27389362EFBA}" type="asst">
      <dgm:prSet phldrT="[Text]"/>
      <dgm:spPr/>
      <dgm:t>
        <a:bodyPr/>
        <a:lstStyle/>
        <a:p>
          <a:r>
            <a:rPr lang="en-AU"/>
            <a:t>National Institution for Transforming India</a:t>
          </a:r>
        </a:p>
      </dgm:t>
    </dgm:pt>
    <dgm:pt modelId="{0BE8E7CA-B337-4BB9-A015-81B089736B8A}" type="parTrans" cxnId="{78695679-08B0-4889-B7BE-24496765ACC6}">
      <dgm:prSet/>
      <dgm:spPr/>
      <dgm:t>
        <a:bodyPr/>
        <a:lstStyle/>
        <a:p>
          <a:endParaRPr lang="en-AU"/>
        </a:p>
      </dgm:t>
    </dgm:pt>
    <dgm:pt modelId="{55EF090F-798F-426A-A897-1AB081BE76E9}" type="sibTrans" cxnId="{78695679-08B0-4889-B7BE-24496765ACC6}">
      <dgm:prSet/>
      <dgm:spPr/>
      <dgm:t>
        <a:bodyPr/>
        <a:lstStyle/>
        <a:p>
          <a:endParaRPr lang="en-AU"/>
        </a:p>
      </dgm:t>
    </dgm:pt>
    <dgm:pt modelId="{7BCAFE42-E0DE-4DF9-B94B-00138E5D7E87}">
      <dgm:prSet phldrT="[Text]"/>
      <dgm:spPr/>
      <dgm:t>
        <a:bodyPr/>
        <a:lstStyle/>
        <a:p>
          <a:r>
            <a:rPr lang="en-AU"/>
            <a:t>Ministry of Power</a:t>
          </a:r>
        </a:p>
      </dgm:t>
    </dgm:pt>
    <dgm:pt modelId="{C83987EF-37F4-468A-9B46-EDDA3E40524F}" type="parTrans" cxnId="{73033D45-830E-4CA9-A970-74D049DA7107}">
      <dgm:prSet/>
      <dgm:spPr/>
      <dgm:t>
        <a:bodyPr/>
        <a:lstStyle/>
        <a:p>
          <a:endParaRPr lang="en-AU"/>
        </a:p>
      </dgm:t>
    </dgm:pt>
    <dgm:pt modelId="{0C29B459-9057-400C-BACD-A6D47B0DFD23}" type="sibTrans" cxnId="{73033D45-830E-4CA9-A970-74D049DA7107}">
      <dgm:prSet/>
      <dgm:spPr/>
      <dgm:t>
        <a:bodyPr/>
        <a:lstStyle/>
        <a:p>
          <a:endParaRPr lang="en-AU"/>
        </a:p>
      </dgm:t>
    </dgm:pt>
    <dgm:pt modelId="{AD78EBD2-B4B3-41D5-A540-EF45747DB6FD}">
      <dgm:prSet phldrT="[Text]"/>
      <dgm:spPr/>
      <dgm:t>
        <a:bodyPr/>
        <a:lstStyle/>
        <a:p>
          <a:r>
            <a:rPr lang="en-AU"/>
            <a:t>Ministry of Petroleum and Natural Gas</a:t>
          </a:r>
        </a:p>
      </dgm:t>
    </dgm:pt>
    <dgm:pt modelId="{A998B1D9-CD61-4228-A273-773753C05EF4}" type="parTrans" cxnId="{25770D45-B897-4C0C-BC27-D4F43D0B2BAF}">
      <dgm:prSet/>
      <dgm:spPr/>
      <dgm:t>
        <a:bodyPr/>
        <a:lstStyle/>
        <a:p>
          <a:endParaRPr lang="en-AU"/>
        </a:p>
      </dgm:t>
    </dgm:pt>
    <dgm:pt modelId="{E6327B54-9493-4578-9A23-53EC2D1375DC}" type="sibTrans" cxnId="{25770D45-B897-4C0C-BC27-D4F43D0B2BAF}">
      <dgm:prSet/>
      <dgm:spPr/>
      <dgm:t>
        <a:bodyPr/>
        <a:lstStyle/>
        <a:p>
          <a:endParaRPr lang="en-AU"/>
        </a:p>
      </dgm:t>
    </dgm:pt>
    <dgm:pt modelId="{92EBDFF5-EEE7-481F-8609-B679FAFB833F}">
      <dgm:prSet phldrT="[Text]"/>
      <dgm:spPr/>
      <dgm:t>
        <a:bodyPr/>
        <a:lstStyle/>
        <a:p>
          <a:r>
            <a:rPr lang="en-AU"/>
            <a:t>Ministry of New and Renewable Energy</a:t>
          </a:r>
        </a:p>
      </dgm:t>
    </dgm:pt>
    <dgm:pt modelId="{08C0C06F-88D0-4851-8451-D7EDFE3AD020}" type="parTrans" cxnId="{C343BCB0-630A-48C9-8A93-D7951F9E439F}">
      <dgm:prSet/>
      <dgm:spPr/>
      <dgm:t>
        <a:bodyPr/>
        <a:lstStyle/>
        <a:p>
          <a:endParaRPr lang="en-AU"/>
        </a:p>
      </dgm:t>
    </dgm:pt>
    <dgm:pt modelId="{F59D16E6-960F-4D05-B820-69882DD3D958}" type="sibTrans" cxnId="{C343BCB0-630A-48C9-8A93-D7951F9E439F}">
      <dgm:prSet/>
      <dgm:spPr/>
      <dgm:t>
        <a:bodyPr/>
        <a:lstStyle/>
        <a:p>
          <a:endParaRPr lang="en-AU"/>
        </a:p>
      </dgm:t>
    </dgm:pt>
    <dgm:pt modelId="{DF36054D-65DA-4235-ABD3-A0ABC483EB0A}">
      <dgm:prSet phldrT="[Text]"/>
      <dgm:spPr/>
      <dgm:t>
        <a:bodyPr/>
        <a:lstStyle/>
        <a:p>
          <a:r>
            <a:rPr lang="en-AU"/>
            <a:t>Ministry of Coal</a:t>
          </a:r>
        </a:p>
      </dgm:t>
    </dgm:pt>
    <dgm:pt modelId="{84508DFC-B4A8-486B-8ABC-8AB81EFA029C}" type="parTrans" cxnId="{F8FC991A-7D28-4B7A-9791-96E05D6DCA5F}">
      <dgm:prSet/>
      <dgm:spPr/>
      <dgm:t>
        <a:bodyPr/>
        <a:lstStyle/>
        <a:p>
          <a:endParaRPr lang="en-AU"/>
        </a:p>
      </dgm:t>
    </dgm:pt>
    <dgm:pt modelId="{DC3E6008-B271-4E9C-81F9-2EF7706723DD}" type="sibTrans" cxnId="{F8FC991A-7D28-4B7A-9791-96E05D6DCA5F}">
      <dgm:prSet/>
      <dgm:spPr/>
      <dgm:t>
        <a:bodyPr/>
        <a:lstStyle/>
        <a:p>
          <a:endParaRPr lang="en-AU"/>
        </a:p>
      </dgm:t>
    </dgm:pt>
    <dgm:pt modelId="{6A836672-543A-46E9-8BF1-E17D5E7DD1DD}">
      <dgm:prSet phldrT="[Text]"/>
      <dgm:spPr/>
      <dgm:t>
        <a:bodyPr/>
        <a:lstStyle/>
        <a:p>
          <a:r>
            <a:rPr lang="en-AU"/>
            <a:t>Department of Atomic Energy</a:t>
          </a:r>
          <a:br>
            <a:rPr lang="en-AU"/>
          </a:br>
          <a:endParaRPr lang="en-AU"/>
        </a:p>
      </dgm:t>
    </dgm:pt>
    <dgm:pt modelId="{11EE597D-26C2-4E32-B259-E9B04C8EE216}" type="parTrans" cxnId="{653FA04A-8E0E-4DE8-B70E-7B49E55B5A5E}">
      <dgm:prSet/>
      <dgm:spPr/>
      <dgm:t>
        <a:bodyPr/>
        <a:lstStyle/>
        <a:p>
          <a:endParaRPr lang="en-AU"/>
        </a:p>
      </dgm:t>
    </dgm:pt>
    <dgm:pt modelId="{FAF23399-F599-4D78-A5FB-33BF41F008FC}" type="sibTrans" cxnId="{653FA04A-8E0E-4DE8-B70E-7B49E55B5A5E}">
      <dgm:prSet/>
      <dgm:spPr/>
      <dgm:t>
        <a:bodyPr/>
        <a:lstStyle/>
        <a:p>
          <a:endParaRPr lang="en-AU"/>
        </a:p>
      </dgm:t>
    </dgm:pt>
    <dgm:pt modelId="{37792FF5-2BB0-445E-985D-F178D14AAC6C}" type="pres">
      <dgm:prSet presAssocID="{B739EA54-3F59-4E18-9BE4-F7F7B96441DF}" presName="hierChild1" presStyleCnt="0">
        <dgm:presLayoutVars>
          <dgm:orgChart val="1"/>
          <dgm:chPref val="1"/>
          <dgm:dir/>
          <dgm:animOne val="branch"/>
          <dgm:animLvl val="lvl"/>
          <dgm:resizeHandles/>
        </dgm:presLayoutVars>
      </dgm:prSet>
      <dgm:spPr/>
      <dgm:t>
        <a:bodyPr/>
        <a:lstStyle/>
        <a:p>
          <a:endParaRPr lang="en-AU"/>
        </a:p>
      </dgm:t>
    </dgm:pt>
    <dgm:pt modelId="{7FAE744E-30B5-4D0C-A7D2-B982FB4CA67D}" type="pres">
      <dgm:prSet presAssocID="{EDA78A03-E729-4F97-A18A-21F5DFC9F2BB}" presName="hierRoot1" presStyleCnt="0">
        <dgm:presLayoutVars>
          <dgm:hierBranch val="init"/>
        </dgm:presLayoutVars>
      </dgm:prSet>
      <dgm:spPr/>
      <dgm:t>
        <a:bodyPr/>
        <a:lstStyle/>
        <a:p>
          <a:endParaRPr lang="en-AU"/>
        </a:p>
      </dgm:t>
    </dgm:pt>
    <dgm:pt modelId="{AF47C64E-8A54-4148-B8F3-173AEE093CD6}" type="pres">
      <dgm:prSet presAssocID="{EDA78A03-E729-4F97-A18A-21F5DFC9F2BB}" presName="rootComposite1" presStyleCnt="0"/>
      <dgm:spPr/>
      <dgm:t>
        <a:bodyPr/>
        <a:lstStyle/>
        <a:p>
          <a:endParaRPr lang="en-AU"/>
        </a:p>
      </dgm:t>
    </dgm:pt>
    <dgm:pt modelId="{BF9D9D32-1385-47FB-94AB-4FF9C31676CF}" type="pres">
      <dgm:prSet presAssocID="{EDA78A03-E729-4F97-A18A-21F5DFC9F2BB}" presName="rootText1" presStyleLbl="node0" presStyleIdx="0" presStyleCnt="1" custScaleX="108036" custScaleY="129303">
        <dgm:presLayoutVars>
          <dgm:chPref val="3"/>
        </dgm:presLayoutVars>
      </dgm:prSet>
      <dgm:spPr/>
      <dgm:t>
        <a:bodyPr/>
        <a:lstStyle/>
        <a:p>
          <a:endParaRPr lang="en-AU"/>
        </a:p>
      </dgm:t>
    </dgm:pt>
    <dgm:pt modelId="{46092A36-8172-4834-B86B-60D31E434628}" type="pres">
      <dgm:prSet presAssocID="{EDA78A03-E729-4F97-A18A-21F5DFC9F2BB}" presName="rootConnector1" presStyleLbl="node1" presStyleIdx="0" presStyleCnt="0"/>
      <dgm:spPr/>
      <dgm:t>
        <a:bodyPr/>
        <a:lstStyle/>
        <a:p>
          <a:endParaRPr lang="en-AU"/>
        </a:p>
      </dgm:t>
    </dgm:pt>
    <dgm:pt modelId="{A2313094-0FD5-4418-9E37-63C65CB7E4D7}" type="pres">
      <dgm:prSet presAssocID="{EDA78A03-E729-4F97-A18A-21F5DFC9F2BB}" presName="hierChild2" presStyleCnt="0"/>
      <dgm:spPr/>
      <dgm:t>
        <a:bodyPr/>
        <a:lstStyle/>
        <a:p>
          <a:endParaRPr lang="en-AU"/>
        </a:p>
      </dgm:t>
    </dgm:pt>
    <dgm:pt modelId="{9AF9CB54-9821-4193-B16D-54D5A76D6D45}" type="pres">
      <dgm:prSet presAssocID="{C83987EF-37F4-468A-9B46-EDDA3E40524F}" presName="Name37" presStyleLbl="parChTrans1D2" presStyleIdx="0" presStyleCnt="6"/>
      <dgm:spPr/>
      <dgm:t>
        <a:bodyPr/>
        <a:lstStyle/>
        <a:p>
          <a:endParaRPr lang="en-AU"/>
        </a:p>
      </dgm:t>
    </dgm:pt>
    <dgm:pt modelId="{FC3D6C60-8287-4771-AD97-DD7EDB6D4773}" type="pres">
      <dgm:prSet presAssocID="{7BCAFE42-E0DE-4DF9-B94B-00138E5D7E87}" presName="hierRoot2" presStyleCnt="0">
        <dgm:presLayoutVars>
          <dgm:hierBranch val="init"/>
        </dgm:presLayoutVars>
      </dgm:prSet>
      <dgm:spPr/>
      <dgm:t>
        <a:bodyPr/>
        <a:lstStyle/>
        <a:p>
          <a:endParaRPr lang="en-AU"/>
        </a:p>
      </dgm:t>
    </dgm:pt>
    <dgm:pt modelId="{157E3828-23F3-4840-89A3-605BA274A0BC}" type="pres">
      <dgm:prSet presAssocID="{7BCAFE42-E0DE-4DF9-B94B-00138E5D7E87}" presName="rootComposite" presStyleCnt="0"/>
      <dgm:spPr/>
      <dgm:t>
        <a:bodyPr/>
        <a:lstStyle/>
        <a:p>
          <a:endParaRPr lang="en-AU"/>
        </a:p>
      </dgm:t>
    </dgm:pt>
    <dgm:pt modelId="{7C93DC08-2709-4135-9490-2F5E14B71D11}" type="pres">
      <dgm:prSet presAssocID="{7BCAFE42-E0DE-4DF9-B94B-00138E5D7E87}" presName="rootText" presStyleLbl="node2" presStyleIdx="0" presStyleCnt="5" custScaleX="108036" custScaleY="129303">
        <dgm:presLayoutVars>
          <dgm:chPref val="3"/>
        </dgm:presLayoutVars>
      </dgm:prSet>
      <dgm:spPr/>
      <dgm:t>
        <a:bodyPr/>
        <a:lstStyle/>
        <a:p>
          <a:endParaRPr lang="en-AU"/>
        </a:p>
      </dgm:t>
    </dgm:pt>
    <dgm:pt modelId="{E2D05F56-5C25-466B-B56B-CC3FF32AD357}" type="pres">
      <dgm:prSet presAssocID="{7BCAFE42-E0DE-4DF9-B94B-00138E5D7E87}" presName="rootConnector" presStyleLbl="node2" presStyleIdx="0" presStyleCnt="5"/>
      <dgm:spPr/>
      <dgm:t>
        <a:bodyPr/>
        <a:lstStyle/>
        <a:p>
          <a:endParaRPr lang="en-AU"/>
        </a:p>
      </dgm:t>
    </dgm:pt>
    <dgm:pt modelId="{C1788E1B-5341-40E3-B425-790B484AFFD5}" type="pres">
      <dgm:prSet presAssocID="{7BCAFE42-E0DE-4DF9-B94B-00138E5D7E87}" presName="hierChild4" presStyleCnt="0"/>
      <dgm:spPr/>
      <dgm:t>
        <a:bodyPr/>
        <a:lstStyle/>
        <a:p>
          <a:endParaRPr lang="en-AU"/>
        </a:p>
      </dgm:t>
    </dgm:pt>
    <dgm:pt modelId="{357916B4-2FCE-412B-B91D-16B8A6EC22C6}" type="pres">
      <dgm:prSet presAssocID="{7BCAFE42-E0DE-4DF9-B94B-00138E5D7E87}" presName="hierChild5" presStyleCnt="0"/>
      <dgm:spPr/>
      <dgm:t>
        <a:bodyPr/>
        <a:lstStyle/>
        <a:p>
          <a:endParaRPr lang="en-AU"/>
        </a:p>
      </dgm:t>
    </dgm:pt>
    <dgm:pt modelId="{E2778313-404C-4279-B962-18B21E3B23F8}" type="pres">
      <dgm:prSet presAssocID="{A998B1D9-CD61-4228-A273-773753C05EF4}" presName="Name37" presStyleLbl="parChTrans1D2" presStyleIdx="1" presStyleCnt="6"/>
      <dgm:spPr/>
      <dgm:t>
        <a:bodyPr/>
        <a:lstStyle/>
        <a:p>
          <a:endParaRPr lang="en-AU"/>
        </a:p>
      </dgm:t>
    </dgm:pt>
    <dgm:pt modelId="{A7282D4D-CF19-46C2-BB03-788A75780A17}" type="pres">
      <dgm:prSet presAssocID="{AD78EBD2-B4B3-41D5-A540-EF45747DB6FD}" presName="hierRoot2" presStyleCnt="0">
        <dgm:presLayoutVars>
          <dgm:hierBranch val="init"/>
        </dgm:presLayoutVars>
      </dgm:prSet>
      <dgm:spPr/>
      <dgm:t>
        <a:bodyPr/>
        <a:lstStyle/>
        <a:p>
          <a:endParaRPr lang="en-AU"/>
        </a:p>
      </dgm:t>
    </dgm:pt>
    <dgm:pt modelId="{7384A37A-6BEE-4403-87DF-9A87E06ED200}" type="pres">
      <dgm:prSet presAssocID="{AD78EBD2-B4B3-41D5-A540-EF45747DB6FD}" presName="rootComposite" presStyleCnt="0"/>
      <dgm:spPr/>
      <dgm:t>
        <a:bodyPr/>
        <a:lstStyle/>
        <a:p>
          <a:endParaRPr lang="en-AU"/>
        </a:p>
      </dgm:t>
    </dgm:pt>
    <dgm:pt modelId="{300C2A14-27DF-4834-AB76-E2A61B04F4AE}" type="pres">
      <dgm:prSet presAssocID="{AD78EBD2-B4B3-41D5-A540-EF45747DB6FD}" presName="rootText" presStyleLbl="node2" presStyleIdx="1" presStyleCnt="5" custScaleX="108036" custScaleY="129303">
        <dgm:presLayoutVars>
          <dgm:chPref val="3"/>
        </dgm:presLayoutVars>
      </dgm:prSet>
      <dgm:spPr/>
      <dgm:t>
        <a:bodyPr/>
        <a:lstStyle/>
        <a:p>
          <a:endParaRPr lang="en-AU"/>
        </a:p>
      </dgm:t>
    </dgm:pt>
    <dgm:pt modelId="{8D996DEE-4A8F-4347-AFBA-7109891D5AFA}" type="pres">
      <dgm:prSet presAssocID="{AD78EBD2-B4B3-41D5-A540-EF45747DB6FD}" presName="rootConnector" presStyleLbl="node2" presStyleIdx="1" presStyleCnt="5"/>
      <dgm:spPr/>
      <dgm:t>
        <a:bodyPr/>
        <a:lstStyle/>
        <a:p>
          <a:endParaRPr lang="en-AU"/>
        </a:p>
      </dgm:t>
    </dgm:pt>
    <dgm:pt modelId="{50780DCC-6B4E-4390-B672-7ABB8130086D}" type="pres">
      <dgm:prSet presAssocID="{AD78EBD2-B4B3-41D5-A540-EF45747DB6FD}" presName="hierChild4" presStyleCnt="0"/>
      <dgm:spPr/>
      <dgm:t>
        <a:bodyPr/>
        <a:lstStyle/>
        <a:p>
          <a:endParaRPr lang="en-AU"/>
        </a:p>
      </dgm:t>
    </dgm:pt>
    <dgm:pt modelId="{252BDC95-A3C7-46E4-9184-45910CC0CB77}" type="pres">
      <dgm:prSet presAssocID="{AD78EBD2-B4B3-41D5-A540-EF45747DB6FD}" presName="hierChild5" presStyleCnt="0"/>
      <dgm:spPr/>
      <dgm:t>
        <a:bodyPr/>
        <a:lstStyle/>
        <a:p>
          <a:endParaRPr lang="en-AU"/>
        </a:p>
      </dgm:t>
    </dgm:pt>
    <dgm:pt modelId="{A751C41A-A49C-4ADC-8B37-DFBBA693CE85}" type="pres">
      <dgm:prSet presAssocID="{08C0C06F-88D0-4851-8451-D7EDFE3AD020}" presName="Name37" presStyleLbl="parChTrans1D2" presStyleIdx="2" presStyleCnt="6"/>
      <dgm:spPr/>
      <dgm:t>
        <a:bodyPr/>
        <a:lstStyle/>
        <a:p>
          <a:endParaRPr lang="en-AU"/>
        </a:p>
      </dgm:t>
    </dgm:pt>
    <dgm:pt modelId="{52CEAC37-40BA-438A-89D0-DA013C0DEBC3}" type="pres">
      <dgm:prSet presAssocID="{92EBDFF5-EEE7-481F-8609-B679FAFB833F}" presName="hierRoot2" presStyleCnt="0">
        <dgm:presLayoutVars>
          <dgm:hierBranch val="init"/>
        </dgm:presLayoutVars>
      </dgm:prSet>
      <dgm:spPr/>
      <dgm:t>
        <a:bodyPr/>
        <a:lstStyle/>
        <a:p>
          <a:endParaRPr lang="en-AU"/>
        </a:p>
      </dgm:t>
    </dgm:pt>
    <dgm:pt modelId="{9F8F9221-B2A4-491A-AE36-8B592208B076}" type="pres">
      <dgm:prSet presAssocID="{92EBDFF5-EEE7-481F-8609-B679FAFB833F}" presName="rootComposite" presStyleCnt="0"/>
      <dgm:spPr/>
      <dgm:t>
        <a:bodyPr/>
        <a:lstStyle/>
        <a:p>
          <a:endParaRPr lang="en-AU"/>
        </a:p>
      </dgm:t>
    </dgm:pt>
    <dgm:pt modelId="{5E332B6F-20A2-4B90-BA8F-8B138A5C596C}" type="pres">
      <dgm:prSet presAssocID="{92EBDFF5-EEE7-481F-8609-B679FAFB833F}" presName="rootText" presStyleLbl="node2" presStyleIdx="2" presStyleCnt="5" custScaleX="108036" custScaleY="129303">
        <dgm:presLayoutVars>
          <dgm:chPref val="3"/>
        </dgm:presLayoutVars>
      </dgm:prSet>
      <dgm:spPr/>
      <dgm:t>
        <a:bodyPr/>
        <a:lstStyle/>
        <a:p>
          <a:endParaRPr lang="en-AU"/>
        </a:p>
      </dgm:t>
    </dgm:pt>
    <dgm:pt modelId="{A7817820-B84B-4BCE-85DD-ECD5C28800B1}" type="pres">
      <dgm:prSet presAssocID="{92EBDFF5-EEE7-481F-8609-B679FAFB833F}" presName="rootConnector" presStyleLbl="node2" presStyleIdx="2" presStyleCnt="5"/>
      <dgm:spPr/>
      <dgm:t>
        <a:bodyPr/>
        <a:lstStyle/>
        <a:p>
          <a:endParaRPr lang="en-AU"/>
        </a:p>
      </dgm:t>
    </dgm:pt>
    <dgm:pt modelId="{3CE7F748-E85C-442F-875D-231FA076896C}" type="pres">
      <dgm:prSet presAssocID="{92EBDFF5-EEE7-481F-8609-B679FAFB833F}" presName="hierChild4" presStyleCnt="0"/>
      <dgm:spPr/>
      <dgm:t>
        <a:bodyPr/>
        <a:lstStyle/>
        <a:p>
          <a:endParaRPr lang="en-AU"/>
        </a:p>
      </dgm:t>
    </dgm:pt>
    <dgm:pt modelId="{20400884-A800-4615-A11E-F8A853185574}" type="pres">
      <dgm:prSet presAssocID="{92EBDFF5-EEE7-481F-8609-B679FAFB833F}" presName="hierChild5" presStyleCnt="0"/>
      <dgm:spPr/>
      <dgm:t>
        <a:bodyPr/>
        <a:lstStyle/>
        <a:p>
          <a:endParaRPr lang="en-AU"/>
        </a:p>
      </dgm:t>
    </dgm:pt>
    <dgm:pt modelId="{A416A4B2-3899-4872-8EC5-1CEA9A1A722A}" type="pres">
      <dgm:prSet presAssocID="{84508DFC-B4A8-486B-8ABC-8AB81EFA029C}" presName="Name37" presStyleLbl="parChTrans1D2" presStyleIdx="3" presStyleCnt="6"/>
      <dgm:spPr/>
      <dgm:t>
        <a:bodyPr/>
        <a:lstStyle/>
        <a:p>
          <a:endParaRPr lang="en-AU"/>
        </a:p>
      </dgm:t>
    </dgm:pt>
    <dgm:pt modelId="{B6990B97-1ED7-4C82-9985-D210BF360229}" type="pres">
      <dgm:prSet presAssocID="{DF36054D-65DA-4235-ABD3-A0ABC483EB0A}" presName="hierRoot2" presStyleCnt="0">
        <dgm:presLayoutVars>
          <dgm:hierBranch val="init"/>
        </dgm:presLayoutVars>
      </dgm:prSet>
      <dgm:spPr/>
      <dgm:t>
        <a:bodyPr/>
        <a:lstStyle/>
        <a:p>
          <a:endParaRPr lang="en-AU"/>
        </a:p>
      </dgm:t>
    </dgm:pt>
    <dgm:pt modelId="{8E960060-8B99-4030-ADA3-85A2FF7DD4E1}" type="pres">
      <dgm:prSet presAssocID="{DF36054D-65DA-4235-ABD3-A0ABC483EB0A}" presName="rootComposite" presStyleCnt="0"/>
      <dgm:spPr/>
      <dgm:t>
        <a:bodyPr/>
        <a:lstStyle/>
        <a:p>
          <a:endParaRPr lang="en-AU"/>
        </a:p>
      </dgm:t>
    </dgm:pt>
    <dgm:pt modelId="{484C9738-7250-4EF0-A972-75ABA7ED9B71}" type="pres">
      <dgm:prSet presAssocID="{DF36054D-65DA-4235-ABD3-A0ABC483EB0A}" presName="rootText" presStyleLbl="node2" presStyleIdx="3" presStyleCnt="5" custScaleX="108036" custScaleY="129303">
        <dgm:presLayoutVars>
          <dgm:chPref val="3"/>
        </dgm:presLayoutVars>
      </dgm:prSet>
      <dgm:spPr/>
      <dgm:t>
        <a:bodyPr/>
        <a:lstStyle/>
        <a:p>
          <a:endParaRPr lang="en-AU"/>
        </a:p>
      </dgm:t>
    </dgm:pt>
    <dgm:pt modelId="{4F6FF1D4-C272-46BC-A46F-FD419D8B3CE2}" type="pres">
      <dgm:prSet presAssocID="{DF36054D-65DA-4235-ABD3-A0ABC483EB0A}" presName="rootConnector" presStyleLbl="node2" presStyleIdx="3" presStyleCnt="5"/>
      <dgm:spPr/>
      <dgm:t>
        <a:bodyPr/>
        <a:lstStyle/>
        <a:p>
          <a:endParaRPr lang="en-AU"/>
        </a:p>
      </dgm:t>
    </dgm:pt>
    <dgm:pt modelId="{EB32613D-51F0-4EFF-94A1-246121162CB5}" type="pres">
      <dgm:prSet presAssocID="{DF36054D-65DA-4235-ABD3-A0ABC483EB0A}" presName="hierChild4" presStyleCnt="0"/>
      <dgm:spPr/>
      <dgm:t>
        <a:bodyPr/>
        <a:lstStyle/>
        <a:p>
          <a:endParaRPr lang="en-AU"/>
        </a:p>
      </dgm:t>
    </dgm:pt>
    <dgm:pt modelId="{00EA03CA-256B-4A15-9FC8-1B5D500A5E4B}" type="pres">
      <dgm:prSet presAssocID="{DF36054D-65DA-4235-ABD3-A0ABC483EB0A}" presName="hierChild5" presStyleCnt="0"/>
      <dgm:spPr/>
      <dgm:t>
        <a:bodyPr/>
        <a:lstStyle/>
        <a:p>
          <a:endParaRPr lang="en-AU"/>
        </a:p>
      </dgm:t>
    </dgm:pt>
    <dgm:pt modelId="{AA4105BE-427A-4D36-AFBE-3EB1C5B873B3}" type="pres">
      <dgm:prSet presAssocID="{11EE597D-26C2-4E32-B259-E9B04C8EE216}" presName="Name37" presStyleLbl="parChTrans1D2" presStyleIdx="4" presStyleCnt="6"/>
      <dgm:spPr/>
      <dgm:t>
        <a:bodyPr/>
        <a:lstStyle/>
        <a:p>
          <a:endParaRPr lang="en-AU"/>
        </a:p>
      </dgm:t>
    </dgm:pt>
    <dgm:pt modelId="{38E16C2D-8A57-4734-A891-99D50603D489}" type="pres">
      <dgm:prSet presAssocID="{6A836672-543A-46E9-8BF1-E17D5E7DD1DD}" presName="hierRoot2" presStyleCnt="0">
        <dgm:presLayoutVars>
          <dgm:hierBranch val="init"/>
        </dgm:presLayoutVars>
      </dgm:prSet>
      <dgm:spPr/>
      <dgm:t>
        <a:bodyPr/>
        <a:lstStyle/>
        <a:p>
          <a:endParaRPr lang="en-AU"/>
        </a:p>
      </dgm:t>
    </dgm:pt>
    <dgm:pt modelId="{90BE2169-8572-44C1-95A6-3C476B33EC0E}" type="pres">
      <dgm:prSet presAssocID="{6A836672-543A-46E9-8BF1-E17D5E7DD1DD}" presName="rootComposite" presStyleCnt="0"/>
      <dgm:spPr/>
      <dgm:t>
        <a:bodyPr/>
        <a:lstStyle/>
        <a:p>
          <a:endParaRPr lang="en-AU"/>
        </a:p>
      </dgm:t>
    </dgm:pt>
    <dgm:pt modelId="{87E3A9A4-6066-4E73-AF0E-89AB6E3D09C5}" type="pres">
      <dgm:prSet presAssocID="{6A836672-543A-46E9-8BF1-E17D5E7DD1DD}" presName="rootText" presStyleLbl="node2" presStyleIdx="4" presStyleCnt="5" custScaleX="108036" custScaleY="129303">
        <dgm:presLayoutVars>
          <dgm:chPref val="3"/>
        </dgm:presLayoutVars>
      </dgm:prSet>
      <dgm:spPr/>
      <dgm:t>
        <a:bodyPr/>
        <a:lstStyle/>
        <a:p>
          <a:endParaRPr lang="en-AU"/>
        </a:p>
      </dgm:t>
    </dgm:pt>
    <dgm:pt modelId="{01DA0CAF-D140-4561-844C-06FE7EF8A9FF}" type="pres">
      <dgm:prSet presAssocID="{6A836672-543A-46E9-8BF1-E17D5E7DD1DD}" presName="rootConnector" presStyleLbl="node2" presStyleIdx="4" presStyleCnt="5"/>
      <dgm:spPr/>
      <dgm:t>
        <a:bodyPr/>
        <a:lstStyle/>
        <a:p>
          <a:endParaRPr lang="en-AU"/>
        </a:p>
      </dgm:t>
    </dgm:pt>
    <dgm:pt modelId="{A22DDCF9-1FDB-4D70-B8D5-AF49E242E041}" type="pres">
      <dgm:prSet presAssocID="{6A836672-543A-46E9-8BF1-E17D5E7DD1DD}" presName="hierChild4" presStyleCnt="0"/>
      <dgm:spPr/>
      <dgm:t>
        <a:bodyPr/>
        <a:lstStyle/>
        <a:p>
          <a:endParaRPr lang="en-AU"/>
        </a:p>
      </dgm:t>
    </dgm:pt>
    <dgm:pt modelId="{7AEEF81C-A2AB-4203-BF28-05726BE2C6EE}" type="pres">
      <dgm:prSet presAssocID="{6A836672-543A-46E9-8BF1-E17D5E7DD1DD}" presName="hierChild5" presStyleCnt="0"/>
      <dgm:spPr/>
      <dgm:t>
        <a:bodyPr/>
        <a:lstStyle/>
        <a:p>
          <a:endParaRPr lang="en-AU"/>
        </a:p>
      </dgm:t>
    </dgm:pt>
    <dgm:pt modelId="{B10AEB76-99E9-43CF-8CA9-5C348EA7DAE4}" type="pres">
      <dgm:prSet presAssocID="{EDA78A03-E729-4F97-A18A-21F5DFC9F2BB}" presName="hierChild3" presStyleCnt="0"/>
      <dgm:spPr/>
      <dgm:t>
        <a:bodyPr/>
        <a:lstStyle/>
        <a:p>
          <a:endParaRPr lang="en-AU"/>
        </a:p>
      </dgm:t>
    </dgm:pt>
    <dgm:pt modelId="{47946F62-FFF1-4EF7-9B83-AA61CE6DD4D1}" type="pres">
      <dgm:prSet presAssocID="{0BE8E7CA-B337-4BB9-A015-81B089736B8A}" presName="Name111" presStyleLbl="parChTrans1D2" presStyleIdx="5" presStyleCnt="6"/>
      <dgm:spPr/>
      <dgm:t>
        <a:bodyPr/>
        <a:lstStyle/>
        <a:p>
          <a:endParaRPr lang="en-AU"/>
        </a:p>
      </dgm:t>
    </dgm:pt>
    <dgm:pt modelId="{C28AC411-325F-474C-A0BE-A93834ED68EE}" type="pres">
      <dgm:prSet presAssocID="{8CA00F35-8174-4699-B44E-27389362EFBA}" presName="hierRoot3" presStyleCnt="0">
        <dgm:presLayoutVars>
          <dgm:hierBranch val="init"/>
        </dgm:presLayoutVars>
      </dgm:prSet>
      <dgm:spPr/>
      <dgm:t>
        <a:bodyPr/>
        <a:lstStyle/>
        <a:p>
          <a:endParaRPr lang="en-AU"/>
        </a:p>
      </dgm:t>
    </dgm:pt>
    <dgm:pt modelId="{1DD50672-D6C0-484C-81A9-01A715071227}" type="pres">
      <dgm:prSet presAssocID="{8CA00F35-8174-4699-B44E-27389362EFBA}" presName="rootComposite3" presStyleCnt="0"/>
      <dgm:spPr/>
      <dgm:t>
        <a:bodyPr/>
        <a:lstStyle/>
        <a:p>
          <a:endParaRPr lang="en-AU"/>
        </a:p>
      </dgm:t>
    </dgm:pt>
    <dgm:pt modelId="{07B2C399-31B6-4497-9235-29B64EA00720}" type="pres">
      <dgm:prSet presAssocID="{8CA00F35-8174-4699-B44E-27389362EFBA}" presName="rootText3" presStyleLbl="asst1" presStyleIdx="0" presStyleCnt="1" custScaleX="108036" custScaleY="129303">
        <dgm:presLayoutVars>
          <dgm:chPref val="3"/>
        </dgm:presLayoutVars>
      </dgm:prSet>
      <dgm:spPr/>
      <dgm:t>
        <a:bodyPr/>
        <a:lstStyle/>
        <a:p>
          <a:endParaRPr lang="en-AU"/>
        </a:p>
      </dgm:t>
    </dgm:pt>
    <dgm:pt modelId="{E5221CF1-F673-44CA-8DEF-6472C0E75C60}" type="pres">
      <dgm:prSet presAssocID="{8CA00F35-8174-4699-B44E-27389362EFBA}" presName="rootConnector3" presStyleLbl="asst1" presStyleIdx="0" presStyleCnt="1"/>
      <dgm:spPr/>
      <dgm:t>
        <a:bodyPr/>
        <a:lstStyle/>
        <a:p>
          <a:endParaRPr lang="en-AU"/>
        </a:p>
      </dgm:t>
    </dgm:pt>
    <dgm:pt modelId="{21F81B23-CD16-4F3E-9AC2-EAEF64B2C6B4}" type="pres">
      <dgm:prSet presAssocID="{8CA00F35-8174-4699-B44E-27389362EFBA}" presName="hierChild6" presStyleCnt="0"/>
      <dgm:spPr/>
      <dgm:t>
        <a:bodyPr/>
        <a:lstStyle/>
        <a:p>
          <a:endParaRPr lang="en-AU"/>
        </a:p>
      </dgm:t>
    </dgm:pt>
    <dgm:pt modelId="{004ADBE3-FAA0-4B9F-8102-7E48C59B1AB2}" type="pres">
      <dgm:prSet presAssocID="{8CA00F35-8174-4699-B44E-27389362EFBA}" presName="hierChild7" presStyleCnt="0"/>
      <dgm:spPr/>
      <dgm:t>
        <a:bodyPr/>
        <a:lstStyle/>
        <a:p>
          <a:endParaRPr lang="en-AU"/>
        </a:p>
      </dgm:t>
    </dgm:pt>
  </dgm:ptLst>
  <dgm:cxnLst>
    <dgm:cxn modelId="{72E4D2CB-43CD-40BD-89F4-948A7E0B1A47}" type="presOf" srcId="{DF36054D-65DA-4235-ABD3-A0ABC483EB0A}" destId="{484C9738-7250-4EF0-A972-75ABA7ED9B71}" srcOrd="0" destOrd="0" presId="urn:microsoft.com/office/officeart/2005/8/layout/orgChart1"/>
    <dgm:cxn modelId="{1151F3FA-7EB3-402F-A6A0-1EDBC2646F77}" type="presOf" srcId="{C83987EF-37F4-468A-9B46-EDDA3E40524F}" destId="{9AF9CB54-9821-4193-B16D-54D5A76D6D45}" srcOrd="0" destOrd="0" presId="urn:microsoft.com/office/officeart/2005/8/layout/orgChart1"/>
    <dgm:cxn modelId="{E65E5D2B-2955-4F11-8FBB-2E447615AB8E}" type="presOf" srcId="{DF36054D-65DA-4235-ABD3-A0ABC483EB0A}" destId="{4F6FF1D4-C272-46BC-A46F-FD419D8B3CE2}" srcOrd="1" destOrd="0" presId="urn:microsoft.com/office/officeart/2005/8/layout/orgChart1"/>
    <dgm:cxn modelId="{C343BCB0-630A-48C9-8A93-D7951F9E439F}" srcId="{EDA78A03-E729-4F97-A18A-21F5DFC9F2BB}" destId="{92EBDFF5-EEE7-481F-8609-B679FAFB833F}" srcOrd="3" destOrd="0" parTransId="{08C0C06F-88D0-4851-8451-D7EDFE3AD020}" sibTransId="{F59D16E6-960F-4D05-B820-69882DD3D958}"/>
    <dgm:cxn modelId="{78695679-08B0-4889-B7BE-24496765ACC6}" srcId="{EDA78A03-E729-4F97-A18A-21F5DFC9F2BB}" destId="{8CA00F35-8174-4699-B44E-27389362EFBA}" srcOrd="0" destOrd="0" parTransId="{0BE8E7CA-B337-4BB9-A015-81B089736B8A}" sibTransId="{55EF090F-798F-426A-A897-1AB081BE76E9}"/>
    <dgm:cxn modelId="{3B663EE5-5755-407A-9180-1928949B4135}" type="presOf" srcId="{B739EA54-3F59-4E18-9BE4-F7F7B96441DF}" destId="{37792FF5-2BB0-445E-985D-F178D14AAC6C}" srcOrd="0" destOrd="0" presId="urn:microsoft.com/office/officeart/2005/8/layout/orgChart1"/>
    <dgm:cxn modelId="{73033D45-830E-4CA9-A970-74D049DA7107}" srcId="{EDA78A03-E729-4F97-A18A-21F5DFC9F2BB}" destId="{7BCAFE42-E0DE-4DF9-B94B-00138E5D7E87}" srcOrd="1" destOrd="0" parTransId="{C83987EF-37F4-468A-9B46-EDDA3E40524F}" sibTransId="{0C29B459-9057-400C-BACD-A6D47B0DFD23}"/>
    <dgm:cxn modelId="{525594F2-2242-46C4-83D5-C7E2DB545359}" type="presOf" srcId="{7BCAFE42-E0DE-4DF9-B94B-00138E5D7E87}" destId="{7C93DC08-2709-4135-9490-2F5E14B71D11}" srcOrd="0" destOrd="0" presId="urn:microsoft.com/office/officeart/2005/8/layout/orgChart1"/>
    <dgm:cxn modelId="{15B0F9A2-BA9D-4BCF-9EAC-86BB0B359CEC}" type="presOf" srcId="{0BE8E7CA-B337-4BB9-A015-81B089736B8A}" destId="{47946F62-FFF1-4EF7-9B83-AA61CE6DD4D1}" srcOrd="0" destOrd="0" presId="urn:microsoft.com/office/officeart/2005/8/layout/orgChart1"/>
    <dgm:cxn modelId="{35492912-A6A4-4F57-B1AA-5FFAE852657E}" type="presOf" srcId="{8CA00F35-8174-4699-B44E-27389362EFBA}" destId="{E5221CF1-F673-44CA-8DEF-6472C0E75C60}" srcOrd="1" destOrd="0" presId="urn:microsoft.com/office/officeart/2005/8/layout/orgChart1"/>
    <dgm:cxn modelId="{AA2505B9-2590-4F0C-9DF2-B939EBBDD83B}" type="presOf" srcId="{A998B1D9-CD61-4228-A273-773753C05EF4}" destId="{E2778313-404C-4279-B962-18B21E3B23F8}" srcOrd="0" destOrd="0" presId="urn:microsoft.com/office/officeart/2005/8/layout/orgChart1"/>
    <dgm:cxn modelId="{653FA04A-8E0E-4DE8-B70E-7B49E55B5A5E}" srcId="{EDA78A03-E729-4F97-A18A-21F5DFC9F2BB}" destId="{6A836672-543A-46E9-8BF1-E17D5E7DD1DD}" srcOrd="5" destOrd="0" parTransId="{11EE597D-26C2-4E32-B259-E9B04C8EE216}" sibTransId="{FAF23399-F599-4D78-A5FB-33BF41F008FC}"/>
    <dgm:cxn modelId="{9AB59B39-1DD0-4D32-AAC6-02C6CA1B57F0}" type="presOf" srcId="{AD78EBD2-B4B3-41D5-A540-EF45747DB6FD}" destId="{8D996DEE-4A8F-4347-AFBA-7109891D5AFA}" srcOrd="1" destOrd="0" presId="urn:microsoft.com/office/officeart/2005/8/layout/orgChart1"/>
    <dgm:cxn modelId="{33E24A5A-6F1B-476E-8BE3-8BCC023E3CFF}" type="presOf" srcId="{AD78EBD2-B4B3-41D5-A540-EF45747DB6FD}" destId="{300C2A14-27DF-4834-AB76-E2A61B04F4AE}" srcOrd="0" destOrd="0" presId="urn:microsoft.com/office/officeart/2005/8/layout/orgChart1"/>
    <dgm:cxn modelId="{FC54933A-DA41-4E87-88A9-FA3196E732C6}" type="presOf" srcId="{EDA78A03-E729-4F97-A18A-21F5DFC9F2BB}" destId="{BF9D9D32-1385-47FB-94AB-4FF9C31676CF}" srcOrd="0" destOrd="0" presId="urn:microsoft.com/office/officeart/2005/8/layout/orgChart1"/>
    <dgm:cxn modelId="{BEF78A92-7ECC-4C2E-B9F4-C94485CA1CF1}" type="presOf" srcId="{08C0C06F-88D0-4851-8451-D7EDFE3AD020}" destId="{A751C41A-A49C-4ADC-8B37-DFBBA693CE85}" srcOrd="0" destOrd="0" presId="urn:microsoft.com/office/officeart/2005/8/layout/orgChart1"/>
    <dgm:cxn modelId="{1232BB43-5D59-453D-8416-028F05B41F8A}" type="presOf" srcId="{92EBDFF5-EEE7-481F-8609-B679FAFB833F}" destId="{A7817820-B84B-4BCE-85DD-ECD5C28800B1}" srcOrd="1" destOrd="0" presId="urn:microsoft.com/office/officeart/2005/8/layout/orgChart1"/>
    <dgm:cxn modelId="{A8861372-BEFA-4D31-9558-2A03EBA9A98F}" type="presOf" srcId="{11EE597D-26C2-4E32-B259-E9B04C8EE216}" destId="{AA4105BE-427A-4D36-AFBE-3EB1C5B873B3}" srcOrd="0" destOrd="0" presId="urn:microsoft.com/office/officeart/2005/8/layout/orgChart1"/>
    <dgm:cxn modelId="{74E83388-2C48-4CE4-A385-D9A9425CE144}" type="presOf" srcId="{92EBDFF5-EEE7-481F-8609-B679FAFB833F}" destId="{5E332B6F-20A2-4B90-BA8F-8B138A5C596C}" srcOrd="0" destOrd="0" presId="urn:microsoft.com/office/officeart/2005/8/layout/orgChart1"/>
    <dgm:cxn modelId="{17464A82-2E70-40DF-B088-D6D265D3EBA8}" type="presOf" srcId="{84508DFC-B4A8-486B-8ABC-8AB81EFA029C}" destId="{A416A4B2-3899-4872-8EC5-1CEA9A1A722A}" srcOrd="0" destOrd="0" presId="urn:microsoft.com/office/officeart/2005/8/layout/orgChart1"/>
    <dgm:cxn modelId="{F8FC991A-7D28-4B7A-9791-96E05D6DCA5F}" srcId="{EDA78A03-E729-4F97-A18A-21F5DFC9F2BB}" destId="{DF36054D-65DA-4235-ABD3-A0ABC483EB0A}" srcOrd="4" destOrd="0" parTransId="{84508DFC-B4A8-486B-8ABC-8AB81EFA029C}" sibTransId="{DC3E6008-B271-4E9C-81F9-2EF7706723DD}"/>
    <dgm:cxn modelId="{72148B42-0FCC-4BE6-8BF3-D7A9DB99FA69}" type="presOf" srcId="{6A836672-543A-46E9-8BF1-E17D5E7DD1DD}" destId="{01DA0CAF-D140-4561-844C-06FE7EF8A9FF}" srcOrd="1" destOrd="0" presId="urn:microsoft.com/office/officeart/2005/8/layout/orgChart1"/>
    <dgm:cxn modelId="{25770D45-B897-4C0C-BC27-D4F43D0B2BAF}" srcId="{EDA78A03-E729-4F97-A18A-21F5DFC9F2BB}" destId="{AD78EBD2-B4B3-41D5-A540-EF45747DB6FD}" srcOrd="2" destOrd="0" parTransId="{A998B1D9-CD61-4228-A273-773753C05EF4}" sibTransId="{E6327B54-9493-4578-9A23-53EC2D1375DC}"/>
    <dgm:cxn modelId="{904C6E9E-0BBC-4737-BDE5-F51E6E7EC6B9}" srcId="{B739EA54-3F59-4E18-9BE4-F7F7B96441DF}" destId="{EDA78A03-E729-4F97-A18A-21F5DFC9F2BB}" srcOrd="0" destOrd="0" parTransId="{5E1D6B93-E2B0-494A-8ECF-3194C77ED15D}" sibTransId="{58779DC7-7B5D-4319-8492-4B8D97B457C0}"/>
    <dgm:cxn modelId="{7B318E4C-1051-4BCF-9AAE-DF710994276D}" type="presOf" srcId="{EDA78A03-E729-4F97-A18A-21F5DFC9F2BB}" destId="{46092A36-8172-4834-B86B-60D31E434628}" srcOrd="1" destOrd="0" presId="urn:microsoft.com/office/officeart/2005/8/layout/orgChart1"/>
    <dgm:cxn modelId="{F2A19E0A-C5E6-4DC1-8E76-1983FDCF7481}" type="presOf" srcId="{7BCAFE42-E0DE-4DF9-B94B-00138E5D7E87}" destId="{E2D05F56-5C25-466B-B56B-CC3FF32AD357}" srcOrd="1" destOrd="0" presId="urn:microsoft.com/office/officeart/2005/8/layout/orgChart1"/>
    <dgm:cxn modelId="{41F318B4-7A69-4DEB-8EE0-DACA6F61729C}" type="presOf" srcId="{6A836672-543A-46E9-8BF1-E17D5E7DD1DD}" destId="{87E3A9A4-6066-4E73-AF0E-89AB6E3D09C5}" srcOrd="0" destOrd="0" presId="urn:microsoft.com/office/officeart/2005/8/layout/orgChart1"/>
    <dgm:cxn modelId="{9036248F-D87E-4020-9AD3-4CC50432CC77}" type="presOf" srcId="{8CA00F35-8174-4699-B44E-27389362EFBA}" destId="{07B2C399-31B6-4497-9235-29B64EA00720}" srcOrd="0" destOrd="0" presId="urn:microsoft.com/office/officeart/2005/8/layout/orgChart1"/>
    <dgm:cxn modelId="{ED110F20-24D4-4D5F-A05C-6B00B6BA071B}" type="presParOf" srcId="{37792FF5-2BB0-445E-985D-F178D14AAC6C}" destId="{7FAE744E-30B5-4D0C-A7D2-B982FB4CA67D}" srcOrd="0" destOrd="0" presId="urn:microsoft.com/office/officeart/2005/8/layout/orgChart1"/>
    <dgm:cxn modelId="{293ED63A-3766-4AD8-A958-D3EA3322BBBB}" type="presParOf" srcId="{7FAE744E-30B5-4D0C-A7D2-B982FB4CA67D}" destId="{AF47C64E-8A54-4148-B8F3-173AEE093CD6}" srcOrd="0" destOrd="0" presId="urn:microsoft.com/office/officeart/2005/8/layout/orgChart1"/>
    <dgm:cxn modelId="{9C5BB0C1-CC7D-4462-8C68-FF9F23FDEC81}" type="presParOf" srcId="{AF47C64E-8A54-4148-B8F3-173AEE093CD6}" destId="{BF9D9D32-1385-47FB-94AB-4FF9C31676CF}" srcOrd="0" destOrd="0" presId="urn:microsoft.com/office/officeart/2005/8/layout/orgChart1"/>
    <dgm:cxn modelId="{C4EB75F2-175B-4473-A1A6-270F28AB8170}" type="presParOf" srcId="{AF47C64E-8A54-4148-B8F3-173AEE093CD6}" destId="{46092A36-8172-4834-B86B-60D31E434628}" srcOrd="1" destOrd="0" presId="urn:microsoft.com/office/officeart/2005/8/layout/orgChart1"/>
    <dgm:cxn modelId="{47DFE2E5-883A-4A61-8BBC-389DAEAE1AD6}" type="presParOf" srcId="{7FAE744E-30B5-4D0C-A7D2-B982FB4CA67D}" destId="{A2313094-0FD5-4418-9E37-63C65CB7E4D7}" srcOrd="1" destOrd="0" presId="urn:microsoft.com/office/officeart/2005/8/layout/orgChart1"/>
    <dgm:cxn modelId="{1A41CA14-D6DE-477E-BA18-CAF8AF17962D}" type="presParOf" srcId="{A2313094-0FD5-4418-9E37-63C65CB7E4D7}" destId="{9AF9CB54-9821-4193-B16D-54D5A76D6D45}" srcOrd="0" destOrd="0" presId="urn:microsoft.com/office/officeart/2005/8/layout/orgChart1"/>
    <dgm:cxn modelId="{8C093591-F5C9-49E1-B53D-2F5D084F9646}" type="presParOf" srcId="{A2313094-0FD5-4418-9E37-63C65CB7E4D7}" destId="{FC3D6C60-8287-4771-AD97-DD7EDB6D4773}" srcOrd="1" destOrd="0" presId="urn:microsoft.com/office/officeart/2005/8/layout/orgChart1"/>
    <dgm:cxn modelId="{20C4F42F-54F9-474B-B1CB-0868C53BE4C5}" type="presParOf" srcId="{FC3D6C60-8287-4771-AD97-DD7EDB6D4773}" destId="{157E3828-23F3-4840-89A3-605BA274A0BC}" srcOrd="0" destOrd="0" presId="urn:microsoft.com/office/officeart/2005/8/layout/orgChart1"/>
    <dgm:cxn modelId="{28072519-B296-4388-88DE-4B58857A4B16}" type="presParOf" srcId="{157E3828-23F3-4840-89A3-605BA274A0BC}" destId="{7C93DC08-2709-4135-9490-2F5E14B71D11}" srcOrd="0" destOrd="0" presId="urn:microsoft.com/office/officeart/2005/8/layout/orgChart1"/>
    <dgm:cxn modelId="{7AAC6A8E-E891-4425-85D5-575B06CA5935}" type="presParOf" srcId="{157E3828-23F3-4840-89A3-605BA274A0BC}" destId="{E2D05F56-5C25-466B-B56B-CC3FF32AD357}" srcOrd="1" destOrd="0" presId="urn:microsoft.com/office/officeart/2005/8/layout/orgChart1"/>
    <dgm:cxn modelId="{A122C031-82BF-40F6-B57D-E8D9DB7389CB}" type="presParOf" srcId="{FC3D6C60-8287-4771-AD97-DD7EDB6D4773}" destId="{C1788E1B-5341-40E3-B425-790B484AFFD5}" srcOrd="1" destOrd="0" presId="urn:microsoft.com/office/officeart/2005/8/layout/orgChart1"/>
    <dgm:cxn modelId="{76037CBC-92F6-45D4-B2E0-ABE9126B00D6}" type="presParOf" srcId="{FC3D6C60-8287-4771-AD97-DD7EDB6D4773}" destId="{357916B4-2FCE-412B-B91D-16B8A6EC22C6}" srcOrd="2" destOrd="0" presId="urn:microsoft.com/office/officeart/2005/8/layout/orgChart1"/>
    <dgm:cxn modelId="{ABBCF154-BAB2-49D3-9766-8863EDF92E4A}" type="presParOf" srcId="{A2313094-0FD5-4418-9E37-63C65CB7E4D7}" destId="{E2778313-404C-4279-B962-18B21E3B23F8}" srcOrd="2" destOrd="0" presId="urn:microsoft.com/office/officeart/2005/8/layout/orgChart1"/>
    <dgm:cxn modelId="{1806A85E-312E-4F9D-A873-EB73719CB2FF}" type="presParOf" srcId="{A2313094-0FD5-4418-9E37-63C65CB7E4D7}" destId="{A7282D4D-CF19-46C2-BB03-788A75780A17}" srcOrd="3" destOrd="0" presId="urn:microsoft.com/office/officeart/2005/8/layout/orgChart1"/>
    <dgm:cxn modelId="{B5288100-5082-4BCF-8FA4-BC6D6A92D45B}" type="presParOf" srcId="{A7282D4D-CF19-46C2-BB03-788A75780A17}" destId="{7384A37A-6BEE-4403-87DF-9A87E06ED200}" srcOrd="0" destOrd="0" presId="urn:microsoft.com/office/officeart/2005/8/layout/orgChart1"/>
    <dgm:cxn modelId="{6A09FCE8-A803-4581-BE76-1EF967A86B55}" type="presParOf" srcId="{7384A37A-6BEE-4403-87DF-9A87E06ED200}" destId="{300C2A14-27DF-4834-AB76-E2A61B04F4AE}" srcOrd="0" destOrd="0" presId="urn:microsoft.com/office/officeart/2005/8/layout/orgChart1"/>
    <dgm:cxn modelId="{D90AEDA0-DD4C-4AB4-8AC1-30323C0EC319}" type="presParOf" srcId="{7384A37A-6BEE-4403-87DF-9A87E06ED200}" destId="{8D996DEE-4A8F-4347-AFBA-7109891D5AFA}" srcOrd="1" destOrd="0" presId="urn:microsoft.com/office/officeart/2005/8/layout/orgChart1"/>
    <dgm:cxn modelId="{D44EED1B-62B8-4393-BF70-ED9763789491}" type="presParOf" srcId="{A7282D4D-CF19-46C2-BB03-788A75780A17}" destId="{50780DCC-6B4E-4390-B672-7ABB8130086D}" srcOrd="1" destOrd="0" presId="urn:microsoft.com/office/officeart/2005/8/layout/orgChart1"/>
    <dgm:cxn modelId="{81402E64-A0E3-4BB3-ACC2-C2A07EB1B7CD}" type="presParOf" srcId="{A7282D4D-CF19-46C2-BB03-788A75780A17}" destId="{252BDC95-A3C7-46E4-9184-45910CC0CB77}" srcOrd="2" destOrd="0" presId="urn:microsoft.com/office/officeart/2005/8/layout/orgChart1"/>
    <dgm:cxn modelId="{8B595053-7EAD-477F-9EE4-7F4BEE23EB71}" type="presParOf" srcId="{A2313094-0FD5-4418-9E37-63C65CB7E4D7}" destId="{A751C41A-A49C-4ADC-8B37-DFBBA693CE85}" srcOrd="4" destOrd="0" presId="urn:microsoft.com/office/officeart/2005/8/layout/orgChart1"/>
    <dgm:cxn modelId="{429AC79A-CD9B-4B27-BA7E-C9C4D6EADF87}" type="presParOf" srcId="{A2313094-0FD5-4418-9E37-63C65CB7E4D7}" destId="{52CEAC37-40BA-438A-89D0-DA013C0DEBC3}" srcOrd="5" destOrd="0" presId="urn:microsoft.com/office/officeart/2005/8/layout/orgChart1"/>
    <dgm:cxn modelId="{BC907EC4-B645-4E1B-AA8F-9F2A3F0E512C}" type="presParOf" srcId="{52CEAC37-40BA-438A-89D0-DA013C0DEBC3}" destId="{9F8F9221-B2A4-491A-AE36-8B592208B076}" srcOrd="0" destOrd="0" presId="urn:microsoft.com/office/officeart/2005/8/layout/orgChart1"/>
    <dgm:cxn modelId="{380558D6-4319-4EC2-825A-7A767F080A5A}" type="presParOf" srcId="{9F8F9221-B2A4-491A-AE36-8B592208B076}" destId="{5E332B6F-20A2-4B90-BA8F-8B138A5C596C}" srcOrd="0" destOrd="0" presId="urn:microsoft.com/office/officeart/2005/8/layout/orgChart1"/>
    <dgm:cxn modelId="{4D60AFA9-BA87-4522-AAEC-022431B57D01}" type="presParOf" srcId="{9F8F9221-B2A4-491A-AE36-8B592208B076}" destId="{A7817820-B84B-4BCE-85DD-ECD5C28800B1}" srcOrd="1" destOrd="0" presId="urn:microsoft.com/office/officeart/2005/8/layout/orgChart1"/>
    <dgm:cxn modelId="{57590862-D9D6-49F7-AE12-7B655CB5C8CD}" type="presParOf" srcId="{52CEAC37-40BA-438A-89D0-DA013C0DEBC3}" destId="{3CE7F748-E85C-442F-875D-231FA076896C}" srcOrd="1" destOrd="0" presId="urn:microsoft.com/office/officeart/2005/8/layout/orgChart1"/>
    <dgm:cxn modelId="{79C721C7-6754-4AFA-903B-9DB6033C85F6}" type="presParOf" srcId="{52CEAC37-40BA-438A-89D0-DA013C0DEBC3}" destId="{20400884-A800-4615-A11E-F8A853185574}" srcOrd="2" destOrd="0" presId="urn:microsoft.com/office/officeart/2005/8/layout/orgChart1"/>
    <dgm:cxn modelId="{53EADEDC-DC67-4C20-A6B7-94981590244D}" type="presParOf" srcId="{A2313094-0FD5-4418-9E37-63C65CB7E4D7}" destId="{A416A4B2-3899-4872-8EC5-1CEA9A1A722A}" srcOrd="6" destOrd="0" presId="urn:microsoft.com/office/officeart/2005/8/layout/orgChart1"/>
    <dgm:cxn modelId="{43D84509-B2FC-49A2-9D9B-3445F5D7966D}" type="presParOf" srcId="{A2313094-0FD5-4418-9E37-63C65CB7E4D7}" destId="{B6990B97-1ED7-4C82-9985-D210BF360229}" srcOrd="7" destOrd="0" presId="urn:microsoft.com/office/officeart/2005/8/layout/orgChart1"/>
    <dgm:cxn modelId="{87243DC0-7E8E-4BD7-93D9-9486DD0BE26D}" type="presParOf" srcId="{B6990B97-1ED7-4C82-9985-D210BF360229}" destId="{8E960060-8B99-4030-ADA3-85A2FF7DD4E1}" srcOrd="0" destOrd="0" presId="urn:microsoft.com/office/officeart/2005/8/layout/orgChart1"/>
    <dgm:cxn modelId="{FD48706D-1F2B-4101-BA45-0E7A82044567}" type="presParOf" srcId="{8E960060-8B99-4030-ADA3-85A2FF7DD4E1}" destId="{484C9738-7250-4EF0-A972-75ABA7ED9B71}" srcOrd="0" destOrd="0" presId="urn:microsoft.com/office/officeart/2005/8/layout/orgChart1"/>
    <dgm:cxn modelId="{F37D4F77-4870-423F-AAE9-783A07D4B7F3}" type="presParOf" srcId="{8E960060-8B99-4030-ADA3-85A2FF7DD4E1}" destId="{4F6FF1D4-C272-46BC-A46F-FD419D8B3CE2}" srcOrd="1" destOrd="0" presId="urn:microsoft.com/office/officeart/2005/8/layout/orgChart1"/>
    <dgm:cxn modelId="{0683E259-25F6-4A4A-A1EE-49E126B6832A}" type="presParOf" srcId="{B6990B97-1ED7-4C82-9985-D210BF360229}" destId="{EB32613D-51F0-4EFF-94A1-246121162CB5}" srcOrd="1" destOrd="0" presId="urn:microsoft.com/office/officeart/2005/8/layout/orgChart1"/>
    <dgm:cxn modelId="{D0192985-A0E9-4F89-9224-A5149BFD17FF}" type="presParOf" srcId="{B6990B97-1ED7-4C82-9985-D210BF360229}" destId="{00EA03CA-256B-4A15-9FC8-1B5D500A5E4B}" srcOrd="2" destOrd="0" presId="urn:microsoft.com/office/officeart/2005/8/layout/orgChart1"/>
    <dgm:cxn modelId="{60849650-1EE6-409F-B8A2-C0C98B8A9CB8}" type="presParOf" srcId="{A2313094-0FD5-4418-9E37-63C65CB7E4D7}" destId="{AA4105BE-427A-4D36-AFBE-3EB1C5B873B3}" srcOrd="8" destOrd="0" presId="urn:microsoft.com/office/officeart/2005/8/layout/orgChart1"/>
    <dgm:cxn modelId="{29E9B362-EBDA-4968-84D6-22F2F0FC4A72}" type="presParOf" srcId="{A2313094-0FD5-4418-9E37-63C65CB7E4D7}" destId="{38E16C2D-8A57-4734-A891-99D50603D489}" srcOrd="9" destOrd="0" presId="urn:microsoft.com/office/officeart/2005/8/layout/orgChart1"/>
    <dgm:cxn modelId="{E9D13367-DE48-4733-A3B0-0F8DEBEA8A9F}" type="presParOf" srcId="{38E16C2D-8A57-4734-A891-99D50603D489}" destId="{90BE2169-8572-44C1-95A6-3C476B33EC0E}" srcOrd="0" destOrd="0" presId="urn:microsoft.com/office/officeart/2005/8/layout/orgChart1"/>
    <dgm:cxn modelId="{725C1EFC-C98F-4844-9179-AE0122BD045F}" type="presParOf" srcId="{90BE2169-8572-44C1-95A6-3C476B33EC0E}" destId="{87E3A9A4-6066-4E73-AF0E-89AB6E3D09C5}" srcOrd="0" destOrd="0" presId="urn:microsoft.com/office/officeart/2005/8/layout/orgChart1"/>
    <dgm:cxn modelId="{C7951CAC-6F99-4496-9360-43BEAB1BFADB}" type="presParOf" srcId="{90BE2169-8572-44C1-95A6-3C476B33EC0E}" destId="{01DA0CAF-D140-4561-844C-06FE7EF8A9FF}" srcOrd="1" destOrd="0" presId="urn:microsoft.com/office/officeart/2005/8/layout/orgChart1"/>
    <dgm:cxn modelId="{1F1B1B11-F81C-4657-B0EA-908D2404747E}" type="presParOf" srcId="{38E16C2D-8A57-4734-A891-99D50603D489}" destId="{A22DDCF9-1FDB-4D70-B8D5-AF49E242E041}" srcOrd="1" destOrd="0" presId="urn:microsoft.com/office/officeart/2005/8/layout/orgChart1"/>
    <dgm:cxn modelId="{6E2C3F88-F9CC-441B-A9D5-F76C5E57B0DC}" type="presParOf" srcId="{38E16C2D-8A57-4734-A891-99D50603D489}" destId="{7AEEF81C-A2AB-4203-BF28-05726BE2C6EE}" srcOrd="2" destOrd="0" presId="urn:microsoft.com/office/officeart/2005/8/layout/orgChart1"/>
    <dgm:cxn modelId="{013F6165-69A5-4257-9D30-4F137625F4E2}" type="presParOf" srcId="{7FAE744E-30B5-4D0C-A7D2-B982FB4CA67D}" destId="{B10AEB76-99E9-43CF-8CA9-5C348EA7DAE4}" srcOrd="2" destOrd="0" presId="urn:microsoft.com/office/officeart/2005/8/layout/orgChart1"/>
    <dgm:cxn modelId="{83783D5A-3382-4E3B-961F-2FA4ACAD02EB}" type="presParOf" srcId="{B10AEB76-99E9-43CF-8CA9-5C348EA7DAE4}" destId="{47946F62-FFF1-4EF7-9B83-AA61CE6DD4D1}" srcOrd="0" destOrd="0" presId="urn:microsoft.com/office/officeart/2005/8/layout/orgChart1"/>
    <dgm:cxn modelId="{920BFAEA-0E58-4ADE-858F-9F2BFCB5A4D7}" type="presParOf" srcId="{B10AEB76-99E9-43CF-8CA9-5C348EA7DAE4}" destId="{C28AC411-325F-474C-A0BE-A93834ED68EE}" srcOrd="1" destOrd="0" presId="urn:microsoft.com/office/officeart/2005/8/layout/orgChart1"/>
    <dgm:cxn modelId="{23E57BED-AE8A-4133-8488-2CE0B54FA34A}" type="presParOf" srcId="{C28AC411-325F-474C-A0BE-A93834ED68EE}" destId="{1DD50672-D6C0-484C-81A9-01A715071227}" srcOrd="0" destOrd="0" presId="urn:microsoft.com/office/officeart/2005/8/layout/orgChart1"/>
    <dgm:cxn modelId="{83AC6693-8015-4F80-AAE2-3D65A55FF942}" type="presParOf" srcId="{1DD50672-D6C0-484C-81A9-01A715071227}" destId="{07B2C399-31B6-4497-9235-29B64EA00720}" srcOrd="0" destOrd="0" presId="urn:microsoft.com/office/officeart/2005/8/layout/orgChart1"/>
    <dgm:cxn modelId="{0F8A95F6-2066-41B1-8B4A-DDDA1C6B4723}" type="presParOf" srcId="{1DD50672-D6C0-484C-81A9-01A715071227}" destId="{E5221CF1-F673-44CA-8DEF-6472C0E75C60}" srcOrd="1" destOrd="0" presId="urn:microsoft.com/office/officeart/2005/8/layout/orgChart1"/>
    <dgm:cxn modelId="{F0974BD8-45CB-4D8F-B77A-8ABE0A94D56A}" type="presParOf" srcId="{C28AC411-325F-474C-A0BE-A93834ED68EE}" destId="{21F81B23-CD16-4F3E-9AC2-EAEF64B2C6B4}" srcOrd="1" destOrd="0" presId="urn:microsoft.com/office/officeart/2005/8/layout/orgChart1"/>
    <dgm:cxn modelId="{D3A61CBA-C64C-4D9C-B243-69EC0B2C612D}" type="presParOf" srcId="{C28AC411-325F-474C-A0BE-A93834ED68EE}" destId="{004ADBE3-FAA0-4B9F-8102-7E48C59B1AB2}"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46F62-FFF1-4EF7-9B83-AA61CE6DD4D1}">
      <dsp:nvSpPr>
        <dsp:cNvPr id="0" name=""/>
        <dsp:cNvSpPr/>
      </dsp:nvSpPr>
      <dsp:spPr>
        <a:xfrm>
          <a:off x="2636657" y="777708"/>
          <a:ext cx="91619" cy="465304"/>
        </a:xfrm>
        <a:custGeom>
          <a:avLst/>
          <a:gdLst/>
          <a:ahLst/>
          <a:cxnLst/>
          <a:rect l="0" t="0" r="0" b="0"/>
          <a:pathLst>
            <a:path>
              <a:moveTo>
                <a:pt x="91619" y="0"/>
              </a:moveTo>
              <a:lnTo>
                <a:pt x="91619" y="465304"/>
              </a:lnTo>
              <a:lnTo>
                <a:pt x="0" y="465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105BE-427A-4D36-AFBE-3EB1C5B873B3}">
      <dsp:nvSpPr>
        <dsp:cNvPr id="0" name=""/>
        <dsp:cNvSpPr/>
      </dsp:nvSpPr>
      <dsp:spPr>
        <a:xfrm>
          <a:off x="2728277" y="777708"/>
          <a:ext cx="2251856" cy="930608"/>
        </a:xfrm>
        <a:custGeom>
          <a:avLst/>
          <a:gdLst/>
          <a:ahLst/>
          <a:cxnLst/>
          <a:rect l="0" t="0" r="0" b="0"/>
          <a:pathLst>
            <a:path>
              <a:moveTo>
                <a:pt x="0" y="0"/>
              </a:moveTo>
              <a:lnTo>
                <a:pt x="0" y="838988"/>
              </a:lnTo>
              <a:lnTo>
                <a:pt x="2251856" y="838988"/>
              </a:lnTo>
              <a:lnTo>
                <a:pt x="2251856" y="930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6A4B2-3899-4872-8EC5-1CEA9A1A722A}">
      <dsp:nvSpPr>
        <dsp:cNvPr id="0" name=""/>
        <dsp:cNvSpPr/>
      </dsp:nvSpPr>
      <dsp:spPr>
        <a:xfrm>
          <a:off x="2728277" y="777708"/>
          <a:ext cx="1125928" cy="930608"/>
        </a:xfrm>
        <a:custGeom>
          <a:avLst/>
          <a:gdLst/>
          <a:ahLst/>
          <a:cxnLst/>
          <a:rect l="0" t="0" r="0" b="0"/>
          <a:pathLst>
            <a:path>
              <a:moveTo>
                <a:pt x="0" y="0"/>
              </a:moveTo>
              <a:lnTo>
                <a:pt x="0" y="838988"/>
              </a:lnTo>
              <a:lnTo>
                <a:pt x="1125928" y="838988"/>
              </a:lnTo>
              <a:lnTo>
                <a:pt x="1125928" y="930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1C41A-A49C-4ADC-8B37-DFBBA693CE85}">
      <dsp:nvSpPr>
        <dsp:cNvPr id="0" name=""/>
        <dsp:cNvSpPr/>
      </dsp:nvSpPr>
      <dsp:spPr>
        <a:xfrm>
          <a:off x="2682557" y="777708"/>
          <a:ext cx="91440" cy="930608"/>
        </a:xfrm>
        <a:custGeom>
          <a:avLst/>
          <a:gdLst/>
          <a:ahLst/>
          <a:cxnLst/>
          <a:rect l="0" t="0" r="0" b="0"/>
          <a:pathLst>
            <a:path>
              <a:moveTo>
                <a:pt x="45720" y="0"/>
              </a:moveTo>
              <a:lnTo>
                <a:pt x="45720" y="930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778313-404C-4279-B962-18B21E3B23F8}">
      <dsp:nvSpPr>
        <dsp:cNvPr id="0" name=""/>
        <dsp:cNvSpPr/>
      </dsp:nvSpPr>
      <dsp:spPr>
        <a:xfrm>
          <a:off x="1602349" y="777708"/>
          <a:ext cx="1125928" cy="930608"/>
        </a:xfrm>
        <a:custGeom>
          <a:avLst/>
          <a:gdLst/>
          <a:ahLst/>
          <a:cxnLst/>
          <a:rect l="0" t="0" r="0" b="0"/>
          <a:pathLst>
            <a:path>
              <a:moveTo>
                <a:pt x="1125928" y="0"/>
              </a:moveTo>
              <a:lnTo>
                <a:pt x="1125928" y="838988"/>
              </a:lnTo>
              <a:lnTo>
                <a:pt x="0" y="838988"/>
              </a:lnTo>
              <a:lnTo>
                <a:pt x="0" y="930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F9CB54-9821-4193-B16D-54D5A76D6D45}">
      <dsp:nvSpPr>
        <dsp:cNvPr id="0" name=""/>
        <dsp:cNvSpPr/>
      </dsp:nvSpPr>
      <dsp:spPr>
        <a:xfrm>
          <a:off x="476420" y="777708"/>
          <a:ext cx="2251856" cy="930608"/>
        </a:xfrm>
        <a:custGeom>
          <a:avLst/>
          <a:gdLst/>
          <a:ahLst/>
          <a:cxnLst/>
          <a:rect l="0" t="0" r="0" b="0"/>
          <a:pathLst>
            <a:path>
              <a:moveTo>
                <a:pt x="2251856" y="0"/>
              </a:moveTo>
              <a:lnTo>
                <a:pt x="2251856" y="838988"/>
              </a:lnTo>
              <a:lnTo>
                <a:pt x="0" y="838988"/>
              </a:lnTo>
              <a:lnTo>
                <a:pt x="0" y="930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9D9D32-1385-47FB-94AB-4FF9C31676CF}">
      <dsp:nvSpPr>
        <dsp:cNvPr id="0" name=""/>
        <dsp:cNvSpPr/>
      </dsp:nvSpPr>
      <dsp:spPr>
        <a:xfrm>
          <a:off x="2256933" y="213579"/>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Indian Government</a:t>
          </a:r>
        </a:p>
      </dsp:txBody>
      <dsp:txXfrm>
        <a:off x="2256933" y="213579"/>
        <a:ext cx="942688" cy="564129"/>
      </dsp:txXfrm>
    </dsp:sp>
    <dsp:sp modelId="{7C93DC08-2709-4135-9490-2F5E14B71D11}">
      <dsp:nvSpPr>
        <dsp:cNvPr id="0" name=""/>
        <dsp:cNvSpPr/>
      </dsp:nvSpPr>
      <dsp:spPr>
        <a:xfrm>
          <a:off x="5076" y="1708316"/>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Ministry of Power</a:t>
          </a:r>
        </a:p>
      </dsp:txBody>
      <dsp:txXfrm>
        <a:off x="5076" y="1708316"/>
        <a:ext cx="942688" cy="564129"/>
      </dsp:txXfrm>
    </dsp:sp>
    <dsp:sp modelId="{300C2A14-27DF-4834-AB76-E2A61B04F4AE}">
      <dsp:nvSpPr>
        <dsp:cNvPr id="0" name=""/>
        <dsp:cNvSpPr/>
      </dsp:nvSpPr>
      <dsp:spPr>
        <a:xfrm>
          <a:off x="1131004" y="1708316"/>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Ministry of Petroleum and Natural Gas</a:t>
          </a:r>
        </a:p>
      </dsp:txBody>
      <dsp:txXfrm>
        <a:off x="1131004" y="1708316"/>
        <a:ext cx="942688" cy="564129"/>
      </dsp:txXfrm>
    </dsp:sp>
    <dsp:sp modelId="{5E332B6F-20A2-4B90-BA8F-8B138A5C596C}">
      <dsp:nvSpPr>
        <dsp:cNvPr id="0" name=""/>
        <dsp:cNvSpPr/>
      </dsp:nvSpPr>
      <dsp:spPr>
        <a:xfrm>
          <a:off x="2256933" y="1708316"/>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Ministry of New and Renewable Energy</a:t>
          </a:r>
        </a:p>
      </dsp:txBody>
      <dsp:txXfrm>
        <a:off x="2256933" y="1708316"/>
        <a:ext cx="942688" cy="564129"/>
      </dsp:txXfrm>
    </dsp:sp>
    <dsp:sp modelId="{484C9738-7250-4EF0-A972-75ABA7ED9B71}">
      <dsp:nvSpPr>
        <dsp:cNvPr id="0" name=""/>
        <dsp:cNvSpPr/>
      </dsp:nvSpPr>
      <dsp:spPr>
        <a:xfrm>
          <a:off x="3382861" y="1708316"/>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Ministry of Coal</a:t>
          </a:r>
        </a:p>
      </dsp:txBody>
      <dsp:txXfrm>
        <a:off x="3382861" y="1708316"/>
        <a:ext cx="942688" cy="564129"/>
      </dsp:txXfrm>
    </dsp:sp>
    <dsp:sp modelId="{87E3A9A4-6066-4E73-AF0E-89AB6E3D09C5}">
      <dsp:nvSpPr>
        <dsp:cNvPr id="0" name=""/>
        <dsp:cNvSpPr/>
      </dsp:nvSpPr>
      <dsp:spPr>
        <a:xfrm>
          <a:off x="4508789" y="1708316"/>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Department of Atomic Energy</a:t>
          </a:r>
          <a:br>
            <a:rPr lang="en-AU" sz="1000" kern="1200"/>
          </a:br>
          <a:endParaRPr lang="en-AU" sz="1000" kern="1200"/>
        </a:p>
      </dsp:txBody>
      <dsp:txXfrm>
        <a:off x="4508789" y="1708316"/>
        <a:ext cx="942688" cy="564129"/>
      </dsp:txXfrm>
    </dsp:sp>
    <dsp:sp modelId="{07B2C399-31B6-4497-9235-29B64EA00720}">
      <dsp:nvSpPr>
        <dsp:cNvPr id="0" name=""/>
        <dsp:cNvSpPr/>
      </dsp:nvSpPr>
      <dsp:spPr>
        <a:xfrm>
          <a:off x="1693968" y="960947"/>
          <a:ext cx="942688" cy="5641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National Institution for Transforming India</a:t>
          </a:r>
        </a:p>
      </dsp:txBody>
      <dsp:txXfrm>
        <a:off x="1693968" y="960947"/>
        <a:ext cx="942688" cy="5641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0.74527</cdr:x>
      <cdr:y>0.26042</cdr:y>
    </cdr:from>
    <cdr:to>
      <cdr:x>0.74527</cdr:x>
      <cdr:y>0.78472</cdr:y>
    </cdr:to>
    <cdr:cxnSp macro="">
      <cdr:nvCxnSpPr>
        <cdr:cNvPr id="3" name="Straight Connector 2"/>
        <cdr:cNvCxnSpPr/>
      </cdr:nvCxnSpPr>
      <cdr:spPr>
        <a:xfrm xmlns:a="http://schemas.openxmlformats.org/drawingml/2006/main">
          <a:off x="4292370" y="714378"/>
          <a:ext cx="0" cy="1438260"/>
        </a:xfrm>
        <a:prstGeom xmlns:a="http://schemas.openxmlformats.org/drawingml/2006/main" prst="line">
          <a:avLst/>
        </a:prstGeom>
        <a:ln xmlns:a="http://schemas.openxmlformats.org/drawingml/2006/main">
          <a:solidFill>
            <a:srgbClr val="373737"/>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0.83021</cdr:x>
      <cdr:y>0.10416</cdr:y>
    </cdr:from>
    <cdr:to>
      <cdr:x>0.83048</cdr:x>
      <cdr:y>0.79629</cdr:y>
    </cdr:to>
    <cdr:cxnSp macro="">
      <cdr:nvCxnSpPr>
        <cdr:cNvPr id="10" name="Straight Connector 9"/>
        <cdr:cNvCxnSpPr/>
      </cdr:nvCxnSpPr>
      <cdr:spPr>
        <a:xfrm xmlns:a="http://schemas.openxmlformats.org/drawingml/2006/main">
          <a:off x="4781551" y="285738"/>
          <a:ext cx="1555" cy="1898651"/>
        </a:xfrm>
        <a:prstGeom xmlns:a="http://schemas.openxmlformats.org/drawingml/2006/main" prst="line">
          <a:avLst/>
        </a:prstGeom>
        <a:ln xmlns:a="http://schemas.openxmlformats.org/drawingml/2006/main">
          <a:solidFill>
            <a:srgbClr val="373737"/>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0.92778</cdr:x>
      <cdr:y>0</cdr:y>
    </cdr:from>
    <cdr:to>
      <cdr:x>0.92778</cdr:x>
      <cdr:y>0.78819</cdr:y>
    </cdr:to>
    <cdr:cxnSp macro="">
      <cdr:nvCxnSpPr>
        <cdr:cNvPr id="12" name="Straight Connector 11"/>
        <cdr:cNvCxnSpPr/>
      </cdr:nvCxnSpPr>
      <cdr:spPr>
        <a:xfrm xmlns:a="http://schemas.openxmlformats.org/drawingml/2006/main">
          <a:off x="5343525" y="0"/>
          <a:ext cx="0" cy="2162175"/>
        </a:xfrm>
        <a:prstGeom xmlns:a="http://schemas.openxmlformats.org/drawingml/2006/main" prst="line">
          <a:avLst/>
        </a:prstGeom>
        <a:ln xmlns:a="http://schemas.openxmlformats.org/drawingml/2006/main">
          <a:solidFill>
            <a:srgbClr val="373737"/>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0.68837</cdr:x>
      <cdr:y>0.01323</cdr:y>
    </cdr:from>
    <cdr:to>
      <cdr:x>0.68988</cdr:x>
      <cdr:y>0.73096</cdr:y>
    </cdr:to>
    <cdr:cxnSp macro="">
      <cdr:nvCxnSpPr>
        <cdr:cNvPr id="5" name="Straight Connector 4"/>
        <cdr:cNvCxnSpPr/>
      </cdr:nvCxnSpPr>
      <cdr:spPr>
        <a:xfrm xmlns:a="http://schemas.openxmlformats.org/drawingml/2006/main" flipH="1">
          <a:off x="3953689" y="28575"/>
          <a:ext cx="8711" cy="1550023"/>
        </a:xfrm>
        <a:prstGeom xmlns:a="http://schemas.openxmlformats.org/drawingml/2006/main" prst="line">
          <a:avLst/>
        </a:prstGeom>
        <a:ln xmlns:a="http://schemas.openxmlformats.org/drawingml/2006/main" w="19050">
          <a:solidFill>
            <a:srgbClr val="373737"/>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99e4c9942c6404eb103464a00e6097b xmlns="e47d1c65-9f6c-49e5-a774-2c92ccb46d02">
      <Terms xmlns="http://schemas.microsoft.com/office/infopath/2007/PartnerControls">
        <TermInfo xmlns="http://schemas.microsoft.com/office/infopath/2007/PartnerControls">
          <TermName>2019</TermName>
          <TermId>7e451fe0-4dc6-437a-a849-bab7965a9aee</TermId>
        </TermInfo>
      </Terms>
    </n99e4c9942c6404eb103464a00e6097b>
    <adb9bed2e36e4a93af574aeb444da63e xmlns="e47d1c65-9f6c-49e5-a774-2c92ccb46d02">
      <Terms xmlns="http://schemas.microsoft.com/office/infopath/2007/PartnerControls">
        <TermInfo xmlns="http://schemas.microsoft.com/office/infopath/2007/PartnerControls">
          <TermName>Coal in India</TermName>
          <TermId>8a976dc6-b028-4cba-8477-a3b6deffb2a8</TermId>
        </TermInfo>
      </Terms>
    </adb9bed2e36e4a93af574aeb444da63e>
    <pe2555c81638466f9eb614edb9ecde52 xmlns="e47d1c65-9f6c-49e5-a774-2c92ccb46d02">
      <Terms xmlns="http://schemas.microsoft.com/office/infopath/2007/PartnerControls">
        <TermInfo xmlns="http://schemas.microsoft.com/office/infopath/2007/PartnerControls">
          <TermName>Report</TermName>
          <TermId>116a9244-cef6-47ce-a9a5-088c9cf21292</TermId>
        </TermInfo>
      </Terms>
    </pe2555c81638466f9eb614edb9ecde52>
    <TaxCatchAll xmlns="e47d1c65-9f6c-49e5-a774-2c92ccb46d02">
      <Value>2740</Value>
      <Value>82</Value>
      <Value>3</Value>
      <Value>2380</Value>
      <Value>45</Value>
    </TaxCatchAll>
    <aa25a1a23adf4c92a153145de6afe324 xmlns="e47d1c65-9f6c-49e5-a774-2c92ccb46d0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g7bcb40ba23249a78edca7d43a67c1c9 xmlns="e47d1c65-9f6c-49e5-a774-2c92ccb46d02">
      <Terms xmlns="http://schemas.microsoft.com/office/infopath/2007/PartnerControls">
        <TermInfo xmlns="http://schemas.microsoft.com/office/infopath/2007/PartnerControls">
          <TermName>Research</TermName>
          <TermId>7b4c149d-8b70-4bf0-8e72-df534d298464</TermId>
        </TermInfo>
      </Terms>
    </g7bcb40ba23249a78edca7d43a67c1c9>
    <Comments xmlns="http://schemas.microsoft.com/sharepoint/v3" xsi:nil="true"/>
    <_dlc_DocId xmlns="e47d1c65-9f6c-49e5-a774-2c92ccb46d02">EUCW2WRC2PUD-8043042-112</_dlc_DocId>
    <_dlc_DocIdUrl xmlns="e47d1c65-9f6c-49e5-a774-2c92ccb46d02">
      <Url>https://dochub/div/economicanalyticalservices/businessfunctions/projectmgmt/projects/_layouts/15/DocIdRedir.aspx?ID=EUCW2WRC2PUD-8043042-112</Url>
      <Description>EUCW2WRC2PUD-8043042-112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9454E742749F74B848F0F72A205BE29" ma:contentTypeVersion="14" ma:contentTypeDescription="Create a new document." ma:contentTypeScope="" ma:versionID="00a943063bd78d3b6a03d598e6f81ee6">
  <xsd:schema xmlns:xsd="http://www.w3.org/2001/XMLSchema" xmlns:xs="http://www.w3.org/2001/XMLSchema" xmlns:p="http://schemas.microsoft.com/office/2006/metadata/properties" xmlns:ns1="http://schemas.microsoft.com/sharepoint/v3" xmlns:ns2="e47d1c65-9f6c-49e5-a774-2c92ccb46d02" targetNamespace="http://schemas.microsoft.com/office/2006/metadata/properties" ma:root="true" ma:fieldsID="2c4df675d706b49d1cef78d9eb41655a" ns1:_="" ns2:_="">
    <xsd:import namespace="http://schemas.microsoft.com/sharepoint/v3"/>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BPS19</b:Tag>
    <b:SourceType>DocumentFromInternetSite</b:SourceType>
    <b:Guid>{ABCF01FD-3B4E-43B4-94FB-A057E1BF9560}</b:Guid>
    <b:Title>BP</b:Title>
    <b:Year>2019</b:Year>
    <b:Author>
      <b:Author>
        <b:Corporate>BP Statistical Review of World Energy 2019</b:Corporate>
      </b:Author>
    </b:Author>
    <b:Month>June</b:Month>
    <b:Day>11</b:Day>
    <b:URL>www.bp.com/statisticalreview</b:URL>
    <b:RefOrder>1</b:RefOrder>
  </b:Source>
</b:Sources>
</file>

<file path=customXml/itemProps1.xml><?xml version="1.0" encoding="utf-8"?>
<ds:datastoreItem xmlns:ds="http://schemas.openxmlformats.org/officeDocument/2006/customXml" ds:itemID="{7C82E28D-6947-480F-BBF1-3DFDF858D2E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47d1c65-9f6c-49e5-a774-2c92ccb46d02"/>
    <ds:schemaRef ds:uri="http://www.w3.org/XML/1998/namespace"/>
    <ds:schemaRef ds:uri="http://purl.org/dc/dcmitype/"/>
  </ds:schemaRefs>
</ds:datastoreItem>
</file>

<file path=customXml/itemProps2.xml><?xml version="1.0" encoding="utf-8"?>
<ds:datastoreItem xmlns:ds="http://schemas.openxmlformats.org/officeDocument/2006/customXml" ds:itemID="{4CD91BE8-C279-44AE-A4A2-61006A2FE57A}">
  <ds:schemaRefs>
    <ds:schemaRef ds:uri="http://schemas.microsoft.com/sharepoint/events"/>
  </ds:schemaRefs>
</ds:datastoreItem>
</file>

<file path=customXml/itemProps3.xml><?xml version="1.0" encoding="utf-8"?>
<ds:datastoreItem xmlns:ds="http://schemas.openxmlformats.org/officeDocument/2006/customXml" ds:itemID="{A88F112F-AEEE-4477-B6AF-DBDFEF428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5.xml><?xml version="1.0" encoding="utf-8"?>
<ds:datastoreItem xmlns:ds="http://schemas.openxmlformats.org/officeDocument/2006/customXml" ds:itemID="{2C95E349-45AE-4A7F-A491-894094E2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OCE%20Portrait%20Template</Template>
  <TotalTime>3</TotalTime>
  <Pages>18</Pages>
  <Words>20670</Words>
  <Characters>117821</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138215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creator>Philalay, Monica</dc:creator>
  <cp:lastModifiedBy>Pratley, Lauren</cp:lastModifiedBy>
  <cp:revision>4</cp:revision>
  <cp:lastPrinted>2019-08-16T03:50:00Z</cp:lastPrinted>
  <dcterms:created xsi:type="dcterms:W3CDTF">2019-08-22T06:29:00Z</dcterms:created>
  <dcterms:modified xsi:type="dcterms:W3CDTF">2019-08-22T06:33:00Z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0x01010099454E742749F74B848F0F72A205BE29</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c1623d36-fbf1-4159-b7c6-1332bd4f549c</vt:lpwstr>
  </property>
  <property fmtid="{D5CDD505-2E9C-101B-9397-08002B2CF9AE}" pid="8" name="DocHub_Year">
    <vt:lpwstr>2380;#2019|7e451fe0-4dc6-437a-a849-bab7965a9aee</vt:lpwstr>
  </property>
  <property fmtid="{D5CDD505-2E9C-101B-9397-08002B2CF9AE}" pid="9" name="DocHub_DocumentType">
    <vt:lpwstr>45;#Report|116a9244-cef6-47ce-a9a5-088c9cf21292</vt:lpwstr>
  </property>
  <property fmtid="{D5CDD505-2E9C-101B-9397-08002B2CF9AE}" pid="10" name="DocHub_SecurityClassification">
    <vt:lpwstr>3;#UNCLASSIFIED|6106d03b-a1a0-4e30-9d91-d5e9fb4314f9</vt:lpwstr>
  </property>
  <property fmtid="{D5CDD505-2E9C-101B-9397-08002B2CF9AE}" pid="11" name="DocHub_Keywords">
    <vt:lpwstr>2740;#Coal in India|8a976dc6-b028-4cba-8477-a3b6deffb2a8</vt:lpwstr>
  </property>
  <property fmtid="{D5CDD505-2E9C-101B-9397-08002B2CF9AE}" pid="12" name="DocHub_WorkActivity">
    <vt:lpwstr>82;#Research|7b4c149d-8b70-4bf0-8e72-df534d298464</vt:lpwstr>
  </property>
  <property fmtid="{D5CDD505-2E9C-101B-9397-08002B2CF9AE}" pid="13" name="DocHub_CommodityType">
    <vt:lpwstr/>
  </property>
</Properties>
</file>